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80"/>
        <w:spacing w:after="0"/>
        <w:rPr>
          <w:sz w:val="20"/>
          <w:szCs w:val="20"/>
          <w:color w:val="auto"/>
        </w:rPr>
      </w:pPr>
      <w:r>
        <w:rPr>
          <w:rFonts w:ascii="Times New Roman" w:cs="Times New Roman" w:eastAsia="Times New Roman" w:hAnsi="Times New Roman"/>
          <w:sz w:val="12"/>
          <w:szCs w:val="12"/>
          <w:color w:val="auto"/>
        </w:rPr>
        <w:t>AS FILED WITH THE SECURITIES AND EXCHANGE COMMISSION ON DECEMBER 17, 2003</w:t>
      </w:r>
    </w:p>
    <w:p>
      <w:pPr>
        <w:spacing w:after="0" w:line="89"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2"/>
          <w:szCs w:val="12"/>
          <w:b w:val="1"/>
          <w:bCs w:val="1"/>
          <w:color w:val="auto"/>
        </w:rPr>
        <w:t>REGISTRATION STATEMENT NO. 333-110486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919855" cy="73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19855" cy="73025"/>
                    </a:xfrm>
                    <a:prstGeom prst="rect">
                      <a:avLst/>
                    </a:prstGeom>
                    <a:noFill/>
                  </pic:spPr>
                </pic:pic>
              </a:graphicData>
            </a:graphic>
          </wp:anchor>
        </w:drawing>
      </w:r>
    </w:p>
    <w:p>
      <w:pPr>
        <w:spacing w:after="0" w:line="260"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9"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83"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9"/>
          <w:szCs w:val="19"/>
          <w:b w:val="1"/>
          <w:bCs w:val="1"/>
          <w:color w:val="auto"/>
        </w:rPr>
        <w:t>AMENDMENT NO. 1</w:t>
      </w:r>
    </w:p>
    <w:p>
      <w:pPr>
        <w:spacing w:after="0" w:line="26"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9"/>
          <w:szCs w:val="19"/>
          <w:b w:val="1"/>
          <w:bCs w:val="1"/>
          <w:color w:val="auto"/>
        </w:rPr>
        <w:t>TO</w:t>
      </w:r>
    </w:p>
    <w:p>
      <w:pPr>
        <w:jc w:val="center"/>
        <w:ind w:right="3899"/>
        <w:spacing w:after="0"/>
        <w:rPr>
          <w:sz w:val="20"/>
          <w:szCs w:val="20"/>
          <w:color w:val="auto"/>
        </w:rPr>
      </w:pPr>
      <w:r>
        <w:rPr>
          <w:rFonts w:ascii="Times New Roman" w:cs="Times New Roman" w:eastAsia="Times New Roman" w:hAnsi="Times New Roman"/>
          <w:sz w:val="19"/>
          <w:szCs w:val="19"/>
          <w:b w:val="1"/>
          <w:bCs w:val="1"/>
          <w:color w:val="auto"/>
        </w:rPr>
        <w:t>FORM F-3</w:t>
      </w:r>
    </w:p>
    <w:p>
      <w:pPr>
        <w:spacing w:after="0" w:line="63"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23"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6"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60"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22"/>
          <w:szCs w:val="22"/>
          <w:b w:val="1"/>
          <w:bCs w:val="1"/>
          <w:color w:val="auto"/>
        </w:rPr>
        <w:t>TOWER SEMICONDUCTOR LTD.</w:t>
      </w:r>
    </w:p>
    <w:p>
      <w:pPr>
        <w:spacing w:after="0" w:line="99"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1"/>
          <w:szCs w:val="1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6350" cy="66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3" w:lineRule="exact"/>
        <w:rPr>
          <w:sz w:val="24"/>
          <w:szCs w:val="24"/>
          <w:color w:val="auto"/>
        </w:rPr>
      </w:pPr>
    </w:p>
    <w:tbl>
      <w:tblPr>
        <w:tblLayout w:type="fixed"/>
        <w:tblInd w:w="240" w:type="dxa"/>
        <w:tblCellMar>
          <w:top w:w="0" w:type="dxa"/>
          <w:left w:w="0" w:type="dxa"/>
          <w:bottom w:w="0" w:type="dxa"/>
          <w:right w:w="0" w:type="dxa"/>
        </w:tblCellMar>
      </w:tblPr>
      <w:tr>
        <w:trPr>
          <w:trHeight w:val="165"/>
        </w:trPr>
        <w:tc>
          <w:tcPr>
            <w:tcW w:w="1880" w:type="dxa"/>
            <w:vAlign w:val="bottom"/>
          </w:tcPr>
          <w:p>
            <w:pPr>
              <w:jc w:val="center"/>
              <w:ind w:right="522"/>
              <w:spacing w:after="0"/>
              <w:rPr>
                <w:sz w:val="20"/>
                <w:szCs w:val="20"/>
                <w:color w:val="auto"/>
              </w:rPr>
            </w:pPr>
            <w:r>
              <w:rPr>
                <w:rFonts w:ascii="Times New Roman" w:cs="Times New Roman" w:eastAsia="Times New Roman" w:hAnsi="Times New Roman"/>
                <w:sz w:val="12"/>
                <w:szCs w:val="12"/>
                <w:b w:val="1"/>
                <w:bCs w:val="1"/>
                <w:color w:val="auto"/>
              </w:rPr>
              <w:t>Israel</w:t>
            </w:r>
          </w:p>
        </w:tc>
        <w:tc>
          <w:tcPr>
            <w:tcW w:w="1960" w:type="dxa"/>
            <w:vAlign w:val="bottom"/>
          </w:tcPr>
          <w:p>
            <w:pPr>
              <w:jc w:val="center"/>
              <w:ind w:left="222"/>
              <w:spacing w:after="0"/>
              <w:rPr>
                <w:sz w:val="20"/>
                <w:szCs w:val="20"/>
                <w:color w:val="auto"/>
              </w:rPr>
            </w:pPr>
            <w:r>
              <w:rPr>
                <w:rFonts w:ascii="Times New Roman" w:cs="Times New Roman" w:eastAsia="Times New Roman" w:hAnsi="Times New Roman"/>
                <w:sz w:val="12"/>
                <w:szCs w:val="12"/>
                <w:b w:val="1"/>
                <w:bCs w:val="1"/>
                <w:color w:val="auto"/>
                <w:w w:val="99"/>
              </w:rPr>
              <w:t>3674</w:t>
            </w:r>
          </w:p>
        </w:tc>
        <w:tc>
          <w:tcPr>
            <w:tcW w:w="1880" w:type="dxa"/>
            <w:vAlign w:val="bottom"/>
          </w:tcPr>
          <w:p>
            <w:pPr>
              <w:jc w:val="center"/>
              <w:ind w:left="782"/>
              <w:spacing w:after="0"/>
              <w:rPr>
                <w:sz w:val="20"/>
                <w:szCs w:val="20"/>
                <w:color w:val="auto"/>
              </w:rPr>
            </w:pPr>
            <w:r>
              <w:rPr>
                <w:rFonts w:ascii="Times New Roman" w:cs="Times New Roman" w:eastAsia="Times New Roman" w:hAnsi="Times New Roman"/>
                <w:sz w:val="12"/>
                <w:szCs w:val="12"/>
                <w:b w:val="1"/>
                <w:bCs w:val="1"/>
                <w:color w:val="auto"/>
              </w:rPr>
              <w:t>Not applicable</w:t>
            </w:r>
          </w:p>
        </w:tc>
      </w:tr>
      <w:tr>
        <w:trPr>
          <w:trHeight w:val="130"/>
        </w:trPr>
        <w:tc>
          <w:tcPr>
            <w:tcW w:w="1880" w:type="dxa"/>
            <w:vAlign w:val="bottom"/>
          </w:tcPr>
          <w:p>
            <w:pPr>
              <w:jc w:val="center"/>
              <w:ind w:right="522"/>
              <w:spacing w:after="0"/>
              <w:rPr>
                <w:sz w:val="20"/>
                <w:szCs w:val="20"/>
                <w:color w:val="auto"/>
              </w:rPr>
            </w:pPr>
            <w:r>
              <w:rPr>
                <w:rFonts w:ascii="Times New Roman" w:cs="Times New Roman" w:eastAsia="Times New Roman" w:hAnsi="Times New Roman"/>
                <w:sz w:val="11"/>
                <w:szCs w:val="11"/>
                <w:i w:val="1"/>
                <w:iCs w:val="1"/>
                <w:color w:val="auto"/>
              </w:rPr>
              <w:t>(State or other jurisdiction of</w:t>
            </w:r>
          </w:p>
        </w:tc>
        <w:tc>
          <w:tcPr>
            <w:tcW w:w="1960" w:type="dxa"/>
            <w:vAlign w:val="bottom"/>
          </w:tcPr>
          <w:p>
            <w:pPr>
              <w:jc w:val="center"/>
              <w:ind w:left="222"/>
              <w:spacing w:after="0"/>
              <w:rPr>
                <w:sz w:val="20"/>
                <w:szCs w:val="20"/>
                <w:color w:val="auto"/>
              </w:rPr>
            </w:pPr>
            <w:r>
              <w:rPr>
                <w:rFonts w:ascii="Times New Roman" w:cs="Times New Roman" w:eastAsia="Times New Roman" w:hAnsi="Times New Roman"/>
                <w:sz w:val="11"/>
                <w:szCs w:val="11"/>
                <w:i w:val="1"/>
                <w:iCs w:val="1"/>
                <w:color w:val="auto"/>
              </w:rPr>
              <w:t>(Primary Standard Industrial</w:t>
            </w:r>
          </w:p>
        </w:tc>
        <w:tc>
          <w:tcPr>
            <w:tcW w:w="1880" w:type="dxa"/>
            <w:vAlign w:val="bottom"/>
          </w:tcPr>
          <w:p>
            <w:pPr>
              <w:jc w:val="center"/>
              <w:ind w:left="802"/>
              <w:spacing w:after="0"/>
              <w:rPr>
                <w:sz w:val="20"/>
                <w:szCs w:val="20"/>
                <w:color w:val="auto"/>
              </w:rPr>
            </w:pPr>
            <w:r>
              <w:rPr>
                <w:rFonts w:ascii="Times New Roman" w:cs="Times New Roman" w:eastAsia="Times New Roman" w:hAnsi="Times New Roman"/>
                <w:sz w:val="11"/>
                <w:szCs w:val="11"/>
                <w:i w:val="1"/>
                <w:iCs w:val="1"/>
                <w:color w:val="auto"/>
              </w:rPr>
              <w:t>(I.R.S. Employer</w:t>
            </w:r>
          </w:p>
        </w:tc>
      </w:tr>
      <w:tr>
        <w:trPr>
          <w:trHeight w:val="145"/>
        </w:trPr>
        <w:tc>
          <w:tcPr>
            <w:tcW w:w="1880" w:type="dxa"/>
            <w:vAlign w:val="bottom"/>
          </w:tcPr>
          <w:p>
            <w:pPr>
              <w:ind w:left="40"/>
              <w:spacing w:after="0"/>
              <w:rPr>
                <w:sz w:val="20"/>
                <w:szCs w:val="20"/>
                <w:color w:val="auto"/>
              </w:rPr>
            </w:pPr>
            <w:r>
              <w:rPr>
                <w:rFonts w:ascii="Times New Roman" w:cs="Times New Roman" w:eastAsia="Times New Roman" w:hAnsi="Times New Roman"/>
                <w:sz w:val="11"/>
                <w:szCs w:val="11"/>
                <w:i w:val="1"/>
                <w:iCs w:val="1"/>
                <w:color w:val="auto"/>
              </w:rPr>
              <w:t>incorporation or organization)</w:t>
            </w:r>
          </w:p>
        </w:tc>
        <w:tc>
          <w:tcPr>
            <w:tcW w:w="1960" w:type="dxa"/>
            <w:vAlign w:val="bottom"/>
          </w:tcPr>
          <w:p>
            <w:pPr>
              <w:jc w:val="center"/>
              <w:ind w:left="242"/>
              <w:spacing w:after="0"/>
              <w:rPr>
                <w:sz w:val="20"/>
                <w:szCs w:val="20"/>
                <w:color w:val="auto"/>
              </w:rPr>
            </w:pPr>
            <w:r>
              <w:rPr>
                <w:rFonts w:ascii="Times New Roman" w:cs="Times New Roman" w:eastAsia="Times New Roman" w:hAnsi="Times New Roman"/>
                <w:sz w:val="11"/>
                <w:szCs w:val="11"/>
                <w:i w:val="1"/>
                <w:iCs w:val="1"/>
                <w:color w:val="auto"/>
              </w:rPr>
              <w:t>Classification Code Number)</w:t>
            </w:r>
          </w:p>
        </w:tc>
        <w:tc>
          <w:tcPr>
            <w:tcW w:w="1880" w:type="dxa"/>
            <w:vAlign w:val="bottom"/>
          </w:tcPr>
          <w:p>
            <w:pPr>
              <w:jc w:val="center"/>
              <w:ind w:left="802"/>
              <w:spacing w:after="0"/>
              <w:rPr>
                <w:sz w:val="20"/>
                <w:szCs w:val="20"/>
                <w:color w:val="auto"/>
              </w:rPr>
            </w:pPr>
            <w:r>
              <w:rPr>
                <w:rFonts w:ascii="Times New Roman" w:cs="Times New Roman" w:eastAsia="Times New Roman" w:hAnsi="Times New Roman"/>
                <w:sz w:val="11"/>
                <w:szCs w:val="11"/>
                <w:i w:val="1"/>
                <w:iCs w:val="1"/>
                <w:color w:val="auto"/>
              </w:rPr>
              <w:t>Identification Number)</w:t>
            </w:r>
          </w:p>
        </w:tc>
      </w:tr>
      <w:tr>
        <w:trPr>
          <w:trHeight w:val="135"/>
        </w:trPr>
        <w:tc>
          <w:tcPr>
            <w:tcW w:w="1880" w:type="dxa"/>
            <w:vAlign w:val="bottom"/>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88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-369570</wp:posOffset>
            </wp:positionV>
            <wp:extent cx="38601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0165" cy="6350"/>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-309880</wp:posOffset>
            </wp:positionV>
            <wp:extent cx="1333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-309880</wp:posOffset>
            </wp:positionV>
            <wp:extent cx="13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1125855</wp:posOffset>
            </wp:positionH>
            <wp:positionV relativeFrom="paragraph">
              <wp:posOffset>-164465</wp:posOffset>
            </wp:positionV>
            <wp:extent cx="133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-164465</wp:posOffset>
            </wp:positionV>
            <wp:extent cx="133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-78740</wp:posOffset>
            </wp:positionV>
            <wp:extent cx="6610350" cy="132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0350" cy="132080"/>
                    </a:xfrm>
                    <a:prstGeom prst="rect">
                      <a:avLst/>
                    </a:prstGeom>
                    <a:noFill/>
                  </pic:spPr>
                </pic:pic>
              </a:graphicData>
            </a:graphic>
          </wp:anchor>
        </w:drawing>
      </w:r>
    </w:p>
    <w:p>
      <w:pPr>
        <w:spacing w:after="0" w:line="130"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Ramat Gavriel Industrial Park</w:t>
      </w:r>
    </w:p>
    <w:p>
      <w:pPr>
        <w:spacing w:after="0" w:line="23"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P.O. Box 619</w:t>
      </w:r>
    </w:p>
    <w:p>
      <w:pPr>
        <w:spacing w:after="0" w:line="6"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Migdal Haemek, Israel, 23105</w:t>
      </w:r>
    </w:p>
    <w:p>
      <w:pPr>
        <w:spacing w:after="0" w:line="6"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972-4-650-6611</w:t>
      </w:r>
    </w:p>
    <w:p>
      <w:pPr>
        <w:spacing w:after="0" w:line="80"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1"/>
          <w:szCs w:val="11"/>
          <w:i w:val="1"/>
          <w:iCs w:val="1"/>
          <w:color w:val="auto"/>
        </w:rPr>
        <w:t>(Address, including zip code, and telephone number, including area code, of registrant's principal executive offices)</w:t>
      </w:r>
    </w:p>
    <w:p>
      <w:pPr>
        <w:spacing w:after="0" w:line="84"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USA</w:t>
      </w:r>
    </w:p>
    <w:p>
      <w:pPr>
        <w:spacing w:after="0" w:line="23"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2350 Mission College Blvd., Suite 500</w:t>
      </w:r>
    </w:p>
    <w:p>
      <w:pPr>
        <w:spacing w:after="0" w:line="6"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Santa Clara, California 95054</w:t>
      </w:r>
    </w:p>
    <w:p>
      <w:pPr>
        <w:spacing w:after="0" w:line="6"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Tel: 408-327-8900</w:t>
      </w:r>
    </w:p>
    <w:p>
      <w:pPr>
        <w:spacing w:after="0" w:line="6"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Facsimile: 408-969-9831</w:t>
      </w:r>
    </w:p>
    <w:p>
      <w:pPr>
        <w:spacing w:after="0" w:line="80" w:lineRule="exact"/>
        <w:rPr>
          <w:sz w:val="24"/>
          <w:szCs w:val="24"/>
          <w:color w:val="auto"/>
        </w:rPr>
      </w:pPr>
    </w:p>
    <w:p>
      <w:pPr>
        <w:jc w:val="center"/>
        <w:ind w:right="3899"/>
        <w:spacing w:after="0"/>
        <w:rPr>
          <w:sz w:val="20"/>
          <w:szCs w:val="20"/>
          <w:color w:val="auto"/>
        </w:rPr>
      </w:pPr>
      <w:r>
        <w:rPr>
          <w:rFonts w:ascii="Times New Roman" w:cs="Times New Roman" w:eastAsia="Times New Roman" w:hAnsi="Times New Roman"/>
          <w:sz w:val="11"/>
          <w:szCs w:val="11"/>
          <w:i w:val="1"/>
          <w:iCs w:val="1"/>
          <w:color w:val="auto"/>
        </w:rPr>
        <w:t>(Name, address, including zip code, and telephone number, including area code, of agent for service)</w:t>
      </w:r>
    </w:p>
    <w:p>
      <w:pPr>
        <w:spacing w:after="0" w:line="8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Copies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6350" cy="66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9" w:lineRule="exact"/>
        <w:rPr>
          <w:sz w:val="24"/>
          <w:szCs w:val="24"/>
          <w:color w:val="auto"/>
        </w:rPr>
      </w:pPr>
    </w:p>
    <w:tbl>
      <w:tblPr>
        <w:tblLayout w:type="fixed"/>
        <w:tblInd w:w="180" w:type="dxa"/>
        <w:tblCellMar>
          <w:top w:w="0" w:type="dxa"/>
          <w:left w:w="0" w:type="dxa"/>
          <w:bottom w:w="0" w:type="dxa"/>
          <w:right w:w="0" w:type="dxa"/>
        </w:tblCellMar>
      </w:tblPr>
      <w:tr>
        <w:trPr>
          <w:trHeight w:val="156"/>
        </w:trPr>
        <w:tc>
          <w:tcPr>
            <w:tcW w:w="1460" w:type="dxa"/>
            <w:vAlign w:val="bottom"/>
          </w:tcPr>
          <w:p>
            <w:pPr>
              <w:spacing w:after="0"/>
              <w:rPr>
                <w:sz w:val="20"/>
                <w:szCs w:val="20"/>
                <w:color w:val="auto"/>
              </w:rPr>
            </w:pPr>
            <w:r>
              <w:rPr>
                <w:rFonts w:ascii="Times New Roman" w:cs="Times New Roman" w:eastAsia="Times New Roman" w:hAnsi="Times New Roman"/>
                <w:sz w:val="12"/>
                <w:szCs w:val="12"/>
                <w:color w:val="auto"/>
              </w:rPr>
              <w:t>David H. Schapiro, Esq.</w:t>
            </w:r>
          </w:p>
        </w:tc>
        <w:tc>
          <w:tcPr>
            <w:tcW w:w="156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Sheldon Krause, Esq.</w:t>
            </w:r>
          </w:p>
        </w:tc>
        <w:tc>
          <w:tcPr>
            <w:tcW w:w="16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David J. Goldschmidt, Esq.</w:t>
            </w:r>
          </w:p>
        </w:tc>
        <w:tc>
          <w:tcPr>
            <w:tcW w:w="13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Dan Shamgar, Esq.</w:t>
            </w:r>
          </w:p>
        </w:tc>
      </w:tr>
      <w:tr>
        <w:trPr>
          <w:trHeight w:val="156"/>
        </w:trPr>
        <w:tc>
          <w:tcPr>
            <w:tcW w:w="146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rPr>
              <w:t>Yigal Arnon &amp; Co.</w:t>
            </w:r>
          </w:p>
        </w:tc>
        <w:tc>
          <w:tcPr>
            <w:tcW w:w="15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Ehrenreich, Eilenberg &amp;</w:t>
            </w:r>
          </w:p>
        </w:tc>
        <w:tc>
          <w:tcPr>
            <w:tcW w:w="160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Skadden, Arps, Slate,</w:t>
            </w:r>
          </w:p>
        </w:tc>
        <w:tc>
          <w:tcPr>
            <w:tcW w:w="138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David S. Glatt, Esq.</w:t>
            </w:r>
          </w:p>
        </w:tc>
      </w:tr>
      <w:tr>
        <w:trPr>
          <w:trHeight w:val="156"/>
        </w:trPr>
        <w:tc>
          <w:tcPr>
            <w:tcW w:w="146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rPr>
              <w:t>One Azrieli Center</w:t>
            </w:r>
          </w:p>
        </w:tc>
        <w:tc>
          <w:tcPr>
            <w:tcW w:w="156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Krause LLP</w:t>
            </w:r>
          </w:p>
        </w:tc>
        <w:tc>
          <w:tcPr>
            <w:tcW w:w="160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Meagher &amp; Flom LLP</w:t>
            </w:r>
          </w:p>
        </w:tc>
        <w:tc>
          <w:tcPr>
            <w:tcW w:w="138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Meitar Liquornik Geva</w:t>
            </w:r>
          </w:p>
        </w:tc>
      </w:tr>
      <w:tr>
        <w:trPr>
          <w:trHeight w:val="157"/>
        </w:trPr>
        <w:tc>
          <w:tcPr>
            <w:tcW w:w="146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rPr>
              <w:t>Tel Aviv, 67021 Israel</w:t>
            </w:r>
          </w:p>
        </w:tc>
        <w:tc>
          <w:tcPr>
            <w:tcW w:w="1560" w:type="dxa"/>
            <w:vAlign w:val="bottom"/>
          </w:tcPr>
          <w:p>
            <w:pPr>
              <w:jc w:val="center"/>
              <w:ind w:left="98"/>
              <w:spacing w:after="0" w:line="157" w:lineRule="exact"/>
              <w:rPr>
                <w:sz w:val="20"/>
                <w:szCs w:val="20"/>
                <w:color w:val="auto"/>
              </w:rPr>
            </w:pPr>
            <w:r>
              <w:rPr>
                <w:rFonts w:ascii="Times New Roman" w:cs="Times New Roman" w:eastAsia="Times New Roman" w:hAnsi="Times New Roman"/>
                <w:sz w:val="11"/>
                <w:szCs w:val="11"/>
                <w:color w:val="auto"/>
              </w:rPr>
              <w:t>11 East 44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1"/>
                <w:szCs w:val="11"/>
                <w:color w:val="auto"/>
              </w:rPr>
              <w:t xml:space="preserve"> St.</w:t>
            </w:r>
          </w:p>
        </w:tc>
        <w:tc>
          <w:tcPr>
            <w:tcW w:w="160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Four Times Square</w:t>
            </w:r>
          </w:p>
        </w:tc>
        <w:tc>
          <w:tcPr>
            <w:tcW w:w="138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&amp;</w:t>
            </w:r>
          </w:p>
        </w:tc>
      </w:tr>
      <w:tr>
        <w:trPr>
          <w:trHeight w:val="156"/>
        </w:trPr>
        <w:tc>
          <w:tcPr>
            <w:tcW w:w="1460" w:type="dxa"/>
            <w:vAlign w:val="bottom"/>
          </w:tcPr>
          <w:p>
            <w:pPr>
              <w:jc w:val="center"/>
              <w:ind w:right="38"/>
              <w:spacing w:after="0"/>
              <w:rPr>
                <w:sz w:val="20"/>
                <w:szCs w:val="20"/>
                <w:color w:val="auto"/>
              </w:rPr>
            </w:pPr>
            <w:r>
              <w:rPr>
                <w:rFonts w:ascii="Times New Roman" w:cs="Times New Roman" w:eastAsia="Times New Roman" w:hAnsi="Times New Roman"/>
                <w:sz w:val="12"/>
                <w:szCs w:val="12"/>
                <w:color w:val="auto"/>
              </w:rPr>
              <w:t>Tel: 972-3-608-7777</w:t>
            </w:r>
          </w:p>
        </w:tc>
        <w:tc>
          <w:tcPr>
            <w:tcW w:w="156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New York, NY 10017</w:t>
            </w:r>
          </w:p>
        </w:tc>
        <w:tc>
          <w:tcPr>
            <w:tcW w:w="160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New York, NY 10036</w:t>
            </w:r>
          </w:p>
        </w:tc>
        <w:tc>
          <w:tcPr>
            <w:tcW w:w="138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Leshem Brandwein</w:t>
            </w:r>
          </w:p>
        </w:tc>
      </w:tr>
      <w:tr>
        <w:trPr>
          <w:trHeight w:val="156"/>
        </w:trPr>
        <w:tc>
          <w:tcPr>
            <w:tcW w:w="146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rPr>
              <w:t>Fax: 972-3-608-7714</w:t>
            </w:r>
          </w:p>
        </w:tc>
        <w:tc>
          <w:tcPr>
            <w:tcW w:w="156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Tel: 212-986-9700</w:t>
            </w:r>
          </w:p>
        </w:tc>
        <w:tc>
          <w:tcPr>
            <w:tcW w:w="160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Tel: 212-735-3000</w:t>
            </w:r>
          </w:p>
        </w:tc>
        <w:tc>
          <w:tcPr>
            <w:tcW w:w="138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16 Abba Hillel Silver</w:t>
            </w:r>
          </w:p>
        </w:tc>
      </w:tr>
      <w:tr>
        <w:trPr>
          <w:trHeight w:val="156"/>
        </w:trPr>
        <w:tc>
          <w:tcPr>
            <w:tcW w:w="1460" w:type="dxa"/>
            <w:vAlign w:val="bottom"/>
          </w:tcPr>
          <w:p>
            <w:pPr>
              <w:spacing w:after="0"/>
              <w:rPr>
                <w:sz w:val="13"/>
                <w:szCs w:val="13"/>
                <w:color w:val="auto"/>
              </w:rPr>
            </w:pPr>
          </w:p>
        </w:tc>
        <w:tc>
          <w:tcPr>
            <w:tcW w:w="156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Fax: 212-986-2399</w:t>
            </w:r>
          </w:p>
        </w:tc>
        <w:tc>
          <w:tcPr>
            <w:tcW w:w="160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Fax: 212-735-2000</w:t>
            </w:r>
          </w:p>
        </w:tc>
        <w:tc>
          <w:tcPr>
            <w:tcW w:w="138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Road</w:t>
            </w:r>
          </w:p>
        </w:tc>
      </w:tr>
      <w:tr>
        <w:trPr>
          <w:trHeight w:val="156"/>
        </w:trPr>
        <w:tc>
          <w:tcPr>
            <w:tcW w:w="1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8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Ramat-Gan, Israel 52506</w:t>
            </w:r>
          </w:p>
        </w:tc>
      </w:tr>
      <w:tr>
        <w:trPr>
          <w:trHeight w:val="163"/>
        </w:trPr>
        <w:tc>
          <w:tcPr>
            <w:tcW w:w="1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Tel: 972-3-610-3100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-895985</wp:posOffset>
            </wp:positionV>
            <wp:extent cx="392684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26840" cy="6350"/>
                    </a:xfrm>
                    <a:prstGeom prst="rect">
                      <a:avLst/>
                    </a:prstGeom>
                    <a:noFill/>
                  </pic:spPr>
                </pic:pic>
              </a:graphicData>
            </a:graphic>
          </wp:anchor>
        </w:drawing>
        <w:drawing>
          <wp:anchor simplePos="0" relativeHeight="251657728" behindDoc="1" locked="0" layoutInCell="0" allowOverlap="1">
            <wp:simplePos x="0" y="0"/>
            <wp:positionH relativeFrom="column">
              <wp:posOffset>993775</wp:posOffset>
            </wp:positionH>
            <wp:positionV relativeFrom="paragraph">
              <wp:posOffset>-440055</wp:posOffset>
            </wp:positionV>
            <wp:extent cx="13335"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2038350</wp:posOffset>
            </wp:positionH>
            <wp:positionV relativeFrom="paragraph">
              <wp:posOffset>-440055</wp:posOffset>
            </wp:positionV>
            <wp:extent cx="1333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-440055</wp:posOffset>
            </wp:positionV>
            <wp:extent cx="1333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22225</wp:posOffset>
            </wp:positionV>
            <wp:extent cx="6610350" cy="132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0350" cy="132080"/>
                    </a:xfrm>
                    <a:prstGeom prst="rect">
                      <a:avLst/>
                    </a:prstGeom>
                    <a:noFill/>
                  </pic:spPr>
                </pic:pic>
              </a:graphicData>
            </a:graphic>
          </wp:anchor>
        </w:drawing>
      </w:r>
    </w:p>
    <w:p>
      <w:pPr>
        <w:spacing w:after="0" w:line="296" w:lineRule="exact"/>
        <w:rPr>
          <w:sz w:val="24"/>
          <w:szCs w:val="24"/>
          <w:color w:val="auto"/>
        </w:rPr>
      </w:pPr>
    </w:p>
    <w:p>
      <w:pPr>
        <w:ind w:right="3919" w:firstLine="278"/>
        <w:spacing w:after="0" w:line="297" w:lineRule="auto"/>
        <w:rPr>
          <w:sz w:val="20"/>
          <w:szCs w:val="20"/>
          <w:color w:val="auto"/>
        </w:rPr>
      </w:pPr>
      <w:r>
        <w:rPr>
          <w:rFonts w:ascii="Times New Roman" w:cs="Times New Roman" w:eastAsia="Times New Roman" w:hAnsi="Times New Roman"/>
          <w:sz w:val="12"/>
          <w:szCs w:val="12"/>
          <w:color w:val="auto"/>
        </w:rPr>
        <w:t>Approximate date of commencement of proposed sale to the public: As soon as practicable after the effective date of this registration statement.</w:t>
      </w:r>
    </w:p>
    <w:p>
      <w:pPr>
        <w:spacing w:after="0" w:line="33" w:lineRule="exact"/>
        <w:rPr>
          <w:sz w:val="24"/>
          <w:szCs w:val="24"/>
          <w:color w:val="auto"/>
        </w:rPr>
      </w:pPr>
    </w:p>
    <w:p>
      <w:pPr>
        <w:ind w:right="3979" w:firstLine="278"/>
        <w:spacing w:after="0" w:line="297" w:lineRule="auto"/>
        <w:rPr>
          <w:sz w:val="20"/>
          <w:szCs w:val="20"/>
          <w:color w:val="auto"/>
        </w:rPr>
      </w:pPr>
      <w:r>
        <w:rPr>
          <w:rFonts w:ascii="Times New Roman" w:cs="Times New Roman" w:eastAsia="Times New Roman" w:hAnsi="Times New Roman"/>
          <w:sz w:val="12"/>
          <w:szCs w:val="12"/>
          <w:color w:val="auto"/>
        </w:rPr>
        <w:t xml:space="preserve">If the only securities being registered on this form are being offered pursuant to dividend or interest reinvestment plans, please check the following box: </w:t>
      </w:r>
      <w:r>
        <w:rPr>
          <w:sz w:val="1"/>
          <w:szCs w:val="1"/>
          <w:color w:val="auto"/>
        </w:rPr>
        <w:drawing>
          <wp:inline distT="0" distB="0" distL="0" distR="0">
            <wp:extent cx="66040" cy="660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40" cy="66040"/>
                    </a:xfrm>
                    <a:prstGeom prst="rect">
                      <a:avLst/>
                    </a:prstGeom>
                    <a:noFill/>
                    <a:ln>
                      <a:noFill/>
                    </a:ln>
                  </pic:spPr>
                </pic:pic>
              </a:graphicData>
            </a:graphic>
          </wp:inline>
        </w:drawing>
      </w:r>
    </w:p>
    <w:p>
      <w:pPr>
        <w:spacing w:after="0" w:line="33" w:lineRule="exact"/>
        <w:rPr>
          <w:sz w:val="24"/>
          <w:szCs w:val="24"/>
          <w:color w:val="auto"/>
        </w:rPr>
      </w:pPr>
    </w:p>
    <w:p>
      <w:pPr>
        <w:ind w:right="3999" w:firstLine="278"/>
        <w:spacing w:after="0" w:line="297" w:lineRule="auto"/>
        <w:rPr>
          <w:sz w:val="20"/>
          <w:szCs w:val="20"/>
          <w:color w:val="auto"/>
        </w:rPr>
      </w:pPr>
      <w:r>
        <w:rPr>
          <w:rFonts w:ascii="Times New Roman" w:cs="Times New Roman" w:eastAsia="Times New Roman" w:hAnsi="Times New Roman"/>
          <w:sz w:val="12"/>
          <w:szCs w:val="12"/>
          <w:color w:val="auto"/>
        </w:rPr>
        <w:t xml:space="preserve">If any of the securities being registered on this form are to be offered on a delayed or continuous basis pursuant to Rule 415 under the Securities Act of 1933, please check the following box: </w:t>
      </w:r>
      <w:r>
        <w:rPr>
          <w:sz w:val="1"/>
          <w:szCs w:val="1"/>
          <w:color w:val="auto"/>
        </w:rPr>
        <w:drawing>
          <wp:inline distT="0" distB="0" distL="0" distR="0">
            <wp:extent cx="66040" cy="660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40" cy="66040"/>
                    </a:xfrm>
                    <a:prstGeom prst="rect">
                      <a:avLst/>
                    </a:prstGeom>
                    <a:noFill/>
                    <a:ln>
                      <a:noFill/>
                    </a:ln>
                  </pic:spPr>
                </pic:pic>
              </a:graphicData>
            </a:graphic>
          </wp:inline>
        </w:drawing>
      </w:r>
    </w:p>
    <w:p>
      <w:pPr>
        <w:spacing w:after="0" w:line="33" w:lineRule="exact"/>
        <w:rPr>
          <w:sz w:val="24"/>
          <w:szCs w:val="24"/>
          <w:color w:val="auto"/>
        </w:rPr>
      </w:pPr>
    </w:p>
    <w:p>
      <w:pPr>
        <w:ind w:right="4099" w:firstLine="278"/>
        <w:spacing w:after="0" w:line="275" w:lineRule="auto"/>
        <w:rPr>
          <w:sz w:val="20"/>
          <w:szCs w:val="20"/>
          <w:color w:val="auto"/>
        </w:rPr>
      </w:pPr>
      <w:r>
        <w:rPr>
          <w:rFonts w:ascii="Times New Roman" w:cs="Times New Roman" w:eastAsia="Times New Roman" w:hAnsi="Times New Roman"/>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sz w:val="1"/>
          <w:szCs w:val="1"/>
          <w:color w:val="auto"/>
        </w:rPr>
        <w:drawing>
          <wp:inline distT="0" distB="0" distL="0" distR="0">
            <wp:extent cx="66040" cy="660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40" cy="66040"/>
                    </a:xfrm>
                    <a:prstGeom prst="rect">
                      <a:avLst/>
                    </a:prstGeom>
                    <a:noFill/>
                    <a:ln>
                      <a:noFill/>
                    </a:ln>
                  </pic:spPr>
                </pic:pic>
              </a:graphicData>
            </a:graphic>
          </wp:inline>
        </w:drawing>
      </w:r>
    </w:p>
    <w:p>
      <w:pPr>
        <w:spacing w:after="0" w:line="46" w:lineRule="exact"/>
        <w:rPr>
          <w:sz w:val="24"/>
          <w:szCs w:val="24"/>
          <w:color w:val="auto"/>
        </w:rPr>
      </w:pPr>
    </w:p>
    <w:p>
      <w:pPr>
        <w:ind w:right="4099" w:firstLine="278"/>
        <w:spacing w:after="0" w:line="287" w:lineRule="auto"/>
        <w:rPr>
          <w:sz w:val="20"/>
          <w:szCs w:val="20"/>
          <w:color w:val="auto"/>
        </w:rPr>
      </w:pPr>
      <w:r>
        <w:rPr>
          <w:rFonts w:ascii="Times New Roman" w:cs="Times New Roman" w:eastAsia="Times New Roman" w:hAnsi="Times New Roman"/>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sz w:val="1"/>
          <w:szCs w:val="1"/>
          <w:color w:val="auto"/>
        </w:rPr>
        <w:drawing>
          <wp:inline distT="0" distB="0" distL="0" distR="0">
            <wp:extent cx="66040" cy="660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40" cy="66040"/>
                    </a:xfrm>
                    <a:prstGeom prst="rect">
                      <a:avLst/>
                    </a:prstGeom>
                    <a:noFill/>
                    <a:ln>
                      <a:noFill/>
                    </a:ln>
                  </pic:spPr>
                </pic:pic>
              </a:graphicData>
            </a:graphic>
          </wp:inline>
        </w:drawing>
      </w:r>
    </w:p>
    <w:p>
      <w:pPr>
        <w:spacing w:after="0" w:line="190"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2"/>
          <w:szCs w:val="12"/>
          <w:color w:val="auto"/>
        </w:rPr>
        <w:t xml:space="preserve">If delivery of the prospectus is expected to be made pursuant to Rule 434, please check the following box: </w:t>
      </w:r>
      <w:r>
        <w:rPr>
          <w:sz w:val="1"/>
          <w:szCs w:val="1"/>
          <w:color w:val="auto"/>
        </w:rPr>
        <w:drawing>
          <wp:inline distT="0" distB="0" distL="0" distR="0">
            <wp:extent cx="66040" cy="660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40" cy="66040"/>
                    </a:xfrm>
                    <a:prstGeom prst="rect">
                      <a:avLst/>
                    </a:prstGeom>
                    <a:noFill/>
                    <a:ln>
                      <a:noFill/>
                    </a:ln>
                  </pic:spPr>
                </pic:pic>
              </a:graphicData>
            </a:graphic>
          </wp:inline>
        </w:drawing>
      </w:r>
    </w:p>
    <w:p>
      <w:pPr>
        <w:spacing w:after="0" w:line="93" w:lineRule="exact"/>
        <w:rPr>
          <w:sz w:val="24"/>
          <w:szCs w:val="24"/>
          <w:color w:val="auto"/>
        </w:rPr>
      </w:pPr>
    </w:p>
    <w:p>
      <w:pPr>
        <w:ind w:right="3919" w:firstLine="278"/>
        <w:spacing w:after="0" w:line="263"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278130</wp:posOffset>
            </wp:positionV>
            <wp:extent cx="506222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3919855" cy="73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19855" cy="73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3559"/>
        <w:spacing w:after="0"/>
        <w:tabs>
          <w:tab w:leader="none" w:pos="120" w:val="left"/>
        </w:tabs>
        <w:rPr>
          <w:sz w:val="20"/>
          <w:szCs w:val="20"/>
          <w:color w:val="auto"/>
        </w:rPr>
      </w:pPr>
      <w:r>
        <w:rPr>
          <w:rFonts w:ascii="Times New Roman" w:cs="Times New Roman" w:eastAsia="Times New Roman" w:hAnsi="Times New Roman"/>
          <w:sz w:val="14"/>
          <w:szCs w:val="14"/>
          <w:b w:val="1"/>
          <w:bCs w:val="1"/>
          <w:color w:val="FF0000"/>
        </w:rPr>
        <w:t>Subject to Completion, Dated December [</w:t>
        <w:tab/>
        <w:t>], 2003</w:t>
      </w:r>
    </w:p>
    <w:p>
      <w:pPr>
        <w:spacing w:after="0" w:line="89" w:lineRule="exact"/>
        <w:rPr>
          <w:sz w:val="24"/>
          <w:szCs w:val="24"/>
          <w:color w:val="auto"/>
        </w:rPr>
      </w:pPr>
    </w:p>
    <w:p>
      <w:pPr>
        <w:ind w:right="3639"/>
        <w:spacing w:after="0" w:line="259" w:lineRule="auto"/>
        <w:rPr>
          <w:sz w:val="20"/>
          <w:szCs w:val="20"/>
          <w:color w:val="auto"/>
        </w:rPr>
      </w:pPr>
      <w:r>
        <w:rPr>
          <w:rFonts w:ascii="Times New Roman" w:cs="Times New Roman" w:eastAsia="Times New Roman" w:hAnsi="Times New Roman"/>
          <w:sz w:val="14"/>
          <w:szCs w:val="14"/>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32"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9"/>
          <w:szCs w:val="19"/>
          <w:b w:val="1"/>
          <w:bCs w:val="1"/>
          <w:color w:val="auto"/>
        </w:rPr>
        <w:t>12,000,000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1397000</wp:posOffset>
            </wp:positionH>
            <wp:positionV relativeFrom="paragraph">
              <wp:posOffset>120015</wp:posOffset>
            </wp:positionV>
            <wp:extent cx="1335405" cy="436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5405" cy="4362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7"/>
          <w:szCs w:val="17"/>
          <w:b w:val="1"/>
          <w:bCs w:val="1"/>
          <w:color w:val="auto"/>
        </w:rPr>
        <w:t>Ordinary Shares</w:t>
      </w:r>
    </w:p>
    <w:p>
      <w:pPr>
        <w:spacing w:after="0" w:line="75" w:lineRule="exact"/>
        <w:rPr>
          <w:sz w:val="24"/>
          <w:szCs w:val="24"/>
          <w:color w:val="auto"/>
        </w:rPr>
      </w:pPr>
    </w:p>
    <w:p>
      <w:pPr>
        <w:ind w:left="3180" w:hanging="367"/>
        <w:spacing w:after="0"/>
        <w:tabs>
          <w:tab w:leader="none" w:pos="318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4131310" cy="990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31310" cy="99060"/>
                    </a:xfrm>
                    <a:prstGeom prst="rect">
                      <a:avLst/>
                    </a:prstGeom>
                    <a:noFill/>
                  </pic:spPr>
                </pic:pic>
              </a:graphicData>
            </a:graphic>
          </wp:anchor>
        </w:drawing>
      </w:r>
    </w:p>
    <w:p>
      <w:pPr>
        <w:spacing w:after="0" w:line="305" w:lineRule="exact"/>
        <w:rPr>
          <w:sz w:val="24"/>
          <w:szCs w:val="24"/>
          <w:color w:val="auto"/>
        </w:rPr>
      </w:pPr>
    </w:p>
    <w:p>
      <w:pPr>
        <w:jc w:val="both"/>
        <w:ind w:right="3779"/>
        <w:spacing w:after="0" w:line="275" w:lineRule="auto"/>
        <w:rPr>
          <w:sz w:val="20"/>
          <w:szCs w:val="20"/>
          <w:color w:val="auto"/>
        </w:rPr>
      </w:pPr>
      <w:r>
        <w:rPr>
          <w:rFonts w:ascii="Times New Roman" w:cs="Times New Roman" w:eastAsia="Times New Roman" w:hAnsi="Times New Roman"/>
          <w:sz w:val="13"/>
          <w:szCs w:val="13"/>
          <w:color w:val="auto"/>
        </w:rPr>
        <w:t>Tower Semiconductor Ltd. is offering 12,000,000 ordinary shares. The ordinary shares are listed on both the Nasdaq National Market and on the Tel Aviv Stock Exchange in Israel under the symbol "TSEM." On December [ ], 2003, the last reported sale prices of the ordinary shares were $[ ] per share on the Nasdaq National Market and NIS</w:t>
      </w:r>
    </w:p>
    <w:p>
      <w:pPr>
        <w:spacing w:after="0" w:line="1" w:lineRule="exact"/>
        <w:rPr>
          <w:sz w:val="24"/>
          <w:szCs w:val="24"/>
          <w:color w:val="auto"/>
        </w:rPr>
      </w:pPr>
    </w:p>
    <w:p>
      <w:pPr>
        <w:ind w:left="320" w:hanging="317"/>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per share on the Tel Aviv Stock Exchange.</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FF0000"/>
        </w:rPr>
        <w:t>Investing in the ordinary shares involves risks. See "Risk Factors" beginning on page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3556635" cy="71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6635" cy="71120"/>
                    </a:xfrm>
                    <a:prstGeom prst="rect">
                      <a:avLst/>
                    </a:prstGeom>
                    <a:noFill/>
                  </pic:spPr>
                </pic:pic>
              </a:graphicData>
            </a:graphic>
          </wp:anchor>
        </w:drawing>
      </w:r>
    </w:p>
    <w:p>
      <w:pPr>
        <w:sectPr>
          <w:pgSz w:w="11900" w:h="16838" w:orient="portrait"/>
          <w:cols w:equalWidth="0" w:num="1">
            <w:col w:w="10239"/>
          </w:cols>
          <w:pgMar w:left="220" w:top="295" w:right="1440" w:bottom="0" w:gutter="0" w:footer="0" w:header="0"/>
        </w:sectPr>
      </w:pPr>
    </w:p>
    <w:bookmarkStart w:id="1" w:name="page2"/>
    <w:bookmarkEnd w:id="1"/>
    <w:tbl>
      <w:tblPr>
        <w:tblLayout w:type="fixed"/>
        <w:tblInd w:w="660" w:type="dxa"/>
        <w:tblCellMar>
          <w:top w:w="0" w:type="dxa"/>
          <w:left w:w="0" w:type="dxa"/>
          <w:bottom w:w="0" w:type="dxa"/>
          <w:right w:w="0" w:type="dxa"/>
        </w:tblCellMar>
      </w:tblPr>
      <w:tr>
        <w:trPr>
          <w:trHeight w:val="146"/>
        </w:trPr>
        <w:tc>
          <w:tcPr>
            <w:tcW w:w="39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260" w:type="dxa"/>
            <w:vAlign w:val="bottom"/>
          </w:tcPr>
          <w:p>
            <w:pPr>
              <w:spacing w:after="0"/>
              <w:rPr>
                <w:sz w:val="12"/>
                <w:szCs w:val="12"/>
                <w:color w:val="auto"/>
              </w:rPr>
            </w:pPr>
          </w:p>
        </w:tc>
        <w:tc>
          <w:tcPr>
            <w:tcW w:w="52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Price to the public</w:t>
            </w:r>
          </w:p>
        </w:tc>
        <w:tc>
          <w:tcPr>
            <w:tcW w:w="5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900" w:type="dxa"/>
            <w:vAlign w:val="bottom"/>
            <w:vMerge w:val="continue"/>
          </w:tcPr>
          <w:p>
            <w:pPr>
              <w:spacing w:after="0"/>
              <w:rPr>
                <w:sz w:val="14"/>
                <w:szCs w:val="14"/>
                <w:color w:val="auto"/>
              </w:rPr>
            </w:pPr>
          </w:p>
        </w:tc>
        <w:tc>
          <w:tcPr>
            <w:tcW w:w="52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continue"/>
          </w:tcPr>
          <w:p>
            <w:pPr>
              <w:spacing w:after="0"/>
              <w:rPr>
                <w:sz w:val="14"/>
                <w:szCs w:val="14"/>
                <w:color w:val="auto"/>
              </w:rPr>
            </w:pPr>
          </w:p>
        </w:tc>
        <w:tc>
          <w:tcPr>
            <w:tcW w:w="520" w:type="dxa"/>
            <w:vAlign w:val="bottom"/>
          </w:tcPr>
          <w:p>
            <w:pPr>
              <w:jc w:val="right"/>
              <w:ind w:right="31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w:t>
            </w:r>
          </w:p>
        </w:tc>
        <w:tc>
          <w:tcPr>
            <w:tcW w:w="52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31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Proceeds to Tower (before expenses)</w:t>
            </w:r>
          </w:p>
        </w:tc>
        <w:tc>
          <w:tcPr>
            <w:tcW w:w="52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31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-297180</wp:posOffset>
            </wp:positionV>
            <wp:extent cx="13335" cy="6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-297180</wp:posOffset>
            </wp:positionV>
            <wp:extent cx="1333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-171450</wp:posOffset>
            </wp:positionV>
            <wp:extent cx="1333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-171450</wp:posOffset>
            </wp:positionV>
            <wp:extent cx="1333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-45720</wp:posOffset>
            </wp:positionV>
            <wp:extent cx="13335"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-45720</wp:posOffset>
            </wp:positionV>
            <wp:extent cx="13335"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418465</wp:posOffset>
            </wp:positionH>
            <wp:positionV relativeFrom="paragraph">
              <wp:posOffset>19685</wp:posOffset>
            </wp:positionV>
            <wp:extent cx="6350" cy="66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4" w:lineRule="exact"/>
        <w:rPr>
          <w:sz w:val="20"/>
          <w:szCs w:val="20"/>
          <w:color w:val="auto"/>
        </w:rPr>
      </w:pPr>
    </w:p>
    <w:p>
      <w:pPr>
        <w:ind w:right="3819"/>
        <w:spacing w:after="0" w:line="263" w:lineRule="auto"/>
        <w:rPr>
          <w:sz w:val="20"/>
          <w:szCs w:val="20"/>
          <w:color w:val="auto"/>
        </w:rPr>
      </w:pPr>
      <w:r>
        <w:rPr>
          <w:rFonts w:ascii="Times New Roman" w:cs="Times New Roman" w:eastAsia="Times New Roman" w:hAnsi="Times New Roman"/>
          <w:sz w:val="14"/>
          <w:szCs w:val="14"/>
          <w:color w:val="auto"/>
        </w:rPr>
        <w:t>We have granted an over-allotment option to the underwriters. Under this option, the underwriters may elect to purchase a maximum of 1,800,000 additional shares from us within 30-days following the date of this prospectus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4131310" cy="99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31310" cy="99060"/>
                    </a:xfrm>
                    <a:prstGeom prst="rect">
                      <a:avLst/>
                    </a:prstGeom>
                    <a:noFill/>
                  </pic:spPr>
                </pic:pic>
              </a:graphicData>
            </a:graphic>
          </wp:anchor>
        </w:drawing>
      </w:r>
    </w:p>
    <w:p>
      <w:pPr>
        <w:spacing w:after="0" w:line="271" w:lineRule="exact"/>
        <w:rPr>
          <w:sz w:val="20"/>
          <w:szCs w:val="20"/>
          <w:color w:val="auto"/>
        </w:rPr>
      </w:pPr>
    </w:p>
    <w:p>
      <w:pPr>
        <w:ind w:right="3999"/>
        <w:spacing w:after="0" w:line="265" w:lineRule="auto"/>
        <w:rPr>
          <w:sz w:val="20"/>
          <w:szCs w:val="20"/>
          <w:color w:val="auto"/>
        </w:rPr>
      </w:pPr>
      <w:r>
        <w:rPr>
          <w:rFonts w:ascii="Times New Roman" w:cs="Times New Roman" w:eastAsia="Times New Roman" w:hAnsi="Times New Roman"/>
          <w:sz w:val="14"/>
          <w:szCs w:val="14"/>
          <w:b w:val="1"/>
          <w:bCs w:val="1"/>
          <w:color w:val="FF0000"/>
        </w:rPr>
        <w:t>None of the Securities and Exchange Commission, the Israel Securities Authority or any state securities commission has approved or disapproved of these securities or determined if this prospectus is truthful or complete. Any representation to the contrary is a criminal offense.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CIBC World Markets</w:t>
      </w:r>
    </w:p>
    <w:p>
      <w:pPr>
        <w:spacing w:after="0" w:line="6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5"/>
          <w:szCs w:val="25"/>
          <w:b w:val="1"/>
          <w:bCs w:val="1"/>
          <w:color w:val="auto"/>
        </w:rPr>
        <w:t>U.S. Bancorp Piper Jaffray</w:t>
      </w:r>
    </w:p>
    <w:p>
      <w:pPr>
        <w:spacing w:after="0" w:line="66"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25"/>
          <w:szCs w:val="25"/>
          <w:b w:val="1"/>
          <w:bCs w:val="1"/>
          <w:color w:val="auto"/>
        </w:rPr>
        <w:t>C.E. Unterberg, Towbin</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80" w:type="dxa"/>
            <w:vAlign w:val="bottom"/>
            <w:gridSpan w:val="2"/>
          </w:tcPr>
          <w:p>
            <w:pPr>
              <w:ind w:left="2020"/>
              <w:spacing w:after="0"/>
              <w:rPr>
                <w:sz w:val="20"/>
                <w:szCs w:val="20"/>
                <w:color w:val="auto"/>
              </w:rPr>
            </w:pPr>
            <w:r>
              <w:rPr>
                <w:rFonts w:ascii="Times New Roman" w:cs="Times New Roman" w:eastAsia="Times New Roman" w:hAnsi="Times New Roman"/>
                <w:sz w:val="14"/>
                <w:szCs w:val="14"/>
                <w:color w:val="auto"/>
              </w:rPr>
              <w:t>The date of this prospectus is</w:t>
            </w:r>
          </w:p>
        </w:tc>
        <w:tc>
          <w:tcPr>
            <w:tcW w:w="3860" w:type="dxa"/>
            <w:vAlign w:val="bottom"/>
          </w:tcPr>
          <w:p>
            <w:pPr>
              <w:jc w:val="right"/>
              <w:ind w:right="3231"/>
              <w:spacing w:after="0"/>
              <w:rPr>
                <w:sz w:val="20"/>
                <w:szCs w:val="20"/>
                <w:color w:val="auto"/>
              </w:rPr>
            </w:pPr>
            <w:r>
              <w:rPr>
                <w:rFonts w:ascii="Times New Roman" w:cs="Times New Roman" w:eastAsia="Times New Roman" w:hAnsi="Times New Roman"/>
                <w:sz w:val="14"/>
                <w:szCs w:val="14"/>
                <w:color w:val="auto"/>
              </w:rPr>
              <w:t>, 2003</w:t>
            </w:r>
          </w:p>
        </w:tc>
      </w:tr>
      <w:tr>
        <w:trPr>
          <w:trHeight w:val="354"/>
        </w:trPr>
        <w:tc>
          <w:tcPr>
            <w:tcW w:w="21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r>
        <w:trPr>
          <w:trHeight w:val="354"/>
        </w:trPr>
        <w:tc>
          <w:tcPr>
            <w:tcW w:w="212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-256540</wp:posOffset>
            </wp:positionV>
            <wp:extent cx="3175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-256540</wp:posOffset>
            </wp:positionV>
            <wp:extent cx="3175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wp:posOffset>
            </wp:positionV>
            <wp:extent cx="6610350" cy="112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0350" cy="11239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5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Prospectus Summary</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72"/>
        </w:trPr>
        <w:tc>
          <w:tcPr>
            <w:tcW w:w="5840" w:type="dxa"/>
            <w:vAlign w:val="bottom"/>
            <w:vMerge w:val="continue"/>
          </w:tcPr>
          <w:p>
            <w:pPr>
              <w:spacing w:after="0"/>
              <w:rPr>
                <w:sz w:val="14"/>
                <w:szCs w:val="14"/>
                <w:color w:val="auto"/>
              </w:rPr>
            </w:pP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3"/>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Forward-Looking Statements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Use of Proceeds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Dividend Policy</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Ordinary Shares Market Data</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Capitalization</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Selected Consolidated Financial Data</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Business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Management</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Principal Shareholders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Certain Transactions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Description of Capital Stock</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Taxation and Government Programs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Conditions in Israel</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Shares Eligible For Future Sale</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Underwriting</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Material Agreements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Legal Matters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Experts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Where You Can Find More Information</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Index to Consolidated Financial Statements</w:t>
            </w:r>
          </w:p>
        </w:tc>
        <w:tc>
          <w:tcPr>
            <w:tcW w:w="3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-3034030</wp:posOffset>
            </wp:positionV>
            <wp:extent cx="3880485" cy="730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80485" cy="7302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-2921635</wp:posOffset>
            </wp:positionV>
            <wp:extent cx="13335"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-2809240</wp:posOffset>
            </wp:positionV>
            <wp:extent cx="1333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-2683510</wp:posOffset>
            </wp:positionV>
            <wp:extent cx="13335"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-2557780</wp:posOffset>
            </wp:positionV>
            <wp:extent cx="1333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-2432050</wp:posOffset>
            </wp:positionV>
            <wp:extent cx="13335"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-2306320</wp:posOffset>
            </wp:positionV>
            <wp:extent cx="1333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-2181225</wp:posOffset>
            </wp:positionV>
            <wp:extent cx="13335"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-2055495</wp:posOffset>
            </wp:positionV>
            <wp:extent cx="1333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-1929765</wp:posOffset>
            </wp:positionV>
            <wp:extent cx="1333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-1804035</wp:posOffset>
            </wp:positionV>
            <wp:extent cx="1333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-1678940</wp:posOffset>
            </wp:positionV>
            <wp:extent cx="13335"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-1553210</wp:posOffset>
            </wp:positionV>
            <wp:extent cx="1333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-1427480</wp:posOffset>
            </wp:positionV>
            <wp:extent cx="13335"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-1301750</wp:posOffset>
            </wp:positionV>
            <wp:extent cx="1333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-1176020</wp:posOffset>
            </wp:positionV>
            <wp:extent cx="1333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-1050925</wp:posOffset>
            </wp:positionV>
            <wp:extent cx="13335"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-925195</wp:posOffset>
            </wp:positionV>
            <wp:extent cx="1333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-799465</wp:posOffset>
            </wp:positionV>
            <wp:extent cx="13335"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-673735</wp:posOffset>
            </wp:positionV>
            <wp:extent cx="1333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-548005</wp:posOffset>
            </wp:positionV>
            <wp:extent cx="13335"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-422910</wp:posOffset>
            </wp:positionV>
            <wp:extent cx="13335"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-297180</wp:posOffset>
            </wp:positionV>
            <wp:extent cx="1333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-171450</wp:posOffset>
            </wp:positionV>
            <wp:extent cx="1333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-45720</wp:posOffset>
            </wp:positionV>
            <wp:extent cx="13335"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wp:posOffset>
            </wp:positionV>
            <wp:extent cx="6610350" cy="284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0350" cy="28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919" w:firstLine="278"/>
        <w:spacing w:after="0" w:line="253" w:lineRule="auto"/>
        <w:rPr>
          <w:sz w:val="20"/>
          <w:szCs w:val="20"/>
          <w:color w:val="auto"/>
        </w:rPr>
      </w:pPr>
      <w:r>
        <w:rPr>
          <w:rFonts w:ascii="Times New Roman" w:cs="Times New Roman" w:eastAsia="Times New Roman" w:hAnsi="Times New Roman"/>
          <w:sz w:val="14"/>
          <w:szCs w:val="14"/>
          <w:i w:val="1"/>
          <w:iCs w:val="1"/>
          <w:color w:val="auto"/>
        </w:rPr>
        <w:t>micro</w:t>
      </w:r>
      <w:r>
        <w:rPr>
          <w:rFonts w:ascii="Times New Roman" w:cs="Times New Roman" w:eastAsia="Times New Roman" w:hAnsi="Times New Roman"/>
          <w:sz w:val="14"/>
          <w:szCs w:val="14"/>
          <w:color w:val="auto"/>
        </w:rPr>
        <w:t>FLASH® is a registered trademark of Tower, and N-ROM™ is a trademark of Saifun Semiconductors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Ltd. Manufacturing capacity refers to installed equipment capacity in our facilities and is a function of the process technology and product mix being manufactured because certain processes require more processing steps than others. All information in this prospectus with respect to the wafer start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in this prospectus to "wafers" in the context of capacity in Fab 1 are to 150-mm wafers and in Fab 2 are to 200-mm wafers.</w:t>
      </w:r>
    </w:p>
    <w:p>
      <w:pPr>
        <w:spacing w:after="0" w:line="60" w:lineRule="exact"/>
        <w:rPr>
          <w:sz w:val="20"/>
          <w:szCs w:val="20"/>
          <w:color w:val="auto"/>
        </w:rPr>
      </w:pPr>
    </w:p>
    <w:p>
      <w:pPr>
        <w:ind w:right="4179" w:firstLine="278"/>
        <w:spacing w:after="0" w:line="279" w:lineRule="auto"/>
        <w:rPr>
          <w:sz w:val="20"/>
          <w:szCs w:val="20"/>
          <w:color w:val="auto"/>
        </w:rPr>
      </w:pPr>
      <w:r>
        <w:rPr>
          <w:rFonts w:ascii="Times New Roman" w:cs="Times New Roman" w:eastAsia="Times New Roman" w:hAnsi="Times New Roman"/>
          <w:sz w:val="14"/>
          <w:szCs w:val="14"/>
          <w:color w:val="auto"/>
        </w:rPr>
        <w:t>Our manufacturing facilities and executive offices are located in the Ramat Gavriel Industrial Park, Post Office Box 619, Migdal Haemek, 23105 Israel, and our telephone number is 972-4-650-6611.</w:t>
      </w:r>
    </w:p>
    <w:p>
      <w:pPr>
        <w:spacing w:after="0" w:line="17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120" w:right="1440"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(This page intentionally left blank)</w:t>
      </w:r>
    </w:p>
    <w:p>
      <w:pPr>
        <w:spacing w:after="0" w:line="2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78" w:lineRule="exact"/>
        <w:rPr>
          <w:sz w:val="20"/>
          <w:szCs w:val="20"/>
          <w:color w:val="auto"/>
        </w:rPr>
      </w:pPr>
    </w:p>
    <w:p>
      <w:pPr>
        <w:ind w:right="3939"/>
        <w:spacing w:after="0" w:line="228" w:lineRule="auto"/>
        <w:rPr>
          <w:sz w:val="20"/>
          <w:szCs w:val="20"/>
          <w:color w:val="auto"/>
        </w:rPr>
      </w:pPr>
      <w:r>
        <w:rPr>
          <w:rFonts w:ascii="Times New Roman" w:cs="Times New Roman" w:eastAsia="Times New Roman" w:hAnsi="Times New Roman"/>
          <w:sz w:val="14"/>
          <w:szCs w:val="14"/>
          <w:i w:val="1"/>
          <w:iCs w:val="1"/>
          <w:color w:val="auto"/>
        </w:rPr>
        <w:t>This summary highlights information contained in other parts of this prospectus. Because it is a summary, it does not contain all of the information that you should consider before investing in the ordinary shares. You should read the entire prospectus carefully. The terms "we," "us" and "Tower" mean Tower Semiconductor Ltd. and its consolidated subsidiary. Unless otherwise stated, all information contained in this prospectus assumes no exercise of the over-allotment option granted to the underwriters.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Tower Semiconductor</w:t>
      </w:r>
    </w:p>
    <w:p>
      <w:pPr>
        <w:spacing w:after="0" w:line="80" w:lineRule="exact"/>
        <w:rPr>
          <w:sz w:val="20"/>
          <w:szCs w:val="20"/>
          <w:color w:val="auto"/>
        </w:rPr>
      </w:pPr>
    </w:p>
    <w:p>
      <w:pPr>
        <w:ind w:right="3899"/>
        <w:spacing w:after="0" w:line="226" w:lineRule="auto"/>
        <w:rPr>
          <w:sz w:val="20"/>
          <w:szCs w:val="20"/>
          <w:color w:val="auto"/>
        </w:rPr>
      </w:pPr>
      <w:r>
        <w:rPr>
          <w:rFonts w:ascii="Times New Roman" w:cs="Times New Roman" w:eastAsia="Times New Roman" w:hAnsi="Times New Roman"/>
          <w:sz w:val="14"/>
          <w:szCs w:val="14"/>
          <w:color w:val="auto"/>
        </w:rPr>
        <w:t>We are a pure-play independent wafer foundry dedicated to the manufacture of integrated circuits, or ICs, using complementary metal oxide semiconductor, or CMOS, process technology. ICs manufactured by us are incorporated into a wide range of products in diverse markets, including consumer electronics, personal computer and office equipment, communications, automotive, professional photography and medical device products. Pure-play foundries do not offer any products of their own, but focus on producing ICs based on the design specifications of their customers.</w:t>
      </w:r>
    </w:p>
    <w:p>
      <w:pPr>
        <w:spacing w:after="0" w:line="48" w:lineRule="exact"/>
        <w:rPr>
          <w:sz w:val="20"/>
          <w:szCs w:val="20"/>
          <w:color w:val="auto"/>
        </w:rPr>
      </w:pPr>
    </w:p>
    <w:p>
      <w:pPr>
        <w:ind w:right="3959"/>
        <w:spacing w:after="0" w:line="222" w:lineRule="auto"/>
        <w:rPr>
          <w:sz w:val="20"/>
          <w:szCs w:val="20"/>
          <w:color w:val="auto"/>
        </w:rPr>
      </w:pPr>
      <w:r>
        <w:rPr>
          <w:rFonts w:ascii="Times New Roman" w:cs="Times New Roman" w:eastAsia="Times New Roman" w:hAnsi="Times New Roman"/>
          <w:sz w:val="14"/>
          <w:szCs w:val="14"/>
          <w:color w:val="auto"/>
        </w:rPr>
        <w:t>We manufacture ICs with geometries ranging from 1.0 to 0.35 microns at our 150-mm fabrication facility, or Fab 1, and 0.18 microns at our recently constructed 200-mm fabrication facility, or Fab 2. We plan to initiate volume production in geometries of 0.13 microns at Fab 2 during 2005. At Fab 1, we have expanded capacity to approximately 16,000 wafer starts per month. We began volume production at Fab 2 during the third quarter of 2003, and the production capacity as of November 30, 2003 was 7,000 wafer starts per month. By year end we anticipate that Fab 2 will have production capacity of 8,500 wafer starts per month, and we currently expect to have production capacity ranging between 13,000 and 15,000 wafer starts per month by the end of 2004. We expect the production ramp to be completed by the end of 2006, at which time Fab 2 is expected to have the capacity to produce 33,000 wafer starts per month. While we expect to continue to operate Fab 1, we expect Fab 2 to form the core of our future business.</w:t>
      </w:r>
    </w:p>
    <w:p>
      <w:pPr>
        <w:spacing w:after="0" w:line="62" w:lineRule="exact"/>
        <w:rPr>
          <w:sz w:val="20"/>
          <w:szCs w:val="20"/>
          <w:color w:val="auto"/>
        </w:rPr>
      </w:pPr>
    </w:p>
    <w:p>
      <w:pPr>
        <w:ind w:right="3939"/>
        <w:spacing w:after="0" w:line="253" w:lineRule="auto"/>
        <w:rPr>
          <w:sz w:val="20"/>
          <w:szCs w:val="20"/>
          <w:color w:val="auto"/>
        </w:rPr>
      </w:pPr>
      <w:r>
        <w:rPr>
          <w:rFonts w:ascii="Times New Roman" w:cs="Times New Roman" w:eastAsia="Times New Roman" w:hAnsi="Times New Roman"/>
          <w:sz w:val="14"/>
          <w:szCs w:val="14"/>
          <w:color w:val="auto"/>
        </w:rPr>
        <w:t>With increased demand for new semiconductor applications, particularly in the consumer sector, the semiconductor industry is now recovering from its worst downturn in history. According to the Worldwide Semiconductor Trade Statistic Organization, worldwide sales of semiconductors increased 6.8% to $15.4 billion in October 2003, up from $14.4 billion in September 2003, representing the eighth consecutive monthly increase. The consumer sector, which currently represents 17% of semiconductor demand, is expanding worldwide with new applications and multi-functional devices, including those that incorporate technologies in which we specialize: CMOS image sensors, embedded flash and mixed-signal ICs.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Opportunity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 key factors that drive growth in our business include:</w:t>
      </w:r>
    </w:p>
    <w:p>
      <w:pPr>
        <w:spacing w:after="0" w:line="172" w:lineRule="exact"/>
        <w:rPr>
          <w:sz w:val="20"/>
          <w:szCs w:val="20"/>
          <w:color w:val="auto"/>
        </w:rPr>
      </w:pPr>
    </w:p>
    <w:p>
      <w:pPr>
        <w:ind w:left="400" w:right="4779" w:hanging="261"/>
        <w:spacing w:after="0" w:line="279" w:lineRule="auto"/>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increasing demand for complex ICs, which creates an expanding market for outsourced manufacturing;</w:t>
      </w:r>
    </w:p>
    <w:p>
      <w:pPr>
        <w:spacing w:after="0" w:line="125" w:lineRule="exact"/>
        <w:rPr>
          <w:rFonts w:ascii="Times New Roman" w:cs="Times New Roman" w:eastAsia="Times New Roman" w:hAnsi="Times New Roman"/>
          <w:sz w:val="14"/>
          <w:szCs w:val="14"/>
          <w:color w:val="auto"/>
        </w:rPr>
      </w:pPr>
    </w:p>
    <w:p>
      <w:pPr>
        <w:ind w:left="400" w:right="4499" w:hanging="261"/>
        <w:spacing w:after="0" w:line="279" w:lineRule="auto"/>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growing popularity of applications and products that use technologies in which we focus on, including CMOS image sensors, embedded flash and mixed-signal ICs;</w:t>
      </w:r>
    </w:p>
    <w:p>
      <w:pPr>
        <w:spacing w:after="0" w:line="125" w:lineRule="exact"/>
        <w:rPr>
          <w:rFonts w:ascii="Times New Roman" w:cs="Times New Roman" w:eastAsia="Times New Roman" w:hAnsi="Times New Roman"/>
          <w:sz w:val="14"/>
          <w:szCs w:val="14"/>
          <w:color w:val="auto"/>
        </w:rPr>
      </w:pPr>
    </w:p>
    <w:p>
      <w:pPr>
        <w:jc w:val="both"/>
        <w:ind w:left="400" w:right="4439" w:hanging="261"/>
        <w:spacing w:after="0" w:line="263" w:lineRule="auto"/>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incentive of SanDisk, Alliance Semiconductor, Macronix and QuickLogic (which we refer to as our "wafer partners") to utilize their right to purchase up to approximately 50% of the capacity of our Fab 2 facility;</w:t>
      </w:r>
    </w:p>
    <w:p>
      <w:pPr>
        <w:spacing w:after="0" w:line="137" w:lineRule="exact"/>
        <w:rPr>
          <w:rFonts w:ascii="Times New Roman" w:cs="Times New Roman" w:eastAsia="Times New Roman" w:hAnsi="Times New Roman"/>
          <w:sz w:val="14"/>
          <w:szCs w:val="14"/>
          <w:color w:val="auto"/>
        </w:rPr>
      </w:pPr>
    </w:p>
    <w:p>
      <w:pPr>
        <w:ind w:left="400" w:right="4379" w:hanging="261"/>
        <w:spacing w:after="0" w:line="263" w:lineRule="auto"/>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number of independent foundries due to the prohibitively high cost of building new fabrication facilities, or fabs, which requires high capacity utilization to ensure that fixed costs are absorbed; and</w:t>
      </w:r>
    </w:p>
    <w:p>
      <w:pPr>
        <w:spacing w:after="0" w:line="137" w:lineRule="exact"/>
        <w:rPr>
          <w:rFonts w:ascii="Times New Roman" w:cs="Times New Roman" w:eastAsia="Times New Roman" w:hAnsi="Times New Roman"/>
          <w:sz w:val="14"/>
          <w:szCs w:val="14"/>
          <w:color w:val="auto"/>
        </w:rPr>
      </w:pPr>
    </w:p>
    <w:p>
      <w:pPr>
        <w:ind w:left="400" w:right="4339" w:hanging="261"/>
        <w:spacing w:after="0" w:line="254" w:lineRule="auto"/>
        <w:tabs>
          <w:tab w:leader="none" w:pos="4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eight-consecutive-month upswing in semiconductor demand, which we believe, based on market data information made publicly available by leading Asian foundries, will result in a capacity shortage at these foundries and create an opportunity for us to obtain new customers. Two leading Taiwanese foundries, which according to IC Insights account for over 70% of worldwide sales of ICs, recently reported that they both expect to achieve overall utilization rates exceeding 90% in the fourth quarter of 2003.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Fab 2 having commenced commercial production in the third quarter of 2003, we</w:t>
      </w:r>
    </w:p>
    <w:p>
      <w:pPr>
        <w:sectPr>
          <w:pgSz w:w="11900" w:h="16838" w:orient="portrait"/>
          <w:cols w:equalWidth="0" w:num="1">
            <w:col w:w="10239"/>
          </w:cols>
          <w:pgMar w:left="220" w:top="1440" w:right="1440" w:bottom="479" w:gutter="0" w:footer="0" w:header="0"/>
        </w:sectPr>
      </w:pPr>
    </w:p>
    <w:p>
      <w:pPr>
        <w:spacing w:after="0" w:line="22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272415</wp:posOffset>
            </wp:positionV>
            <wp:extent cx="506222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1440" w:right="1440" w:bottom="479" w:gutter="0" w:footer="0" w:header="0"/>
          <w:type w:val="continuous"/>
        </w:sectPr>
      </w:pPr>
    </w:p>
    <w:bookmarkStart w:id="3" w:name="page4"/>
    <w:bookmarkEnd w:id="3"/>
    <w:p>
      <w:pPr>
        <w:spacing w:after="0" w:line="62" w:lineRule="exact"/>
        <w:rPr>
          <w:sz w:val="20"/>
          <w:szCs w:val="20"/>
          <w:color w:val="auto"/>
        </w:rPr>
      </w:pPr>
    </w:p>
    <w:p>
      <w:pPr>
        <w:ind w:right="3919"/>
        <w:spacing w:after="0" w:line="263" w:lineRule="auto"/>
        <w:rPr>
          <w:sz w:val="20"/>
          <w:szCs w:val="20"/>
          <w:color w:val="auto"/>
        </w:rPr>
      </w:pPr>
      <w:r>
        <w:rPr>
          <w:rFonts w:ascii="Times New Roman" w:cs="Times New Roman" w:eastAsia="Times New Roman" w:hAnsi="Times New Roman"/>
          <w:sz w:val="14"/>
          <w:szCs w:val="14"/>
          <w:color w:val="auto"/>
        </w:rPr>
        <w:t>believe that we are particularly well positioned to benefit from the expected upswing in the semiconductor market and corresponding capacity shortage in leading Asian foundries, as we are one of a few semiconductor manufacturers that increased its investments in new capacity during the recent industry downturn.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Target Markets</w:t>
      </w:r>
    </w:p>
    <w:p>
      <w:pPr>
        <w:spacing w:after="0" w:line="91" w:lineRule="exact"/>
        <w:rPr>
          <w:sz w:val="20"/>
          <w:szCs w:val="20"/>
          <w:color w:val="auto"/>
        </w:rPr>
      </w:pPr>
    </w:p>
    <w:p>
      <w:pPr>
        <w:ind w:right="3959"/>
        <w:spacing w:after="0" w:line="251" w:lineRule="auto"/>
        <w:rPr>
          <w:sz w:val="20"/>
          <w:szCs w:val="20"/>
          <w:color w:val="auto"/>
        </w:rPr>
      </w:pPr>
      <w:r>
        <w:rPr>
          <w:rFonts w:ascii="Times New Roman" w:cs="Times New Roman" w:eastAsia="Times New Roman" w:hAnsi="Times New Roman"/>
          <w:sz w:val="14"/>
          <w:szCs w:val="14"/>
          <w:color w:val="auto"/>
        </w:rPr>
        <w:t>We focus on the emerging opportunities surrounding CMOS image sensors, embedded flash and mixed-signal ICs where we believe we have strong expertise and proven experience. In addition to the high margins that these products generate, we are focusing on these markets because of their large size and high growth rates. According to In-Stat/MDR, a market research firm, the CMOS image sensor market is expected to grow from $184 million in 2002 to $547 million in 2007, representing a five-year compound annual growth rate of 24%. Semico Research, a market research firm, forecasts that embedded flash in microcontrollers will grow from $4.0 billion in 2002 to $17.0 billion in 2007, representing a five-year compound annual growth rate of 34%. According to Dataquest, a market research firm, the worldwide general-purpose analog and mixed-signal IC market was $9.3 billion in 2002 and is projected to grow to $17.6 billion in 2007, representing a five-year compound annual growth rate of 14%. With our advanced manufacturing technologies and service capabilities, we have established a strong position in these markets with customers which are industry leaders, including Kodak, Motorola, National Semiconductor, SanDisk and Zoran.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Strategy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key elements of our strategy include:</w:t>
      </w:r>
    </w:p>
    <w:p>
      <w:pPr>
        <w:spacing w:after="0" w:line="170" w:lineRule="exact"/>
        <w:rPr>
          <w:sz w:val="20"/>
          <w:szCs w:val="20"/>
          <w:color w:val="auto"/>
        </w:rPr>
      </w:pPr>
    </w:p>
    <w:p>
      <w:pPr>
        <w:ind w:left="400" w:right="4359" w:hanging="261"/>
        <w:spacing w:after="0" w:line="259" w:lineRule="auto"/>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Establishing Leading Market Share for Specialized, High Growth Applications</w:t>
      </w:r>
      <w:r>
        <w:rPr>
          <w:rFonts w:ascii="Times New Roman" w:cs="Times New Roman" w:eastAsia="Times New Roman" w:hAnsi="Times New Roman"/>
          <w:sz w:val="14"/>
          <w:szCs w:val="14"/>
          <w:color w:val="auto"/>
        </w:rPr>
        <w:t>. These applications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include CMOS image sensors for products such as digital still cameras and camera-equipped cell phones; embedded flash in microcontrollers; and mixed-signal ICs in cell phones, PDAs and DSL modems.</w:t>
      </w:r>
    </w:p>
    <w:p>
      <w:pPr>
        <w:spacing w:after="0" w:line="137" w:lineRule="exact"/>
        <w:rPr>
          <w:rFonts w:ascii="Times New Roman" w:cs="Times New Roman" w:eastAsia="Times New Roman" w:hAnsi="Times New Roman"/>
          <w:sz w:val="14"/>
          <w:szCs w:val="14"/>
          <w:color w:val="auto"/>
        </w:rPr>
      </w:pPr>
    </w:p>
    <w:p>
      <w:pPr>
        <w:ind w:left="400" w:right="4499" w:hanging="261"/>
        <w:spacing w:after="0" w:line="255" w:lineRule="auto"/>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Pursuing a Partnership Business Model</w:t>
      </w:r>
      <w:r>
        <w:rPr>
          <w:rFonts w:ascii="Times New Roman" w:cs="Times New Roman" w:eastAsia="Times New Roman" w:hAnsi="Times New Roman"/>
          <w:sz w:val="14"/>
          <w:szCs w:val="14"/>
          <w:color w:val="auto"/>
        </w:rPr>
        <w:t>. We believe that the use of our customers as an equity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financing source, such as in the case of our wafer partners, will strengthen our long-term relationships with these customers, as our growth objectives are closely aligned. In connection with their investment in us, we granted our existing wafer partners a right to purchase up to approximately 50% of the capacity of our Fab 2 facility, and we believe that their ownership interest provides them added incentive to utilize this capacity.</w:t>
      </w:r>
    </w:p>
    <w:p>
      <w:pPr>
        <w:spacing w:after="0" w:line="139" w:lineRule="exact"/>
        <w:rPr>
          <w:rFonts w:ascii="Times New Roman" w:cs="Times New Roman" w:eastAsia="Times New Roman" w:hAnsi="Times New Roman"/>
          <w:sz w:val="14"/>
          <w:szCs w:val="14"/>
          <w:color w:val="auto"/>
        </w:rPr>
      </w:pPr>
    </w:p>
    <w:p>
      <w:pPr>
        <w:ind w:left="400" w:right="4339" w:hanging="261"/>
        <w:spacing w:after="0" w:line="255" w:lineRule="auto"/>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Maintaining Our Commitment to Customer Service</w:t>
      </w:r>
      <w:r>
        <w:rPr>
          <w:rFonts w:ascii="Times New Roman" w:cs="Times New Roman" w:eastAsia="Times New Roman" w:hAnsi="Times New Roman"/>
          <w:sz w:val="14"/>
          <w:szCs w:val="14"/>
          <w:color w:val="auto"/>
        </w:rPr>
        <w:t>. We place significant emphasis on providing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world-class customer service, as well as engineering support and execution of complex process and product transfers, while maintaining reduced cycle times and higher product yields. We believe that our customer service has helped us differentiate ourselves from our larger competitors, as demonstrated by Motorola naming us "Foundry of the Year" in 1999 and awarding us "Gold Supplier" status in 2000, 2001 and 2002.</w:t>
      </w:r>
    </w:p>
    <w:p>
      <w:pPr>
        <w:spacing w:after="0" w:line="139" w:lineRule="exact"/>
        <w:rPr>
          <w:rFonts w:ascii="Times New Roman" w:cs="Times New Roman" w:eastAsia="Times New Roman" w:hAnsi="Times New Roman"/>
          <w:sz w:val="14"/>
          <w:szCs w:val="14"/>
          <w:color w:val="auto"/>
        </w:rPr>
      </w:pPr>
    </w:p>
    <w:p>
      <w:pPr>
        <w:ind w:left="400" w:right="4539" w:hanging="261"/>
        <w:spacing w:after="0" w:line="256" w:lineRule="auto"/>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Expanding Our Technological Expertise through Licensing and Joint Development Efforts with Leading Technology Companies. </w:t>
      </w:r>
      <w:r>
        <w:rPr>
          <w:rFonts w:ascii="Times New Roman" w:cs="Times New Roman" w:eastAsia="Times New Roman" w:hAnsi="Times New Roman"/>
          <w:sz w:val="14"/>
          <w:szCs w:val="14"/>
          <w:color w:val="auto"/>
        </w:rPr>
        <w:t>In addition to our independent research and development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resources, we have expanded our core strengths in CMOS image sensors, embedded flash and mixed-signal technologies by combining our proprietary technologies with leading technology companies, such as Matsushita, Motorola and Toshiba.</w:t>
      </w:r>
    </w:p>
    <w:p>
      <w:pPr>
        <w:spacing w:after="0" w:line="140" w:lineRule="exact"/>
        <w:rPr>
          <w:rFonts w:ascii="Times New Roman" w:cs="Times New Roman" w:eastAsia="Times New Roman" w:hAnsi="Times New Roman"/>
          <w:sz w:val="14"/>
          <w:szCs w:val="14"/>
          <w:color w:val="auto"/>
        </w:rPr>
      </w:pPr>
    </w:p>
    <w:p>
      <w:pPr>
        <w:ind w:left="400" w:right="4539" w:hanging="261"/>
        <w:spacing w:after="0" w:line="265" w:lineRule="auto"/>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Enhancing Our Global Sales and Marketing Efforts</w:t>
      </w:r>
      <w:r>
        <w:rPr>
          <w:rFonts w:ascii="Times New Roman" w:cs="Times New Roman" w:eastAsia="Times New Roman" w:hAnsi="Times New Roman"/>
          <w:sz w:val="14"/>
          <w:szCs w:val="14"/>
          <w:color w:val="auto"/>
        </w:rPr>
        <w:t>. We have recently significantly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global sales and marketing efforts in order to establish worldwide coverage to support the ramp-up of our Fab 2 0.18-micron process technology service offering.</w:t>
      </w:r>
    </w:p>
    <w:p>
      <w:pPr>
        <w:spacing w:after="0" w:line="132" w:lineRule="exact"/>
        <w:rPr>
          <w:rFonts w:ascii="Times New Roman" w:cs="Times New Roman" w:eastAsia="Times New Roman" w:hAnsi="Times New Roman"/>
          <w:sz w:val="14"/>
          <w:szCs w:val="14"/>
          <w:color w:val="auto"/>
        </w:rPr>
      </w:pPr>
    </w:p>
    <w:p>
      <w:pPr>
        <w:jc w:val="both"/>
        <w:ind w:left="400" w:right="4519" w:hanging="261"/>
        <w:spacing w:after="0" w:line="322" w:lineRule="auto"/>
        <w:tabs>
          <w:tab w:leader="none" w:pos="40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Maximizing Our Capacity Utilization. </w:t>
      </w:r>
      <w:r>
        <w:rPr>
          <w:rFonts w:ascii="Times New Roman" w:cs="Times New Roman" w:eastAsia="Times New Roman" w:hAnsi="Times New Roman"/>
          <w:sz w:val="13"/>
          <w:szCs w:val="13"/>
          <w:color w:val="auto"/>
        </w:rPr>
        <w:t>We seek to maximize capacity utilization by attracting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new customers and rapidly transitioning our capabilities to high-margin advanced technologies.</w:t>
      </w:r>
    </w:p>
    <w:p>
      <w:pPr>
        <w:spacing w:after="0" w:line="98" w:lineRule="exact"/>
        <w:rPr>
          <w:rFonts w:ascii="Times New Roman" w:cs="Times New Roman" w:eastAsia="Times New Roman" w:hAnsi="Times New Roman"/>
          <w:sz w:val="13"/>
          <w:szCs w:val="13"/>
          <w:color w:val="auto"/>
        </w:rPr>
      </w:pPr>
    </w:p>
    <w:p>
      <w:pPr>
        <w:ind w:left="400" w:right="4599" w:hanging="261"/>
        <w:spacing w:after="0" w:line="259" w:lineRule="auto"/>
        <w:tabs>
          <w:tab w:leader="none" w:pos="4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Becoming a Preferred Second-Source Foundry Service Provider. </w:t>
      </w:r>
      <w:r>
        <w:rPr>
          <w:rFonts w:ascii="Times New Roman" w:cs="Times New Roman" w:eastAsia="Times New Roman" w:hAnsi="Times New Roman"/>
          <w:sz w:val="14"/>
          <w:szCs w:val="14"/>
          <w:color w:val="auto"/>
        </w:rPr>
        <w:t>As foundry utilization rates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peak and available capacity decreases, we aim to attract new customers as part of their risk diversification strategy by becoming their preferred alternative or second-source provider of foundry services.</w:t>
      </w:r>
    </w:p>
    <w:p>
      <w:pPr>
        <w:spacing w:after="0" w:line="19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01" w:lineRule="exact"/>
        <w:rPr>
          <w:sz w:val="20"/>
          <w:szCs w:val="20"/>
          <w:color w:val="auto"/>
        </w:rPr>
      </w:pPr>
    </w:p>
    <w:p>
      <w:pPr>
        <w:spacing w:after="0"/>
        <w:tabs>
          <w:tab w:leader="none" w:pos="2740" w:val="left"/>
        </w:tabs>
        <w:rPr>
          <w:sz w:val="20"/>
          <w:szCs w:val="20"/>
          <w:color w:val="auto"/>
        </w:rPr>
      </w:pPr>
      <w:r>
        <w:rPr>
          <w:rFonts w:ascii="Times New Roman" w:cs="Times New Roman" w:eastAsia="Times New Roman" w:hAnsi="Times New Roman"/>
          <w:sz w:val="14"/>
          <w:szCs w:val="14"/>
          <w:color w:val="auto"/>
        </w:rPr>
        <w:t>Ordinary shares offered by us</w:t>
      </w:r>
      <w:r>
        <w:rPr>
          <w:sz w:val="20"/>
          <w:szCs w:val="20"/>
          <w:color w:val="auto"/>
        </w:rPr>
        <w:tab/>
      </w:r>
      <w:r>
        <w:rPr>
          <w:rFonts w:ascii="Times New Roman" w:cs="Times New Roman" w:eastAsia="Times New Roman" w:hAnsi="Times New Roman"/>
          <w:sz w:val="13"/>
          <w:szCs w:val="13"/>
          <w:color w:val="auto"/>
        </w:rPr>
        <w:t>12,000,000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3919855"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1654810</wp:posOffset>
            </wp:positionH>
            <wp:positionV relativeFrom="paragraph">
              <wp:posOffset>-45720</wp:posOffset>
            </wp:positionV>
            <wp:extent cx="6604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line="100" w:lineRule="exact"/>
        <w:rPr>
          <w:sz w:val="20"/>
          <w:szCs w:val="20"/>
          <w:color w:val="auto"/>
        </w:rPr>
      </w:pPr>
    </w:p>
    <w:p>
      <w:pPr>
        <w:spacing w:after="0"/>
        <w:tabs>
          <w:tab w:leader="none" w:pos="2740" w:val="left"/>
        </w:tabs>
        <w:rPr>
          <w:sz w:val="20"/>
          <w:szCs w:val="20"/>
          <w:color w:val="auto"/>
        </w:rPr>
      </w:pPr>
      <w:r>
        <w:rPr>
          <w:rFonts w:ascii="Times New Roman" w:cs="Times New Roman" w:eastAsia="Times New Roman" w:hAnsi="Times New Roman"/>
          <w:sz w:val="14"/>
          <w:szCs w:val="14"/>
          <w:color w:val="auto"/>
        </w:rPr>
        <w:t>Ordinary shares to be outstanding after</w:t>
      </w:r>
      <w:r>
        <w:rPr>
          <w:sz w:val="20"/>
          <w:szCs w:val="20"/>
          <w:color w:val="auto"/>
        </w:rPr>
        <w:tab/>
      </w:r>
      <w:r>
        <w:rPr>
          <w:rFonts w:ascii="Times New Roman" w:cs="Times New Roman" w:eastAsia="Times New Roman" w:hAnsi="Times New Roman"/>
          <w:sz w:val="13"/>
          <w:szCs w:val="13"/>
          <w:color w:val="auto"/>
        </w:rPr>
        <w:t>63,696,097 shares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3919855"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1654810</wp:posOffset>
            </wp:positionH>
            <wp:positionV relativeFrom="paragraph">
              <wp:posOffset>6350</wp:posOffset>
            </wp:positionV>
            <wp:extent cx="66040"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the offering</w:t>
      </w:r>
    </w:p>
    <w:p>
      <w:pPr>
        <w:spacing w:after="0" w:line="105" w:lineRule="exact"/>
        <w:rPr>
          <w:sz w:val="20"/>
          <w:szCs w:val="20"/>
          <w:color w:val="auto"/>
        </w:rPr>
      </w:pPr>
    </w:p>
    <w:p>
      <w:pPr>
        <w:spacing w:after="0"/>
        <w:tabs>
          <w:tab w:leader="none" w:pos="2740" w:val="left"/>
        </w:tabs>
        <w:rPr>
          <w:sz w:val="20"/>
          <w:szCs w:val="20"/>
          <w:color w:val="auto"/>
        </w:rPr>
      </w:pPr>
      <w:r>
        <w:rPr>
          <w:rFonts w:ascii="Times New Roman" w:cs="Times New Roman" w:eastAsia="Times New Roman" w:hAnsi="Times New Roman"/>
          <w:sz w:val="14"/>
          <w:szCs w:val="14"/>
          <w:color w:val="auto"/>
        </w:rPr>
        <w:t>Ordinary shares underlying outstanding</w:t>
      </w:r>
      <w:r>
        <w:rPr>
          <w:sz w:val="20"/>
          <w:szCs w:val="20"/>
          <w:color w:val="auto"/>
        </w:rPr>
        <w:tab/>
      </w:r>
      <w:r>
        <w:rPr>
          <w:rFonts w:ascii="Times New Roman" w:cs="Times New Roman" w:eastAsia="Times New Roman" w:hAnsi="Times New Roman"/>
          <w:sz w:val="13"/>
          <w:szCs w:val="13"/>
          <w:color w:val="auto"/>
        </w:rPr>
        <w:t>18,882,041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391985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1654810</wp:posOffset>
            </wp:positionH>
            <wp:positionV relativeFrom="paragraph">
              <wp:posOffset>6350</wp:posOffset>
            </wp:positionV>
            <wp:extent cx="6604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options and warrants</w:t>
      </w:r>
    </w:p>
    <w:p>
      <w:pPr>
        <w:sectPr>
          <w:pgSz w:w="11900" w:h="16900" w:orient="portrait"/>
          <w:cols w:equalWidth="0" w:num="1">
            <w:col w:w="10239"/>
          </w:cols>
          <w:pgMar w:left="220" w:top="208" w:right="1440" w:bottom="0" w:gutter="0" w:footer="0" w:header="0"/>
        </w:sectPr>
      </w:pPr>
    </w:p>
    <w:p>
      <w:pPr>
        <w:spacing w:after="0" w:line="105" w:lineRule="exact"/>
        <w:rPr>
          <w:sz w:val="20"/>
          <w:szCs w:val="20"/>
          <w:color w:val="auto"/>
        </w:rPr>
      </w:pPr>
    </w:p>
    <w:p>
      <w:pPr>
        <w:jc w:val="both"/>
        <w:ind w:left="140" w:hanging="138"/>
        <w:spacing w:after="0" w:line="263" w:lineRule="auto"/>
        <w:rPr>
          <w:sz w:val="20"/>
          <w:szCs w:val="20"/>
          <w:color w:val="auto"/>
        </w:rPr>
      </w:pPr>
      <w:r>
        <w:rPr>
          <w:rFonts w:ascii="Times New Roman" w:cs="Times New Roman" w:eastAsia="Times New Roman" w:hAnsi="Times New Roman"/>
          <w:sz w:val="14"/>
          <w:szCs w:val="14"/>
          <w:color w:val="auto"/>
        </w:rPr>
        <w:t>Ordinary shares to be outstanding after the offering, assuming the exercise of outstanding options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-332740</wp:posOffset>
            </wp:positionV>
            <wp:extent cx="165290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52905" cy="635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165290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52905" cy="635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165290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52905" cy="63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80" w:right="100" w:hanging="173"/>
        <w:spacing w:after="0" w:line="279" w:lineRule="auto"/>
        <w:rPr>
          <w:sz w:val="20"/>
          <w:szCs w:val="20"/>
          <w:color w:val="auto"/>
        </w:rPr>
      </w:pPr>
      <w:r>
        <w:rPr>
          <w:rFonts w:ascii="Times New Roman" w:cs="Times New Roman" w:eastAsia="Times New Roman" w:hAnsi="Times New Roman"/>
          <w:sz w:val="14"/>
          <w:szCs w:val="14"/>
          <w:color w:val="auto"/>
        </w:rPr>
        <w:t>Nasdaq National Market and Tel Aviv Stock Exchange symbols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-234315</wp:posOffset>
            </wp:positionV>
            <wp:extent cx="165290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529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49530</wp:posOffset>
            </wp:positionV>
            <wp:extent cx="6350" cy="112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50" cy="112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82,578,138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-99060</wp:posOffset>
            </wp:positionV>
            <wp:extent cx="226758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67585" cy="635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59055</wp:posOffset>
            </wp:positionV>
            <wp:extent cx="6604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expect to use the net proceeds from this offering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-99060</wp:posOffset>
            </wp:positionV>
            <wp:extent cx="226758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67585" cy="635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finance the further ramp-up of Fab 2 and for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-2540</wp:posOffset>
            </wp:positionV>
            <wp:extent cx="6604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expenses for the sale of our products and services as well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working capital and other general corporate purposes.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See "Risk Factors" and the other information included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-91440</wp:posOffset>
            </wp:positionV>
            <wp:extent cx="2267585"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67585" cy="63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prospectus for a discussion of factors you should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-55245</wp:posOffset>
            </wp:positionV>
            <wp:extent cx="6604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04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consider before deciding to invest in our ordinary shares.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-99060</wp:posOffset>
            </wp:positionV>
            <wp:extent cx="226758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67585" cy="6350"/>
                    </a:xfrm>
                    <a:prstGeom prst="rect">
                      <a:avLst/>
                    </a:prstGeom>
                    <a:noFill/>
                  </pic:spPr>
                </pic:pic>
              </a:graphicData>
            </a:graphic>
          </wp:anchor>
        </w:drawing>
        <w:drawing>
          <wp:anchor simplePos="0" relativeHeight="251657728" behindDoc="1" locked="0" layoutInCell="0" allowOverlap="1">
            <wp:simplePos x="0" y="0"/>
            <wp:positionH relativeFrom="column">
              <wp:posOffset>-97155</wp:posOffset>
            </wp:positionH>
            <wp:positionV relativeFrom="paragraph">
              <wp:posOffset>6350</wp:posOffset>
            </wp:positionV>
            <wp:extent cx="66040"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-1750060</wp:posOffset>
            </wp:positionH>
            <wp:positionV relativeFrom="paragraph">
              <wp:posOffset>237490</wp:posOffset>
            </wp:positionV>
            <wp:extent cx="392684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26840" cy="6350"/>
                    </a:xfrm>
                    <a:prstGeom prst="rect">
                      <a:avLst/>
                    </a:prstGeom>
                    <a:noFill/>
                  </pic:spPr>
                </pic:pic>
              </a:graphicData>
            </a:graphic>
          </wp:anchor>
        </w:drawing>
        <w:drawing>
          <wp:anchor simplePos="0" relativeHeight="251657728" behindDoc="1" locked="0" layoutInCell="0" allowOverlap="1">
            <wp:simplePos x="0" y="0"/>
            <wp:positionH relativeFrom="column">
              <wp:posOffset>-1750060</wp:posOffset>
            </wp:positionH>
            <wp:positionV relativeFrom="paragraph">
              <wp:posOffset>237490</wp:posOffset>
            </wp:positionV>
            <wp:extent cx="392684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13" w:lineRule="exact"/>
        <w:rPr>
          <w:sz w:val="20"/>
          <w:szCs w:val="20"/>
          <w:color w:val="auto"/>
        </w:rPr>
      </w:pPr>
    </w:p>
    <w:p>
      <w:pPr>
        <w:sectPr>
          <w:pgSz w:w="11900" w:h="16900" w:orient="portrait"/>
          <w:cols w:equalWidth="0" w:num="2">
            <w:col w:w="2220" w:space="540"/>
            <w:col w:w="7479"/>
          </w:cols>
          <w:pgMar w:left="220" w:top="208" w:right="1440" w:bottom="0" w:gutter="0" w:footer="0" w:header="0"/>
          <w:type w:val="continuous"/>
        </w:sectPr>
      </w:pPr>
    </w:p>
    <w:p>
      <w:pPr>
        <w:spacing w:after="0" w:line="37" w:lineRule="exact"/>
        <w:rPr>
          <w:sz w:val="20"/>
          <w:szCs w:val="20"/>
          <w:color w:val="auto"/>
        </w:rPr>
      </w:pPr>
    </w:p>
    <w:p>
      <w:pPr>
        <w:ind w:left="220" w:right="4059" w:hanging="217"/>
        <w:spacing w:after="0" w:line="221" w:lineRule="auto"/>
        <w:tabs>
          <w:tab w:leader="none" w:pos="22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number of ordinary shares to be outstanding after this offering is based on the outstanding shares as of December 15, 2003. This information excludes a total of 18,882,041 shares which may be issued as follows: (i) 6,859,431 ordinary shares issuable upon exercise of options granted to employees and directors at a weighted average exercise price of $7.94; (ii) up to 2,697,068 ordinary shares issuable upon conversion of unsecured, subordinated convertible debentures, net in the amount of NIS 113,056,267 (or $26.0 million), which are convertible through December 31, 2008 (linked to the Israel Consumer Price Index); (iii) 2,211,596 ordinary shares issuable upon exercise of options at an exercise price of NIS 40.91 per share linked to the Israel Consumer Price Index (or $9.40); (iv) 3,594,082 ordinary shares issuable upon exercise of warrants with an exercise price of $7.50; (v) 400,000 and 896,596 ordinary shares issuable upon the exercise of warrants issued to our banks in connection with our credit facility with an exercise price of $6.20 and $6.17 per share, respectively; (vi) 2,164,362 shares issuable in connection with the second installment of the fifth milestone payment assuming a purchase price of $7.59 per share (see "Certain Transactions — Amendment to Fifth Milestone Payment Schedule"); and (vii) 58,906 ordinary shares issuable upon exercise of warrants issued to ICTech as a commitment fee in connection with the arrangements described in "Material Agreements — Credit Facility" with an exercise price of $6.17 per share and exercisable until November 2008.</w:t>
      </w:r>
    </w:p>
    <w:p>
      <w:pPr>
        <w:sectPr>
          <w:pgSz w:w="11900" w:h="16900" w:orient="portrait"/>
          <w:cols w:equalWidth="0" w:num="1">
            <w:col w:w="10239"/>
          </w:cols>
          <w:pgMar w:left="220" w:top="208" w:right="1440" w:bottom="0" w:gutter="0" w:footer="0" w:header="0"/>
          <w:type w:val="continuous"/>
        </w:sectPr>
      </w:pPr>
    </w:p>
    <w:bookmarkStart w:id="4" w:name="page5"/>
    <w:bookmarkEnd w:id="4"/>
    <w:p>
      <w:pPr>
        <w:ind w:left="220" w:right="4139" w:hanging="217"/>
        <w:spacing w:after="0" w:line="222" w:lineRule="auto"/>
        <w:tabs>
          <w:tab w:leader="none" w:pos="22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information excludes the following potential dilutive issuances of securities pursuant to our credit facility and agreements with our wafer partners and with ICTech, which cannot be calculated as of the date of the prospectus since the number of shares issuable will depend upon future transactions in which we may engage (i) ordinary shares issuable upon conversion of up to $46.6 million in wafer prepayment credits which we have issued our wafer partners as of December 15, 2003 (see "Certain Transactions — Amendment to Fifth Milestone Payment Schedule"); (ii) ordinary shares issuable to our wafer partners upon conversion of their remaining wafer credits issued in connection with their fourth milestone payment, as well as shares we may issue to our other shareholders under certain circumstances (see "Certain Transactions — Amendment to Fifth Milestone Payment Schedule"); (iii) ordinary shares issuable upon exercise of warrants issued to ICTech and our banks in the event that we are required by our banks to complete a rights offering in connection with the arrangements described in "Material Agreements — Credit Facility;" and (iv) ordinary shares issuable upon conversion of securities we may be required to issue in connection with the rights offering and outside investor provisions of the arrangements described in "Material Agreements — Credit Facility."</w:t>
      </w:r>
    </w:p>
    <w:p>
      <w:pPr>
        <w:spacing w:after="0" w:line="194"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Summary Consolidated Financial Data</w:t>
      </w:r>
    </w:p>
    <w:p>
      <w:pPr>
        <w:spacing w:after="0" w:line="91" w:lineRule="exact"/>
        <w:rPr>
          <w:sz w:val="20"/>
          <w:szCs w:val="20"/>
          <w:color w:val="auto"/>
        </w:rPr>
      </w:pPr>
    </w:p>
    <w:p>
      <w:pPr>
        <w:ind w:right="4119"/>
        <w:spacing w:after="0" w:line="256" w:lineRule="auto"/>
        <w:rPr>
          <w:sz w:val="20"/>
          <w:szCs w:val="20"/>
          <w:color w:val="auto"/>
        </w:rPr>
      </w:pPr>
      <w:r>
        <w:rPr>
          <w:rFonts w:ascii="Times New Roman" w:cs="Times New Roman" w:eastAsia="Times New Roman" w:hAnsi="Times New Roman"/>
          <w:sz w:val="14"/>
          <w:szCs w:val="14"/>
          <w:color w:val="auto"/>
        </w:rPr>
        <w:t>You should read the data set forth below in conjunction with our consolidated financial statements and related notes, "Management's Discussion and Analysis of Financial Condition and Results of Operations" and other information appearing elsewhere in this prospectus. The following data has been presented in accordance with Israel GAAP. Statements of operations and selected operations data in accordance with US GAAP would not have materially differed from respective data in accordance with Israel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6350" cy="660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4"/>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7"/>
            <w:vMerge w:val="restart"/>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2003</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2002</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2002</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2001</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2000</w:t>
            </w:r>
          </w:p>
        </w:tc>
        <w:tc>
          <w:tcPr>
            <w:tcW w:w="0" w:type="dxa"/>
            <w:vAlign w:val="bottom"/>
          </w:tcPr>
          <w:p>
            <w:pPr>
              <w:spacing w:after="0"/>
              <w:rPr>
                <w:sz w:val="1"/>
                <w:szCs w:val="1"/>
                <w:color w:val="auto"/>
              </w:rPr>
            </w:pPr>
          </w:p>
        </w:tc>
      </w:tr>
      <w:tr>
        <w:trPr>
          <w:trHeight w:val="119"/>
        </w:trPr>
        <w:tc>
          <w:tcPr>
            <w:tcW w:w="2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7"/>
          </w:tcPr>
          <w:p>
            <w:pPr>
              <w:jc w:val="right"/>
              <w:ind w:right="232"/>
              <w:spacing w:after="0" w:line="120" w:lineRule="exact"/>
              <w:rPr>
                <w:sz w:val="20"/>
                <w:szCs w:val="20"/>
                <w:color w:val="auto"/>
              </w:rPr>
            </w:pPr>
            <w:r>
              <w:rPr>
                <w:rFonts w:ascii="Times New Roman" w:cs="Times New Roman" w:eastAsia="Times New Roman" w:hAnsi="Times New Roman"/>
                <w:sz w:val="11"/>
                <w:szCs w:val="11"/>
                <w:color w:val="auto"/>
              </w:rPr>
              <w:t>(in thousands, except per share data)</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Operations Data in accordance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with Israel GAAP</w:t>
            </w: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41,545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36,229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51,801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52,372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96"/>
              </w:rPr>
              <w:t>104,775</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Gross profit (loss)</w:t>
            </w:r>
          </w:p>
        </w:tc>
        <w:tc>
          <w:tcPr>
            <w:tcW w:w="100" w:type="dxa"/>
            <w:vAlign w:val="bottom"/>
          </w:tcPr>
          <w:p>
            <w:pPr>
              <w:spacing w:after="0"/>
              <w:rPr>
                <w:sz w:val="17"/>
                <w:szCs w:val="17"/>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(34,271)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(13,727)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(15,221)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(24,361)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15,988</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tcPr>
          <w:p>
            <w:pPr>
              <w:spacing w:after="0"/>
              <w:rPr>
                <w:sz w:val="17"/>
                <w:szCs w:val="17"/>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12,551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10,184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17,031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9,556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8,965</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Marketing, general and administrative</w:t>
            </w:r>
          </w:p>
        </w:tc>
        <w:tc>
          <w:tcPr>
            <w:tcW w:w="100" w:type="dxa"/>
            <w:vAlign w:val="bottom"/>
          </w:tcPr>
          <w:p>
            <w:pPr>
              <w:spacing w:after="0"/>
              <w:rPr>
                <w:sz w:val="17"/>
                <w:szCs w:val="17"/>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17,064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11,807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17,091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14,489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11,428</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100" w:type="dxa"/>
            <w:vAlign w:val="bottom"/>
          </w:tcPr>
          <w:p>
            <w:pPr>
              <w:spacing w:after="0"/>
              <w:rPr>
                <w:sz w:val="17"/>
                <w:szCs w:val="17"/>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(63,886)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(35,718)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(49,343)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(48,406)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(4,405)</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Loss for the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(68,266)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(37,818)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(51,402)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(38,522)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(3,989)</w:t>
            </w: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Basic loss per ordinary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(1.34)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(1.63)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302"/>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Financial Data:</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rPr>
              <w:t>30,386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14,402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18,821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21,721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25,917</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 before Investment</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Center grants</w:t>
            </w:r>
          </w:p>
        </w:tc>
        <w:tc>
          <w:tcPr>
            <w:tcW w:w="10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Times New Roman" w:cs="Times New Roman" w:eastAsia="Times New Roman" w:hAnsi="Times New Roman"/>
                <w:sz w:val="14"/>
                <w:szCs w:val="14"/>
                <w:color w:val="auto"/>
                <w:w w:val="96"/>
              </w:rPr>
              <w:t>147,394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w w:val="96"/>
              </w:rPr>
              <w:t>156,564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w w:val="96"/>
              </w:rPr>
              <w:t>243,431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96"/>
              </w:rPr>
              <w:t>364,347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79,060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-1982470</wp:posOffset>
            </wp:positionV>
            <wp:extent cx="384746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4746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-1903095</wp:posOffset>
            </wp:positionV>
            <wp:extent cx="1333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-1903095</wp:posOffset>
            </wp:positionV>
            <wp:extent cx="1333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-1784350</wp:posOffset>
            </wp:positionV>
            <wp:extent cx="1333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-1784350</wp:posOffset>
            </wp:positionV>
            <wp:extent cx="1333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-1784350</wp:posOffset>
            </wp:positionV>
            <wp:extent cx="1333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-1784350</wp:posOffset>
            </wp:positionV>
            <wp:extent cx="13335"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-1784350</wp:posOffset>
            </wp:positionV>
            <wp:extent cx="1333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-1691640</wp:posOffset>
            </wp:positionV>
            <wp:extent cx="1333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-1526540</wp:posOffset>
            </wp:positionV>
            <wp:extent cx="1333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-1348105</wp:posOffset>
            </wp:positionV>
            <wp:extent cx="13335"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-1348105</wp:posOffset>
            </wp:positionV>
            <wp:extent cx="1333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-1348105</wp:posOffset>
            </wp:positionV>
            <wp:extent cx="13335"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-1348105</wp:posOffset>
            </wp:positionV>
            <wp:extent cx="1333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-1348105</wp:posOffset>
            </wp:positionV>
            <wp:extent cx="1333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-1222375</wp:posOffset>
            </wp:positionV>
            <wp:extent cx="1333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-1222375</wp:posOffset>
            </wp:positionV>
            <wp:extent cx="1333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-1222375</wp:posOffset>
            </wp:positionV>
            <wp:extent cx="13335"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-1222375</wp:posOffset>
            </wp:positionV>
            <wp:extent cx="1333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-1222375</wp:posOffset>
            </wp:positionV>
            <wp:extent cx="1333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-1096645</wp:posOffset>
            </wp:positionV>
            <wp:extent cx="1333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-1096645</wp:posOffset>
            </wp:positionV>
            <wp:extent cx="1333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-1096645</wp:posOffset>
            </wp:positionV>
            <wp:extent cx="13335"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-1096645</wp:posOffset>
            </wp:positionV>
            <wp:extent cx="1333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-1096645</wp:posOffset>
            </wp:positionV>
            <wp:extent cx="1333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-971550</wp:posOffset>
            </wp:positionV>
            <wp:extent cx="1333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-971550</wp:posOffset>
            </wp:positionV>
            <wp:extent cx="1333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-971550</wp:posOffset>
            </wp:positionV>
            <wp:extent cx="1333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-971550</wp:posOffset>
            </wp:positionV>
            <wp:extent cx="1333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-971550</wp:posOffset>
            </wp:positionV>
            <wp:extent cx="1333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-845820</wp:posOffset>
            </wp:positionV>
            <wp:extent cx="1333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-845820</wp:posOffset>
            </wp:positionV>
            <wp:extent cx="1333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-845820</wp:posOffset>
            </wp:positionV>
            <wp:extent cx="1333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-845820</wp:posOffset>
            </wp:positionV>
            <wp:extent cx="1333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-845820</wp:posOffset>
            </wp:positionV>
            <wp:extent cx="1333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-720090</wp:posOffset>
            </wp:positionV>
            <wp:extent cx="1333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-720090</wp:posOffset>
            </wp:positionV>
            <wp:extent cx="1333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-720090</wp:posOffset>
            </wp:positionV>
            <wp:extent cx="13335"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-720090</wp:posOffset>
            </wp:positionV>
            <wp:extent cx="13335"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-720090</wp:posOffset>
            </wp:positionV>
            <wp:extent cx="13335"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-594360</wp:posOffset>
            </wp:positionV>
            <wp:extent cx="1333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-594360</wp:posOffset>
            </wp:positionV>
            <wp:extent cx="1333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-594360</wp:posOffset>
            </wp:positionV>
            <wp:extent cx="1333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-594360</wp:posOffset>
            </wp:positionV>
            <wp:extent cx="13335"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-594360</wp:posOffset>
            </wp:positionV>
            <wp:extent cx="13335"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-402590</wp:posOffset>
            </wp:positionV>
            <wp:extent cx="1333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-402590</wp:posOffset>
            </wp:positionV>
            <wp:extent cx="1333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-277495</wp:posOffset>
            </wp:positionV>
            <wp:extent cx="1333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-277495</wp:posOffset>
            </wp:positionV>
            <wp:extent cx="1333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-277495</wp:posOffset>
            </wp:positionV>
            <wp:extent cx="13335"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-277495</wp:posOffset>
            </wp:positionV>
            <wp:extent cx="1333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-277495</wp:posOffset>
            </wp:positionV>
            <wp:extent cx="1333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-99060</wp:posOffset>
            </wp:positionV>
            <wp:extent cx="1333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1991995</wp:posOffset>
            </wp:positionH>
            <wp:positionV relativeFrom="paragraph">
              <wp:posOffset>-99060</wp:posOffset>
            </wp:positionV>
            <wp:extent cx="1333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-99060</wp:posOffset>
            </wp:positionV>
            <wp:extent cx="1333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-99060</wp:posOffset>
            </wp:positionV>
            <wp:extent cx="13335"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-99060</wp:posOffset>
            </wp:positionV>
            <wp:extent cx="1333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wp:posOffset>
            </wp:positionV>
            <wp:extent cx="6350" cy="660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4" w:lineRule="exact"/>
        <w:rPr>
          <w:sz w:val="20"/>
          <w:szCs w:val="20"/>
          <w:color w:val="auto"/>
        </w:rPr>
      </w:pPr>
    </w:p>
    <w:p>
      <w:pPr>
        <w:ind w:right="3919"/>
        <w:spacing w:after="0" w:line="279" w:lineRule="auto"/>
        <w:rPr>
          <w:sz w:val="20"/>
          <w:szCs w:val="20"/>
          <w:color w:val="auto"/>
        </w:rPr>
      </w:pPr>
      <w:r>
        <w:rPr>
          <w:rFonts w:ascii="Times New Roman" w:cs="Times New Roman" w:eastAsia="Times New Roman" w:hAnsi="Times New Roman"/>
          <w:sz w:val="13"/>
          <w:szCs w:val="13"/>
          <w:color w:val="auto"/>
        </w:rPr>
        <w:t>We have presented the unaudited consolidated balance sheet data as of September 30, 2003 on an actual basis and on an as-adjusted basis to reflect the sale of 12,000,000 ordinary shares by us in this offering and our receipt of</w:t>
      </w:r>
    </w:p>
    <w:p>
      <w:pPr>
        <w:spacing w:after="0" w:line="1" w:lineRule="exact"/>
        <w:rPr>
          <w:sz w:val="20"/>
          <w:szCs w:val="20"/>
          <w:color w:val="auto"/>
        </w:rPr>
      </w:pPr>
    </w:p>
    <w:p>
      <w:pPr>
        <w:ind w:right="4119" w:firstLine="3"/>
        <w:spacing w:after="0" w:line="256" w:lineRule="auto"/>
        <w:tabs>
          <w:tab w:leader="none" w:pos="34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million in estimated net proceeds, after deducting the estimated underwriting discount and commissions and the estimated offering expenses that we expect to pay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3774440" cy="730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74440" cy="7302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920" w:type="dxa"/>
            <w:vAlign w:val="bottom"/>
          </w:tcPr>
          <w:p>
            <w:pPr>
              <w:spacing w:after="0"/>
              <w:rPr>
                <w:sz w:val="11"/>
                <w:szCs w:val="11"/>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As of September 30, 2003</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920" w:type="dxa"/>
            <w:vAlign w:val="bottom"/>
          </w:tcPr>
          <w:p>
            <w:pPr>
              <w:spacing w:after="0"/>
              <w:rPr>
                <w:sz w:val="7"/>
                <w:szCs w:val="7"/>
                <w:color w:val="auto"/>
              </w:rPr>
            </w:pPr>
          </w:p>
        </w:tc>
        <w:tc>
          <w:tcPr>
            <w:tcW w:w="700" w:type="dxa"/>
            <w:vAlign w:val="bottom"/>
            <w:vMerge w:val="restart"/>
          </w:tcPr>
          <w:p>
            <w:pPr>
              <w:jc w:val="right"/>
              <w:ind w:right="135"/>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0" w:type="dxa"/>
            <w:vAlign w:val="bottom"/>
          </w:tcPr>
          <w:p>
            <w:pPr>
              <w:spacing w:after="0"/>
              <w:rPr>
                <w:sz w:val="7"/>
                <w:szCs w:val="7"/>
                <w:color w:val="auto"/>
              </w:rPr>
            </w:pPr>
          </w:p>
        </w:tc>
        <w:tc>
          <w:tcPr>
            <w:tcW w:w="48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As</w:t>
            </w: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492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Adjusted</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1260" w:type="dxa"/>
            <w:vAlign w:val="bottom"/>
            <w:gridSpan w:val="3"/>
          </w:tcPr>
          <w:p>
            <w:pPr>
              <w:jc w:val="center"/>
              <w:spacing w:after="0" w:line="120" w:lineRule="exact"/>
              <w:rPr>
                <w:sz w:val="20"/>
                <w:szCs w:val="20"/>
                <w:color w:val="auto"/>
              </w:rPr>
            </w:pPr>
            <w:r>
              <w:rPr>
                <w:rFonts w:ascii="Times New Roman" w:cs="Times New Roman" w:eastAsia="Times New Roman" w:hAnsi="Times New Roman"/>
                <w:sz w:val="11"/>
                <w:szCs w:val="11"/>
                <w:color w:val="auto"/>
                <w:w w:val="98"/>
              </w:rPr>
              <w:t>(in thousands)</w:t>
            </w: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Balance Sheet Data in accordance with Israel GAAP:</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including short-term deposits and designated cash</w:t>
            </w: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  8,377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Working capital, net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(28,172)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576,425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750,612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347,000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70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246,117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492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8</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49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3175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-1711325</wp:posOffset>
            </wp:positionV>
            <wp:extent cx="13335"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-1585595</wp:posOffset>
            </wp:positionV>
            <wp:extent cx="1333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-1585595</wp:posOffset>
            </wp:positionV>
            <wp:extent cx="1333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-1466850</wp:posOffset>
            </wp:positionV>
            <wp:extent cx="1333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-1354455</wp:posOffset>
            </wp:positionV>
            <wp:extent cx="1333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-1354455</wp:posOffset>
            </wp:positionV>
            <wp:extent cx="13335"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-1228725</wp:posOffset>
            </wp:positionV>
            <wp:extent cx="13335"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-1228725</wp:posOffset>
            </wp:positionV>
            <wp:extent cx="13335" cy="63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-1102995</wp:posOffset>
            </wp:positionV>
            <wp:extent cx="1333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-1102995</wp:posOffset>
            </wp:positionV>
            <wp:extent cx="1333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-977900</wp:posOffset>
            </wp:positionV>
            <wp:extent cx="1333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-977900</wp:posOffset>
            </wp:positionV>
            <wp:extent cx="1333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-852170</wp:posOffset>
            </wp:positionV>
            <wp:extent cx="1333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-852170</wp:posOffset>
            </wp:positionV>
            <wp:extent cx="1333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-726440</wp:posOffset>
            </wp:positionV>
            <wp:extent cx="1333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-726440</wp:posOffset>
            </wp:positionV>
            <wp:extent cx="1333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-600710</wp:posOffset>
            </wp:positionV>
            <wp:extent cx="1333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-600710</wp:posOffset>
            </wp:positionV>
            <wp:extent cx="1333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-534670</wp:posOffset>
            </wp:positionV>
            <wp:extent cx="6350" cy="660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89" w:lineRule="exact"/>
        <w:rPr>
          <w:sz w:val="20"/>
          <w:szCs w:val="20"/>
          <w:color w:val="auto"/>
        </w:rPr>
      </w:pPr>
    </w:p>
    <w:p>
      <w:pPr>
        <w:ind w:right="4059"/>
        <w:spacing w:after="0" w:line="282" w:lineRule="auto"/>
        <w:rPr>
          <w:sz w:val="20"/>
          <w:szCs w:val="20"/>
          <w:color w:val="auto"/>
        </w:rPr>
      </w:pPr>
      <w:r>
        <w:rPr>
          <w:rFonts w:ascii="Times New Roman" w:cs="Times New Roman" w:eastAsia="Times New Roman" w:hAnsi="Times New Roman"/>
          <w:sz w:val="14"/>
          <w:szCs w:val="14"/>
          <w:i w:val="1"/>
          <w:iCs w:val="1"/>
          <w:color w:val="auto"/>
        </w:rPr>
        <w:t>You should carefully consider the following factors, together with all of the other information in this prospectus before deciding to invest in the shares.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Affecting Our Business</w:t>
      </w:r>
    </w:p>
    <w:p>
      <w:pPr>
        <w:spacing w:after="0" w:line="78" w:lineRule="exact"/>
        <w:rPr>
          <w:sz w:val="20"/>
          <w:szCs w:val="20"/>
          <w:color w:val="auto"/>
        </w:rPr>
      </w:pPr>
    </w:p>
    <w:p>
      <w:pPr>
        <w:ind w:right="3939"/>
        <w:spacing w:after="0" w:line="282" w:lineRule="auto"/>
        <w:rPr>
          <w:sz w:val="20"/>
          <w:szCs w:val="20"/>
          <w:color w:val="auto"/>
        </w:rPr>
      </w:pPr>
      <w:r>
        <w:rPr>
          <w:rFonts w:ascii="Times New Roman" w:cs="Times New Roman" w:eastAsia="Times New Roman" w:hAnsi="Times New Roman"/>
          <w:sz w:val="14"/>
          <w:szCs w:val="14"/>
          <w:b w:val="1"/>
          <w:bCs w:val="1"/>
          <w:color w:val="auto"/>
        </w:rPr>
        <w:t>If we do not complete the equipment installation, technology transfer and ramp-up of production in Fab 2, our business will be materially adversely affected.</w:t>
      </w:r>
    </w:p>
    <w:p>
      <w:pPr>
        <w:spacing w:after="0" w:line="40" w:lineRule="exact"/>
        <w:rPr>
          <w:sz w:val="20"/>
          <w:szCs w:val="20"/>
          <w:color w:val="auto"/>
        </w:rPr>
      </w:pPr>
    </w:p>
    <w:p>
      <w:pPr>
        <w:ind w:right="4019"/>
        <w:spacing w:after="0" w:line="252" w:lineRule="auto"/>
        <w:rPr>
          <w:sz w:val="20"/>
          <w:szCs w:val="20"/>
          <w:color w:val="auto"/>
        </w:rPr>
      </w:pPr>
      <w:r>
        <w:rPr>
          <w:rFonts w:ascii="Times New Roman" w:cs="Times New Roman" w:eastAsia="Times New Roman" w:hAnsi="Times New Roman"/>
          <w:sz w:val="14"/>
          <w:szCs w:val="14"/>
          <w:color w:val="auto"/>
        </w:rPr>
        <w:t>We have completed the construction of Fab 2 but not the acquisition, installation and equipping necessary for production at our planned full capacity of 33,000 200-mm wafer starts per month, which we expect to reach by the end of 2006. We will also need to transfer 0.13 micron technology from Motorola to Fab 2 and develop new process technologies for Fab 2 in order to suit our customers' needs. The ramp-up of Fab 2 is a substantial and complex project. We may experience difficulties customary for projects of this type in the installation, functionality and operation of the Fab 2 equipment during its early manufacturing period.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59" w:lineRule="exact"/>
        <w:rPr>
          <w:sz w:val="20"/>
          <w:szCs w:val="20"/>
          <w:color w:val="auto"/>
        </w:rPr>
      </w:pPr>
    </w:p>
    <w:p>
      <w:pPr>
        <w:ind w:right="4039"/>
        <w:spacing w:after="0" w:line="282" w:lineRule="auto"/>
        <w:rPr>
          <w:sz w:val="20"/>
          <w:szCs w:val="20"/>
          <w:color w:val="auto"/>
        </w:rPr>
      </w:pPr>
      <w:r>
        <w:rPr>
          <w:rFonts w:ascii="Times New Roman" w:cs="Times New Roman" w:eastAsia="Times New Roman" w:hAnsi="Times New Roman"/>
          <w:sz w:val="14"/>
          <w:szCs w:val="14"/>
          <w:b w:val="1"/>
          <w:bCs w:val="1"/>
          <w:color w:val="auto"/>
        </w:rPr>
        <w:t>If we do not have sufficient funds to complete the Fab 2 project, our business will be materially adversely affected.</w:t>
      </w:r>
    </w:p>
    <w:p>
      <w:pPr>
        <w:spacing w:after="0" w:line="40" w:lineRule="exact"/>
        <w:rPr>
          <w:sz w:val="20"/>
          <w:szCs w:val="20"/>
          <w:color w:val="auto"/>
        </w:rPr>
      </w:pPr>
    </w:p>
    <w:p>
      <w:pPr>
        <w:ind w:right="3919"/>
        <w:spacing w:after="0" w:line="254" w:lineRule="auto"/>
        <w:rPr>
          <w:sz w:val="20"/>
          <w:szCs w:val="20"/>
          <w:color w:val="auto"/>
        </w:rPr>
      </w:pPr>
      <w:r>
        <w:rPr>
          <w:rFonts w:ascii="Times New Roman" w:cs="Times New Roman" w:eastAsia="Times New Roman" w:hAnsi="Times New Roman"/>
          <w:sz w:val="14"/>
          <w:szCs w:val="14"/>
          <w:color w:val="auto"/>
        </w:rPr>
        <w:t>We estimate that, after giving effect to this offering, we will need approximately an additional $270 million to finance the total cost of Fab 2 until we reach full capacity (including cash flow from operations and assuming proceeds from this offering of $85.6 million). Additionally, the actual cost of Fab 2 may exceed our estimates. If we cannot successfully raise sufficient funding to complete the ramp-up to 33,000 wafer starts per month, we will be required to scale back our equipment purchases and capacity forecasts, and, as a result, we will not fully utilize the substantial investment made in constructing Fab 2, which will adversely affect our financial results.</w:t>
      </w:r>
    </w:p>
    <w:p>
      <w:pPr>
        <w:spacing w:after="0" w:line="58" w:lineRule="exact"/>
        <w:rPr>
          <w:sz w:val="20"/>
          <w:szCs w:val="20"/>
          <w:color w:val="auto"/>
        </w:rPr>
      </w:pPr>
    </w:p>
    <w:p>
      <w:pPr>
        <w:jc w:val="both"/>
        <w:ind w:right="4039"/>
        <w:spacing w:after="0" w:line="265" w:lineRule="auto"/>
        <w:rPr>
          <w:sz w:val="20"/>
          <w:szCs w:val="20"/>
          <w:color w:val="auto"/>
        </w:rPr>
      </w:pPr>
      <w:r>
        <w:rPr>
          <w:rFonts w:ascii="Times New Roman" w:cs="Times New Roman" w:eastAsia="Times New Roman" w:hAnsi="Times New Roman"/>
          <w:sz w:val="14"/>
          <w:szCs w:val="14"/>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ectPr>
          <w:pgSz w:w="11900" w:h="16838" w:orient="portrait"/>
          <w:cols w:equalWidth="0" w:num="1">
            <w:col w:w="10239"/>
          </w:cols>
          <w:pgMar w:left="220" w:top="185" w:right="1440" w:bottom="0" w:gutter="0" w:footer="0" w:header="0"/>
        </w:sectPr>
      </w:pPr>
    </w:p>
    <w:bookmarkStart w:id="5" w:name="page6"/>
    <w:bookmarkEnd w:id="5"/>
    <w:p>
      <w:pPr>
        <w:ind w:right="3959"/>
        <w:spacing w:after="0" w:line="251" w:lineRule="auto"/>
        <w:rPr>
          <w:sz w:val="20"/>
          <w:szCs w:val="20"/>
          <w:color w:val="auto"/>
        </w:rPr>
      </w:pPr>
      <w:r>
        <w:rPr>
          <w:rFonts w:ascii="Times New Roman" w:cs="Times New Roman" w:eastAsia="Times New Roman" w:hAnsi="Times New Roman"/>
          <w:sz w:val="14"/>
          <w:szCs w:val="14"/>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Our operating results for 1996 through 1999 were harmed by a downturn in the semiconductor market that resulted in reduced orders, underutilization of our facility and severe price erosion. Although utilization and average sale prices improved during 2000, demand slowed in the overall semiconductor market and in many of our end product markets beginning in the fourth quarter of 2000. This slowing in demand deepened in 2001 and continued in 2002. While sales increased in each of the first three quarters of 2002, and have continued to improve through the first half of 2003, we experienced a decrease in the sales of Fab 1 in the third quarter of 2003. Although the semiconductor industry appears to be recovering, we cannot be assured that this overall recovery will continue or that we will benefit from it through an increase in demand for our products, resulting in an improvement in our financial results.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have a recent history of operating losses and expect to operate at a loss through the forseeable future.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facilities must operate at high utilization rate for us to be profitable.</w:t>
      </w:r>
    </w:p>
    <w:p>
      <w:pPr>
        <w:spacing w:after="0" w:line="74" w:lineRule="exact"/>
        <w:rPr>
          <w:sz w:val="20"/>
          <w:szCs w:val="20"/>
          <w:color w:val="auto"/>
        </w:rPr>
      </w:pPr>
    </w:p>
    <w:p>
      <w:pPr>
        <w:ind w:right="3919"/>
        <w:spacing w:after="0" w:line="253" w:lineRule="auto"/>
        <w:rPr>
          <w:sz w:val="20"/>
          <w:szCs w:val="20"/>
          <w:color w:val="auto"/>
        </w:rPr>
      </w:pPr>
      <w:r>
        <w:rPr>
          <w:rFonts w:ascii="Times New Roman" w:cs="Times New Roman" w:eastAsia="Times New Roman" w:hAnsi="Times New Roman"/>
          <w:sz w:val="14"/>
          <w:szCs w:val="14"/>
          <w:color w:val="auto"/>
        </w:rPr>
        <w:t>We operated at a loss for the last five years and expect to operate at a loss for the foreseeable future. Our facility operated significantly below capacity from 1996 through 2003. Because fixed costs represent a substantial portion of the operating costs of semiconductor manufacturing operations, we must operate our facilities at a high utilization rate. We are currently operating Fab 1 at a capacity utilization of approximately 50%. During the third quarter of 2003, we completed the construction of Fab 2, the qualification of process technologies and the start of ramp-up of production. These technologies and other Fab 2 assets have started to incur significant operating expenses as well as depreciation and amortization expenses.</w:t>
      </w:r>
    </w:p>
    <w:p>
      <w:pPr>
        <w:spacing w:after="0" w:line="19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be able to capitalize on an increase in demand for foundry services.</w:t>
      </w:r>
    </w:p>
    <w:p>
      <w:pPr>
        <w:spacing w:after="0" w:line="91" w:lineRule="exact"/>
        <w:rPr>
          <w:sz w:val="20"/>
          <w:szCs w:val="20"/>
          <w:color w:val="auto"/>
        </w:rPr>
      </w:pPr>
    </w:p>
    <w:p>
      <w:pPr>
        <w:ind w:right="3899"/>
        <w:spacing w:after="0" w:line="253" w:lineRule="auto"/>
        <w:rPr>
          <w:sz w:val="20"/>
          <w:szCs w:val="20"/>
          <w:color w:val="auto"/>
        </w:rPr>
      </w:pPr>
      <w:r>
        <w:rPr>
          <w:rFonts w:ascii="Times New Roman" w:cs="Times New Roman" w:eastAsia="Times New Roman" w:hAnsi="Times New Roman"/>
          <w:sz w:val="14"/>
          <w:szCs w:val="14"/>
          <w:color w:val="auto"/>
        </w:rPr>
        <w:t>We are ramping-up Fab 2 based on our expectations of customer demand. In order for demand for our wafer fabrication services to increase, the markets for the end products using these services must develop and expand. For example, the success of our imaging process technologies will depend, in part, on the growth of markets for digital photography and video.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w:t>
      </w:r>
    </w:p>
    <w:p>
      <w:pPr>
        <w:spacing w:after="0" w:line="59" w:lineRule="exact"/>
        <w:rPr>
          <w:sz w:val="20"/>
          <w:szCs w:val="20"/>
          <w:color w:val="auto"/>
        </w:rPr>
      </w:pPr>
    </w:p>
    <w:p>
      <w:pPr>
        <w:ind w:right="3999"/>
        <w:spacing w:after="0" w:line="282" w:lineRule="auto"/>
        <w:rPr>
          <w:sz w:val="20"/>
          <w:szCs w:val="20"/>
          <w:color w:val="auto"/>
        </w:rPr>
      </w:pPr>
      <w:r>
        <w:rPr>
          <w:rFonts w:ascii="Times New Roman" w:cs="Times New Roman" w:eastAsia="Times New Roman" w:hAnsi="Times New Roman"/>
          <w:sz w:val="14"/>
          <w:szCs w:val="14"/>
          <w:b w:val="1"/>
          <w:bCs w:val="1"/>
          <w:color w:val="auto"/>
        </w:rPr>
        <w:t>If we do not meet conditions to receive the Israeli government grants and tax benefits approved for Fab 2, we may be required to seek alternative financing sources.</w:t>
      </w:r>
    </w:p>
    <w:p>
      <w:pPr>
        <w:spacing w:after="0" w:line="40" w:lineRule="exact"/>
        <w:rPr>
          <w:sz w:val="20"/>
          <w:szCs w:val="20"/>
          <w:color w:val="auto"/>
        </w:rPr>
      </w:pPr>
    </w:p>
    <w:p>
      <w:pPr>
        <w:ind w:right="3919"/>
        <w:spacing w:after="0" w:line="250" w:lineRule="auto"/>
        <w:rPr>
          <w:sz w:val="20"/>
          <w:szCs w:val="20"/>
          <w:color w:val="auto"/>
        </w:rPr>
      </w:pPr>
      <w:r>
        <w:rPr>
          <w:rFonts w:ascii="Times New Roman" w:cs="Times New Roman" w:eastAsia="Times New Roman" w:hAnsi="Times New Roman"/>
          <w:sz w:val="14"/>
          <w:szCs w:val="14"/>
          <w:color w:val="auto"/>
        </w:rPr>
        <w:t>In connection with Fab 2, we received approval for grants and tax benefits from the Investment Center of the government of Israel under its Approved Enterprise Program. Under the terms of the approval, we are eligible to receive grants of 20% of up to $1.25 billion invested in Fab 2 plant and equipment, or an aggregate of up to $250 million. As of September 30, 2003, we have received approximately $112 million in grants from the Investment Center. The Investment Center requires that we complete our Fab 2 investments and achieve full production capacity of 33,000 wafer starts per month by the end of 2005, and Israeli law limits the ability of the Investment Center to extend this time limitation, unless an exempting amendment to this law is adopted by the Israeli parliament. We have notified the Investment Center of our revised investment schedule and lower than initially projected expectations for Fab 2 sales; this information is currently being evaluated by the Investment Center. While the Investment Center has continued to fund the grant to us under our Approved Enterprise Program, we cannot assure you that it will continue to do so if it does not accept our revised investment schedule. In addition, even if the Investment Center accepts our revised schedule, any failure by us to meet the conditions of our grant may result in the cancellation of all or a portion of our grants and tax benefits and in the Investment Center requiring us to repay all or a portion of previous grants, which total $112 million as of September 30, 2003. If this were to happen, we would be required to seek alternative financing sources to complete the ramp-up of Fab 2, which may have an adverse effect on our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we do not attract additional customers, our business will be adversely affected.</w:t>
      </w:r>
    </w:p>
    <w:p>
      <w:pPr>
        <w:spacing w:after="0" w:line="91" w:lineRule="exact"/>
        <w:rPr>
          <w:sz w:val="20"/>
          <w:szCs w:val="20"/>
          <w:color w:val="auto"/>
        </w:rPr>
      </w:pPr>
    </w:p>
    <w:p>
      <w:pPr>
        <w:ind w:right="3939"/>
        <w:spacing w:after="0" w:line="251" w:lineRule="auto"/>
        <w:rPr>
          <w:sz w:val="20"/>
          <w:szCs w:val="20"/>
          <w:color w:val="auto"/>
        </w:rPr>
      </w:pPr>
      <w:r>
        <w:rPr>
          <w:rFonts w:ascii="Times New Roman" w:cs="Times New Roman" w:eastAsia="Times New Roman" w:hAnsi="Times New Roman"/>
          <w:sz w:val="14"/>
          <w:szCs w:val="14"/>
          <w:color w:val="auto"/>
        </w:rPr>
        <w:t>For the first nine months of 2003, approximately 64% of our business was generated by four customers, National Semiconductor (26%), Motorola, (15%), FillFactory (12%) and SanDisk (11%). We expect to continue to receive a significant portion of our revenue from a limited number of customers, with SanDisk, our largest Fab 2 customer, accounting for a significant portion of the revenues we expect to generate from Fab 2 in 2004. Loss or cancellation of business from, or decreases in, the sales volume or sales prices to these customers could seriously harm our financial results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which could harm our financial results.</w:t>
      </w:r>
    </w:p>
    <w:p>
      <w:pPr>
        <w:spacing w:after="0" w:line="61" w:lineRule="exact"/>
        <w:rPr>
          <w:sz w:val="20"/>
          <w:szCs w:val="20"/>
          <w:color w:val="auto"/>
        </w:rPr>
      </w:pPr>
    </w:p>
    <w:p>
      <w:pPr>
        <w:ind w:right="4459"/>
        <w:spacing w:after="0" w:line="282" w:lineRule="auto"/>
        <w:rPr>
          <w:sz w:val="20"/>
          <w:szCs w:val="20"/>
          <w:color w:val="auto"/>
        </w:rPr>
      </w:pPr>
      <w:r>
        <w:rPr>
          <w:rFonts w:ascii="Times New Roman" w:cs="Times New Roman" w:eastAsia="Times New Roman" w:hAnsi="Times New Roman"/>
          <w:sz w:val="14"/>
          <w:szCs w:val="14"/>
          <w:b w:val="1"/>
          <w:bCs w:val="1"/>
          <w:color w:val="auto"/>
        </w:rPr>
        <w:t>If we do not receive orders from our wafer partners and technology providers we may have excess capacity.</w:t>
      </w:r>
    </w:p>
    <w:p>
      <w:pPr>
        <w:spacing w:after="0" w:line="40"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color w:val="auto"/>
        </w:rPr>
        <w:t>We have entered into wafer partner agreements and agreements with technology providers under which we have committed a portion of our Fab 2 capacity for future orders from these parties. During the ramp-up of Fab 2, our capacity commitments are limited to a percentage of our capacity. These parties are generally not obligated to utilize or pay for all or any portion of their allocated capacity, and generally must confirm their orders to us only three months in advance. If these parties do not place orders with us, we may have unutilized capacity, which we may be unable to fill and could harm our financial results. In addition, in connection with their investments in the Fab 2 project, our wafer partners have been issued credits which may be used to reduce the cash amounts to be paid by them when</w:t>
      </w:r>
    </w:p>
    <w:p>
      <w:pPr>
        <w:spacing w:after="0" w:line="19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79"/>
        <w:spacing w:after="0" w:line="279" w:lineRule="auto"/>
        <w:rPr>
          <w:sz w:val="20"/>
          <w:szCs w:val="20"/>
          <w:color w:val="auto"/>
        </w:rPr>
      </w:pPr>
      <w:r>
        <w:rPr>
          <w:rFonts w:ascii="Times New Roman" w:cs="Times New Roman" w:eastAsia="Times New Roman" w:hAnsi="Times New Roman"/>
          <w:sz w:val="14"/>
          <w:szCs w:val="14"/>
          <w:color w:val="auto"/>
        </w:rPr>
        <w:t>paying for wafers manufactured in Fab 2. Our major wafer partners have recently agreed to defer the use of their credits until 2007.</w:t>
      </w:r>
    </w:p>
    <w:p>
      <w:pPr>
        <w:spacing w:after="0" w:line="40" w:lineRule="exact"/>
        <w:rPr>
          <w:sz w:val="20"/>
          <w:szCs w:val="20"/>
          <w:color w:val="auto"/>
        </w:rPr>
      </w:pPr>
    </w:p>
    <w:p>
      <w:pPr>
        <w:ind w:right="4039"/>
        <w:spacing w:after="0" w:line="282" w:lineRule="auto"/>
        <w:rPr>
          <w:sz w:val="20"/>
          <w:szCs w:val="20"/>
          <w:color w:val="auto"/>
        </w:rPr>
      </w:pPr>
      <w:r>
        <w:rPr>
          <w:rFonts w:ascii="Times New Roman" w:cs="Times New Roman" w:eastAsia="Times New Roman" w:hAnsi="Times New Roman"/>
          <w:sz w:val="14"/>
          <w:szCs w:val="14"/>
          <w:b w:val="1"/>
          <w:bCs w:val="1"/>
          <w:color w:val="auto"/>
        </w:rPr>
        <w:t>If we do not maintain and develop our technology processes and services, we will lose customers and may not be able to attract new ones.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semiconductor market is characterized by rapid change, including the following:</w:t>
      </w:r>
    </w:p>
    <w:p>
      <w:pPr>
        <w:spacing w:after="0" w:line="172" w:lineRule="exact"/>
        <w:rPr>
          <w:sz w:val="20"/>
          <w:szCs w:val="20"/>
          <w:color w:val="auto"/>
        </w:rPr>
      </w:pPr>
    </w:p>
    <w:p>
      <w:pPr>
        <w:ind w:left="400" w:hanging="261"/>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rapid technological developments;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industry standards;</w:t>
      </w:r>
    </w:p>
    <w:p>
      <w:pPr>
        <w:sectPr>
          <w:pgSz w:w="11900" w:h="16838" w:orient="portrait"/>
          <w:cols w:equalWidth="0" w:num="1">
            <w:col w:w="10239"/>
          </w:cols>
          <w:pgMar w:left="220" w:top="208" w:right="1440" w:bottom="0" w:gutter="0" w:footer="0" w:header="0"/>
        </w:sectPr>
      </w:pPr>
    </w:p>
    <w:bookmarkStart w:id="6" w:name="page7"/>
    <w:bookmarkEnd w:id="6"/>
    <w:p>
      <w:pPr>
        <w:spacing w:after="0" w:line="10" w:lineRule="exact"/>
        <w:rPr>
          <w:sz w:val="20"/>
          <w:szCs w:val="20"/>
          <w:color w:val="auto"/>
        </w:rPr>
      </w:pPr>
    </w:p>
    <w:p>
      <w:pPr>
        <w:ind w:left="400" w:hanging="261"/>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 requirements;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frequent new product introductions and enhancements; and</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product life cycles with declining prices as products mature.</w:t>
      </w:r>
    </w:p>
    <w:p>
      <w:pPr>
        <w:spacing w:after="0" w:line="172" w:lineRule="exact"/>
        <w:rPr>
          <w:sz w:val="20"/>
          <w:szCs w:val="20"/>
          <w:color w:val="auto"/>
        </w:rPr>
      </w:pPr>
    </w:p>
    <w:p>
      <w:pPr>
        <w:ind w:right="4019"/>
        <w:spacing w:after="0" w:line="254" w:lineRule="auto"/>
        <w:rPr>
          <w:sz w:val="20"/>
          <w:szCs w:val="20"/>
          <w:color w:val="auto"/>
        </w:rPr>
      </w:pPr>
      <w:r>
        <w:rPr>
          <w:rFonts w:ascii="Times New Roman" w:cs="Times New Roman" w:eastAsia="Times New Roman" w:hAnsi="Times New Roman"/>
          <w:sz w:val="14"/>
          <w:szCs w:val="14"/>
          <w:color w:val="auto"/>
        </w:rPr>
        <w:t>In order to maintain our current customer base and attract new customers, we must continue to advance our manufacturing process technologies. We are developing and introducing to production specialized process technologies. We have also licensed 0.18-micron technology from Toshiba and have begun the transfer of 0.13-micron technology from Motorola. We are also working on other independent and joint development projects of technologies for Fab 2. Our ability to achieve and maintain profitable operations depends on the successful development and introduction to production of these processes.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we do not compete effectively, we will lose business to our competitors.</w:t>
      </w:r>
    </w:p>
    <w:p>
      <w:pPr>
        <w:spacing w:after="0" w:line="91" w:lineRule="exact"/>
        <w:rPr>
          <w:sz w:val="20"/>
          <w:szCs w:val="20"/>
          <w:color w:val="auto"/>
        </w:rPr>
      </w:pPr>
    </w:p>
    <w:p>
      <w:pPr>
        <w:ind w:right="4099"/>
        <w:spacing w:after="0" w:line="254" w:lineRule="auto"/>
        <w:rPr>
          <w:sz w:val="20"/>
          <w:szCs w:val="20"/>
          <w:color w:val="auto"/>
        </w:rPr>
      </w:pPr>
      <w:r>
        <w:rPr>
          <w:rFonts w:ascii="Times New Roman" w:cs="Times New Roman" w:eastAsia="Times New Roman" w:hAnsi="Times New Roman"/>
          <w:sz w:val="14"/>
          <w:szCs w:val="14"/>
          <w:color w:val="auto"/>
        </w:rPr>
        <w:t>The semiconductor foundry industry is highly competitive. We compete with approximately 10 independent dedicated foundries, all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ICs. Many of our competitors have one or more of the following competitive advantages over us:</w:t>
      </w:r>
    </w:p>
    <w:p>
      <w:pPr>
        <w:spacing w:after="0" w:line="144" w:lineRule="exact"/>
        <w:rPr>
          <w:sz w:val="20"/>
          <w:szCs w:val="20"/>
          <w:color w:val="auto"/>
        </w:rPr>
      </w:pPr>
    </w:p>
    <w:p>
      <w:pPr>
        <w:ind w:left="400" w:hanging="261"/>
        <w:spacing w:after="0"/>
        <w:tabs>
          <w:tab w:leader="none" w:pos="4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manufacturing capacity;</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multiple and more advanced manufacturing facilities;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advanced technological capabilities;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more diverse and established customer base;</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financial, marketing, distribution and other resources; and/or</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better cost 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do not compete effectively, our results of operations will be materially affected.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have a large amount of debt, which could have significant negative consequences.</w:t>
      </w:r>
    </w:p>
    <w:p>
      <w:pPr>
        <w:spacing w:after="0" w:line="91" w:lineRule="exact"/>
        <w:rPr>
          <w:sz w:val="20"/>
          <w:szCs w:val="20"/>
          <w:color w:val="auto"/>
        </w:rPr>
      </w:pPr>
    </w:p>
    <w:p>
      <w:pPr>
        <w:ind w:right="4159"/>
        <w:spacing w:after="0" w:line="279" w:lineRule="auto"/>
        <w:rPr>
          <w:sz w:val="20"/>
          <w:szCs w:val="20"/>
          <w:color w:val="auto"/>
        </w:rPr>
      </w:pPr>
      <w:r>
        <w:rPr>
          <w:rFonts w:ascii="Times New Roman" w:cs="Times New Roman" w:eastAsia="Times New Roman" w:hAnsi="Times New Roman"/>
          <w:sz w:val="14"/>
          <w:szCs w:val="14"/>
          <w:color w:val="auto"/>
        </w:rPr>
        <w:t>As of December 15, 2003, we had $411 million of bank debt. Our current and future indebtedness could have significant negative consequences, including:</w:t>
      </w:r>
    </w:p>
    <w:p>
      <w:pPr>
        <w:spacing w:after="0" w:line="125" w:lineRule="exact"/>
        <w:rPr>
          <w:sz w:val="20"/>
          <w:szCs w:val="20"/>
          <w:color w:val="auto"/>
        </w:rPr>
      </w:pPr>
    </w:p>
    <w:p>
      <w:pPr>
        <w:ind w:left="400" w:right="4659" w:hanging="261"/>
        <w:spacing w:after="0" w:line="279" w:lineRule="auto"/>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dedication of a substantial portion of our expected cash flow from operations to service our indebtedness;</w:t>
      </w:r>
    </w:p>
    <w:p>
      <w:pPr>
        <w:spacing w:after="0" w:line="125"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general adverse economic and industry conditions;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w:t>
      </w:r>
    </w:p>
    <w:p>
      <w:pPr>
        <w:spacing w:after="0" w:line="172" w:lineRule="exact"/>
        <w:rPr>
          <w:rFonts w:ascii="Times New Roman" w:cs="Times New Roman" w:eastAsia="Times New Roman" w:hAnsi="Times New Roman"/>
          <w:sz w:val="14"/>
          <w:szCs w:val="14"/>
          <w:color w:val="auto"/>
        </w:rPr>
      </w:pPr>
    </w:p>
    <w:p>
      <w:pPr>
        <w:ind w:left="400" w:right="4479" w:hanging="261"/>
        <w:spacing w:after="0" w:line="279" w:lineRule="auto"/>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or reacting to, changes in our business and the industry in which we compete;</w:t>
      </w:r>
    </w:p>
    <w:p>
      <w:pPr>
        <w:spacing w:after="0" w:line="125" w:lineRule="exact"/>
        <w:rPr>
          <w:rFonts w:ascii="Times New Roman" w:cs="Times New Roman" w:eastAsia="Times New Roman" w:hAnsi="Times New Roman"/>
          <w:sz w:val="14"/>
          <w:szCs w:val="14"/>
          <w:color w:val="auto"/>
        </w:rPr>
      </w:pPr>
    </w:p>
    <w:p>
      <w:pPr>
        <w:ind w:left="400" w:right="4559" w:hanging="261"/>
        <w:spacing w:after="0" w:line="279" w:lineRule="auto"/>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competitive disadvantage to less leveraged competitors and competitors that have better access to capital resources; and</w:t>
      </w:r>
    </w:p>
    <w:p>
      <w:pPr>
        <w:spacing w:after="0" w:line="125"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affecting our abilities to make interest payments on our indebtedness.</w:t>
      </w:r>
    </w:p>
    <w:p>
      <w:pPr>
        <w:spacing w:after="0" w:line="170" w:lineRule="exact"/>
        <w:rPr>
          <w:sz w:val="20"/>
          <w:szCs w:val="20"/>
          <w:color w:val="auto"/>
        </w:rPr>
      </w:pPr>
    </w:p>
    <w:p>
      <w:pPr>
        <w:ind w:right="3999"/>
        <w:spacing w:after="0" w:line="282" w:lineRule="auto"/>
        <w:rPr>
          <w:sz w:val="20"/>
          <w:szCs w:val="20"/>
          <w:color w:val="auto"/>
        </w:rPr>
      </w:pPr>
      <w:r>
        <w:rPr>
          <w:rFonts w:ascii="Times New Roman" w:cs="Times New Roman" w:eastAsia="Times New Roman" w:hAnsi="Times New Roman"/>
          <w:sz w:val="14"/>
          <w:szCs w:val="14"/>
          <w:b w:val="1"/>
          <w:bCs w:val="1"/>
          <w:color w:val="auto"/>
        </w:rPr>
        <w:t>If we fail to satisfy the covenants set forth in our amended credit facility, our banks will be able to call our loans.</w:t>
      </w:r>
    </w:p>
    <w:p>
      <w:pPr>
        <w:spacing w:after="0" w:line="40" w:lineRule="exact"/>
        <w:rPr>
          <w:sz w:val="20"/>
          <w:szCs w:val="20"/>
          <w:color w:val="auto"/>
        </w:rPr>
      </w:pPr>
    </w:p>
    <w:p>
      <w:pPr>
        <w:ind w:right="3899"/>
        <w:spacing w:after="0" w:line="276" w:lineRule="auto"/>
        <w:rPr>
          <w:sz w:val="20"/>
          <w:szCs w:val="20"/>
          <w:color w:val="auto"/>
        </w:rPr>
      </w:pPr>
      <w:r>
        <w:rPr>
          <w:rFonts w:ascii="Times New Roman" w:cs="Times New Roman" w:eastAsia="Times New Roman" w:hAnsi="Times New Roman"/>
          <w:sz w:val="13"/>
          <w:szCs w:val="13"/>
          <w:color w:val="auto"/>
        </w:rPr>
        <w:t>Our credit facility requires that we maintain certain financial, capital raising and production milestone covenants. In the past, we failed to meet certain of the requirements of the credit facility. We cannot assure you that we will be successful in satisfying these covenants in the future. Any failure by us to observe covenants or satisfy conditions under the credit facility, some of which are not in our control, may result in the banks accelerating our obligations, which would obligate us to immediately repay all loans made by the banks plus penalties, and the banks would be entitled to exercise the remedies available to them under the credit facility, including enforcement of their lien against all our assets. This would have a material adverse effect on our company.</w:t>
      </w:r>
    </w:p>
    <w:p>
      <w:pPr>
        <w:spacing w:after="0" w:line="19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Israeli banking laws may impose restrictions on the total debt that we may borrow from our banks.</w:t>
      </w:r>
    </w:p>
    <w:p>
      <w:pPr>
        <w:spacing w:after="0" w:line="91" w:lineRule="exact"/>
        <w:rPr>
          <w:sz w:val="20"/>
          <w:szCs w:val="20"/>
          <w:color w:val="auto"/>
        </w:rPr>
      </w:pPr>
    </w:p>
    <w:p>
      <w:pPr>
        <w:ind w:right="3919"/>
        <w:spacing w:after="0" w:line="250" w:lineRule="auto"/>
        <w:rPr>
          <w:sz w:val="20"/>
          <w:szCs w:val="20"/>
          <w:color w:val="auto"/>
        </w:rPr>
      </w:pPr>
      <w:r>
        <w:rPr>
          <w:rFonts w:ascii="Times New Roman" w:cs="Times New Roman" w:eastAsia="Times New Roman" w:hAnsi="Times New Roman"/>
          <w:sz w:val="14"/>
          <w:szCs w:val="14"/>
          <w:color w:val="auto"/>
        </w:rPr>
        <w:t>Pursuant to a recent amendment to a directive published by the Israel Supervisor of Banks, which becomes effective on March 31, 2004, we may be deemed part of a group of borrowers comprised of the Ofer Brothers Group, The Israel Corporation, and other companies which are also included in such group of borrowers pursuant to the directive, including companies under the control or deemed control of these entities. The directive provides that an entity will be subject to limitations on the amount of bank financing available to it if such entity is included within a group of borrowers, to which the amount of debt financing that has been extended from such bank amounts to 30% of such bank's capital, or is a member of one of the bank's six largest borrowers or groups of borrowers to which, collectively, the amount of debt financing that has been extended from a bank amounts to 150% of such bank's capital (gradually reduced to 135% between April 2005 and June 2006). Should our banks exceed these limitations, they may limit our ability to draw on our remaining Fab 2 bank facility ($99 million) and may require us to return some or all of our outstanding borrowings (which were $401 million as of December 15, 2003), each of which may have a material adverse effect on our business, financial condition and results of operations. The directive provides that a bank may request that the Israel Supervisor of Banks exempt certain entities from the scope of the definition of a group of borrowers. Since we do not know whether the directive will impact us, we do not currently intend to request that our banks seek an exemption on our behalf from the Israel Supervisor of Banks. Should we decide to make such a request of our banks, there can be no assurance that our banks would agree to request an exemption from the Israel Supervisor of Banks on our behalf or that the Israel Supervisor of Banks would grant an exemption, if requested.</w:t>
      </w:r>
    </w:p>
    <w:p>
      <w:pPr>
        <w:spacing w:after="0" w:line="61" w:lineRule="exact"/>
        <w:rPr>
          <w:sz w:val="20"/>
          <w:szCs w:val="20"/>
          <w:color w:val="auto"/>
        </w:rPr>
      </w:pPr>
    </w:p>
    <w:p>
      <w:pPr>
        <w:ind w:right="4059"/>
        <w:spacing w:after="0" w:line="282" w:lineRule="auto"/>
        <w:rPr>
          <w:sz w:val="20"/>
          <w:szCs w:val="20"/>
          <w:color w:val="auto"/>
        </w:rPr>
      </w:pPr>
      <w:r>
        <w:rPr>
          <w:rFonts w:ascii="Times New Roman" w:cs="Times New Roman" w:eastAsia="Times New Roman" w:hAnsi="Times New Roman"/>
          <w:sz w:val="14"/>
          <w:szCs w:val="14"/>
          <w:b w:val="1"/>
          <w:bCs w:val="1"/>
          <w:color w:val="auto"/>
        </w:rPr>
        <w:t>If we experience difficulty in achieving acceptable device yields, product performance and delivery times as a result of manufacturing problems, our business will be adversely affected.</w:t>
      </w:r>
    </w:p>
    <w:p>
      <w:pPr>
        <w:spacing w:after="0" w:line="40" w:lineRule="exact"/>
        <w:rPr>
          <w:sz w:val="20"/>
          <w:szCs w:val="20"/>
          <w:color w:val="auto"/>
        </w:rPr>
      </w:pPr>
    </w:p>
    <w:p>
      <w:pPr>
        <w:ind w:right="3919"/>
        <w:spacing w:after="0" w:line="254" w:lineRule="auto"/>
        <w:rPr>
          <w:sz w:val="20"/>
          <w:szCs w:val="20"/>
          <w:color w:val="auto"/>
        </w:rPr>
      </w:pPr>
      <w:r>
        <w:rPr>
          <w:rFonts w:ascii="Times New Roman" w:cs="Times New Roman" w:eastAsia="Times New Roman" w:hAnsi="Times New Roman"/>
          <w:sz w:val="14"/>
          <w:szCs w:val="14"/>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w:t>
      </w:r>
    </w:p>
    <w:p>
      <w:pPr>
        <w:sectPr>
          <w:pgSz w:w="11900" w:h="16848" w:orient="portrait"/>
          <w:cols w:equalWidth="0" w:num="1">
            <w:col w:w="10239"/>
          </w:cols>
          <w:pgMar w:left="220" w:top="125" w:right="1440" w:bottom="0" w:gutter="0" w:footer="0" w:header="0"/>
        </w:sectPr>
      </w:pPr>
    </w:p>
    <w:bookmarkStart w:id="7" w:name="page8"/>
    <w:bookmarkEnd w:id="7"/>
    <w:p>
      <w:pPr>
        <w:jc w:val="both"/>
        <w:ind w:right="4059"/>
        <w:spacing w:after="0" w:line="263" w:lineRule="auto"/>
        <w:rPr>
          <w:sz w:val="20"/>
          <w:szCs w:val="20"/>
          <w:color w:val="auto"/>
        </w:rPr>
      </w:pPr>
      <w:r>
        <w:rPr>
          <w:rFonts w:ascii="Times New Roman" w:cs="Times New Roman" w:eastAsia="Times New Roman" w:hAnsi="Times New Roman"/>
          <w:sz w:val="14"/>
          <w:szCs w:val="14"/>
          <w:color w:val="auto"/>
        </w:rPr>
        <w:t>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52" w:lineRule="exact"/>
        <w:rPr>
          <w:sz w:val="20"/>
          <w:szCs w:val="20"/>
          <w:color w:val="auto"/>
        </w:rPr>
      </w:pPr>
    </w:p>
    <w:p>
      <w:pPr>
        <w:jc w:val="both"/>
        <w:ind w:right="4059"/>
        <w:spacing w:after="0" w:line="282" w:lineRule="auto"/>
        <w:rPr>
          <w:sz w:val="20"/>
          <w:szCs w:val="20"/>
          <w:color w:val="auto"/>
        </w:rPr>
      </w:pPr>
      <w:r>
        <w:rPr>
          <w:rFonts w:ascii="Times New Roman" w:cs="Times New Roman" w:eastAsia="Times New Roman" w:hAnsi="Times New Roman"/>
          <w:sz w:val="14"/>
          <w:szCs w:val="14"/>
          <w:b w:val="1"/>
          <w:bCs w:val="1"/>
          <w:color w:val="auto"/>
        </w:rPr>
        <w:t>If our new chief executive officer is unable to fully transition into his new position, our operations will be adversely affected.</w:t>
      </w:r>
    </w:p>
    <w:p>
      <w:pPr>
        <w:spacing w:after="0" w:line="40" w:lineRule="exact"/>
        <w:rPr>
          <w:sz w:val="20"/>
          <w:szCs w:val="20"/>
          <w:color w:val="auto"/>
        </w:rPr>
      </w:pPr>
    </w:p>
    <w:p>
      <w:pPr>
        <w:ind w:right="4119"/>
        <w:spacing w:after="0" w:line="263" w:lineRule="auto"/>
        <w:rPr>
          <w:sz w:val="20"/>
          <w:szCs w:val="20"/>
          <w:color w:val="auto"/>
        </w:rPr>
      </w:pPr>
      <w:r>
        <w:rPr>
          <w:rFonts w:ascii="Times New Roman" w:cs="Times New Roman" w:eastAsia="Times New Roman" w:hAnsi="Times New Roman"/>
          <w:sz w:val="14"/>
          <w:szCs w:val="14"/>
          <w:color w:val="auto"/>
        </w:rPr>
        <w:t>Our former co-chief executive officers left us in June 2003, after ten years of service. Our new chief executive officer took office in July 2003. If our new chief executive officer is unable to fully transition into his new position, our operations will be adversely affected.</w:t>
      </w:r>
    </w:p>
    <w:p>
      <w:pPr>
        <w:spacing w:after="0" w:line="52" w:lineRule="exact"/>
        <w:rPr>
          <w:sz w:val="20"/>
          <w:szCs w:val="20"/>
          <w:color w:val="auto"/>
        </w:rPr>
      </w:pPr>
    </w:p>
    <w:p>
      <w:pPr>
        <w:ind w:right="4419"/>
        <w:spacing w:after="0" w:line="322" w:lineRule="auto"/>
        <w:rPr>
          <w:sz w:val="20"/>
          <w:szCs w:val="20"/>
          <w:color w:val="auto"/>
        </w:rPr>
      </w:pPr>
      <w:r>
        <w:rPr>
          <w:rFonts w:ascii="Times New Roman" w:cs="Times New Roman" w:eastAsia="Times New Roman" w:hAnsi="Times New Roman"/>
          <w:sz w:val="13"/>
          <w:szCs w:val="13"/>
          <w:b w:val="1"/>
          <w:bCs w:val="1"/>
          <w:color w:val="auto"/>
        </w:rPr>
        <w:t>If we are unable to purchase equipment and raw materials, we will not be able to manufacture our products in a timely fashion, which may result in a loss of existing and potential new customers.</w:t>
      </w:r>
    </w:p>
    <w:p>
      <w:pPr>
        <w:spacing w:after="0" w:line="17" w:lineRule="exact"/>
        <w:rPr>
          <w:sz w:val="20"/>
          <w:szCs w:val="20"/>
          <w:color w:val="auto"/>
        </w:rPr>
      </w:pPr>
    </w:p>
    <w:p>
      <w:pPr>
        <w:ind w:right="3919"/>
        <w:spacing w:after="0" w:line="252" w:lineRule="auto"/>
        <w:rPr>
          <w:sz w:val="20"/>
          <w:szCs w:val="20"/>
          <w:color w:val="auto"/>
        </w:rPr>
      </w:pPr>
      <w:r>
        <w:rPr>
          <w:rFonts w:ascii="Times New Roman" w:cs="Times New Roman" w:eastAsia="Times New Roman" w:hAnsi="Times New Roman"/>
          <w:sz w:val="14"/>
          <w:szCs w:val="14"/>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Manufacturing equipment and raw materials generally are available from several suppliers. In many instances, however, we purchase equipment and raw materials from a single source. Although supplies for manufacturing equipment and raw materials are adequate, shortages could occur due to an interruption of supply or increased industry demand. Any such shortages could result in production delays that could have a material adverse effect on our business and financial condition.</w:t>
      </w:r>
    </w:p>
    <w:p>
      <w:pPr>
        <w:spacing w:after="0" w:line="59" w:lineRule="exact"/>
        <w:rPr>
          <w:sz w:val="20"/>
          <w:szCs w:val="20"/>
          <w:color w:val="auto"/>
        </w:rPr>
      </w:pPr>
    </w:p>
    <w:p>
      <w:pPr>
        <w:ind w:right="4039"/>
        <w:spacing w:after="0" w:line="282" w:lineRule="auto"/>
        <w:rPr>
          <w:sz w:val="20"/>
          <w:szCs w:val="20"/>
          <w:color w:val="auto"/>
        </w:rPr>
      </w:pPr>
      <w:r>
        <w:rPr>
          <w:rFonts w:ascii="Times New Roman" w:cs="Times New Roman" w:eastAsia="Times New Roman" w:hAnsi="Times New Roman"/>
          <w:sz w:val="14"/>
          <w:szCs w:val="14"/>
          <w:b w:val="1"/>
          <w:bCs w:val="1"/>
          <w:color w:val="auto"/>
        </w:rPr>
        <w:t>We must continue to reduce our exposure to currency exchange and interest rate fluctuations, or our cost of operations will increase.</w:t>
      </w:r>
    </w:p>
    <w:p>
      <w:pPr>
        <w:spacing w:after="0" w:line="17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899"/>
        <w:spacing w:after="0" w:line="263" w:lineRule="auto"/>
        <w:rPr>
          <w:sz w:val="20"/>
          <w:szCs w:val="20"/>
          <w:color w:val="auto"/>
        </w:rPr>
      </w:pPr>
      <w:r>
        <w:rPr>
          <w:rFonts w:ascii="Times New Roman" w:cs="Times New Roman" w:eastAsia="Times New Roman" w:hAnsi="Times New Roman"/>
          <w:sz w:val="14"/>
          <w:szCs w:val="14"/>
          <w:color w:val="auto"/>
        </w:rPr>
        <w:t>Almost all of our cash generated from operations and from our financing and investing activities is denominated in dollars and New Israeli Shekels, or NIS. Our expenses and costs are denominated in NIS, dollars, Japanese Yen and Euros. We are, therefore, exposed to the risk of currency exchange rate fluctuations.</w:t>
      </w:r>
    </w:p>
    <w:p>
      <w:pPr>
        <w:spacing w:after="0" w:line="54" w:lineRule="exact"/>
        <w:rPr>
          <w:sz w:val="20"/>
          <w:szCs w:val="20"/>
          <w:color w:val="auto"/>
        </w:rPr>
      </w:pPr>
    </w:p>
    <w:p>
      <w:pPr>
        <w:ind w:right="3999"/>
        <w:spacing w:after="0" w:line="256" w:lineRule="auto"/>
        <w:rPr>
          <w:sz w:val="20"/>
          <w:szCs w:val="20"/>
          <w:color w:val="auto"/>
        </w:rPr>
      </w:pPr>
      <w:r>
        <w:rPr>
          <w:rFonts w:ascii="Times New Roman" w:cs="Times New Roman" w:eastAsia="Times New Roman" w:hAnsi="Times New Roman"/>
          <w:sz w:val="14"/>
          <w:szCs w:val="14"/>
          <w:color w:val="auto"/>
        </w:rPr>
        <w:t>Our borrowings, including the loans contemplated under our Fab 2 credit facility, provide for interest based on a floating LIBOR rate, and we are therefore subject to exposure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as they did pursuant to its recent amendment.</w:t>
      </w:r>
    </w:p>
    <w:p>
      <w:pPr>
        <w:spacing w:after="0" w:line="57" w:lineRule="exact"/>
        <w:rPr>
          <w:sz w:val="20"/>
          <w:szCs w:val="20"/>
          <w:color w:val="auto"/>
        </w:rPr>
      </w:pPr>
    </w:p>
    <w:p>
      <w:pPr>
        <w:ind w:right="4019"/>
        <w:spacing w:after="0" w:line="258" w:lineRule="auto"/>
        <w:rPr>
          <w:sz w:val="20"/>
          <w:szCs w:val="20"/>
          <w:color w:val="auto"/>
        </w:rPr>
      </w:pPr>
      <w:r>
        <w:rPr>
          <w:rFonts w:ascii="Times New Roman" w:cs="Times New Roman" w:eastAsia="Times New Roman" w:hAnsi="Times New Roman"/>
          <w:sz w:val="14"/>
          <w:szCs w:val="14"/>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activities and, following the ramp-up of Fab 2, will increase our financing expenses.</w:t>
      </w:r>
    </w:p>
    <w:p>
      <w:pPr>
        <w:spacing w:after="0" w:line="55" w:lineRule="exact"/>
        <w:rPr>
          <w:sz w:val="20"/>
          <w:szCs w:val="20"/>
          <w:color w:val="auto"/>
        </w:rPr>
      </w:pPr>
    </w:p>
    <w:p>
      <w:pPr>
        <w:ind w:right="3959"/>
        <w:spacing w:after="0" w:line="282" w:lineRule="auto"/>
        <w:rPr>
          <w:sz w:val="20"/>
          <w:szCs w:val="20"/>
          <w:color w:val="auto"/>
        </w:rPr>
      </w:pPr>
      <w:r>
        <w:rPr>
          <w:rFonts w:ascii="Times New Roman" w:cs="Times New Roman" w:eastAsia="Times New Roman" w:hAnsi="Times New Roman"/>
          <w:sz w:val="14"/>
          <w:szCs w:val="14"/>
          <w:b w:val="1"/>
          <w:bCs w:val="1"/>
          <w:color w:val="auto"/>
        </w:rPr>
        <w:t>We depend on intellectual property rights of third parties and failure to maintain or acquire licenses could harm our business.</w:t>
      </w:r>
    </w:p>
    <w:p>
      <w:pPr>
        <w:spacing w:after="0" w:line="40" w:lineRule="exact"/>
        <w:rPr>
          <w:sz w:val="20"/>
          <w:szCs w:val="20"/>
          <w:color w:val="auto"/>
        </w:rPr>
      </w:pPr>
    </w:p>
    <w:p>
      <w:pPr>
        <w:ind w:right="3979"/>
        <w:spacing w:after="0" w:line="253" w:lineRule="auto"/>
        <w:rPr>
          <w:sz w:val="20"/>
          <w:szCs w:val="20"/>
          <w:color w:val="auto"/>
        </w:rPr>
      </w:pPr>
      <w:r>
        <w:rPr>
          <w:rFonts w:ascii="Times New Roman" w:cs="Times New Roman" w:eastAsia="Times New Roman" w:hAnsi="Times New Roman"/>
          <w:sz w:val="14"/>
          <w:szCs w:val="14"/>
          <w:color w:val="auto"/>
        </w:rPr>
        <w:t>We depend on third party intellectual property in order for us to provide foundry and design services to our clients. We believe that we are in compliance with the licensing agreements with the owners of these rights and that the licensing agreements adequately protect our rights. If problems or delays arise with respect to the timely development, quality and provision of such intellectual property to us, our customers' design and production could be delayed, resulting in underutilization of our capacity. Failure to maintain or acquire licenses could harm our business. In addition, license fees and royalties payable under these agreements may impact our margins and operating results.</w:t>
      </w:r>
    </w:p>
    <w:p>
      <w:pPr>
        <w:spacing w:after="0" w:line="59" w:lineRule="exact"/>
        <w:rPr>
          <w:sz w:val="20"/>
          <w:szCs w:val="20"/>
          <w:color w:val="auto"/>
        </w:rPr>
      </w:pPr>
    </w:p>
    <w:p>
      <w:pPr>
        <w:ind w:right="4039"/>
        <w:spacing w:after="0" w:line="282" w:lineRule="auto"/>
        <w:rPr>
          <w:sz w:val="20"/>
          <w:szCs w:val="20"/>
          <w:color w:val="auto"/>
        </w:rPr>
      </w:pPr>
      <w:r>
        <w:rPr>
          <w:rFonts w:ascii="Times New Roman" w:cs="Times New Roman" w:eastAsia="Times New Roman" w:hAnsi="Times New Roman"/>
          <w:sz w:val="14"/>
          <w:szCs w:val="14"/>
          <w:b w:val="1"/>
          <w:bCs w:val="1"/>
          <w:color w:val="auto"/>
        </w:rPr>
        <w:t>Failure to comply with the intellectual property rights of third parties or defend our intellectual property rights could harm our business.</w:t>
      </w:r>
    </w:p>
    <w:p>
      <w:pPr>
        <w:spacing w:after="0" w:line="40" w:lineRule="exact"/>
        <w:rPr>
          <w:sz w:val="20"/>
          <w:szCs w:val="20"/>
          <w:color w:val="auto"/>
        </w:rPr>
      </w:pPr>
    </w:p>
    <w:p>
      <w:pPr>
        <w:ind w:right="3899"/>
        <w:spacing w:after="0" w:line="250" w:lineRule="auto"/>
        <w:rPr>
          <w:sz w:val="20"/>
          <w:szCs w:val="20"/>
          <w:color w:val="auto"/>
        </w:rPr>
      </w:pPr>
      <w:r>
        <w:rPr>
          <w:rFonts w:ascii="Times New Roman" w:cs="Times New Roman" w:eastAsia="Times New Roman" w:hAnsi="Times New Roman"/>
          <w:sz w:val="14"/>
          <w:szCs w:val="14"/>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However, we have been a party to such claims in the past and because of the nature of the industry, we may continue to receive such claims in the future. We and some of our customers have recently received a notice from a technology company claiming that we and our customers are infringing its patent rights. This notice was followed by an offer to license the technology company's patents for an immaterial one-time license payment, and we entered into a license agreement with this company. All other prior claims against us have been resolved through license agreements, the terms of which have not had a material effect on our business. One of these agreements expires at the end of 2005, and we may be unable to extend or renew it on similar terms. In the event any third party were to assert infringement claims against us or our customers, we may have to consider alternatives including, but not limited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3919855"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57" w:lineRule="exact"/>
        <w:rPr>
          <w:sz w:val="20"/>
          <w:szCs w:val="20"/>
          <w:color w:val="auto"/>
        </w:rPr>
      </w:pPr>
    </w:p>
    <w:p>
      <w:pPr>
        <w:ind w:left="280" w:hanging="138"/>
        <w:spacing w:after="0"/>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cross-license agreements;</w:t>
      </w:r>
    </w:p>
    <w:p>
      <w:pPr>
        <w:spacing w:after="0" w:line="182" w:lineRule="exact"/>
        <w:rPr>
          <w:rFonts w:ascii="Times New Roman" w:cs="Times New Roman" w:eastAsia="Times New Roman" w:hAnsi="Times New Roman"/>
          <w:sz w:val="14"/>
          <w:szCs w:val="14"/>
          <w:color w:val="auto"/>
        </w:rPr>
      </w:pPr>
    </w:p>
    <w:p>
      <w:pPr>
        <w:ind w:left="280" w:right="4859" w:hanging="138"/>
        <w:spacing w:after="0" w:line="279" w:lineRule="auto"/>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to acquire licenses to the allegedly infringed patents, which may not be available on commercially reasonable terms, if at all;</w:t>
      </w:r>
    </w:p>
    <w:p>
      <w:pPr>
        <w:spacing w:after="0" w:line="135" w:lineRule="exact"/>
        <w:rPr>
          <w:rFonts w:ascii="Times New Roman" w:cs="Times New Roman" w:eastAsia="Times New Roman" w:hAnsi="Times New Roman"/>
          <w:sz w:val="14"/>
          <w:szCs w:val="14"/>
          <w:color w:val="auto"/>
        </w:rPr>
      </w:pPr>
    </w:p>
    <w:p>
      <w:pPr>
        <w:ind w:left="280" w:right="4199" w:hanging="138"/>
        <w:spacing w:after="0" w:line="279" w:lineRule="auto"/>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discontinuing using certain process technologies, architectures, or designs, which could cause us to stop manufacturing certain ICs if we were unable to design around the allegedly infringed patents;</w:t>
      </w:r>
    </w:p>
    <w:p>
      <w:pPr>
        <w:spacing w:after="0" w:line="135" w:lineRule="exact"/>
        <w:rPr>
          <w:rFonts w:ascii="Times New Roman" w:cs="Times New Roman" w:eastAsia="Times New Roman" w:hAnsi="Times New Roman"/>
          <w:sz w:val="14"/>
          <w:szCs w:val="14"/>
          <w:color w:val="auto"/>
        </w:rPr>
      </w:pPr>
    </w:p>
    <w:p>
      <w:pPr>
        <w:ind w:left="280" w:hanging="138"/>
        <w:spacing w:after="0"/>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fighting the matter in court and paying substantial monetary damages in the event we were to lose; or</w:t>
      </w:r>
    </w:p>
    <w:p>
      <w:pPr>
        <w:spacing w:after="0" w:line="182" w:lineRule="exact"/>
        <w:rPr>
          <w:rFonts w:ascii="Times New Roman" w:cs="Times New Roman" w:eastAsia="Times New Roman" w:hAnsi="Times New Roman"/>
          <w:sz w:val="14"/>
          <w:szCs w:val="14"/>
          <w:color w:val="auto"/>
        </w:rPr>
      </w:pPr>
    </w:p>
    <w:p>
      <w:pPr>
        <w:ind w:left="280" w:hanging="138"/>
        <w:spacing w:after="0"/>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to develop non-infringing technologies, which may not be 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-1017905</wp:posOffset>
            </wp:positionV>
            <wp:extent cx="3919855"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-694055</wp:posOffset>
            </wp:positionV>
            <wp:extent cx="3919855"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-369570</wp:posOffset>
            </wp:positionV>
            <wp:extent cx="391985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391985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52" w:lineRule="exact"/>
        <w:rPr>
          <w:sz w:val="20"/>
          <w:szCs w:val="20"/>
          <w:color w:val="auto"/>
        </w:rPr>
      </w:pPr>
    </w:p>
    <w:p>
      <w:pPr>
        <w:jc w:val="both"/>
        <w:ind w:right="3979"/>
        <w:spacing w:after="0" w:line="263" w:lineRule="auto"/>
        <w:rPr>
          <w:sz w:val="20"/>
          <w:szCs w:val="20"/>
          <w:color w:val="auto"/>
        </w:rPr>
      </w:pPr>
      <w:r>
        <w:rPr>
          <w:rFonts w:ascii="Times New Roman" w:cs="Times New Roman" w:eastAsia="Times New Roman" w:hAnsi="Times New Roman"/>
          <w:sz w:val="14"/>
          <w:szCs w:val="14"/>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w:t>
      </w:r>
    </w:p>
    <w:p>
      <w:pPr>
        <w:spacing w:after="0" w:line="18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19"/>
        <w:spacing w:after="0" w:line="258" w:lineRule="auto"/>
        <w:rPr>
          <w:sz w:val="20"/>
          <w:szCs w:val="20"/>
          <w:color w:val="auto"/>
        </w:rPr>
      </w:pPr>
      <w:r>
        <w:rPr>
          <w:rFonts w:ascii="Times New Roman" w:cs="Times New Roman" w:eastAsia="Times New Roman" w:hAnsi="Times New Roman"/>
          <w:sz w:val="14"/>
          <w:szCs w:val="14"/>
          <w:color w:val="auto"/>
        </w:rPr>
        <w:t>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ectPr>
          <w:pgSz w:w="11900" w:h="16838" w:orient="portrait"/>
          <w:cols w:equalWidth="0" w:num="1">
            <w:col w:w="10239"/>
          </w:cols>
          <w:pgMar w:left="220" w:top="125" w:right="1440" w:bottom="0" w:gutter="0" w:footer="0" w:header="0"/>
        </w:sectPr>
      </w:pPr>
    </w:p>
    <w:bookmarkStart w:id="8" w:name="page9"/>
    <w:bookmarkEnd w:id="8"/>
    <w:p>
      <w:pPr>
        <w:ind w:right="3919"/>
        <w:spacing w:after="0" w:line="252" w:lineRule="auto"/>
        <w:rPr>
          <w:sz w:val="20"/>
          <w:szCs w:val="20"/>
          <w:color w:val="auto"/>
        </w:rPr>
      </w:pPr>
      <w:r>
        <w:rPr>
          <w:rFonts w:ascii="Times New Roman" w:cs="Times New Roman" w:eastAsia="Times New Roman" w:hAnsi="Times New Roman"/>
          <w:sz w:val="14"/>
          <w:szCs w:val="14"/>
          <w:color w:val="auto"/>
        </w:rPr>
        <w:t>As of November 30, 2003, we held 48 patents worldwide. We intend to continue to file patent applications when appropriate to protect our proprietary technologies.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will protect our intellectual property rights to the same extent as the United States. Further, we cannot assure you that we will at all times enforce our patents or other intellectual property rights or that the rights granted under our patents will provide us with a commercial advantage, which could reduce our opportunities to generate revenues.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could be seriously harmed by failure to comply with environmental regulations.</w:t>
      </w:r>
    </w:p>
    <w:p>
      <w:pPr>
        <w:spacing w:after="0" w:line="91" w:lineRule="exact"/>
        <w:rPr>
          <w:sz w:val="20"/>
          <w:szCs w:val="20"/>
          <w:color w:val="auto"/>
        </w:rPr>
      </w:pPr>
    </w:p>
    <w:p>
      <w:pPr>
        <w:ind w:right="3959"/>
        <w:spacing w:after="0" w:line="250" w:lineRule="auto"/>
        <w:rPr>
          <w:sz w:val="20"/>
          <w:szCs w:val="20"/>
          <w:color w:val="auto"/>
        </w:rPr>
      </w:pPr>
      <w:r>
        <w:rPr>
          <w:rFonts w:ascii="Times New Roman" w:cs="Times New Roman" w:eastAsia="Times New Roman" w:hAnsi="Times New Roman"/>
          <w:sz w:val="14"/>
          <w:szCs w:val="14"/>
          <w:color w:val="auto"/>
        </w:rPr>
        <w:t>Our business is subject to a variety of laws and governmental regulations in Israel relating to the use, discharge and disposal of toxic or otherwise hazardous materials used in our production processes. We are currently operating under a conditional permit from the Israeli Ministry of Environmental Affairs concerning the concentration of fluoride in our wastewater. We believe that we are currently in compliance with the terms of our permit, with one exception: we are monitoring the levels of fluoride in accordance with an oral understanding with the Israeli Ministry of Environmental Affairs, which is less frequent than required by the written terms of our permit. If we do not comply with our permit's conditions or with our other understandings with the Ministry, we may be required to allocate financial resources for the implementation of an infrastructure solution in order to be in compliance with all the conditions. We estimate that such an infrastructure solution would be immaterial. While we believe that we currently comply in all other material respects with applicable environmental laws and regulations,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67" w:lineRule="exact"/>
        <w:rPr>
          <w:sz w:val="20"/>
          <w:szCs w:val="20"/>
          <w:color w:val="auto"/>
        </w:rPr>
      </w:pPr>
    </w:p>
    <w:p>
      <w:pPr>
        <w:ind w:right="4399"/>
        <w:spacing w:after="0" w:line="282" w:lineRule="auto"/>
        <w:rPr>
          <w:sz w:val="20"/>
          <w:szCs w:val="20"/>
          <w:color w:val="auto"/>
        </w:rPr>
      </w:pPr>
      <w:r>
        <w:rPr>
          <w:rFonts w:ascii="Times New Roman" w:cs="Times New Roman" w:eastAsia="Times New Roman" w:hAnsi="Times New Roman"/>
          <w:sz w:val="14"/>
          <w:szCs w:val="14"/>
          <w:b w:val="1"/>
          <w:bCs w:val="1"/>
          <w:color w:val="auto"/>
        </w:rPr>
        <w:t>We may be subject to the risk of loss due to fire because the materials we use in our manufacturing processes are highly flammable.</w:t>
      </w:r>
    </w:p>
    <w:p>
      <w:pPr>
        <w:spacing w:after="0" w:line="40" w:lineRule="exact"/>
        <w:rPr>
          <w:sz w:val="20"/>
          <w:szCs w:val="20"/>
          <w:color w:val="auto"/>
        </w:rPr>
      </w:pPr>
    </w:p>
    <w:p>
      <w:pPr>
        <w:ind w:right="3919"/>
        <w:spacing w:after="0" w:line="256" w:lineRule="auto"/>
        <w:rPr>
          <w:sz w:val="20"/>
          <w:szCs w:val="20"/>
          <w:color w:val="auto"/>
        </w:rPr>
      </w:pPr>
      <w:r>
        <w:rPr>
          <w:rFonts w:ascii="Times New Roman" w:cs="Times New Roman" w:eastAsia="Times New Roman" w:hAnsi="Times New Roman"/>
          <w:sz w:val="14"/>
          <w:szCs w:val="14"/>
          <w:color w:val="auto"/>
        </w:rPr>
        <w:t>We use highly flammable materials such as silane and hydrogen in our manufacturing processes and may therefore be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it would reduce manufacturing capacity and reduce revenues.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Possible product returns could harm our business.</w:t>
      </w:r>
    </w:p>
    <w:p>
      <w:pPr>
        <w:spacing w:after="0" w:line="91" w:lineRule="exact"/>
        <w:rPr>
          <w:sz w:val="20"/>
          <w:szCs w:val="20"/>
          <w:color w:val="auto"/>
        </w:rPr>
      </w:pPr>
    </w:p>
    <w:p>
      <w:pPr>
        <w:ind w:right="3959"/>
        <w:spacing w:after="0" w:line="258" w:lineRule="auto"/>
        <w:rPr>
          <w:sz w:val="20"/>
          <w:szCs w:val="20"/>
          <w:color w:val="auto"/>
        </w:rPr>
      </w:pPr>
      <w:r>
        <w:rPr>
          <w:rFonts w:ascii="Times New Roman" w:cs="Times New Roman" w:eastAsia="Times New Roman" w:hAnsi="Times New Roman"/>
          <w:sz w:val="14"/>
          <w:szCs w:val="14"/>
          <w:color w:val="auto"/>
        </w:rPr>
        <w:t>Products manufactured by us are subject to return for specified periods if they are defective or otherwise fail to meet customers' specifications. Although we establish what we believe to be reasonable reserves against possible product returns based on our past experience, product returns in excess of such reserves may have an adverse effect on our business and financial condition.</w:t>
      </w:r>
    </w:p>
    <w:p>
      <w:pPr>
        <w:spacing w:after="0" w:line="55" w:lineRule="exact"/>
        <w:rPr>
          <w:sz w:val="20"/>
          <w:szCs w:val="20"/>
          <w:color w:val="auto"/>
        </w:rPr>
      </w:pPr>
    </w:p>
    <w:p>
      <w:pPr>
        <w:ind w:right="4099"/>
        <w:spacing w:after="0" w:line="282" w:lineRule="auto"/>
        <w:rPr>
          <w:sz w:val="20"/>
          <w:szCs w:val="20"/>
          <w:color w:val="auto"/>
        </w:rPr>
      </w:pPr>
      <w:r>
        <w:rPr>
          <w:rFonts w:ascii="Times New Roman" w:cs="Times New Roman" w:eastAsia="Times New Roman" w:hAnsi="Times New Roman"/>
          <w:sz w:val="14"/>
          <w:szCs w:val="14"/>
          <w:b w:val="1"/>
          <w:bCs w:val="1"/>
          <w:color w:val="auto"/>
        </w:rPr>
        <w:t>We may be required to repay grants to the Israel Investment Center that we received in connection with Fab 1.</w:t>
      </w:r>
    </w:p>
    <w:p>
      <w:pPr>
        <w:spacing w:after="0" w:line="40" w:lineRule="exact"/>
        <w:rPr>
          <w:sz w:val="20"/>
          <w:szCs w:val="20"/>
          <w:color w:val="auto"/>
        </w:rPr>
      </w:pPr>
    </w:p>
    <w:p>
      <w:pPr>
        <w:ind w:right="3979"/>
        <w:spacing w:after="0" w:line="253" w:lineRule="auto"/>
        <w:rPr>
          <w:sz w:val="20"/>
          <w:szCs w:val="20"/>
          <w:color w:val="auto"/>
        </w:rPr>
      </w:pPr>
      <w:r>
        <w:rPr>
          <w:rFonts w:ascii="Times New Roman" w:cs="Times New Roman" w:eastAsia="Times New Roman" w:hAnsi="Times New Roman"/>
          <w:sz w:val="14"/>
          <w:szCs w:val="14"/>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Based on our expected level of Fab 1 revenues and employees for the fourth quarter of</w:t>
      </w:r>
    </w:p>
    <w:p>
      <w:pPr>
        <w:spacing w:after="0" w:line="19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2003, we may be required to repay the Investment Center up to approximately $2.5 million.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are subject to risks related to our international operations.</w:t>
      </w:r>
    </w:p>
    <w:p>
      <w:pPr>
        <w:spacing w:after="0" w:line="91" w:lineRule="exact"/>
        <w:rPr>
          <w:sz w:val="20"/>
          <w:szCs w:val="20"/>
          <w:color w:val="auto"/>
        </w:rPr>
      </w:pPr>
    </w:p>
    <w:p>
      <w:pPr>
        <w:ind w:right="4019"/>
        <w:spacing w:after="0" w:line="279" w:lineRule="auto"/>
        <w:rPr>
          <w:sz w:val="20"/>
          <w:szCs w:val="20"/>
          <w:color w:val="auto"/>
        </w:rPr>
      </w:pPr>
      <w:r>
        <w:rPr>
          <w:rFonts w:ascii="Times New Roman" w:cs="Times New Roman" w:eastAsia="Times New Roman" w:hAnsi="Times New Roman"/>
          <w:sz w:val="14"/>
          <w:szCs w:val="14"/>
          <w:color w:val="auto"/>
        </w:rPr>
        <w:t>In 2003 and 2002, we made substantial sales to customers located in Asia-Pacific and in Europe. Because of our international operations, we are vulnerable to the following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91985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33" w:lineRule="exact"/>
        <w:rPr>
          <w:sz w:val="20"/>
          <w:szCs w:val="20"/>
          <w:color w:val="auto"/>
        </w:rPr>
      </w:pPr>
    </w:p>
    <w:p>
      <w:pPr>
        <w:jc w:val="both"/>
        <w:ind w:left="280" w:right="4179" w:hanging="138"/>
        <w:spacing w:after="0" w:line="263"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price our products primarily in U.S. Dollars. If the Euro, Yen and other currencies weaken relative to the U.S. Dollar, our products may be relatively more expensive in these regions, which could result in a decrease in our sales;</w:t>
      </w:r>
    </w:p>
    <w:p>
      <w:pPr>
        <w:spacing w:after="0" w:line="147" w:lineRule="exact"/>
        <w:rPr>
          <w:rFonts w:ascii="Times New Roman" w:cs="Times New Roman" w:eastAsia="Times New Roman" w:hAnsi="Times New Roman"/>
          <w:sz w:val="14"/>
          <w:szCs w:val="14"/>
          <w:color w:val="auto"/>
        </w:rPr>
      </w:pPr>
    </w:p>
    <w:p>
      <w:pPr>
        <w:ind w:left="280" w:hanging="138"/>
        <w:spacing w:after="0"/>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comply with foreign government regulation;</w:t>
      </w:r>
    </w:p>
    <w:p>
      <w:pPr>
        <w:spacing w:after="0" w:line="182" w:lineRule="exact"/>
        <w:rPr>
          <w:rFonts w:ascii="Times New Roman" w:cs="Times New Roman" w:eastAsia="Times New Roman" w:hAnsi="Times New Roman"/>
          <w:sz w:val="14"/>
          <w:szCs w:val="14"/>
          <w:color w:val="auto"/>
        </w:rPr>
      </w:pPr>
    </w:p>
    <w:p>
      <w:pPr>
        <w:ind w:left="280" w:right="4259" w:hanging="138"/>
        <w:spacing w:after="0" w:line="279"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geopolitical risks such as political and economic instability, potential hostilities and changes in diplomatic and trade relationships;</w:t>
      </w:r>
    </w:p>
    <w:p>
      <w:pPr>
        <w:spacing w:after="0" w:line="135" w:lineRule="exact"/>
        <w:rPr>
          <w:rFonts w:ascii="Times New Roman" w:cs="Times New Roman" w:eastAsia="Times New Roman" w:hAnsi="Times New Roman"/>
          <w:sz w:val="14"/>
          <w:szCs w:val="14"/>
          <w:color w:val="auto"/>
        </w:rPr>
      </w:pPr>
    </w:p>
    <w:p>
      <w:pPr>
        <w:ind w:left="280" w:right="4499" w:hanging="138"/>
        <w:spacing w:after="0" w:line="279"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disasters affecting the countries in which we conduct our business, such as the earthquakes experienced in China, Japan and Taiwan;</w:t>
      </w:r>
    </w:p>
    <w:p>
      <w:pPr>
        <w:spacing w:after="0" w:line="135" w:lineRule="exact"/>
        <w:rPr>
          <w:rFonts w:ascii="Times New Roman" w:cs="Times New Roman" w:eastAsia="Times New Roman" w:hAnsi="Times New Roman"/>
          <w:sz w:val="14"/>
          <w:szCs w:val="14"/>
          <w:color w:val="auto"/>
        </w:rPr>
      </w:pPr>
    </w:p>
    <w:p>
      <w:pPr>
        <w:ind w:left="280" w:right="4099" w:hanging="138"/>
        <w:spacing w:after="0" w:line="279"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sales to our customers or interruption in our manufacturing processes in the Pacific Rim that may arise from regional issues in Asia;</w:t>
      </w:r>
    </w:p>
    <w:p>
      <w:pPr>
        <w:spacing w:after="0" w:line="135" w:lineRule="exact"/>
        <w:rPr>
          <w:rFonts w:ascii="Times New Roman" w:cs="Times New Roman" w:eastAsia="Times New Roman" w:hAnsi="Times New Roman"/>
          <w:sz w:val="14"/>
          <w:szCs w:val="14"/>
          <w:color w:val="auto"/>
        </w:rPr>
      </w:pPr>
    </w:p>
    <w:p>
      <w:pPr>
        <w:ind w:left="280" w:right="4499" w:hanging="138"/>
        <w:spacing w:after="0" w:line="279" w:lineRule="auto"/>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regulatory requirements, tariffs, import and export restrictions and other barriers and restrictions;</w:t>
      </w:r>
    </w:p>
    <w:p>
      <w:pPr>
        <w:spacing w:after="0" w:line="135" w:lineRule="exact"/>
        <w:rPr>
          <w:rFonts w:ascii="Times New Roman" w:cs="Times New Roman" w:eastAsia="Times New Roman" w:hAnsi="Times New Roman"/>
          <w:sz w:val="14"/>
          <w:szCs w:val="14"/>
          <w:color w:val="auto"/>
        </w:rPr>
      </w:pPr>
    </w:p>
    <w:p>
      <w:pPr>
        <w:ind w:left="280" w:hanging="138"/>
        <w:spacing w:after="0"/>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tax rules and regulations;</w:t>
      </w:r>
    </w:p>
    <w:p>
      <w:pPr>
        <w:spacing w:after="0" w:line="182" w:lineRule="exact"/>
        <w:rPr>
          <w:rFonts w:ascii="Times New Roman" w:cs="Times New Roman" w:eastAsia="Times New Roman" w:hAnsi="Times New Roman"/>
          <w:sz w:val="14"/>
          <w:szCs w:val="14"/>
          <w:color w:val="auto"/>
        </w:rPr>
      </w:pPr>
    </w:p>
    <w:p>
      <w:pPr>
        <w:ind w:left="280" w:hanging="138"/>
        <w:spacing w:after="0"/>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 protection of our intellectual property rights; and</w:t>
      </w:r>
    </w:p>
    <w:p>
      <w:pPr>
        <w:spacing w:after="0" w:line="182" w:lineRule="exact"/>
        <w:rPr>
          <w:rFonts w:ascii="Times New Roman" w:cs="Times New Roman" w:eastAsia="Times New Roman" w:hAnsi="Times New Roman"/>
          <w:sz w:val="14"/>
          <w:szCs w:val="14"/>
          <w:color w:val="auto"/>
        </w:rPr>
      </w:pPr>
    </w:p>
    <w:p>
      <w:pPr>
        <w:ind w:left="280" w:hanging="138"/>
        <w:spacing w:after="0"/>
        <w:tabs>
          <w:tab w:leader="none" w:pos="2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product shipments due to local customs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-2101850</wp:posOffset>
            </wp:positionV>
            <wp:extent cx="391985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-1883410</wp:posOffset>
            </wp:positionV>
            <wp:extent cx="391985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-1559560</wp:posOffset>
            </wp:positionV>
            <wp:extent cx="391985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-1235710</wp:posOffset>
            </wp:positionV>
            <wp:extent cx="3919855"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-911860</wp:posOffset>
            </wp:positionV>
            <wp:extent cx="391985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-588010</wp:posOffset>
            </wp:positionV>
            <wp:extent cx="3919855"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-369570</wp:posOffset>
            </wp:positionV>
            <wp:extent cx="391985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3919855"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this Offering and our Ordinary Shares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stock price may decline after the offering and may be volatile in the future.</w:t>
      </w:r>
    </w:p>
    <w:p>
      <w:pPr>
        <w:spacing w:after="0" w:line="91" w:lineRule="exact"/>
        <w:rPr>
          <w:sz w:val="20"/>
          <w:szCs w:val="20"/>
          <w:color w:val="auto"/>
        </w:rPr>
      </w:pPr>
    </w:p>
    <w:p>
      <w:pPr>
        <w:ind w:right="3899"/>
        <w:spacing w:after="0" w:line="263" w:lineRule="auto"/>
        <w:rPr>
          <w:sz w:val="20"/>
          <w:szCs w:val="20"/>
          <w:color w:val="auto"/>
        </w:rPr>
      </w:pPr>
      <w:r>
        <w:rPr>
          <w:rFonts w:ascii="Times New Roman" w:cs="Times New Roman" w:eastAsia="Times New Roman" w:hAnsi="Times New Roman"/>
          <w:sz w:val="14"/>
          <w:szCs w:val="14"/>
          <w:color w:val="auto"/>
        </w:rPr>
        <w:t>The public offering price in this offering will be determined through negotiations between the underwriters and us and may not be indicative of our future market prices. As a result, you may not be able to resell any shares you buy from us at or above the public offering price due to a number of factors, including:</w:t>
      </w:r>
    </w:p>
    <w:p>
      <w:pPr>
        <w:spacing w:after="0" w:line="137" w:lineRule="exact"/>
        <w:rPr>
          <w:sz w:val="20"/>
          <w:szCs w:val="20"/>
          <w:color w:val="auto"/>
        </w:rPr>
      </w:pPr>
    </w:p>
    <w:p>
      <w:pPr>
        <w:ind w:left="400" w:hanging="261"/>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operating results;</w:t>
      </w:r>
    </w:p>
    <w:p>
      <w:pPr>
        <w:spacing w:after="0" w:line="172" w:lineRule="exact"/>
        <w:rPr>
          <w:rFonts w:ascii="Times New Roman" w:cs="Times New Roman" w:eastAsia="Times New Roman" w:hAnsi="Times New Roman"/>
          <w:sz w:val="14"/>
          <w:szCs w:val="14"/>
          <w:color w:val="auto"/>
        </w:rPr>
      </w:pPr>
    </w:p>
    <w:p>
      <w:pPr>
        <w:ind w:left="400" w:right="4359" w:hanging="261"/>
        <w:spacing w:after="0" w:line="279" w:lineRule="auto"/>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expectations as to our future financial performance or changes in financial estimates by securities analysts;</w:t>
      </w:r>
    </w:p>
    <w:p>
      <w:pPr>
        <w:spacing w:after="0" w:line="125"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patents or proprietary rights;</w:t>
      </w:r>
    </w:p>
    <w:p>
      <w:pPr>
        <w:sectPr>
          <w:pgSz w:w="11900" w:h="16838" w:orient="portrait"/>
          <w:cols w:equalWidth="0" w:num="1">
            <w:col w:w="10239"/>
          </w:cols>
          <w:pgMar w:left="220" w:top="208" w:right="1440" w:bottom="0" w:gutter="0" w:footer="0" w:header="0"/>
        </w:sectPr>
      </w:pPr>
    </w:p>
    <w:bookmarkStart w:id="9" w:name="page10"/>
    <w:bookmarkEnd w:id="9"/>
    <w:p>
      <w:pPr>
        <w:ind w:left="400" w:hanging="261"/>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or announcements relating to our collaborative relationship with others;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investors' perceptions;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securities markets;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conditions in the economy or other external factors;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technological innovations by our competitors; and</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and stock price performance of other comparable companies.</w:t>
      </w:r>
    </w:p>
    <w:p>
      <w:pPr>
        <w:spacing w:after="0" w:line="172" w:lineRule="exact"/>
        <w:rPr>
          <w:sz w:val="20"/>
          <w:szCs w:val="20"/>
          <w:color w:val="auto"/>
        </w:rPr>
      </w:pPr>
    </w:p>
    <w:p>
      <w:pPr>
        <w:ind w:right="3959"/>
        <w:spacing w:after="0" w:line="254" w:lineRule="auto"/>
        <w:rPr>
          <w:sz w:val="20"/>
          <w:szCs w:val="20"/>
          <w:color w:val="auto"/>
        </w:rPr>
      </w:pPr>
      <w:r>
        <w:rPr>
          <w:rFonts w:ascii="Times New Roman" w:cs="Times New Roman" w:eastAsia="Times New Roman" w:hAnsi="Times New Roman"/>
          <w:sz w:val="14"/>
          <w:szCs w:val="14"/>
          <w:color w:val="auto"/>
        </w:rPr>
        <w:t>In addition, the stock market in general has experienced extreme volatility that often has been unrelated to the operating performance of particular companies. These broad market and industry fluctuations may adversely affect the trading price of our ordinary shares, regardless of our actual operating performance. In particular, the stock prices for many companies in the semiconductor industry have experienced wide fluctuations, which have often been unrelated to the operating performance of such companies. Such fluctuations may adversely affect the market price of our ordinary shares.</w:t>
      </w:r>
    </w:p>
    <w:p>
      <w:pPr>
        <w:spacing w:after="0" w:line="58" w:lineRule="exact"/>
        <w:rPr>
          <w:sz w:val="20"/>
          <w:szCs w:val="20"/>
          <w:color w:val="auto"/>
        </w:rPr>
      </w:pPr>
    </w:p>
    <w:p>
      <w:pPr>
        <w:ind w:right="3939"/>
        <w:spacing w:after="0" w:line="265" w:lineRule="auto"/>
        <w:rPr>
          <w:sz w:val="20"/>
          <w:szCs w:val="20"/>
          <w:color w:val="auto"/>
        </w:rPr>
      </w:pPr>
      <w:r>
        <w:rPr>
          <w:rFonts w:ascii="Times New Roman" w:cs="Times New Roman" w:eastAsia="Times New Roman" w:hAnsi="Times New Roman"/>
          <w:sz w:val="14"/>
          <w:szCs w:val="14"/>
          <w:b w:val="1"/>
          <w:bCs w:val="1"/>
          <w:color w:val="auto"/>
        </w:rPr>
        <w:t>Issuance of additional shares pursuant to Fab 2 financing arrangements will dilute the interest of our shareholders; we have also issued warrants to our banks and to one of our shareholders and options to our employees that are exercisable into our ordinary shares below our current market price.</w:t>
      </w:r>
    </w:p>
    <w:p>
      <w:pPr>
        <w:spacing w:after="0" w:line="52" w:lineRule="exact"/>
        <w:rPr>
          <w:sz w:val="20"/>
          <w:szCs w:val="20"/>
          <w:color w:val="auto"/>
        </w:rPr>
      </w:pPr>
    </w:p>
    <w:p>
      <w:pPr>
        <w:ind w:right="3939"/>
        <w:spacing w:after="0" w:line="254" w:lineRule="auto"/>
        <w:rPr>
          <w:sz w:val="20"/>
          <w:szCs w:val="20"/>
          <w:color w:val="auto"/>
        </w:rPr>
      </w:pPr>
      <w:r>
        <w:rPr>
          <w:rFonts w:ascii="Times New Roman" w:cs="Times New Roman" w:eastAsia="Times New Roman" w:hAnsi="Times New Roman"/>
          <w:sz w:val="14"/>
          <w:szCs w:val="14"/>
          <w:color w:val="auto"/>
        </w:rPr>
        <w:t>In connection with the Fab 2 project, we have issued to date 39,402,337 ordinary shares to our wafer and equity partners and other shareholders. Upon completion of this offering, we will issue additional shares in connection with the $16.4 million second installment of the fifth and final Fab 2 milestone payments by our wafer and equity partners received in December 2003, based on the price per share in this offering. In January 2001, we issued warrants to our banks exercisable into 400,000 ordinary shares with an exercise price of $6.20. In December 2003, we issued to</w:t>
      </w:r>
    </w:p>
    <w:p>
      <w:pPr>
        <w:spacing w:after="0" w:line="19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899"/>
        <w:spacing w:after="0" w:line="258" w:lineRule="auto"/>
        <w:rPr>
          <w:sz w:val="20"/>
          <w:szCs w:val="20"/>
          <w:color w:val="auto"/>
        </w:rPr>
      </w:pPr>
      <w:r>
        <w:rPr>
          <w:rFonts w:ascii="Times New Roman" w:cs="Times New Roman" w:eastAsia="Times New Roman" w:hAnsi="Times New Roman"/>
          <w:sz w:val="14"/>
          <w:szCs w:val="14"/>
          <w:color w:val="auto"/>
        </w:rPr>
        <w:t>our banks and to one of our shareholders warrants exercisable into 896,596 and 58,906 ordinary shares, respectively, with an exercise price of $6.17. Up to approximately 8.6 million additional ordinary shares may be issued upon the conversion of our outstanding convertible debentures and upon exercise of warrants held by some of our shareholders, our debentureholders and our Fab 2 contractor.</w:t>
      </w:r>
    </w:p>
    <w:p>
      <w:pPr>
        <w:spacing w:after="0" w:line="57" w:lineRule="exact"/>
        <w:rPr>
          <w:sz w:val="20"/>
          <w:szCs w:val="20"/>
          <w:color w:val="auto"/>
        </w:rPr>
      </w:pPr>
    </w:p>
    <w:p>
      <w:pPr>
        <w:ind w:right="3919"/>
        <w:spacing w:after="0" w:line="250" w:lineRule="auto"/>
        <w:rPr>
          <w:sz w:val="20"/>
          <w:szCs w:val="20"/>
          <w:color w:val="auto"/>
        </w:rPr>
      </w:pPr>
      <w:r>
        <w:rPr>
          <w:rFonts w:ascii="Times New Roman" w:cs="Times New Roman" w:eastAsia="Times New Roman" w:hAnsi="Times New Roman"/>
          <w:sz w:val="14"/>
          <w:szCs w:val="14"/>
          <w:color w:val="auto"/>
        </w:rPr>
        <w:t>In addition, we have issued to our employees options to purchase up to 6.9 million shares, of which 3.7 million shares have an exercise price below $7.00. We have also entered into a number of agreements which may result in our issuing large numbers of shares, particularly if we complete the transactions contemplated by these agreements at a time when our share price is low. For example, we have agreed that our wafer partners may elect to convert, on a quarterly basis through 2006, wafer credits we have issued them which may be used to reduce the cash payments to be paid by them when paying for wafers manufactured in Fab 2 into our ordinary shares, based on the average trading price of our ordinary shares during the 15 consecutive trading days preceding the relevant quarter. If our wafer partners purchase an amount of wafers which would otherwise result in their using the full amount of credits available to them and they elect to convert all of these credits into ordinary shares, we will issue them an aggregate of 9.3 million shares, assuming the average trading price of our ordinary shares during the 15 consecutive trading days preceding the last relevant quarter is $5.00; if the average trading price of our ordinary shares is $10.00, we will issue an aggregate of 4.7 million shares. Issuances of these shares will have a substantial dilutive effect on our shareholders.</w:t>
      </w:r>
    </w:p>
    <w:p>
      <w:pPr>
        <w:spacing w:after="0" w:line="67" w:lineRule="exact"/>
        <w:rPr>
          <w:sz w:val="20"/>
          <w:szCs w:val="20"/>
          <w:color w:val="auto"/>
        </w:rPr>
      </w:pPr>
    </w:p>
    <w:p>
      <w:pPr>
        <w:ind w:right="4159"/>
        <w:spacing w:after="0" w:line="282" w:lineRule="auto"/>
        <w:rPr>
          <w:sz w:val="20"/>
          <w:szCs w:val="20"/>
          <w:color w:val="auto"/>
        </w:rPr>
      </w:pPr>
      <w:r>
        <w:rPr>
          <w:rFonts w:ascii="Times New Roman" w:cs="Times New Roman" w:eastAsia="Times New Roman" w:hAnsi="Times New Roman"/>
          <w:sz w:val="14"/>
          <w:szCs w:val="14"/>
          <w:b w:val="1"/>
          <w:bCs w:val="1"/>
          <w:color w:val="auto"/>
        </w:rPr>
        <w:t>Market sales of large amounts of our shares eligible for future sale may lower the price of our ordinary shares</w:t>
      </w:r>
      <w:r>
        <w:rPr>
          <w:rFonts w:ascii="Times New Roman" w:cs="Times New Roman" w:eastAsia="Times New Roman" w:hAnsi="Times New Roman"/>
          <w:sz w:val="14"/>
          <w:szCs w:val="14"/>
          <w:color w:val="auto"/>
        </w:rPr>
        <w:t>.</w:t>
      </w:r>
    </w:p>
    <w:p>
      <w:pPr>
        <w:spacing w:after="0" w:line="40" w:lineRule="exact"/>
        <w:rPr>
          <w:sz w:val="20"/>
          <w:szCs w:val="20"/>
          <w:color w:val="auto"/>
        </w:rPr>
      </w:pPr>
    </w:p>
    <w:p>
      <w:pPr>
        <w:ind w:right="3979"/>
        <w:spacing w:after="0" w:line="254" w:lineRule="auto"/>
        <w:rPr>
          <w:sz w:val="20"/>
          <w:szCs w:val="20"/>
          <w:color w:val="auto"/>
        </w:rPr>
      </w:pPr>
      <w:r>
        <w:rPr>
          <w:rFonts w:ascii="Times New Roman" w:cs="Times New Roman" w:eastAsia="Times New Roman" w:hAnsi="Times New Roman"/>
          <w:sz w:val="14"/>
          <w:szCs w:val="14"/>
          <w:color w:val="auto"/>
        </w:rPr>
        <w:t>Of our 51,696,097 outstanding ordinary shares as of December 15, 2003, 11,895,032 are freely tradable and held by non-affiliates, and an additional 1,073,905 shares held by non-affiliates are eligible for sale pursuant to Rule 144 under the Securities Act of 1933, subject to the time, volume and manner of sale limitations of Rule 144. Of these shares, 476,213 and 597,692 shares will be freely tradable under Rule 144(k) by April 2004 and October 2004, respectively. An additional 80,456 and 67,046 shares held by non-affiliates will be eligible for sale under Rule 144(k) by May 2004 and by December 2004, respectively.</w:t>
      </w:r>
    </w:p>
    <w:p>
      <w:pPr>
        <w:spacing w:after="0" w:line="60" w:lineRule="exact"/>
        <w:rPr>
          <w:sz w:val="20"/>
          <w:szCs w:val="20"/>
          <w:color w:val="auto"/>
        </w:rPr>
      </w:pPr>
    </w:p>
    <w:p>
      <w:pPr>
        <w:ind w:right="3959"/>
        <w:spacing w:after="0" w:line="251" w:lineRule="auto"/>
        <w:rPr>
          <w:sz w:val="20"/>
          <w:szCs w:val="20"/>
          <w:color w:val="auto"/>
        </w:rPr>
      </w:pPr>
      <w:r>
        <w:rPr>
          <w:rFonts w:ascii="Times New Roman" w:cs="Times New Roman" w:eastAsia="Times New Roman" w:hAnsi="Times New Roman"/>
          <w:sz w:val="14"/>
          <w:szCs w:val="14"/>
          <w:color w:val="auto"/>
        </w:rPr>
        <w:t>In addition, certain of our affiliates (ICTech, SanDisk, Alliance Semiconductor, and Macronix) hold 38,579,658 of our shares, of which 4,086,037 are freely tradable and 26,380,558 are currently eligible for sale subject to the time, volume and manner of sale limitations of Rule 144. An additional 4,425,076, 838,082 and 2,849,905 shares held by these affiliates will be eligible for sale under Rule 144 by May 2004, August 2004 and December 2004, respectively, subject to the share transfer restrictions set forth in the shareholders agreement to which they are a party and which remain in effect through January 2008. ICTech and our large wafer partners, as well as our directors and officers, have agreed under written "lock-up" agreements that, for a period of 180 days from the date of this prospectus, they will not sell their shares. Shares purchased by OTPP in 2002 are registered pursuant to an effective shelf registration statement.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61" w:lineRule="exact"/>
        <w:rPr>
          <w:sz w:val="20"/>
          <w:szCs w:val="20"/>
          <w:color w:val="auto"/>
        </w:rPr>
      </w:pPr>
    </w:p>
    <w:p>
      <w:pPr>
        <w:ind w:right="4159"/>
        <w:spacing w:after="0" w:line="282" w:lineRule="auto"/>
        <w:rPr>
          <w:sz w:val="20"/>
          <w:szCs w:val="20"/>
          <w:color w:val="auto"/>
        </w:rPr>
      </w:pPr>
      <w:r>
        <w:rPr>
          <w:rFonts w:ascii="Times New Roman" w:cs="Times New Roman" w:eastAsia="Times New Roman" w:hAnsi="Times New Roman"/>
          <w:sz w:val="14"/>
          <w:szCs w:val="14"/>
          <w:b w:val="1"/>
          <w:bCs w:val="1"/>
          <w:color w:val="auto"/>
        </w:rPr>
        <w:t>Our principal shareholders own a controlling interest in us and will be able to exercise it in ways which may be adverse to your interests.</w:t>
      </w:r>
    </w:p>
    <w:p>
      <w:pPr>
        <w:spacing w:after="0" w:line="40" w:lineRule="exact"/>
        <w:rPr>
          <w:sz w:val="20"/>
          <w:szCs w:val="20"/>
          <w:color w:val="auto"/>
        </w:rPr>
      </w:pPr>
    </w:p>
    <w:p>
      <w:pPr>
        <w:ind w:right="3959"/>
        <w:spacing w:after="0" w:line="273" w:lineRule="auto"/>
        <w:rPr>
          <w:sz w:val="20"/>
          <w:szCs w:val="20"/>
          <w:color w:val="auto"/>
        </w:rPr>
      </w:pPr>
      <w:r>
        <w:rPr>
          <w:rFonts w:ascii="Times New Roman" w:cs="Times New Roman" w:eastAsia="Times New Roman" w:hAnsi="Times New Roman"/>
          <w:sz w:val="13"/>
          <w:szCs w:val="13"/>
          <w:color w:val="auto"/>
        </w:rPr>
        <w:t>Our wafer partners and ICTech own approximately 75% of our outstanding shares. Under our articles of association, two shareholders holding together 33% of our outstanding shares constitute a quorum for conducting a shareholders meeting. Our wafer partners and ICTech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 meetings. If only two large shareholders were to participate in one of our shareholder meetings, these shareholders would determine the outcome of our shareholder meetings without the benefit of the participation of our other shareholders. In addition, even if our other shareholders were to participate in our shareholders meeting in person or by proxy, our wafer partners and The Israel Corporation</w:t>
      </w:r>
    </w:p>
    <w:p>
      <w:pPr>
        <w:spacing w:after="0" w:line="1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119"/>
        <w:spacing w:after="0" w:line="279" w:lineRule="auto"/>
        <w:rPr>
          <w:sz w:val="20"/>
          <w:szCs w:val="20"/>
          <w:color w:val="auto"/>
        </w:rPr>
      </w:pPr>
      <w:r>
        <w:rPr>
          <w:rFonts w:ascii="Times New Roman" w:cs="Times New Roman" w:eastAsia="Times New Roman" w:hAnsi="Times New Roman"/>
          <w:sz w:val="14"/>
          <w:szCs w:val="14"/>
          <w:color w:val="auto"/>
        </w:rPr>
        <w:t>effectively control our company and may exercise this control in a manner adverse to the interests of our other shareholders.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Risks Related to Our Operations in Israel</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Instability in Israel may harm our business.</w:t>
      </w:r>
    </w:p>
    <w:p>
      <w:pPr>
        <w:sectPr>
          <w:pgSz w:w="11900" w:h="16838" w:orient="portrait"/>
          <w:cols w:equalWidth="0" w:num="1">
            <w:col w:w="10239"/>
          </w:cols>
          <w:pgMar w:left="220" w:top="208" w:right="1440" w:bottom="0" w:gutter="0" w:footer="0" w:header="0"/>
        </w:sectPr>
      </w:pPr>
    </w:p>
    <w:bookmarkStart w:id="10" w:name="page11"/>
    <w:bookmarkEnd w:id="10"/>
    <w:p>
      <w:pPr>
        <w:ind w:right="3979"/>
        <w:spacing w:after="0" w:line="279" w:lineRule="auto"/>
        <w:rPr>
          <w:sz w:val="20"/>
          <w:szCs w:val="20"/>
          <w:color w:val="auto"/>
        </w:rPr>
      </w:pPr>
      <w:r>
        <w:rPr>
          <w:rFonts w:ascii="Times New Roman" w:cs="Times New Roman" w:eastAsia="Times New Roman" w:hAnsi="Times New Roman"/>
          <w:sz w:val="14"/>
          <w:szCs w:val="14"/>
          <w:color w:val="auto"/>
        </w:rPr>
        <w:t>All of our manufacturing facilities and our corporate and primary sales offices are located in Israel. Accordingly, political, economic and military conditions in Israel may directly affect our business.</w:t>
      </w:r>
    </w:p>
    <w:p>
      <w:pPr>
        <w:spacing w:after="0" w:line="42" w:lineRule="exact"/>
        <w:rPr>
          <w:sz w:val="20"/>
          <w:szCs w:val="20"/>
          <w:color w:val="auto"/>
        </w:rPr>
      </w:pPr>
    </w:p>
    <w:p>
      <w:pPr>
        <w:ind w:right="3919"/>
        <w:spacing w:after="0" w:line="250" w:lineRule="auto"/>
        <w:rPr>
          <w:sz w:val="20"/>
          <w:szCs w:val="20"/>
          <w:color w:val="auto"/>
        </w:rPr>
      </w:pPr>
      <w:r>
        <w:rPr>
          <w:rFonts w:ascii="Times New Roman" w:cs="Times New Roman" w:eastAsia="Times New Roman" w:hAnsi="Times New Roman"/>
          <w:sz w:val="14"/>
          <w:szCs w:val="14"/>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there has been an increase in unrest and terrorist activity, which began in September 2000 and which has continued with varying levels of severity into 2003.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do not believe that the political and security situation has had any material impact on our business to date; however, we can give no assurance that security and political conditions will have no such effect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is currently experiencing civil unrest, terrorist activity and military action. Since we do not have a detailed disaster recovery plan that would allow us to quickly resume manufacturing,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Our operations may be negatively affected by the obligations of our personnel to perform military service.</w:t>
      </w:r>
    </w:p>
    <w:p>
      <w:pPr>
        <w:spacing w:after="0" w:line="102" w:lineRule="exact"/>
        <w:rPr>
          <w:sz w:val="20"/>
          <w:szCs w:val="20"/>
          <w:color w:val="auto"/>
        </w:rPr>
      </w:pPr>
    </w:p>
    <w:p>
      <w:pPr>
        <w:ind w:right="3979"/>
        <w:spacing w:after="0" w:line="253" w:lineRule="auto"/>
        <w:rPr>
          <w:sz w:val="20"/>
          <w:szCs w:val="20"/>
          <w:color w:val="auto"/>
        </w:rPr>
      </w:pPr>
      <w:r>
        <w:rPr>
          <w:rFonts w:ascii="Times New Roman" w:cs="Times New Roman" w:eastAsia="Times New Roman" w:hAnsi="Times New Roman"/>
          <w:sz w:val="14"/>
          <w:szCs w:val="14"/>
          <w:color w:val="auto"/>
        </w:rPr>
        <w:t>In the event of severe unrest or other conflict, individuals could be required to serve in the military for extended periods of time. In response to the increase in terrorist activity and the renewed Palestinian uprising, there has been a significant call up of military reservists, and it is possible that there will be additional call-ups in the future. Most male Israeli citizens, including our employees, are subject to compulsory military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operations may be affected by negative economic conditions in Israel.</w:t>
      </w:r>
    </w:p>
    <w:p>
      <w:pPr>
        <w:spacing w:after="0" w:line="91" w:lineRule="exact"/>
        <w:rPr>
          <w:sz w:val="20"/>
          <w:szCs w:val="20"/>
          <w:color w:val="auto"/>
        </w:rPr>
      </w:pPr>
    </w:p>
    <w:p>
      <w:pPr>
        <w:ind w:right="3919"/>
        <w:spacing w:after="0" w:line="252" w:lineRule="auto"/>
        <w:rPr>
          <w:sz w:val="20"/>
          <w:szCs w:val="20"/>
          <w:color w:val="auto"/>
        </w:rPr>
      </w:pPr>
      <w:r>
        <w:rPr>
          <w:rFonts w:ascii="Times New Roman" w:cs="Times New Roman" w:eastAsia="Times New Roman" w:hAnsi="Times New Roman"/>
          <w:sz w:val="14"/>
          <w:szCs w:val="14"/>
          <w:color w:val="auto"/>
        </w:rPr>
        <w:t>Israel has been going in recent years through a period of recession in economic activity, resulting in low growth rates and growing unemployment. Our operations could be adversely affected if the economic conditions in Israel continue to deteriorate. In addition, due to significant economic measures proposed by the Israeli Government, there have been several general strikes and work stoppages in 2003, affecting all banks, airports and ports. These strikes have had an adverse effect on the Israeli economy and on business, including our ability to deliver products to our customers or to receive raw materials from our suppliers in a timely manner. Following the passing by the Israeli Parliament of laws to implement the economic measures, the Israeli trade unions have threatened further strikes or work-stoppages, and these may have a material adverse effect on the Israeli economy and us.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If we do not receive a final business license, we may be required to cease our operations.</w:t>
      </w:r>
    </w:p>
    <w:p>
      <w:pPr>
        <w:spacing w:after="0" w:line="91" w:lineRule="exact"/>
        <w:rPr>
          <w:sz w:val="20"/>
          <w:szCs w:val="20"/>
          <w:color w:val="auto"/>
        </w:rPr>
      </w:pPr>
    </w:p>
    <w:p>
      <w:pPr>
        <w:ind w:right="4039"/>
        <w:spacing w:after="0" w:line="258" w:lineRule="auto"/>
        <w:rPr>
          <w:sz w:val="20"/>
          <w:szCs w:val="20"/>
          <w:color w:val="auto"/>
        </w:rPr>
      </w:pPr>
      <w:r>
        <w:rPr>
          <w:rFonts w:ascii="Times New Roman" w:cs="Times New Roman" w:eastAsia="Times New Roman" w:hAnsi="Times New Roman"/>
          <w:sz w:val="14"/>
          <w:szCs w:val="14"/>
          <w:color w:val="auto"/>
        </w:rPr>
        <w:t>The construction of our Fab 2 facility has required us to renew our business license, and we are currently operating under a temporary business license, which will expire at the end of May 2004. We are currently in the process of implementing the conditions for the receipt of a final business license. In the event that we do not receive a final business license, we may be required to pay penalties and if we cannot</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99"/>
        <w:spacing w:after="0" w:line="279" w:lineRule="auto"/>
        <w:rPr>
          <w:sz w:val="20"/>
          <w:szCs w:val="20"/>
          <w:color w:val="auto"/>
        </w:rPr>
      </w:pPr>
      <w:r>
        <w:rPr>
          <w:rFonts w:ascii="Times New Roman" w:cs="Times New Roman" w:eastAsia="Times New Roman" w:hAnsi="Times New Roman"/>
          <w:sz w:val="14"/>
          <w:szCs w:val="14"/>
          <w:color w:val="auto"/>
        </w:rPr>
        <w:t>implement the conditions for the receipt of a final business license, we may be required to modify or cease our operations.</w:t>
      </w:r>
    </w:p>
    <w:p>
      <w:pPr>
        <w:spacing w:after="0" w:line="40" w:lineRule="exact"/>
        <w:rPr>
          <w:sz w:val="20"/>
          <w:szCs w:val="20"/>
          <w:color w:val="auto"/>
        </w:rPr>
      </w:pPr>
    </w:p>
    <w:p>
      <w:pPr>
        <w:ind w:right="3979"/>
        <w:spacing w:after="0" w:line="282" w:lineRule="auto"/>
        <w:rPr>
          <w:sz w:val="20"/>
          <w:szCs w:val="20"/>
          <w:color w:val="auto"/>
        </w:rPr>
      </w:pPr>
      <w:r>
        <w:rPr>
          <w:rFonts w:ascii="Times New Roman" w:cs="Times New Roman" w:eastAsia="Times New Roman" w:hAnsi="Times New Roman"/>
          <w:sz w:val="14"/>
          <w:szCs w:val="14"/>
          <w:b w:val="1"/>
          <w:bCs w:val="1"/>
          <w:color w:val="auto"/>
        </w:rPr>
        <w:t>If the exemption allowing us to operate our manufacturing facilities seven days a week is not renewed, our business will be adversely affected.</w:t>
      </w:r>
    </w:p>
    <w:p>
      <w:pPr>
        <w:spacing w:after="0" w:line="40" w:lineRule="exact"/>
        <w:rPr>
          <w:sz w:val="20"/>
          <w:szCs w:val="20"/>
          <w:color w:val="auto"/>
        </w:rPr>
      </w:pPr>
    </w:p>
    <w:p>
      <w:pPr>
        <w:ind w:right="3919"/>
        <w:spacing w:after="0" w:line="254" w:lineRule="auto"/>
        <w:rPr>
          <w:sz w:val="20"/>
          <w:szCs w:val="20"/>
          <w:color w:val="auto"/>
        </w:rPr>
      </w:pPr>
      <w:r>
        <w:rPr>
          <w:rFonts w:ascii="Times New Roman" w:cs="Times New Roman" w:eastAsia="Times New Roman" w:hAnsi="Times New Roman"/>
          <w:sz w:val="14"/>
          <w:szCs w:val="14"/>
          <w:color w:val="auto"/>
        </w:rPr>
        <w:t>We operate our manufacturing facilities seven days a week pursuant to an exemption from the law that requires businesses in Israel to be closed from sundown on Friday through sundown on Saturday. This exemption, which has been renewed several times in the past, expires on December 31, 2004. In addition, a significant increase in the number of employees permitted to work under this exemption will be needed as we ramp-up production at Fab 2. We expect the exemption to be renewed, but if the exemption is not renewed and we are forced to close the facility for this period each week, our financial results and business will be harmed.</w:t>
      </w:r>
    </w:p>
    <w:p>
      <w:pPr>
        <w:spacing w:after="0" w:line="58" w:lineRule="exact"/>
        <w:rPr>
          <w:sz w:val="20"/>
          <w:szCs w:val="20"/>
          <w:color w:val="auto"/>
        </w:rPr>
      </w:pPr>
    </w:p>
    <w:p>
      <w:pPr>
        <w:ind w:right="3919"/>
        <w:spacing w:after="0" w:line="282" w:lineRule="auto"/>
        <w:rPr>
          <w:sz w:val="20"/>
          <w:szCs w:val="20"/>
          <w:color w:val="auto"/>
        </w:rPr>
      </w:pPr>
      <w:r>
        <w:rPr>
          <w:rFonts w:ascii="Times New Roman" w:cs="Times New Roman" w:eastAsia="Times New Roman" w:hAnsi="Times New Roman"/>
          <w:sz w:val="14"/>
          <w:szCs w:val="14"/>
          <w:b w:val="1"/>
          <w:bCs w:val="1"/>
          <w:color w:val="auto"/>
        </w:rPr>
        <w:t>It may be difficult to enforce a U.S. judgment against us, our officers and directors and some of the experts named in this prospectus or to assert U.S. securities law claims in Israel.</w:t>
      </w:r>
    </w:p>
    <w:p>
      <w:pPr>
        <w:spacing w:after="0" w:line="40" w:lineRule="exact"/>
        <w:rPr>
          <w:sz w:val="20"/>
          <w:szCs w:val="20"/>
          <w:color w:val="auto"/>
        </w:rPr>
      </w:pPr>
    </w:p>
    <w:p>
      <w:pPr>
        <w:ind w:right="3959"/>
        <w:spacing w:after="0" w:line="254" w:lineRule="auto"/>
        <w:rPr>
          <w:sz w:val="20"/>
          <w:szCs w:val="20"/>
          <w:color w:val="auto"/>
        </w:rPr>
      </w:pPr>
      <w:r>
        <w:rPr>
          <w:rFonts w:ascii="Times New Roman" w:cs="Times New Roman" w:eastAsia="Times New Roman" w:hAnsi="Times New Roman"/>
          <w:sz w:val="14"/>
          <w:szCs w:val="14"/>
          <w:color w:val="auto"/>
        </w:rPr>
        <w:t>We are incorporated in Israel. Most of our executive officers and directors and our Israeli accountants and attorneys are nonresidents of the United States, and a substantial portion of our assets and the assets of these persons are located outside the United States. Therefore, it may be difficult to enforce a judgment obtained in the United States, against us or any of these persons, based on the civil liability provisions of the U.S. Federal securities laws. Additionally, it may be difficult for you to enforce civil liabilities under U.S. Federal Securities laws in original actions instituted in Israel.</w:t>
      </w:r>
    </w:p>
    <w:p>
      <w:pPr>
        <w:spacing w:after="0" w:line="19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1" w:lineRule="exact"/>
        <w:rPr>
          <w:sz w:val="20"/>
          <w:szCs w:val="20"/>
          <w:color w:val="auto"/>
        </w:rPr>
      </w:pPr>
    </w:p>
    <w:p>
      <w:pPr>
        <w:ind w:right="3979"/>
        <w:spacing w:after="0" w:line="273" w:lineRule="auto"/>
        <w:rPr>
          <w:sz w:val="20"/>
          <w:szCs w:val="20"/>
          <w:color w:val="auto"/>
        </w:rPr>
      </w:pPr>
      <w:r>
        <w:rPr>
          <w:rFonts w:ascii="Times New Roman" w:cs="Times New Roman" w:eastAsia="Times New Roman" w:hAnsi="Times New Roman"/>
          <w:sz w:val="13"/>
          <w:szCs w:val="13"/>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52" w:lineRule="exact"/>
        <w:rPr>
          <w:sz w:val="20"/>
          <w:szCs w:val="20"/>
          <w:color w:val="auto"/>
        </w:rPr>
      </w:pPr>
    </w:p>
    <w:p>
      <w:pPr>
        <w:ind w:right="3939"/>
        <w:spacing w:after="0" w:line="284" w:lineRule="auto"/>
        <w:rPr>
          <w:sz w:val="20"/>
          <w:szCs w:val="20"/>
          <w:color w:val="auto"/>
        </w:rPr>
      </w:pPr>
      <w:r>
        <w:rPr>
          <w:rFonts w:ascii="Times New Roman" w:cs="Times New Roman" w:eastAsia="Times New Roman" w:hAnsi="Times New Roman"/>
          <w:sz w:val="13"/>
          <w:szCs w:val="13"/>
          <w:color w:val="auto"/>
        </w:rPr>
        <w:t>You should not unduly rely on forward-looking statements contained or incorporated by reference in this prospectus. Various factors discussed in this prospectus, including, but not limited to, all the risks discussed in "Risk Factors" may cause actual results or outcomes to differ materially from those expressed in forward-looking statements. You should read and interpret any forward-looking statements together with these documents.</w:t>
      </w:r>
    </w:p>
    <w:p>
      <w:pPr>
        <w:sectPr>
          <w:pgSz w:w="11900" w:h="16838" w:orient="portrait"/>
          <w:cols w:equalWidth="0" w:num="1">
            <w:col w:w="10239"/>
          </w:cols>
          <w:pgMar w:left="220" w:top="208" w:right="1440" w:bottom="0" w:gutter="0" w:footer="0" w:header="0"/>
        </w:sectPr>
      </w:pPr>
    </w:p>
    <w:bookmarkStart w:id="11" w:name="page12"/>
    <w:bookmarkEnd w:id="11"/>
    <w:p>
      <w:pPr>
        <w:ind w:right="4099"/>
        <w:spacing w:after="0" w:line="263" w:lineRule="auto"/>
        <w:rPr>
          <w:sz w:val="20"/>
          <w:szCs w:val="20"/>
          <w:color w:val="auto"/>
        </w:rPr>
      </w:pPr>
      <w:r>
        <w:rPr>
          <w:rFonts w:ascii="Times New Roman" w:cs="Times New Roman" w:eastAsia="Times New Roman" w:hAnsi="Times New Roman"/>
          <w:sz w:val="14"/>
          <w:szCs w:val="14"/>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estimate that the net proceeds from the sale of the ordinary shares we are offering will be approximately</w:t>
      </w:r>
    </w:p>
    <w:p>
      <w:pPr>
        <w:spacing w:after="0" w:line="21" w:lineRule="exact"/>
        <w:rPr>
          <w:sz w:val="20"/>
          <w:szCs w:val="20"/>
          <w:color w:val="auto"/>
        </w:rPr>
      </w:pPr>
    </w:p>
    <w:p>
      <w:pPr>
        <w:ind w:right="3959" w:firstLine="3"/>
        <w:spacing w:after="0" w:line="267" w:lineRule="auto"/>
        <w:tabs>
          <w:tab w:leader="none" w:pos="416"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million. If the underwriters fully exercise the over-allotment option, the net proceeds of the shares we sell will be $ million. "Net proceeds" is what we expect to receive after paying the underwriting discount and other expenses of the offering. For purposes of estimating net proceeds, we are assuming that the public offering</w:t>
      </w:r>
    </w:p>
    <w:p>
      <w:pPr>
        <w:spacing w:after="0" w:line="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4"/>
          <w:szCs w:val="14"/>
          <w:color w:val="auto"/>
        </w:rPr>
        <w:t>price will be $</w:t>
      </w:r>
      <w:r>
        <w:rPr>
          <w:sz w:val="20"/>
          <w:szCs w:val="20"/>
          <w:color w:val="auto"/>
        </w:rPr>
        <w:tab/>
      </w:r>
      <w:r>
        <w:rPr>
          <w:rFonts w:ascii="Times New Roman" w:cs="Times New Roman" w:eastAsia="Times New Roman" w:hAnsi="Times New Roman"/>
          <w:sz w:val="13"/>
          <w:szCs w:val="13"/>
          <w:color w:val="auto"/>
        </w:rPr>
        <w:t>per share.</w:t>
      </w:r>
    </w:p>
    <w:p>
      <w:pPr>
        <w:spacing w:after="0" w:line="74" w:lineRule="exact"/>
        <w:rPr>
          <w:sz w:val="20"/>
          <w:szCs w:val="20"/>
          <w:color w:val="auto"/>
        </w:rPr>
      </w:pPr>
    </w:p>
    <w:p>
      <w:pPr>
        <w:ind w:right="3999"/>
        <w:spacing w:after="0" w:line="319" w:lineRule="auto"/>
        <w:rPr>
          <w:sz w:val="20"/>
          <w:szCs w:val="20"/>
          <w:color w:val="auto"/>
        </w:rPr>
      </w:pPr>
      <w:r>
        <w:rPr>
          <w:rFonts w:ascii="Times New Roman" w:cs="Times New Roman" w:eastAsia="Times New Roman" w:hAnsi="Times New Roman"/>
          <w:sz w:val="13"/>
          <w:szCs w:val="13"/>
          <w:color w:val="auto"/>
        </w:rPr>
        <w:t>The net proceeds will be used towards the further ramp-up and deployment of Fab 2 and for marketing expenses for the sale of our products and services as well as for general corporate purposes, including working capital.</w:t>
      </w:r>
    </w:p>
    <w:p>
      <w:pPr>
        <w:spacing w:after="0" w:line="100"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1" w:lineRule="exact"/>
        <w:rPr>
          <w:sz w:val="20"/>
          <w:szCs w:val="20"/>
          <w:color w:val="auto"/>
        </w:rPr>
      </w:pPr>
    </w:p>
    <w:p>
      <w:pPr>
        <w:ind w:right="3919"/>
        <w:spacing w:after="0" w:line="254" w:lineRule="auto"/>
        <w:rPr>
          <w:sz w:val="20"/>
          <w:szCs w:val="20"/>
          <w:color w:val="auto"/>
        </w:rPr>
      </w:pPr>
      <w:r>
        <w:rPr>
          <w:rFonts w:ascii="Times New Roman" w:cs="Times New Roman" w:eastAsia="Times New Roman" w:hAnsi="Times New Roman"/>
          <w:sz w:val="14"/>
          <w:szCs w:val="14"/>
          <w:color w:val="auto"/>
        </w:rPr>
        <w:t>Since 1998, we have not declared or paid cash dividends on any of our shares, and we do not anticipate paying dividends on our ordinary shares in the foreseeable future. The credit facility that we entered into with our banks prohibits the payment of dividends prior to January 1, 2008, and before any such distribution, we must have placed on deposit with our banks an amount equal to the debt service for the quarter in which the distribution is to be made and charged such deposit in favor of our banks, and we must have complied with certain financial ratios. In addition, we may only declare and pay a dividend provided that:</w:t>
      </w:r>
    </w:p>
    <w:p>
      <w:pPr>
        <w:spacing w:after="0" w:line="144" w:lineRule="exact"/>
        <w:rPr>
          <w:sz w:val="20"/>
          <w:szCs w:val="20"/>
          <w:color w:val="auto"/>
        </w:rPr>
      </w:pPr>
    </w:p>
    <w:p>
      <w:pPr>
        <w:ind w:left="400" w:hanging="261"/>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is only paid from excess cash flow from Fab 2;</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event of default outstanding under the credit facility; and</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could not reasonably exist after such distribution.</w:t>
      </w:r>
    </w:p>
    <w:p>
      <w:pPr>
        <w:spacing w:after="0" w:line="172" w:lineRule="exact"/>
        <w:rPr>
          <w:sz w:val="20"/>
          <w:szCs w:val="20"/>
          <w:color w:val="auto"/>
        </w:rPr>
      </w:pPr>
    </w:p>
    <w:p>
      <w:pPr>
        <w:jc w:val="both"/>
        <w:ind w:right="4039"/>
        <w:spacing w:after="0" w:line="263" w:lineRule="auto"/>
        <w:rPr>
          <w:sz w:val="20"/>
          <w:szCs w:val="20"/>
          <w:color w:val="auto"/>
        </w:rPr>
      </w:pPr>
      <w:r>
        <w:rPr>
          <w:rFonts w:ascii="Times New Roman" w:cs="Times New Roman" w:eastAsia="Times New Roman" w:hAnsi="Times New Roman"/>
          <w:sz w:val="14"/>
          <w:szCs w:val="14"/>
          <w:color w:val="auto"/>
        </w:rPr>
        <w:t>The Israel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18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4"/>
          <w:szCs w:val="14"/>
          <w:b w:val="1"/>
          <w:bCs w:val="1"/>
          <w:color w:val="auto"/>
        </w:rPr>
        <w:t>Ordinary Shares Market Data</w:t>
      </w:r>
    </w:p>
    <w:p>
      <w:pPr>
        <w:spacing w:after="0" w:line="91" w:lineRule="exact"/>
        <w:rPr>
          <w:sz w:val="20"/>
          <w:szCs w:val="20"/>
          <w:color w:val="auto"/>
        </w:rPr>
      </w:pPr>
    </w:p>
    <w:p>
      <w:pPr>
        <w:ind w:right="3999"/>
        <w:spacing w:after="0" w:line="263" w:lineRule="auto"/>
        <w:rPr>
          <w:sz w:val="20"/>
          <w:szCs w:val="20"/>
          <w:color w:val="auto"/>
        </w:rPr>
      </w:pPr>
      <w:r>
        <w:rPr>
          <w:rFonts w:ascii="Times New Roman" w:cs="Times New Roman" w:eastAsia="Times New Roman" w:hAnsi="Times New Roman"/>
          <w:sz w:val="14"/>
          <w:szCs w:val="14"/>
          <w:color w:val="auto"/>
        </w:rPr>
        <w:t>The primary trading market for our ordinary shares is the Nasdaq National Market, where our shares are listed and traded under the symbol "TSEM." The following table sets forth, for the periods indicated, the high and low reported sales prices of the ordinary shares on the Nasdaq National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3761105" cy="730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761105" cy="7302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0"/>
              </w:rPr>
              <w:t>2001</w:t>
            </w:r>
          </w:p>
        </w:tc>
        <w:tc>
          <w:tcPr>
            <w:tcW w:w="36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High (U.S. $)</w:t>
            </w: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Low (U.S. $)</w:t>
            </w:r>
          </w:p>
        </w:tc>
        <w:tc>
          <w:tcPr>
            <w:tcW w:w="0" w:type="dxa"/>
            <w:vAlign w:val="bottom"/>
          </w:tcPr>
          <w:p>
            <w:pPr>
              <w:spacing w:after="0"/>
              <w:rPr>
                <w:sz w:val="1"/>
                <w:szCs w:val="1"/>
                <w:color w:val="auto"/>
              </w:rPr>
            </w:pPr>
          </w:p>
        </w:tc>
      </w:tr>
      <w:tr>
        <w:trPr>
          <w:trHeight w:val="100"/>
        </w:trPr>
        <w:tc>
          <w:tcPr>
            <w:tcW w:w="220" w:type="dxa"/>
            <w:vAlign w:val="bottom"/>
            <w:tcBorders>
              <w:bottom w:val="single" w:sz="8" w:color="auto"/>
            </w:tcBorders>
            <w:vMerge w:val="continue"/>
          </w:tcPr>
          <w:p>
            <w:pPr>
              <w:spacing w:after="0"/>
              <w:rPr>
                <w:sz w:val="8"/>
                <w:szCs w:val="8"/>
                <w:color w:val="auto"/>
              </w:rPr>
            </w:pPr>
          </w:p>
        </w:tc>
        <w:tc>
          <w:tcPr>
            <w:tcW w:w="3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First Quarter 2001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17.12</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Second Quarter 2001</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13.11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Third Quarter 2001</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11.25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Fourth Quarter 2001</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6.75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35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0"/>
              </w:rPr>
              <w:t>2002</w:t>
            </w:r>
          </w:p>
        </w:tc>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First Quarter 2002</w:t>
            </w:r>
          </w:p>
        </w:tc>
        <w:tc>
          <w:tcPr>
            <w:tcW w:w="200" w:type="dxa"/>
            <w:vAlign w:val="bottom"/>
          </w:tcPr>
          <w:p>
            <w:pPr>
              <w:spacing w:after="0"/>
              <w:rPr>
                <w:sz w:val="16"/>
                <w:szCs w:val="16"/>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8.50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Second Quarter 2002</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6.93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Third Quarter 2002</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Fourth Quarter 2002</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35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0"/>
              </w:rPr>
              <w:t>2003</w:t>
            </w:r>
          </w:p>
        </w:tc>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First Quarter 2003</w:t>
            </w:r>
          </w:p>
        </w:tc>
        <w:tc>
          <w:tcPr>
            <w:tcW w:w="200" w:type="dxa"/>
            <w:vAlign w:val="bottom"/>
          </w:tcPr>
          <w:p>
            <w:pPr>
              <w:spacing w:after="0"/>
              <w:rPr>
                <w:sz w:val="16"/>
                <w:szCs w:val="16"/>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3.56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Second Quarter 2003</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6.46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Third Quarter 2003</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4.02</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Fourth Quarter 2003 (through December 15, 2003)</w:t>
            </w:r>
          </w:p>
        </w:tc>
        <w:tc>
          <w:tcPr>
            <w:tcW w:w="200" w:type="dxa"/>
            <w:vAlign w:val="bottom"/>
          </w:tcPr>
          <w:p>
            <w:pPr>
              <w:spacing w:after="0"/>
              <w:rPr>
                <w:sz w:val="17"/>
                <w:szCs w:val="17"/>
                <w:color w:val="auto"/>
              </w:rPr>
            </w:pP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7.80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-2094865</wp:posOffset>
            </wp:positionV>
            <wp:extent cx="13335"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-2094865</wp:posOffset>
            </wp:positionV>
            <wp:extent cx="1333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-2002790</wp:posOffset>
            </wp:positionV>
            <wp:extent cx="1333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-2002790</wp:posOffset>
            </wp:positionV>
            <wp:extent cx="1333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-1890395</wp:posOffset>
            </wp:positionV>
            <wp:extent cx="1333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-1890395</wp:posOffset>
            </wp:positionV>
            <wp:extent cx="1333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-1764665</wp:posOffset>
            </wp:positionV>
            <wp:extent cx="13335"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-1764665</wp:posOffset>
            </wp:positionV>
            <wp:extent cx="13335"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-1638935</wp:posOffset>
            </wp:positionV>
            <wp:extent cx="1333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-1638935</wp:posOffset>
            </wp:positionV>
            <wp:extent cx="1333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-1513205</wp:posOffset>
            </wp:positionV>
            <wp:extent cx="1333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-1513205</wp:posOffset>
            </wp:positionV>
            <wp:extent cx="1333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-1268730</wp:posOffset>
            </wp:positionV>
            <wp:extent cx="13335"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-1268730</wp:posOffset>
            </wp:positionV>
            <wp:extent cx="1333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-1156335</wp:posOffset>
            </wp:positionV>
            <wp:extent cx="1333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-1156335</wp:posOffset>
            </wp:positionV>
            <wp:extent cx="1333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-1030605</wp:posOffset>
            </wp:positionV>
            <wp:extent cx="13335"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-1030605</wp:posOffset>
            </wp:positionV>
            <wp:extent cx="13335"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-905510</wp:posOffset>
            </wp:positionV>
            <wp:extent cx="1333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-905510</wp:posOffset>
            </wp:positionV>
            <wp:extent cx="13335"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-779780</wp:posOffset>
            </wp:positionV>
            <wp:extent cx="1333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-779780</wp:posOffset>
            </wp:positionV>
            <wp:extent cx="13335"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-535305</wp:posOffset>
            </wp:positionV>
            <wp:extent cx="13335"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-535305</wp:posOffset>
            </wp:positionV>
            <wp:extent cx="1333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-422910</wp:posOffset>
            </wp:positionV>
            <wp:extent cx="13335"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-422910</wp:posOffset>
            </wp:positionV>
            <wp:extent cx="1333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-297180</wp:posOffset>
            </wp:positionV>
            <wp:extent cx="1333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-297180</wp:posOffset>
            </wp:positionV>
            <wp:extent cx="13335"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-171450</wp:posOffset>
            </wp:positionV>
            <wp:extent cx="13335"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-171450</wp:posOffset>
            </wp:positionV>
            <wp:extent cx="1333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-45720</wp:posOffset>
            </wp:positionV>
            <wp:extent cx="13335"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-45720</wp:posOffset>
            </wp:positionV>
            <wp:extent cx="13335"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wp:posOffset>
            </wp:positionV>
            <wp:extent cx="6350" cy="660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4" w:lineRule="exact"/>
        <w:rPr>
          <w:sz w:val="20"/>
          <w:szCs w:val="20"/>
          <w:color w:val="auto"/>
        </w:rPr>
      </w:pPr>
    </w:p>
    <w:p>
      <w:pPr>
        <w:ind w:right="3979"/>
        <w:spacing w:after="0" w:line="279" w:lineRule="auto"/>
        <w:rPr>
          <w:sz w:val="20"/>
          <w:szCs w:val="20"/>
          <w:color w:val="auto"/>
        </w:rPr>
      </w:pPr>
      <w:r>
        <w:rPr>
          <w:rFonts w:ascii="Times New Roman" w:cs="Times New Roman" w:eastAsia="Times New Roman" w:hAnsi="Times New Roman"/>
          <w:sz w:val="14"/>
          <w:szCs w:val="14"/>
          <w:color w:val="auto"/>
        </w:rPr>
        <w:t>Our shares also trade on the Tel Aviv Stock Exchange under the symbol "TSEM". The following table sets forth, for the periods indicated, the high and low reported sales price of our ordinary shares on the TASE: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3761105" cy="730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761105" cy="7302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0"/>
              </w:rPr>
              <w:t>2001</w:t>
            </w:r>
          </w:p>
        </w:tc>
        <w:tc>
          <w:tcPr>
            <w:tcW w:w="3640" w:type="dxa"/>
            <w:vAlign w:val="bottom"/>
          </w:tcPr>
          <w:p>
            <w:pPr>
              <w:spacing w:after="0"/>
              <w:rPr>
                <w:sz w:val="11"/>
                <w:szCs w:val="11"/>
                <w:color w:val="auto"/>
              </w:rPr>
            </w:pPr>
          </w:p>
        </w:tc>
        <w:tc>
          <w:tcPr>
            <w:tcW w:w="10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High (NIS)</w:t>
            </w:r>
          </w:p>
        </w:tc>
        <w:tc>
          <w:tcPr>
            <w:tcW w:w="160" w:type="dxa"/>
            <w:vAlign w:val="bottom"/>
          </w:tcPr>
          <w:p>
            <w:pPr>
              <w:spacing w:after="0"/>
              <w:rPr>
                <w:sz w:val="11"/>
                <w:szCs w:val="11"/>
                <w:color w:val="auto"/>
              </w:rPr>
            </w:pPr>
          </w:p>
        </w:tc>
        <w:tc>
          <w:tcPr>
            <w:tcW w:w="108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Low (NIS)</w:t>
            </w:r>
          </w:p>
        </w:tc>
        <w:tc>
          <w:tcPr>
            <w:tcW w:w="0" w:type="dxa"/>
            <w:vAlign w:val="bottom"/>
          </w:tcPr>
          <w:p>
            <w:pPr>
              <w:spacing w:after="0"/>
              <w:rPr>
                <w:sz w:val="1"/>
                <w:szCs w:val="1"/>
                <w:color w:val="auto"/>
              </w:rPr>
            </w:pPr>
          </w:p>
        </w:tc>
      </w:tr>
      <w:tr>
        <w:trPr>
          <w:trHeight w:val="100"/>
        </w:trPr>
        <w:tc>
          <w:tcPr>
            <w:tcW w:w="220" w:type="dxa"/>
            <w:vAlign w:val="bottom"/>
            <w:tcBorders>
              <w:bottom w:val="single" w:sz="8" w:color="auto"/>
            </w:tcBorders>
            <w:vMerge w:val="continue"/>
          </w:tcPr>
          <w:p>
            <w:pPr>
              <w:spacing w:after="0"/>
              <w:rPr>
                <w:sz w:val="8"/>
                <w:szCs w:val="8"/>
                <w:color w:val="auto"/>
              </w:rPr>
            </w:pPr>
          </w:p>
        </w:tc>
        <w:tc>
          <w:tcPr>
            <w:tcW w:w="3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First Quarter 2001</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71.86</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33.98</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Second Quarter 2001</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55.57</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Third Quarter 2001</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48.26</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25.03</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Fourth Quarter 2001</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30.06</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16.79</w:t>
            </w:r>
          </w:p>
        </w:tc>
        <w:tc>
          <w:tcPr>
            <w:tcW w:w="0" w:type="dxa"/>
            <w:vAlign w:val="bottom"/>
          </w:tcPr>
          <w:p>
            <w:pPr>
              <w:spacing w:after="0"/>
              <w:rPr>
                <w:sz w:val="1"/>
                <w:szCs w:val="1"/>
                <w:color w:val="auto"/>
              </w:rPr>
            </w:pPr>
          </w:p>
        </w:tc>
      </w:tr>
      <w:tr>
        <w:trPr>
          <w:trHeight w:val="135"/>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0"/>
              </w:rPr>
              <w:t>2002</w:t>
            </w:r>
          </w:p>
        </w:tc>
        <w:tc>
          <w:tcPr>
            <w:tcW w:w="3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First Quarter 2002</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37.96</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24.48</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Second Quarter 2002</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33.98</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25.03</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Third Quarter 2002</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27.44</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18.70</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Fourth Quarter 2002</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25.11</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15.30</w:t>
            </w:r>
          </w:p>
        </w:tc>
        <w:tc>
          <w:tcPr>
            <w:tcW w:w="0" w:type="dxa"/>
            <w:vAlign w:val="bottom"/>
          </w:tcPr>
          <w:p>
            <w:pPr>
              <w:spacing w:after="0"/>
              <w:rPr>
                <w:sz w:val="1"/>
                <w:szCs w:val="1"/>
                <w:color w:val="auto"/>
              </w:rPr>
            </w:pPr>
          </w:p>
        </w:tc>
      </w:tr>
      <w:tr>
        <w:trPr>
          <w:trHeight w:val="135"/>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0"/>
              </w:rPr>
              <w:t>2003</w:t>
            </w:r>
          </w:p>
        </w:tc>
        <w:tc>
          <w:tcPr>
            <w:tcW w:w="3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First Quarter 2003</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16.46</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10.25</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Second Quarter 2003</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28.60</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12.90</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Third Quarter 2003</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22.90</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18.20</w:t>
            </w:r>
          </w:p>
        </w:tc>
        <w:tc>
          <w:tcPr>
            <w:tcW w:w="0" w:type="dxa"/>
            <w:vAlign w:val="bottom"/>
          </w:tcPr>
          <w:p>
            <w:pPr>
              <w:spacing w:after="0"/>
              <w:rPr>
                <w:sz w:val="1"/>
                <w:szCs w:val="1"/>
                <w:color w:val="auto"/>
              </w:rPr>
            </w:pPr>
          </w:p>
        </w:tc>
      </w:tr>
      <w:tr>
        <w:trPr>
          <w:trHeight w:val="198"/>
        </w:trPr>
        <w:tc>
          <w:tcPr>
            <w:tcW w:w="3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Fourth Quarter 2003 (through December 15, 2003)</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35.00</w:t>
            </w:r>
          </w:p>
        </w:tc>
        <w:tc>
          <w:tcPr>
            <w:tcW w:w="1240" w:type="dxa"/>
            <w:vAlign w:val="bottom"/>
            <w:gridSpan w:val="2"/>
          </w:tcPr>
          <w:p>
            <w:pPr>
              <w:jc w:val="right"/>
              <w:ind w:right="205"/>
              <w:spacing w:after="0"/>
              <w:rPr>
                <w:sz w:val="20"/>
                <w:szCs w:val="20"/>
                <w:color w:val="auto"/>
              </w:rPr>
            </w:pPr>
            <w:r>
              <w:rPr>
                <w:rFonts w:ascii="Times New Roman" w:cs="Times New Roman" w:eastAsia="Times New Roman" w:hAnsi="Times New Roman"/>
                <w:sz w:val="14"/>
                <w:szCs w:val="14"/>
                <w:color w:val="auto"/>
              </w:rPr>
              <w:t>18.30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2348865</wp:posOffset>
            </wp:positionH>
            <wp:positionV relativeFrom="paragraph">
              <wp:posOffset>-1817370</wp:posOffset>
            </wp:positionV>
            <wp:extent cx="1333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-1817370</wp:posOffset>
            </wp:positionV>
            <wp:extent cx="1333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-1724660</wp:posOffset>
            </wp:positionV>
            <wp:extent cx="1333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-1724660</wp:posOffset>
            </wp:positionV>
            <wp:extent cx="1333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-1612265</wp:posOffset>
            </wp:positionV>
            <wp:extent cx="13335"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-1612265</wp:posOffset>
            </wp:positionV>
            <wp:extent cx="13335"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-1487170</wp:posOffset>
            </wp:positionV>
            <wp:extent cx="13335"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-1487170</wp:posOffset>
            </wp:positionV>
            <wp:extent cx="13335"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-1361440</wp:posOffset>
            </wp:positionV>
            <wp:extent cx="1333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-1361440</wp:posOffset>
            </wp:positionV>
            <wp:extent cx="1333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-1235710</wp:posOffset>
            </wp:positionV>
            <wp:extent cx="1333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-1235710</wp:posOffset>
            </wp:positionV>
            <wp:extent cx="1333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-1129665</wp:posOffset>
            </wp:positionV>
            <wp:extent cx="1333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-1129665</wp:posOffset>
            </wp:positionV>
            <wp:extent cx="1333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-1017905</wp:posOffset>
            </wp:positionV>
            <wp:extent cx="1333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-1017905</wp:posOffset>
            </wp:positionV>
            <wp:extent cx="1333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-892175</wp:posOffset>
            </wp:positionV>
            <wp:extent cx="1333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-892175</wp:posOffset>
            </wp:positionV>
            <wp:extent cx="1333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-766445</wp:posOffset>
            </wp:positionV>
            <wp:extent cx="1333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-766445</wp:posOffset>
            </wp:positionV>
            <wp:extent cx="13335"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-640715</wp:posOffset>
            </wp:positionV>
            <wp:extent cx="1333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-640715</wp:posOffset>
            </wp:positionV>
            <wp:extent cx="1333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-535305</wp:posOffset>
            </wp:positionV>
            <wp:extent cx="1333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-535305</wp:posOffset>
            </wp:positionV>
            <wp:extent cx="1333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-422910</wp:posOffset>
            </wp:positionV>
            <wp:extent cx="1333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-422910</wp:posOffset>
            </wp:positionV>
            <wp:extent cx="1333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-297180</wp:posOffset>
            </wp:positionV>
            <wp:extent cx="1333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-297180</wp:posOffset>
            </wp:positionV>
            <wp:extent cx="1333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-171450</wp:posOffset>
            </wp:positionV>
            <wp:extent cx="1333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-171450</wp:posOffset>
            </wp:positionV>
            <wp:extent cx="1333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2348865</wp:posOffset>
            </wp:positionH>
            <wp:positionV relativeFrom="paragraph">
              <wp:posOffset>-45720</wp:posOffset>
            </wp:positionV>
            <wp:extent cx="1333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3135630</wp:posOffset>
            </wp:positionH>
            <wp:positionV relativeFrom="paragraph">
              <wp:posOffset>-45720</wp:posOffset>
            </wp:positionV>
            <wp:extent cx="13335"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wp:posOffset>
            </wp:positionV>
            <wp:extent cx="6350" cy="660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15, 2003, the exchange rate of the NIS to the US Dollar was $1=NIS 4.3675.</w:t>
      </w:r>
    </w:p>
    <w:p>
      <w:pPr>
        <w:spacing w:after="0" w:line="22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20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b w:val="1"/>
          <w:bCs w:val="1"/>
          <w:color w:val="auto"/>
        </w:rPr>
        <w:t>Capitalization</w:t>
      </w:r>
    </w:p>
    <w:p>
      <w:pPr>
        <w:sectPr>
          <w:pgSz w:w="11900" w:h="16838" w:orient="portrait"/>
          <w:cols w:equalWidth="0" w:num="1">
            <w:col w:w="10239"/>
          </w:cols>
          <w:pgMar w:left="220" w:top="208" w:right="14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The following table shows:</w:t>
      </w:r>
    </w:p>
    <w:p>
      <w:pPr>
        <w:spacing w:after="0" w:line="172" w:lineRule="exact"/>
        <w:rPr>
          <w:sz w:val="20"/>
          <w:szCs w:val="20"/>
          <w:color w:val="auto"/>
        </w:rPr>
      </w:pPr>
    </w:p>
    <w:p>
      <w:pPr>
        <w:ind w:left="400" w:hanging="261"/>
        <w:spacing w:after="0"/>
        <w:tabs>
          <w:tab w:leader="none" w:pos="4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capitalization on November 30, 2003</w:t>
      </w:r>
    </w:p>
    <w:p>
      <w:pPr>
        <w:spacing w:after="0" w:line="172" w:lineRule="exact"/>
        <w:rPr>
          <w:rFonts w:ascii="Times New Roman" w:cs="Times New Roman" w:eastAsia="Times New Roman" w:hAnsi="Times New Roman"/>
          <w:sz w:val="14"/>
          <w:szCs w:val="14"/>
          <w:color w:val="auto"/>
        </w:rPr>
      </w:pPr>
    </w:p>
    <w:p>
      <w:pPr>
        <w:jc w:val="both"/>
        <w:ind w:left="400" w:right="4379" w:hanging="261"/>
        <w:spacing w:after="0" w:line="263" w:lineRule="auto"/>
        <w:tabs>
          <w:tab w:leader="none" w:pos="4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capitalization on November 30, 2003, assuming the completion of this offering at an assumed public offering price of $ per share and the use of the net proceeds as described under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3966210" cy="730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966210" cy="7302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500" w:type="dxa"/>
            <w:vAlign w:val="bottom"/>
          </w:tcPr>
          <w:p>
            <w:pPr>
              <w:spacing w:after="0"/>
              <w:rPr>
                <w:sz w:val="11"/>
                <w:szCs w:val="11"/>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As of November 30, 2003</w:t>
            </w:r>
          </w:p>
        </w:tc>
      </w:tr>
      <w:tr>
        <w:trPr>
          <w:trHeight w:val="126"/>
        </w:trPr>
        <w:tc>
          <w:tcPr>
            <w:tcW w:w="4500" w:type="dxa"/>
            <w:vAlign w:val="bottom"/>
          </w:tcPr>
          <w:p>
            <w:pPr>
              <w:spacing w:after="0"/>
              <w:rPr>
                <w:sz w:val="10"/>
                <w:szCs w:val="10"/>
                <w:color w:val="auto"/>
              </w:rPr>
            </w:pPr>
          </w:p>
        </w:tc>
        <w:tc>
          <w:tcPr>
            <w:tcW w:w="960" w:type="dxa"/>
            <w:vAlign w:val="bottom"/>
            <w:tcBorders>
              <w:bottom w:val="single" w:sz="8" w:color="auto"/>
            </w:tcBorders>
            <w:gridSpan w:val="2"/>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80" w:type="dxa"/>
            <w:vAlign w:val="bottom"/>
          </w:tcPr>
          <w:p>
            <w:pPr>
              <w:spacing w:after="0"/>
              <w:rPr>
                <w:sz w:val="10"/>
                <w:szCs w:val="10"/>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As Adjusted</w:t>
            </w:r>
          </w:p>
        </w:tc>
      </w:tr>
      <w:tr>
        <w:trPr>
          <w:trHeight w:val="121"/>
        </w:trPr>
        <w:tc>
          <w:tcPr>
            <w:tcW w:w="4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gridSpan w:val="4"/>
          </w:tcPr>
          <w:p>
            <w:pPr>
              <w:jc w:val="center"/>
              <w:ind w:right="580"/>
              <w:spacing w:after="0" w:line="122" w:lineRule="exact"/>
              <w:rPr>
                <w:sz w:val="20"/>
                <w:szCs w:val="20"/>
                <w:color w:val="auto"/>
              </w:rPr>
            </w:pPr>
            <w:r>
              <w:rPr>
                <w:rFonts w:ascii="Times New Roman" w:cs="Times New Roman" w:eastAsia="Times New Roman" w:hAnsi="Times New Roman"/>
                <w:sz w:val="11"/>
                <w:szCs w:val="11"/>
                <w:color w:val="auto"/>
              </w:rPr>
              <w:t>(in thousands)</w:t>
            </w:r>
          </w:p>
        </w:tc>
      </w:tr>
      <w:tr>
        <w:trPr>
          <w:trHeight w:val="18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 including current portion (1)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$ 411,000</w:t>
            </w:r>
          </w:p>
        </w:tc>
        <w:tc>
          <w:tcPr>
            <w:tcW w:w="400" w:type="dxa"/>
            <w:vAlign w:val="bottom"/>
          </w:tcPr>
          <w:p>
            <w:pPr>
              <w:spacing w:after="0"/>
              <w:rPr>
                <w:sz w:val="15"/>
                <w:szCs w:val="15"/>
                <w:color w:val="auto"/>
              </w:rPr>
            </w:pPr>
          </w:p>
        </w:tc>
        <w:tc>
          <w:tcPr>
            <w:tcW w:w="780" w:type="dxa"/>
            <w:vAlign w:val="bottom"/>
            <w:gridSpan w:val="2"/>
          </w:tcPr>
          <w:p>
            <w:pPr>
              <w:jc w:val="right"/>
              <w:ind w:right="565"/>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Convertible debentures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25,417</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liability in respect of customer advances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46,596</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 (deficit):</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3"/>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Ordinary shares, NIS 1.00 par value; authorized 100,000,000 shares*, issued</w:t>
            </w: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2"/>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50,079,146 shares, as adjusted 62,079,146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12,479</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8"/>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415,645</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8"/>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Shareholder receivable and unearned compensation</w:t>
            </w:r>
          </w:p>
        </w:tc>
        <w:tc>
          <w:tcPr>
            <w:tcW w:w="960" w:type="dxa"/>
            <w:vAlign w:val="bottom"/>
            <w:gridSpan w:val="2"/>
          </w:tcPr>
          <w:p>
            <w:pPr>
              <w:jc w:val="right"/>
              <w:ind w:right="29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8"/>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960" w:type="dxa"/>
            <w:vAlign w:val="bottom"/>
            <w:gridSpan w:val="2"/>
          </w:tcPr>
          <w:p>
            <w:pPr>
              <w:jc w:val="right"/>
              <w:ind w:right="298"/>
              <w:spacing w:after="0"/>
              <w:rPr>
                <w:sz w:val="20"/>
                <w:szCs w:val="20"/>
                <w:color w:val="auto"/>
              </w:rPr>
            </w:pPr>
            <w:r>
              <w:rPr>
                <w:rFonts w:ascii="Times New Roman" w:cs="Times New Roman" w:eastAsia="Times New Roman" w:hAnsi="Times New Roman"/>
                <w:sz w:val="14"/>
                <w:szCs w:val="14"/>
                <w:color w:val="auto"/>
              </w:rPr>
              <w:t>(203,515)</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stock, 1,300,000 shares</w:t>
            </w:r>
          </w:p>
        </w:tc>
        <w:tc>
          <w:tcPr>
            <w:tcW w:w="960" w:type="dxa"/>
            <w:vAlign w:val="bottom"/>
            <w:gridSpan w:val="2"/>
          </w:tcPr>
          <w:p>
            <w:pPr>
              <w:jc w:val="right"/>
              <w:ind w:right="298"/>
              <w:spacing w:after="0"/>
              <w:rPr>
                <w:sz w:val="20"/>
                <w:szCs w:val="20"/>
                <w:color w:val="auto"/>
              </w:rPr>
            </w:pPr>
            <w:r>
              <w:rPr>
                <w:rFonts w:ascii="Times New Roman" w:cs="Times New Roman" w:eastAsia="Times New Roman" w:hAnsi="Times New Roman"/>
                <w:sz w:val="14"/>
                <w:szCs w:val="14"/>
                <w:color w:val="auto"/>
              </w:rPr>
              <w:t>(9,072)</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8"/>
        </w:trPr>
        <w:tc>
          <w:tcPr>
            <w:tcW w:w="45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215,511</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7"/>
        </w:trPr>
        <w:tc>
          <w:tcPr>
            <w:tcW w:w="4500" w:type="dxa"/>
            <w:vAlign w:val="bottom"/>
          </w:tcPr>
          <w:p>
            <w:pPr>
              <w:ind w:left="420"/>
              <w:spacing w:after="0" w:line="157" w:lineRule="exact"/>
              <w:rPr>
                <w:sz w:val="20"/>
                <w:szCs w:val="20"/>
                <w:color w:val="auto"/>
              </w:rPr>
            </w:pPr>
            <w:r>
              <w:rPr>
                <w:rFonts w:ascii="Times New Roman" w:cs="Times New Roman" w:eastAsia="Times New Roman" w:hAnsi="Times New Roman"/>
                <w:sz w:val="14"/>
                <w:szCs w:val="14"/>
                <w:color w:val="auto"/>
              </w:rPr>
              <w:t>Total capitalization</w:t>
            </w:r>
          </w:p>
        </w:tc>
        <w:tc>
          <w:tcPr>
            <w:tcW w:w="5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$ 698,524</w:t>
            </w:r>
          </w:p>
        </w:tc>
        <w:tc>
          <w:tcPr>
            <w:tcW w:w="400" w:type="dxa"/>
            <w:vAlign w:val="bottom"/>
          </w:tcPr>
          <w:p>
            <w:pPr>
              <w:spacing w:after="0"/>
              <w:rPr>
                <w:sz w:val="13"/>
                <w:szCs w:val="13"/>
                <w:color w:val="auto"/>
              </w:rPr>
            </w:pPr>
          </w:p>
        </w:tc>
        <w:tc>
          <w:tcPr>
            <w:tcW w:w="780" w:type="dxa"/>
            <w:vAlign w:val="bottom"/>
            <w:gridSpan w:val="2"/>
          </w:tcPr>
          <w:p>
            <w:pPr>
              <w:jc w:val="right"/>
              <w:ind w:right="565"/>
              <w:spacing w:after="0" w:line="157"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r>
      <w:tr>
        <w:trPr>
          <w:trHeight w:val="20"/>
        </w:trPr>
        <w:tc>
          <w:tcPr>
            <w:tcW w:w="4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-1724660</wp:posOffset>
            </wp:positionV>
            <wp:extent cx="13335"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-1631950</wp:posOffset>
            </wp:positionV>
            <wp:extent cx="13335"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-1631950</wp:posOffset>
            </wp:positionV>
            <wp:extent cx="13335"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-1539875</wp:posOffset>
            </wp:positionV>
            <wp:extent cx="1333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-1427480</wp:posOffset>
            </wp:positionV>
            <wp:extent cx="13335"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-1427480</wp:posOffset>
            </wp:positionV>
            <wp:extent cx="13335"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-1301750</wp:posOffset>
            </wp:positionV>
            <wp:extent cx="13335"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-1301750</wp:posOffset>
            </wp:positionV>
            <wp:extent cx="13335"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-1176020</wp:posOffset>
            </wp:positionV>
            <wp:extent cx="1333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-1176020</wp:posOffset>
            </wp:positionV>
            <wp:extent cx="13335"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-1050290</wp:posOffset>
            </wp:positionV>
            <wp:extent cx="13335"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-871855</wp:posOffset>
            </wp:positionV>
            <wp:extent cx="13335"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-871855</wp:posOffset>
            </wp:positionV>
            <wp:extent cx="13335"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-693420</wp:posOffset>
            </wp:positionV>
            <wp:extent cx="13335"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-693420</wp:posOffset>
            </wp:positionV>
            <wp:extent cx="1333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-567690</wp:posOffset>
            </wp:positionV>
            <wp:extent cx="13335"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-567690</wp:posOffset>
            </wp:positionV>
            <wp:extent cx="13335"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-441960</wp:posOffset>
            </wp:positionV>
            <wp:extent cx="13335"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-441960</wp:posOffset>
            </wp:positionV>
            <wp:extent cx="13335"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-316865</wp:posOffset>
            </wp:positionV>
            <wp:extent cx="13335"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-316865</wp:posOffset>
            </wp:positionV>
            <wp:extent cx="1333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-191135</wp:posOffset>
            </wp:positionV>
            <wp:extent cx="1333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-191135</wp:posOffset>
            </wp:positionV>
            <wp:extent cx="13335"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-65405</wp:posOffset>
            </wp:positionV>
            <wp:extent cx="13335"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-65405</wp:posOffset>
            </wp:positionV>
            <wp:extent cx="13335"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26840" cy="1784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926840" cy="178435"/>
                    </a:xfrm>
                    <a:prstGeom prst="rect">
                      <a:avLst/>
                    </a:prstGeom>
                    <a:noFill/>
                  </pic:spPr>
                </pic:pic>
              </a:graphicData>
            </a:graphic>
          </wp:anchor>
        </w:drawing>
      </w:r>
    </w:p>
    <w:p>
      <w:pPr>
        <w:spacing w:after="0" w:line="244" w:lineRule="exact"/>
        <w:rPr>
          <w:sz w:val="20"/>
          <w:szCs w:val="20"/>
          <w:color w:val="auto"/>
        </w:rPr>
      </w:pPr>
    </w:p>
    <w:p>
      <w:pPr>
        <w:ind w:left="200" w:hanging="197"/>
        <w:spacing w:after="0"/>
        <w:tabs>
          <w:tab w:leader="none" w:pos="20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authorized share capital was increased to NIS 150,000,000 on December 7, 2003.</w:t>
      </w:r>
    </w:p>
    <w:p>
      <w:pPr>
        <w:spacing w:after="0" w:line="71" w:lineRule="exact"/>
        <w:rPr>
          <w:sz w:val="20"/>
          <w:szCs w:val="20"/>
          <w:color w:val="auto"/>
        </w:rPr>
      </w:pPr>
    </w:p>
    <w:p>
      <w:pPr>
        <w:ind w:left="220" w:hanging="217"/>
        <w:spacing w:after="0"/>
        <w:tabs>
          <w:tab w:leader="none" w:pos="22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indebtedness represented by long term debt is secured by specific and floating liens on all of our assets.</w:t>
      </w:r>
    </w:p>
    <w:p>
      <w:pPr>
        <w:spacing w:after="0" w:line="71" w:lineRule="exact"/>
        <w:rPr>
          <w:rFonts w:ascii="Times New Roman" w:cs="Times New Roman" w:eastAsia="Times New Roman" w:hAnsi="Times New Roman"/>
          <w:sz w:val="11"/>
          <w:szCs w:val="11"/>
          <w:color w:val="auto"/>
        </w:rPr>
      </w:pPr>
    </w:p>
    <w:p>
      <w:pPr>
        <w:ind w:left="220" w:right="4079" w:hanging="217"/>
        <w:spacing w:after="0" w:line="221" w:lineRule="auto"/>
        <w:tabs>
          <w:tab w:leader="none" w:pos="22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December 16, 2003, we issued 2,916,951 shares in connection with the payment of the remainder of the first installment of the fifth milestone. The number of ordinary shares to be outstanding after this offering is based on the outstanding shares as of November 30, 2003. This information excludes (i) 6,859,431 ordinary shares issuable upon exercise of options granted to employees and directors at a weighted average exercise price of $7.94; (ii) up to 2,697,068 ordinary shares issuable upon conversion of unsecured, subordinated convertible debentures, net in the amount of NIS 113,056,267 (or $25.4 million), which are convertible through December 31, 2008; (iii) 2,211,596 ordinary shares issuable upon exercise of options exercisable through January 20, 2006 at an exercise price of NIS 40.91, linked to the Israeli Consumer Price Index (or $9.26); (iv) 3,594,082 ordinary shares issuable upon exercise of warrants with an exercise price of $7.50; (v) 400,000 and 896,596 ordinary shares issuable upon the exercise of warrants issued to our banks in connection with our credit facility with exercise prices of $6.20 and $6.17 per share, respectively; (vi) 2,164,262 in connection with the second installment of the fifth milestone payment assuming a purchase price of $7.59 per share (see "Certain Transactions — Amendment to Fifth Milestone Payment Schedule"); and (vii) 58,906 ordinary shares issuable upon exercise of warrants issued to ICTech as a commitment fee in connection with the arrangements described in "Material Agreements — Credit Facility" with an exercise price of $6.17 per share and exercisable until November 2008.</w:t>
      </w:r>
    </w:p>
    <w:p>
      <w:pPr>
        <w:spacing w:after="0" w:line="57" w:lineRule="exact"/>
        <w:rPr>
          <w:rFonts w:ascii="Times New Roman" w:cs="Times New Roman" w:eastAsia="Times New Roman" w:hAnsi="Times New Roman"/>
          <w:sz w:val="11"/>
          <w:szCs w:val="11"/>
          <w:color w:val="auto"/>
        </w:rPr>
      </w:pPr>
    </w:p>
    <w:p>
      <w:pPr>
        <w:ind w:left="220" w:right="4059" w:hanging="217"/>
        <w:spacing w:after="0" w:line="222" w:lineRule="auto"/>
        <w:tabs>
          <w:tab w:leader="none" w:pos="22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information excludes the following potential dilutive issuances of securities pursuant to our credit facility and agreements with our wafer partners and with IC Tech which cannot be calculated as of the date of the prospectus since the number of shares issuable will depend upon future transactions in which we may engage (i) ordinary shares issuable upon conversion of up to $46.6 million in wafer prepayment credits which we have issued our wafer partners as of November 30, 2003, as well as shares we may issue to our other shareholders under certain circumstances (see "Certain Transactions — Amendment to Fifth Milestone Payment Schedule"); (ii) ordinary shares issuable to our wafer partners upon conversion of their remaining wafer credits issued in connection with their fourth milestone payment (see "Certain Transactions — Amendment to Fifth Milestone Payment Schedule"); (iii) ordinary shares issuable upon exercise of warrants issued to ICTech and our banks in the event that we are required by our banks to complete a rights offering in connection with the arrangements described in "Material Agreements — Credit Facility;" and (iv) ordinary shares issuable upon conversion of securities we may be required to issue in connection with the rights offering and outside investor provisions of the arrangements described in "Material Agreements — Credit Facility."</w:t>
      </w:r>
    </w:p>
    <w:p>
      <w:pPr>
        <w:spacing w:after="0" w:line="19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Selected Consolidated Financial Data</w:t>
      </w:r>
    </w:p>
    <w:p>
      <w:pPr>
        <w:spacing w:after="0" w:line="91" w:lineRule="exact"/>
        <w:rPr>
          <w:sz w:val="20"/>
          <w:szCs w:val="20"/>
          <w:color w:val="auto"/>
        </w:rPr>
      </w:pPr>
    </w:p>
    <w:p>
      <w:pPr>
        <w:ind w:right="3919"/>
        <w:spacing w:after="0" w:line="250" w:lineRule="auto"/>
        <w:rPr>
          <w:sz w:val="20"/>
          <w:szCs w:val="20"/>
          <w:color w:val="auto"/>
        </w:rPr>
      </w:pPr>
      <w:r>
        <w:rPr>
          <w:rFonts w:ascii="Times New Roman" w:cs="Times New Roman" w:eastAsia="Times New Roman" w:hAnsi="Times New Roman"/>
          <w:sz w:val="14"/>
          <w:szCs w:val="14"/>
          <w:color w:val="auto"/>
        </w:rPr>
        <w:t>This section presents our selected historical financial data. You should read carefully the financial statements included in this prospectus, including the notes to the financial statements. The selected data in this section is not intended to replace the financial statements. We derived the statement of operations data for the years ended December 31, 2002, 2001 and 2000, and balance sheet data as of December 31, 2002 and 2001 from the audited financial statements in this prospectus. Those financial statements were prepared in accordance with Israel GAAP and audited by Brightman Almagor &amp; Co., a member of Deloitte Touche Tohmatsu, independent auditors. We derived the statement of operations data for the years ended December 31, 1999 and 1998 and the balance sheet data as of December 31, 2000, 1999 and 1998 from our audited financial statements that are not included in the prospectus, which have been prepared in accordance with Israel GAAP. We derived the statement of operations data for the nine months ended September 30, 2003 and 2002 and balance sheet data as of September 30, 2003 from the unaudited financial statements included in this prospectus, which have been prepared in accordance with Israel GAAP. Statements of operations and selected operations data in accordance with US GAAP would not have materially differed from respective data in accordance with Israel GAAP. Other than as indicated below, balance sheet data in accordance with US GAAP would not have materially differed from respective data in accordance with Israel GAAP. Our management believes that the unaudited historical financial statements contain all adjustments needed to present fairly the information included in those statements and that the adjustments made consist only of normal recurring adjustments. However, the unaudited financial information is not necessarily indicative of full year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6350" cy="730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8"/>
          </w:tcPr>
          <w:p>
            <w:pPr>
              <w:jc w:val="right"/>
              <w:ind w:right="21"/>
              <w:spacing w:after="0"/>
              <w:rPr>
                <w:sz w:val="20"/>
                <w:szCs w:val="20"/>
                <w:color w:val="auto"/>
              </w:rPr>
            </w:pPr>
            <w:r>
              <w:rPr>
                <w:rFonts w:ascii="Times New Roman" w:cs="Times New Roman" w:eastAsia="Times New Roman" w:hAnsi="Times New Roman"/>
                <w:sz w:val="11"/>
                <w:szCs w:val="11"/>
                <w:b w:val="1"/>
                <w:bCs w:val="1"/>
                <w:color w:val="auto"/>
                <w:w w:val="99"/>
              </w:rPr>
              <w:t>Nine Months Ended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gridSpan w:val="10"/>
            <w:vMerge w:val="restart"/>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8"/>
          </w:tcPr>
          <w:p>
            <w:pPr>
              <w:jc w:val="right"/>
              <w:ind w:right="16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10"/>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2003</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2002</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2002</w:t>
            </w: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2001</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2000</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1999</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1998</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11"/>
          </w:tcPr>
          <w:p>
            <w:pPr>
              <w:jc w:val="right"/>
              <w:ind w:right="1"/>
              <w:spacing w:after="0"/>
              <w:rPr>
                <w:sz w:val="20"/>
                <w:szCs w:val="20"/>
                <w:color w:val="auto"/>
              </w:rPr>
            </w:pPr>
            <w:r>
              <w:rPr>
                <w:rFonts w:ascii="Times New Roman" w:cs="Times New Roman" w:eastAsia="Times New Roman" w:hAnsi="Times New Roman"/>
                <w:sz w:val="11"/>
                <w:szCs w:val="11"/>
                <w:color w:val="auto"/>
              </w:rPr>
              <w:t>(in thousands, except per share data)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Statement of Operations Data:</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Sales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41,545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36,229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rPr>
              <w:t>51,801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21"/>
              <w:spacing w:after="0"/>
              <w:rPr>
                <w:sz w:val="20"/>
                <w:szCs w:val="20"/>
                <w:color w:val="auto"/>
              </w:rPr>
            </w:pPr>
            <w:r>
              <w:rPr>
                <w:rFonts w:ascii="Times New Roman" w:cs="Times New Roman" w:eastAsia="Times New Roman" w:hAnsi="Times New Roman"/>
                <w:sz w:val="11"/>
                <w:szCs w:val="11"/>
                <w:color w:val="auto"/>
              </w:rPr>
              <w:t>52,372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w w:val="94"/>
              </w:rPr>
              <w:t>104,775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rPr>
              <w:t>69,815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69,637</w:t>
            </w:r>
          </w:p>
        </w:tc>
        <w:tc>
          <w:tcPr>
            <w:tcW w:w="0" w:type="dxa"/>
            <w:vAlign w:val="bottom"/>
          </w:tcPr>
          <w:p>
            <w:pPr>
              <w:spacing w:after="0"/>
              <w:rPr>
                <w:sz w:val="1"/>
                <w:szCs w:val="1"/>
                <w:color w:val="auto"/>
              </w:rPr>
            </w:pPr>
          </w:p>
        </w:tc>
      </w:tr>
      <w:tr>
        <w:trPr>
          <w:trHeight w:val="155"/>
        </w:trPr>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Cost of sales</w:t>
            </w:r>
          </w:p>
        </w:tc>
        <w:tc>
          <w:tcPr>
            <w:tcW w:w="6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75,816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49,956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rPr>
              <w:t>67,022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1"/>
              <w:spacing w:after="0"/>
              <w:rPr>
                <w:sz w:val="20"/>
                <w:szCs w:val="20"/>
                <w:color w:val="auto"/>
              </w:rPr>
            </w:pPr>
            <w:r>
              <w:rPr>
                <w:rFonts w:ascii="Times New Roman" w:cs="Times New Roman" w:eastAsia="Times New Roman" w:hAnsi="Times New Roman"/>
                <w:sz w:val="11"/>
                <w:szCs w:val="11"/>
                <w:color w:val="auto"/>
              </w:rPr>
              <w:t>76,733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88,787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rPr>
              <w:t>77,033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76,781</w:t>
            </w:r>
          </w:p>
        </w:tc>
        <w:tc>
          <w:tcPr>
            <w:tcW w:w="0" w:type="dxa"/>
            <w:vAlign w:val="bottom"/>
          </w:tcPr>
          <w:p>
            <w:pPr>
              <w:spacing w:after="0"/>
              <w:rPr>
                <w:sz w:val="1"/>
                <w:szCs w:val="1"/>
                <w:color w:val="auto"/>
              </w:rPr>
            </w:pPr>
          </w:p>
        </w:tc>
      </w:tr>
      <w:tr>
        <w:trPr>
          <w:trHeight w:val="119"/>
        </w:trPr>
        <w:tc>
          <w:tcPr>
            <w:tcW w:w="2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Gross profit (loss)</w:t>
            </w: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(34,271)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(13,727)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5"/>
              </w:rPr>
              <w:t>(15,221)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(24,361)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15,988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(7,218)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9"/>
              </w:rPr>
              <w:t>(7,144)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Research and development</w:t>
            </w:r>
          </w:p>
        </w:tc>
        <w:tc>
          <w:tcPr>
            <w:tcW w:w="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12,551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10,184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rPr>
              <w:t>17,031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1"/>
              <w:spacing w:after="0"/>
              <w:rPr>
                <w:sz w:val="20"/>
                <w:szCs w:val="20"/>
                <w:color w:val="auto"/>
              </w:rPr>
            </w:pPr>
            <w:r>
              <w:rPr>
                <w:rFonts w:ascii="Times New Roman" w:cs="Times New Roman" w:eastAsia="Times New Roman" w:hAnsi="Times New Roman"/>
                <w:sz w:val="11"/>
                <w:szCs w:val="11"/>
                <w:color w:val="auto"/>
              </w:rPr>
              <w:t>9,556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8,965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rPr>
              <w:t>9,238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8,107</w:t>
            </w:r>
          </w:p>
        </w:tc>
        <w:tc>
          <w:tcPr>
            <w:tcW w:w="0" w:type="dxa"/>
            <w:vAlign w:val="bottom"/>
          </w:tcPr>
          <w:p>
            <w:pPr>
              <w:spacing w:after="0"/>
              <w:rPr>
                <w:sz w:val="1"/>
                <w:szCs w:val="1"/>
                <w:color w:val="auto"/>
              </w:rPr>
            </w:pPr>
          </w:p>
        </w:tc>
      </w:tr>
      <w:tr>
        <w:trPr>
          <w:trHeight w:val="155"/>
        </w:trPr>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Marketing, general and administrative</w:t>
            </w:r>
          </w:p>
        </w:tc>
        <w:tc>
          <w:tcPr>
            <w:tcW w:w="60" w:type="dxa"/>
            <w:vAlign w:val="bottom"/>
          </w:tcPr>
          <w:p>
            <w:pPr>
              <w:spacing w:after="0"/>
              <w:rPr>
                <w:sz w:val="13"/>
                <w:szCs w:val="1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17,064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11,807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rPr>
              <w:t>17,091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1"/>
              <w:spacing w:after="0"/>
              <w:rPr>
                <w:sz w:val="20"/>
                <w:szCs w:val="20"/>
                <w:color w:val="auto"/>
              </w:rPr>
            </w:pPr>
            <w:r>
              <w:rPr>
                <w:rFonts w:ascii="Times New Roman" w:cs="Times New Roman" w:eastAsia="Times New Roman" w:hAnsi="Times New Roman"/>
                <w:sz w:val="11"/>
                <w:szCs w:val="11"/>
                <w:color w:val="auto"/>
              </w:rPr>
              <w:t>14,489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11,428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rPr>
              <w:t>8,710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8,747</w:t>
            </w:r>
          </w:p>
        </w:tc>
        <w:tc>
          <w:tcPr>
            <w:tcW w:w="0" w:type="dxa"/>
            <w:vAlign w:val="bottom"/>
          </w:tcPr>
          <w:p>
            <w:pPr>
              <w:spacing w:after="0"/>
              <w:rPr>
                <w:sz w:val="1"/>
                <w:szCs w:val="1"/>
                <w:color w:val="auto"/>
              </w:rPr>
            </w:pPr>
          </w:p>
        </w:tc>
      </w:tr>
      <w:tr>
        <w:trPr>
          <w:trHeight w:val="119"/>
        </w:trPr>
        <w:tc>
          <w:tcPr>
            <w:tcW w:w="2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Operating loss</w:t>
            </w: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(63,886)</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(35,718)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5"/>
              </w:rPr>
              <w:t>(49,343)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(48,406)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(4,405)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(25,166)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85"/>
              </w:rPr>
              <w:t>(23,998)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Financing income (expense), net</w:t>
            </w:r>
          </w:p>
        </w:tc>
        <w:tc>
          <w:tcPr>
            <w:tcW w:w="60" w:type="dxa"/>
            <w:vAlign w:val="bottom"/>
          </w:tcPr>
          <w:p>
            <w:pPr>
              <w:spacing w:after="0"/>
              <w:rPr>
                <w:sz w:val="12"/>
                <w:szCs w:val="12"/>
                <w:color w:val="auto"/>
              </w:rPr>
            </w:pP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(4,293)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
              <w:spacing w:after="0"/>
              <w:rPr>
                <w:sz w:val="20"/>
                <w:szCs w:val="20"/>
                <w:color w:val="auto"/>
              </w:rPr>
            </w:pPr>
            <w:r>
              <w:rPr>
                <w:rFonts w:ascii="Times New Roman" w:cs="Times New Roman" w:eastAsia="Times New Roman" w:hAnsi="Times New Roman"/>
                <w:sz w:val="11"/>
                <w:szCs w:val="11"/>
                <w:color w:val="auto"/>
              </w:rPr>
              <w:t>(2,100)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color w:val="auto"/>
              </w:rPr>
              <w:t>(2,104)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1"/>
              <w:spacing w:after="0"/>
              <w:rPr>
                <w:sz w:val="20"/>
                <w:szCs w:val="20"/>
                <w:color w:val="auto"/>
              </w:rPr>
            </w:pPr>
            <w:r>
              <w:rPr>
                <w:rFonts w:ascii="Times New Roman" w:cs="Times New Roman" w:eastAsia="Times New Roman" w:hAnsi="Times New Roman"/>
                <w:sz w:val="11"/>
                <w:szCs w:val="11"/>
                <w:color w:val="auto"/>
              </w:rPr>
              <w:t>1,465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1,394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rPr>
              <w:t>2,277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2,741</w:t>
            </w:r>
          </w:p>
        </w:tc>
        <w:tc>
          <w:tcPr>
            <w:tcW w:w="0" w:type="dxa"/>
            <w:vAlign w:val="bottom"/>
          </w:tcPr>
          <w:p>
            <w:pPr>
              <w:spacing w:after="0"/>
              <w:rPr>
                <w:sz w:val="1"/>
                <w:szCs w:val="1"/>
                <w:color w:val="auto"/>
              </w:rPr>
            </w:pPr>
          </w:p>
        </w:tc>
      </w:tr>
      <w:tr>
        <w:trPr>
          <w:trHeight w:val="155"/>
        </w:trPr>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Other income (expense), net</w:t>
            </w:r>
          </w:p>
        </w:tc>
        <w:tc>
          <w:tcPr>
            <w:tcW w:w="60" w:type="dxa"/>
            <w:vAlign w:val="bottom"/>
          </w:tcPr>
          <w:p>
            <w:pPr>
              <w:spacing w:after="0"/>
              <w:rPr>
                <w:sz w:val="13"/>
                <w:szCs w:val="13"/>
                <w:color w:val="auto"/>
              </w:rPr>
            </w:pPr>
          </w:p>
        </w:tc>
        <w:tc>
          <w:tcPr>
            <w:tcW w:w="44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1"/>
              <w:spacing w:after="0"/>
              <w:rPr>
                <w:sz w:val="20"/>
                <w:szCs w:val="20"/>
                <w:color w:val="auto"/>
              </w:rPr>
            </w:pPr>
            <w:r>
              <w:rPr>
                <w:rFonts w:ascii="Times New Roman" w:cs="Times New Roman" w:eastAsia="Times New Roman" w:hAnsi="Times New Roman"/>
                <w:sz w:val="11"/>
                <w:szCs w:val="11"/>
                <w:color w:val="auto"/>
              </w:rPr>
              <w:t>8,419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
              <w:spacing w:after="0"/>
              <w:rPr>
                <w:sz w:val="20"/>
                <w:szCs w:val="20"/>
                <w:color w:val="auto"/>
              </w:rPr>
            </w:pPr>
            <w:r>
              <w:rPr>
                <w:rFonts w:ascii="Times New Roman" w:cs="Times New Roman" w:eastAsia="Times New Roman" w:hAnsi="Times New Roman"/>
                <w:sz w:val="11"/>
                <w:szCs w:val="11"/>
                <w:color w:val="auto"/>
              </w:rPr>
              <w:t>(478)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19"/>
        </w:trPr>
        <w:tc>
          <w:tcPr>
            <w:tcW w:w="218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Loss before income tax benefit (expense)</w:t>
            </w: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(68,266)</w:t>
            </w:r>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(37,818)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5"/>
              </w:rPr>
              <w:t>(51,402)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(38,522)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(3,489)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(22,872)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85"/>
              </w:rPr>
              <w:t>(21,244)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Income tax benefit (expense)</w:t>
            </w:r>
          </w:p>
        </w:tc>
        <w:tc>
          <w:tcPr>
            <w:tcW w:w="60" w:type="dxa"/>
            <w:vAlign w:val="bottom"/>
          </w:tcPr>
          <w:p>
            <w:pPr>
              <w:spacing w:after="0"/>
              <w:rPr>
                <w:sz w:val="13"/>
                <w:szCs w:val="13"/>
                <w:color w:val="auto"/>
              </w:rPr>
            </w:pPr>
          </w:p>
        </w:tc>
        <w:tc>
          <w:tcPr>
            <w:tcW w:w="440" w:type="dxa"/>
            <w:vAlign w:val="bottom"/>
            <w:gridSpan w:val="4"/>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21"/>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rPr>
              <w:t>2,405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5,700</w:t>
            </w:r>
          </w:p>
        </w:tc>
        <w:tc>
          <w:tcPr>
            <w:tcW w:w="0" w:type="dxa"/>
            <w:vAlign w:val="bottom"/>
          </w:tcPr>
          <w:p>
            <w:pPr>
              <w:spacing w:after="0"/>
              <w:rPr>
                <w:sz w:val="1"/>
                <w:szCs w:val="1"/>
                <w:color w:val="auto"/>
              </w:rPr>
            </w:pPr>
          </w:p>
        </w:tc>
      </w:tr>
      <w:tr>
        <w:trPr>
          <w:trHeight w:val="105"/>
        </w:trPr>
        <w:tc>
          <w:tcPr>
            <w:tcW w:w="218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Loss for the period</w:t>
            </w:r>
          </w:p>
        </w:tc>
        <w:tc>
          <w:tcPr>
            <w:tcW w:w="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gridSpan w:val="2"/>
          </w:tcPr>
          <w:p>
            <w:pPr>
              <w:jc w:val="right"/>
              <w:spacing w:after="0" w:line="105" w:lineRule="exact"/>
              <w:rPr>
                <w:sz w:val="20"/>
                <w:szCs w:val="20"/>
                <w:color w:val="auto"/>
              </w:rPr>
            </w:pPr>
            <w:r>
              <w:rPr>
                <w:rFonts w:ascii="Times New Roman" w:cs="Times New Roman" w:eastAsia="Times New Roman" w:hAnsi="Times New Roman"/>
                <w:sz w:val="11"/>
                <w:szCs w:val="11"/>
                <w:color w:val="auto"/>
              </w:rPr>
              <w:t>(68,266</w:t>
            </w:r>
          </w:p>
        </w:tc>
        <w:tc>
          <w:tcPr>
            <w:tcW w:w="60" w:type="dxa"/>
            <w:vAlign w:val="bottom"/>
            <w:gridSpan w:val="2"/>
          </w:tcPr>
          <w:p>
            <w:pPr>
              <w:jc w:val="right"/>
              <w:ind w:right="40"/>
              <w:spacing w:after="0"/>
              <w:rPr>
                <w:sz w:val="20"/>
                <w:szCs w:val="20"/>
                <w:color w:val="auto"/>
              </w:rPr>
            </w:pPr>
            <w:r>
              <w:rPr>
                <w:rFonts w:ascii="Times New Roman" w:cs="Times New Roman" w:eastAsia="Times New Roman" w:hAnsi="Times New Roman"/>
                <w:sz w:val="1"/>
                <w:szCs w:val="1"/>
                <w:color w:val="auto"/>
                <w:w w:val="4294967281"/>
              </w:rPr>
              <w:t>)</w:t>
            </w:r>
          </w:p>
        </w:tc>
        <w:tc>
          <w:tcPr>
            <w:tcW w:w="80" w:type="dxa"/>
            <w:vAlign w:val="bottom"/>
          </w:tcPr>
          <w:p>
            <w:pPr>
              <w:spacing w:after="0"/>
              <w:rPr>
                <w:sz w:val="9"/>
                <w:szCs w:val="9"/>
                <w:color w:val="auto"/>
              </w:rPr>
            </w:pPr>
          </w:p>
        </w:tc>
        <w:tc>
          <w:tcPr>
            <w:tcW w:w="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(37,818</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9"/>
                <w:szCs w:val="9"/>
                <w:color w:val="auto"/>
              </w:rPr>
            </w:pPr>
          </w:p>
        </w:tc>
        <w:tc>
          <w:tcPr>
            <w:tcW w:w="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(51,402</w:t>
            </w: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67281"/>
              </w:rPr>
              <w:t>)</w:t>
            </w:r>
          </w:p>
        </w:tc>
        <w:tc>
          <w:tcPr>
            <w:tcW w:w="80" w:type="dxa"/>
            <w:vAlign w:val="bottom"/>
          </w:tcPr>
          <w:p>
            <w:pPr>
              <w:spacing w:after="0"/>
              <w:rPr>
                <w:sz w:val="9"/>
                <w:szCs w:val="9"/>
                <w:color w:val="auto"/>
              </w:rPr>
            </w:pPr>
          </w:p>
        </w:tc>
        <w:tc>
          <w:tcPr>
            <w:tcW w:w="8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(38,522</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9"/>
                <w:szCs w:val="9"/>
                <w:color w:val="auto"/>
              </w:rPr>
            </w:pPr>
          </w:p>
        </w:tc>
        <w:tc>
          <w:tcPr>
            <w:tcW w:w="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(3,989</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9"/>
                <w:szCs w:val="9"/>
                <w:color w:val="auto"/>
              </w:rPr>
            </w:pPr>
          </w:p>
        </w:tc>
        <w:tc>
          <w:tcPr>
            <w:tcW w:w="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3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(20,467</w:t>
            </w:r>
          </w:p>
        </w:tc>
        <w:tc>
          <w:tcPr>
            <w:tcW w:w="80" w:type="dxa"/>
            <w:vAlign w:val="bottom"/>
          </w:tcPr>
          <w:p>
            <w:pPr>
              <w:jc w:val="right"/>
              <w:ind w:right="54"/>
              <w:spacing w:after="0"/>
              <w:rPr>
                <w:sz w:val="20"/>
                <w:szCs w:val="20"/>
                <w:color w:val="auto"/>
              </w:rPr>
            </w:pPr>
            <w:r>
              <w:rPr>
                <w:rFonts w:ascii="Times New Roman" w:cs="Times New Roman" w:eastAsia="Times New Roman" w:hAnsi="Times New Roman"/>
                <w:sz w:val="1"/>
                <w:szCs w:val="1"/>
                <w:color w:val="auto"/>
                <w:w w:val="4294967281"/>
              </w:rPr>
              <w:t>)</w:t>
            </w:r>
          </w:p>
        </w:tc>
        <w:tc>
          <w:tcPr>
            <w:tcW w:w="80" w:type="dxa"/>
            <w:vAlign w:val="bottom"/>
          </w:tcPr>
          <w:p>
            <w:pPr>
              <w:spacing w:after="0"/>
              <w:rPr>
                <w:sz w:val="9"/>
                <w:szCs w:val="9"/>
                <w:color w:val="auto"/>
              </w:rPr>
            </w:pPr>
          </w:p>
        </w:tc>
        <w:tc>
          <w:tcPr>
            <w:tcW w:w="8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w w:val="94"/>
              </w:rPr>
              <w:t>(15,544</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Basic loss per ordinary share</w:t>
            </w: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ind w:right="34"/>
              <w:spacing w:after="0"/>
              <w:rPr>
                <w:sz w:val="20"/>
                <w:szCs w:val="20"/>
                <w:color w:val="auto"/>
              </w:rPr>
            </w:pPr>
            <w:r>
              <w:rPr>
                <w:rFonts w:ascii="Times New Roman" w:cs="Times New Roman" w:eastAsia="Times New Roman" w:hAnsi="Times New Roman"/>
                <w:sz w:val="1"/>
                <w:szCs w:val="1"/>
                <w:color w:val="auto"/>
                <w:w w:val="4294967281"/>
              </w:rPr>
              <w:t>)</w:t>
            </w: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80" w:type="dxa"/>
            <w:vAlign w:val="bottom"/>
            <w:vMerge w:val="continue"/>
          </w:tcPr>
          <w:p>
            <w:pPr>
              <w:spacing w:after="0"/>
              <w:rPr>
                <w:sz w:val="7"/>
                <w:szCs w:val="7"/>
                <w:color w:val="auto"/>
              </w:rPr>
            </w:pPr>
          </w:p>
        </w:tc>
        <w:tc>
          <w:tcPr>
            <w:tcW w:w="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(1.49</w:t>
            </w:r>
          </w:p>
        </w:tc>
        <w:tc>
          <w:tcPr>
            <w:tcW w:w="8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(1.34</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w w:val="87"/>
              </w:rPr>
              <w:t>$</w:t>
            </w:r>
          </w:p>
        </w:tc>
        <w:tc>
          <w:tcPr>
            <w:tcW w:w="38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(1.63</w:t>
            </w: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(1.92</w:t>
            </w:r>
          </w:p>
        </w:tc>
        <w:tc>
          <w:tcPr>
            <w:tcW w:w="6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(0.26</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w w:val="87"/>
              </w:rPr>
              <w:t>$</w:t>
            </w:r>
          </w:p>
        </w:tc>
        <w:tc>
          <w:tcPr>
            <w:tcW w:w="3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(1.54)</w:t>
            </w: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w w:val="87"/>
              </w:rPr>
              <w:t>$</w:t>
            </w:r>
          </w:p>
        </w:tc>
        <w:tc>
          <w:tcPr>
            <w:tcW w:w="34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(1.18)</w:t>
            </w:r>
          </w:p>
        </w:tc>
        <w:tc>
          <w:tcPr>
            <w:tcW w:w="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Other Financial Data:</w:t>
            </w: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1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180" w:type="dxa"/>
            <w:vAlign w:val="bottom"/>
          </w:tcPr>
          <w:p>
            <w:pPr>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30,386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14,402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rPr>
              <w:t>18,821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21"/>
              <w:spacing w:after="0"/>
              <w:rPr>
                <w:sz w:val="20"/>
                <w:szCs w:val="20"/>
                <w:color w:val="auto"/>
              </w:rPr>
            </w:pPr>
            <w:r>
              <w:rPr>
                <w:rFonts w:ascii="Times New Roman" w:cs="Times New Roman" w:eastAsia="Times New Roman" w:hAnsi="Times New Roman"/>
                <w:sz w:val="11"/>
                <w:szCs w:val="11"/>
                <w:color w:val="auto"/>
              </w:rPr>
              <w:t>21,721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25,917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rPr>
              <w:t>26,643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25,414</w:t>
            </w:r>
          </w:p>
        </w:tc>
        <w:tc>
          <w:tcPr>
            <w:tcW w:w="0" w:type="dxa"/>
            <w:vAlign w:val="bottom"/>
          </w:tcPr>
          <w:p>
            <w:pPr>
              <w:spacing w:after="0"/>
              <w:rPr>
                <w:sz w:val="1"/>
                <w:szCs w:val="1"/>
                <w:color w:val="auto"/>
              </w:rPr>
            </w:pPr>
          </w:p>
        </w:tc>
      </w:tr>
      <w:tr>
        <w:trPr>
          <w:trHeight w:val="117"/>
        </w:trPr>
        <w:tc>
          <w:tcPr>
            <w:tcW w:w="218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Capital expenditures before Investment Center</w:t>
            </w: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1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grants</w:t>
            </w:r>
          </w:p>
        </w:tc>
        <w:tc>
          <w:tcPr>
            <w:tcW w:w="6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4"/>
              </w:rPr>
              <w:t>147,394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w w:val="94"/>
              </w:rPr>
              <w:t>156,564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rPr>
              <w:t>243,431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1"/>
              <w:spacing w:after="0"/>
              <w:rPr>
                <w:sz w:val="20"/>
                <w:szCs w:val="20"/>
                <w:color w:val="auto"/>
              </w:rPr>
            </w:pPr>
            <w:r>
              <w:rPr>
                <w:rFonts w:ascii="Times New Roman" w:cs="Times New Roman" w:eastAsia="Times New Roman" w:hAnsi="Times New Roman"/>
                <w:sz w:val="11"/>
                <w:szCs w:val="11"/>
                <w:color w:val="auto"/>
                <w:w w:val="94"/>
              </w:rPr>
              <w:t>364,347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79,060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74"/>
              <w:spacing w:after="0"/>
              <w:rPr>
                <w:sz w:val="20"/>
                <w:szCs w:val="20"/>
                <w:color w:val="auto"/>
              </w:rPr>
            </w:pPr>
            <w:r>
              <w:rPr>
                <w:rFonts w:ascii="Times New Roman" w:cs="Times New Roman" w:eastAsia="Times New Roman" w:hAnsi="Times New Roman"/>
                <w:sz w:val="11"/>
                <w:szCs w:val="11"/>
                <w:color w:val="auto"/>
              </w:rPr>
              <w:t>15,152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41"/>
              <w:spacing w:after="0"/>
              <w:rPr>
                <w:sz w:val="20"/>
                <w:szCs w:val="20"/>
                <w:color w:val="auto"/>
              </w:rPr>
            </w:pPr>
            <w:r>
              <w:rPr>
                <w:rFonts w:ascii="Times New Roman" w:cs="Times New Roman" w:eastAsia="Times New Roman" w:hAnsi="Times New Roman"/>
                <w:sz w:val="11"/>
                <w:szCs w:val="11"/>
                <w:color w:val="auto"/>
              </w:rPr>
              <w:t>18,779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-1989455</wp:posOffset>
            </wp:positionV>
            <wp:extent cx="386715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67150"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-1910080</wp:posOffset>
            </wp:positionV>
            <wp:extent cx="13335"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-1910080</wp:posOffset>
            </wp:positionV>
            <wp:extent cx="13335"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-1784350</wp:posOffset>
            </wp:positionV>
            <wp:extent cx="13335"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-1771650</wp:posOffset>
            </wp:positionV>
            <wp:extent cx="13335"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-1771650</wp:posOffset>
            </wp:positionV>
            <wp:extent cx="1333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-1771650</wp:posOffset>
            </wp:positionV>
            <wp:extent cx="1333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-1771650</wp:posOffset>
            </wp:positionV>
            <wp:extent cx="1333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-1771650</wp:posOffset>
            </wp:positionV>
            <wp:extent cx="13335"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-1771650</wp:posOffset>
            </wp:positionV>
            <wp:extent cx="13335"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-1685290</wp:posOffset>
            </wp:positionV>
            <wp:extent cx="1333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-1593215</wp:posOffset>
            </wp:positionV>
            <wp:extent cx="13335"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-1593215</wp:posOffset>
            </wp:positionV>
            <wp:extent cx="13335"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-1500505</wp:posOffset>
            </wp:positionV>
            <wp:extent cx="1333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-1407795</wp:posOffset>
            </wp:positionV>
            <wp:extent cx="13335"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-1407795</wp:posOffset>
            </wp:positionV>
            <wp:extent cx="13335"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-1407795</wp:posOffset>
            </wp:positionV>
            <wp:extent cx="1333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-1407795</wp:posOffset>
            </wp:positionV>
            <wp:extent cx="1333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-1407795</wp:posOffset>
            </wp:positionV>
            <wp:extent cx="13335"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-1407795</wp:posOffset>
            </wp:positionV>
            <wp:extent cx="13335"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-1407795</wp:posOffset>
            </wp:positionV>
            <wp:extent cx="13335"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-1315085</wp:posOffset>
            </wp:positionV>
            <wp:extent cx="13335"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-1315085</wp:posOffset>
            </wp:positionV>
            <wp:extent cx="13335"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-1315085</wp:posOffset>
            </wp:positionV>
            <wp:extent cx="13335"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-1315085</wp:posOffset>
            </wp:positionV>
            <wp:extent cx="13335"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-1315085</wp:posOffset>
            </wp:positionV>
            <wp:extent cx="13335"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-1315085</wp:posOffset>
            </wp:positionV>
            <wp:extent cx="13335"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-1315085</wp:posOffset>
            </wp:positionV>
            <wp:extent cx="13335"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-1223010</wp:posOffset>
            </wp:positionV>
            <wp:extent cx="1333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-1223010</wp:posOffset>
            </wp:positionV>
            <wp:extent cx="1333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-1223010</wp:posOffset>
            </wp:positionV>
            <wp:extent cx="1333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-1223010</wp:posOffset>
            </wp:positionV>
            <wp:extent cx="13335"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-1223010</wp:posOffset>
            </wp:positionV>
            <wp:extent cx="1333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-1223010</wp:posOffset>
            </wp:positionV>
            <wp:extent cx="1333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-1223010</wp:posOffset>
            </wp:positionV>
            <wp:extent cx="1333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-1130300</wp:posOffset>
            </wp:positionV>
            <wp:extent cx="1333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-1130300</wp:posOffset>
            </wp:positionV>
            <wp:extent cx="1333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-1130300</wp:posOffset>
            </wp:positionV>
            <wp:extent cx="13335"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-1130300</wp:posOffset>
            </wp:positionV>
            <wp:extent cx="1333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-1130300</wp:posOffset>
            </wp:positionV>
            <wp:extent cx="13335"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-1130300</wp:posOffset>
            </wp:positionV>
            <wp:extent cx="1333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-1130300</wp:posOffset>
            </wp:positionV>
            <wp:extent cx="1333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-1037590</wp:posOffset>
            </wp:positionV>
            <wp:extent cx="1333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-1037590</wp:posOffset>
            </wp:positionV>
            <wp:extent cx="13335"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-1037590</wp:posOffset>
            </wp:positionV>
            <wp:extent cx="13335"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-1037590</wp:posOffset>
            </wp:positionV>
            <wp:extent cx="13335"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-1037590</wp:posOffset>
            </wp:positionV>
            <wp:extent cx="13335"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-1037590</wp:posOffset>
            </wp:positionV>
            <wp:extent cx="1333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-1037590</wp:posOffset>
            </wp:positionV>
            <wp:extent cx="13335"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-944880</wp:posOffset>
            </wp:positionV>
            <wp:extent cx="13335"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-944880</wp:posOffset>
            </wp:positionV>
            <wp:extent cx="13335"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-944880</wp:posOffset>
            </wp:positionV>
            <wp:extent cx="13335"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-944880</wp:posOffset>
            </wp:positionV>
            <wp:extent cx="13335"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-944880</wp:posOffset>
            </wp:positionV>
            <wp:extent cx="13335"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-944880</wp:posOffset>
            </wp:positionV>
            <wp:extent cx="13335"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-944880</wp:posOffset>
            </wp:positionV>
            <wp:extent cx="13335"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-852805</wp:posOffset>
            </wp:positionV>
            <wp:extent cx="13335"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-852805</wp:posOffset>
            </wp:positionV>
            <wp:extent cx="13335"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-852805</wp:posOffset>
            </wp:positionV>
            <wp:extent cx="13335"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-852805</wp:posOffset>
            </wp:positionV>
            <wp:extent cx="13335"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-852805</wp:posOffset>
            </wp:positionV>
            <wp:extent cx="13335"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-852805</wp:posOffset>
            </wp:positionV>
            <wp:extent cx="13335"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-852805</wp:posOffset>
            </wp:positionV>
            <wp:extent cx="13335"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-760095</wp:posOffset>
            </wp:positionV>
            <wp:extent cx="13335"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-760095</wp:posOffset>
            </wp:positionV>
            <wp:extent cx="13335"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-760095</wp:posOffset>
            </wp:positionV>
            <wp:extent cx="13335"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-760095</wp:posOffset>
            </wp:positionV>
            <wp:extent cx="13335"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-760095</wp:posOffset>
            </wp:positionV>
            <wp:extent cx="13335"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-760095</wp:posOffset>
            </wp:positionV>
            <wp:extent cx="13335"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-760095</wp:posOffset>
            </wp:positionV>
            <wp:extent cx="13335"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-667385</wp:posOffset>
            </wp:positionV>
            <wp:extent cx="13335"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-667385</wp:posOffset>
            </wp:positionV>
            <wp:extent cx="13335"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-667385</wp:posOffset>
            </wp:positionV>
            <wp:extent cx="13335"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-667385</wp:posOffset>
            </wp:positionV>
            <wp:extent cx="13335"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-667385</wp:posOffset>
            </wp:positionV>
            <wp:extent cx="13335"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-667385</wp:posOffset>
            </wp:positionV>
            <wp:extent cx="13335"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-667385</wp:posOffset>
            </wp:positionV>
            <wp:extent cx="13335"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-574675</wp:posOffset>
            </wp:positionV>
            <wp:extent cx="13335"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-574675</wp:posOffset>
            </wp:positionV>
            <wp:extent cx="13335"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-574675</wp:posOffset>
            </wp:positionV>
            <wp:extent cx="13335"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-574675</wp:posOffset>
            </wp:positionV>
            <wp:extent cx="13335"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-574675</wp:posOffset>
            </wp:positionV>
            <wp:extent cx="13335"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-574675</wp:posOffset>
            </wp:positionV>
            <wp:extent cx="13335"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-574675</wp:posOffset>
            </wp:positionV>
            <wp:extent cx="13335"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-482600</wp:posOffset>
            </wp:positionV>
            <wp:extent cx="1333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-482600</wp:posOffset>
            </wp:positionV>
            <wp:extent cx="13335"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-482600</wp:posOffset>
            </wp:positionV>
            <wp:extent cx="13335"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-482600</wp:posOffset>
            </wp:positionV>
            <wp:extent cx="13335"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-482600</wp:posOffset>
            </wp:positionV>
            <wp:extent cx="13335"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-482600</wp:posOffset>
            </wp:positionV>
            <wp:extent cx="13335"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-482600</wp:posOffset>
            </wp:positionV>
            <wp:extent cx="13335"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-389890</wp:posOffset>
            </wp:positionV>
            <wp:extent cx="13335"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-389890</wp:posOffset>
            </wp:positionV>
            <wp:extent cx="13335"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-389890</wp:posOffset>
            </wp:positionV>
            <wp:extent cx="13335"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-389890</wp:posOffset>
            </wp:positionV>
            <wp:extent cx="13335"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-389890</wp:posOffset>
            </wp:positionV>
            <wp:extent cx="13335"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-389890</wp:posOffset>
            </wp:positionV>
            <wp:extent cx="13335"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-389890</wp:posOffset>
            </wp:positionV>
            <wp:extent cx="13335"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-297180</wp:posOffset>
            </wp:positionV>
            <wp:extent cx="13335"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-204470</wp:posOffset>
            </wp:positionV>
            <wp:extent cx="13335"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-204470</wp:posOffset>
            </wp:positionV>
            <wp:extent cx="13335"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-204470</wp:posOffset>
            </wp:positionV>
            <wp:extent cx="13335"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-204470</wp:posOffset>
            </wp:positionV>
            <wp:extent cx="13335"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-204470</wp:posOffset>
            </wp:positionV>
            <wp:extent cx="13335"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-204470</wp:posOffset>
            </wp:positionV>
            <wp:extent cx="13335"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-204470</wp:posOffset>
            </wp:positionV>
            <wp:extent cx="13335"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-72390</wp:posOffset>
            </wp:positionV>
            <wp:extent cx="13335"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1701165</wp:posOffset>
            </wp:positionH>
            <wp:positionV relativeFrom="paragraph">
              <wp:posOffset>-72390</wp:posOffset>
            </wp:positionV>
            <wp:extent cx="13335"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-72390</wp:posOffset>
            </wp:positionV>
            <wp:extent cx="13335"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-72390</wp:posOffset>
            </wp:positionV>
            <wp:extent cx="13335"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-72390</wp:posOffset>
            </wp:positionV>
            <wp:extent cx="13335"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-72390</wp:posOffset>
            </wp:positionV>
            <wp:extent cx="13335"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-72390</wp:posOffset>
            </wp:positionV>
            <wp:extent cx="13335"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52705</wp:posOffset>
            </wp:positionV>
            <wp:extent cx="13335"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144780</wp:posOffset>
            </wp:positionV>
            <wp:extent cx="13335"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198120</wp:posOffset>
            </wp:positionV>
            <wp:extent cx="6350" cy="660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ectPr>
          <w:pgSz w:w="11900" w:h="16838" w:orient="portrait"/>
          <w:cols w:equalWidth="0" w:num="1">
            <w:col w:w="10239"/>
          </w:cols>
          <w:pgMar w:left="220" w:top="208" w:right="1440" w:bottom="0" w:gutter="0" w:footer="0" w:header="0"/>
        </w:sectPr>
      </w:pPr>
    </w:p>
    <w:p>
      <w:pPr>
        <w:spacing w:after="0" w:line="200" w:lineRule="exact"/>
        <w:rPr>
          <w:sz w:val="20"/>
          <w:szCs w:val="20"/>
          <w:color w:val="auto"/>
        </w:rPr>
      </w:pPr>
    </w:p>
    <w:p>
      <w:pPr>
        <w:spacing w:after="0" w:line="33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239"/>
          </w:cols>
          <w:pgMar w:left="220" w:top="208" w:right="1440" w:bottom="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1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12"/>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auto"/>
            </w:tcBorders>
          </w:tcPr>
          <w:p>
            <w:pPr>
              <w:jc w:val="center"/>
              <w:ind w:left="225"/>
              <w:spacing w:after="0"/>
              <w:rPr>
                <w:sz w:val="20"/>
                <w:szCs w:val="20"/>
                <w:color w:val="auto"/>
              </w:rPr>
            </w:pPr>
            <w:r>
              <w:rPr>
                <w:rFonts w:ascii="Times New Roman" w:cs="Times New Roman" w:eastAsia="Times New Roman" w:hAnsi="Times New Roman"/>
                <w:sz w:val="11"/>
                <w:szCs w:val="11"/>
                <w:b w:val="1"/>
                <w:bCs w:val="1"/>
                <w:color w:val="auto"/>
                <w:w w:val="99"/>
              </w:rPr>
              <w:t>2003</w:t>
            </w: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4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2002</w:t>
            </w:r>
          </w:p>
        </w:tc>
        <w:tc>
          <w:tcPr>
            <w:tcW w:w="60" w:type="dxa"/>
            <w:vAlign w:val="bottom"/>
            <w:tcBorders>
              <w:bottom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4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2001</w:t>
            </w:r>
          </w:p>
        </w:tc>
        <w:tc>
          <w:tcPr>
            <w:tcW w:w="60" w:type="dxa"/>
            <w:vAlign w:val="bottom"/>
            <w:tcBorders>
              <w:bottom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2000</w:t>
            </w:r>
          </w:p>
        </w:tc>
        <w:tc>
          <w:tcPr>
            <w:tcW w:w="20" w:type="dxa"/>
            <w:vAlign w:val="bottom"/>
            <w:tcBorders>
              <w:bottom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480" w:type="dxa"/>
            <w:vAlign w:val="bottom"/>
            <w:tcBorders>
              <w:bottom w:val="single" w:sz="8" w:color="auto"/>
            </w:tcBorders>
            <w:gridSpan w:val="2"/>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1999</w:t>
            </w:r>
          </w:p>
        </w:tc>
        <w:tc>
          <w:tcPr>
            <w:tcW w:w="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1998</w:t>
            </w:r>
          </w:p>
        </w:tc>
        <w:tc>
          <w:tcPr>
            <w:tcW w:w="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7"/>
          </w:tcPr>
          <w:p>
            <w:pPr>
              <w:ind w:left="120"/>
              <w:spacing w:after="0"/>
              <w:rPr>
                <w:sz w:val="20"/>
                <w:szCs w:val="20"/>
                <w:color w:val="auto"/>
              </w:rPr>
            </w:pPr>
            <w:r>
              <w:rPr>
                <w:rFonts w:ascii="Times New Roman" w:cs="Times New Roman" w:eastAsia="Times New Roman" w:hAnsi="Times New Roman"/>
                <w:sz w:val="11"/>
                <w:szCs w:val="11"/>
                <w:color w:val="auto"/>
              </w:rPr>
              <w:t>(in thousands)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Selected Balance Sheet Data in accordance</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with Israel GAAP:</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6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Cash and cash equivalents, including short-term</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deposits and designated cash</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  8,377</w:t>
            </w:r>
          </w:p>
        </w:tc>
        <w:tc>
          <w:tcPr>
            <w:tcW w:w="20" w:type="dxa"/>
            <w:vAlign w:val="bottom"/>
          </w:tcPr>
          <w:p>
            <w:pPr>
              <w:spacing w:after="0"/>
              <w:rPr>
                <w:sz w:val="12"/>
                <w:szCs w:val="12"/>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$ 69,695</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$ 33,202</w:t>
            </w:r>
          </w:p>
        </w:tc>
        <w:tc>
          <w:tcPr>
            <w:tcW w:w="60" w:type="dxa"/>
            <w:vAlign w:val="bottom"/>
          </w:tcPr>
          <w:p>
            <w:pPr>
              <w:spacing w:after="0"/>
              <w:rPr>
                <w:sz w:val="12"/>
                <w:szCs w:val="12"/>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$ 18,707</w:t>
            </w:r>
          </w:p>
        </w:tc>
        <w:tc>
          <w:tcPr>
            <w:tcW w:w="20" w:type="dxa"/>
            <w:vAlign w:val="bottom"/>
          </w:tcPr>
          <w:p>
            <w:pPr>
              <w:spacing w:after="0"/>
              <w:rPr>
                <w:sz w:val="12"/>
                <w:szCs w:val="12"/>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$ 41,880</w:t>
            </w:r>
          </w:p>
        </w:tc>
        <w:tc>
          <w:tcPr>
            <w:tcW w:w="20" w:type="dxa"/>
            <w:vAlign w:val="bottom"/>
          </w:tcPr>
          <w:p>
            <w:pPr>
              <w:spacing w:after="0"/>
              <w:rPr>
                <w:sz w:val="12"/>
                <w:szCs w:val="12"/>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39,282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Working capital</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(28,172)</w:t>
            </w:r>
          </w:p>
        </w:tc>
        <w:tc>
          <w:tcPr>
            <w:tcW w:w="20" w:type="dxa"/>
            <w:vAlign w:val="bottom"/>
          </w:tcPr>
          <w:p>
            <w:pPr>
              <w:spacing w:after="0"/>
              <w:rPr>
                <w:sz w:val="12"/>
                <w:szCs w:val="12"/>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21,927</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1"/>
                <w:szCs w:val="11"/>
                <w:color w:val="auto"/>
              </w:rPr>
              <w:t>(16,335)</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28,635</w:t>
            </w:r>
          </w:p>
        </w:tc>
        <w:tc>
          <w:tcPr>
            <w:tcW w:w="20" w:type="dxa"/>
            <w:vAlign w:val="bottom"/>
          </w:tcPr>
          <w:p>
            <w:pPr>
              <w:spacing w:after="0"/>
              <w:rPr>
                <w:sz w:val="12"/>
                <w:szCs w:val="12"/>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56,001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66,037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750,612</w:t>
            </w:r>
          </w:p>
        </w:tc>
        <w:tc>
          <w:tcPr>
            <w:tcW w:w="20" w:type="dxa"/>
            <w:vAlign w:val="bottom"/>
          </w:tcPr>
          <w:p>
            <w:pPr>
              <w:spacing w:after="0"/>
              <w:rPr>
                <w:sz w:val="12"/>
                <w:szCs w:val="12"/>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716,261</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472,054</w:t>
            </w:r>
          </w:p>
        </w:tc>
        <w:tc>
          <w:tcPr>
            <w:tcW w:w="60" w:type="dxa"/>
            <w:vAlign w:val="bottom"/>
          </w:tcPr>
          <w:p>
            <w:pPr>
              <w:spacing w:after="0"/>
              <w:rPr>
                <w:sz w:val="12"/>
                <w:szCs w:val="12"/>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179,298</w:t>
            </w:r>
          </w:p>
        </w:tc>
        <w:tc>
          <w:tcPr>
            <w:tcW w:w="20" w:type="dxa"/>
            <w:vAlign w:val="bottom"/>
          </w:tcPr>
          <w:p>
            <w:pPr>
              <w:spacing w:after="0"/>
              <w:rPr>
                <w:sz w:val="12"/>
                <w:szCs w:val="12"/>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155,211</w:t>
            </w:r>
          </w:p>
        </w:tc>
        <w:tc>
          <w:tcPr>
            <w:tcW w:w="20" w:type="dxa"/>
            <w:vAlign w:val="bottom"/>
          </w:tcPr>
          <w:p>
            <w:pPr>
              <w:spacing w:after="0"/>
              <w:rPr>
                <w:sz w:val="12"/>
                <w:szCs w:val="12"/>
                <w:color w:val="auto"/>
              </w:rPr>
            </w:pP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1"/>
                <w:szCs w:val="11"/>
                <w:color w:val="auto"/>
              </w:rPr>
              <w:t>180,047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Long-term debt.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347,000</w:t>
            </w:r>
          </w:p>
        </w:tc>
        <w:tc>
          <w:tcPr>
            <w:tcW w:w="20" w:type="dxa"/>
            <w:vAlign w:val="bottom"/>
          </w:tcPr>
          <w:p>
            <w:pPr>
              <w:spacing w:after="0"/>
              <w:rPr>
                <w:sz w:val="12"/>
                <w:szCs w:val="12"/>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253,000</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115,000</w:t>
            </w:r>
          </w:p>
        </w:tc>
        <w:tc>
          <w:tcPr>
            <w:tcW w:w="60" w:type="dxa"/>
            <w:vAlign w:val="bottom"/>
          </w:tcPr>
          <w:p>
            <w:pPr>
              <w:spacing w:after="0"/>
              <w:rPr>
                <w:sz w:val="12"/>
                <w:szCs w:val="12"/>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12,064</w:t>
            </w:r>
          </w:p>
        </w:tc>
        <w:tc>
          <w:tcPr>
            <w:tcW w:w="20" w:type="dxa"/>
            <w:vAlign w:val="bottom"/>
          </w:tcPr>
          <w:p>
            <w:pPr>
              <w:spacing w:after="0"/>
              <w:rPr>
                <w:sz w:val="12"/>
                <w:szCs w:val="12"/>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12,106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12,127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Convertible debentures</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25,552</w:t>
            </w:r>
          </w:p>
        </w:tc>
        <w:tc>
          <w:tcPr>
            <w:tcW w:w="20" w:type="dxa"/>
            <w:vAlign w:val="bottom"/>
          </w:tcPr>
          <w:p>
            <w:pPr>
              <w:spacing w:after="0"/>
              <w:rPr>
                <w:sz w:val="12"/>
                <w:szCs w:val="12"/>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24,121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60" w:type="dxa"/>
            <w:vAlign w:val="bottom"/>
            <w:gridSpan w:val="2"/>
          </w:tcPr>
          <w:p>
            <w:pPr>
              <w:spacing w:after="0" w:line="118" w:lineRule="exact"/>
              <w:rPr>
                <w:sz w:val="20"/>
                <w:szCs w:val="20"/>
                <w:color w:val="auto"/>
              </w:rPr>
            </w:pPr>
            <w:r>
              <w:rPr>
                <w:rFonts w:ascii="Times New Roman" w:cs="Times New Roman" w:eastAsia="Times New Roman" w:hAnsi="Times New Roman"/>
                <w:sz w:val="11"/>
                <w:szCs w:val="11"/>
                <w:color w:val="auto"/>
              </w:rPr>
              <w:t>Long-term liabilities in respect of</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customers' advances.</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46,920</w:t>
            </w:r>
          </w:p>
        </w:tc>
        <w:tc>
          <w:tcPr>
            <w:tcW w:w="20" w:type="dxa"/>
            <w:vAlign w:val="bottom"/>
          </w:tcPr>
          <w:p>
            <w:pPr>
              <w:spacing w:after="0"/>
              <w:rPr>
                <w:sz w:val="12"/>
                <w:szCs w:val="12"/>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47,246</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17,910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Shareholders' equity</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246,117</w:t>
            </w:r>
          </w:p>
        </w:tc>
        <w:tc>
          <w:tcPr>
            <w:tcW w:w="20" w:type="dxa"/>
            <w:vAlign w:val="bottom"/>
          </w:tcPr>
          <w:p>
            <w:pPr>
              <w:spacing w:after="0"/>
              <w:rPr>
                <w:sz w:val="12"/>
                <w:szCs w:val="12"/>
                <w:color w:val="auto"/>
              </w:rPr>
            </w:pPr>
          </w:p>
        </w:tc>
        <w:tc>
          <w:tcPr>
            <w:tcW w:w="56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298,334</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252,805</w:t>
            </w:r>
          </w:p>
        </w:tc>
        <w:tc>
          <w:tcPr>
            <w:tcW w:w="60" w:type="dxa"/>
            <w:vAlign w:val="bottom"/>
          </w:tcPr>
          <w:p>
            <w:pPr>
              <w:spacing w:after="0"/>
              <w:rPr>
                <w:sz w:val="12"/>
                <w:szCs w:val="12"/>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134,648</w:t>
            </w:r>
          </w:p>
        </w:tc>
        <w:tc>
          <w:tcPr>
            <w:tcW w:w="20" w:type="dxa"/>
            <w:vAlign w:val="bottom"/>
          </w:tcPr>
          <w:p>
            <w:pPr>
              <w:spacing w:after="0"/>
              <w:rPr>
                <w:sz w:val="12"/>
                <w:szCs w:val="12"/>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122,121</w:t>
            </w:r>
          </w:p>
        </w:tc>
        <w:tc>
          <w:tcPr>
            <w:tcW w:w="20" w:type="dxa"/>
            <w:vAlign w:val="bottom"/>
          </w:tcPr>
          <w:p>
            <w:pPr>
              <w:spacing w:after="0"/>
              <w:rPr>
                <w:sz w:val="12"/>
                <w:szCs w:val="12"/>
                <w:color w:val="auto"/>
              </w:rPr>
            </w:pP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1"/>
                <w:szCs w:val="11"/>
                <w:color w:val="auto"/>
              </w:rPr>
              <w:t>143,325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1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As of December 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2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Selected Balance Sheet Data in</w:t>
            </w:r>
          </w:p>
        </w:tc>
        <w:tc>
          <w:tcPr>
            <w:tcW w:w="20" w:type="dxa"/>
            <w:vAlign w:val="bottom"/>
          </w:tcPr>
          <w:p>
            <w:pPr>
              <w:spacing w:after="0"/>
              <w:rPr>
                <w:sz w:val="11"/>
                <w:szCs w:val="11"/>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gridSpan w:val="1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240" w:type="dxa"/>
            <w:vAlign w:val="bottom"/>
            <w:vMerge w:val="continue"/>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accordance with US GAAP:</w:t>
            </w: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left="185"/>
              <w:spacing w:after="0"/>
              <w:rPr>
                <w:sz w:val="20"/>
                <w:szCs w:val="20"/>
                <w:color w:val="auto"/>
              </w:rPr>
            </w:pPr>
            <w:r>
              <w:rPr>
                <w:rFonts w:ascii="Times New Roman" w:cs="Times New Roman" w:eastAsia="Times New Roman" w:hAnsi="Times New Roman"/>
                <w:sz w:val="11"/>
                <w:szCs w:val="11"/>
                <w:b w:val="1"/>
                <w:bCs w:val="1"/>
                <w:color w:val="auto"/>
                <w:w w:val="99"/>
              </w:rPr>
              <w:t>2003</w:t>
            </w:r>
          </w:p>
        </w:tc>
        <w:tc>
          <w:tcPr>
            <w:tcW w:w="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2002</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gridSpan w:val="2"/>
          </w:tcPr>
          <w:p>
            <w:pPr>
              <w:spacing w:after="0"/>
              <w:rPr>
                <w:sz w:val="13"/>
                <w:szCs w:val="13"/>
                <w:color w:val="auto"/>
              </w:rPr>
            </w:pPr>
          </w:p>
        </w:tc>
        <w:tc>
          <w:tcPr>
            <w:tcW w:w="4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2001</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gridSpan w:val="2"/>
          </w:tcPr>
          <w:p>
            <w:pPr>
              <w:spacing w:after="0"/>
              <w:rPr>
                <w:sz w:val="13"/>
                <w:szCs w:val="13"/>
                <w:color w:val="auto"/>
              </w:rPr>
            </w:pPr>
          </w:p>
        </w:tc>
        <w:tc>
          <w:tcPr>
            <w:tcW w:w="4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2000</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gridSpan w:val="2"/>
          </w:tcPr>
          <w:p>
            <w:pPr>
              <w:spacing w:after="0"/>
              <w:rPr>
                <w:sz w:val="13"/>
                <w:szCs w:val="13"/>
                <w:color w:val="auto"/>
              </w:rPr>
            </w:pPr>
          </w:p>
        </w:tc>
        <w:tc>
          <w:tcPr>
            <w:tcW w:w="4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1999</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1998</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7"/>
          </w:tcPr>
          <w:p>
            <w:pPr>
              <w:ind w:left="80"/>
              <w:spacing w:after="0" w:line="119" w:lineRule="exact"/>
              <w:rPr>
                <w:sz w:val="20"/>
                <w:szCs w:val="20"/>
                <w:color w:val="auto"/>
              </w:rPr>
            </w:pPr>
            <w:r>
              <w:rPr>
                <w:rFonts w:ascii="Times New Roman" w:cs="Times New Roman" w:eastAsia="Times New Roman" w:hAnsi="Times New Roman"/>
                <w:sz w:val="11"/>
                <w:szCs w:val="11"/>
                <w:color w:val="auto"/>
              </w:rPr>
              <w:t>(in thousands)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According to Israel GAAP</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$750,612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$716,261</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1"/>
                <w:szCs w:val="11"/>
                <w:color w:val="auto"/>
              </w:rPr>
              <w:t>$472,054</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color w:val="auto"/>
              </w:rPr>
              <w:t>$179,298</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$155,211</w:t>
            </w:r>
          </w:p>
        </w:tc>
        <w:tc>
          <w:tcPr>
            <w:tcW w:w="20" w:type="dxa"/>
            <w:vAlign w:val="bottom"/>
          </w:tcPr>
          <w:p>
            <w:pPr>
              <w:spacing w:after="0"/>
              <w:rPr>
                <w:sz w:val="12"/>
                <w:szCs w:val="12"/>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4"/>
              </w:rPr>
              <w:t>180,047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The effect of:</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6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1"/>
                <w:szCs w:val="11"/>
                <w:color w:val="auto"/>
              </w:rPr>
              <w:t>Presentation of long-term liabilities in</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2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respect of employees</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13,904</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12,368</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1"/>
                <w:szCs w:val="11"/>
                <w:color w:val="auto"/>
              </w:rPr>
              <w:t>10,334</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color w:val="auto"/>
              </w:rPr>
              <w:t>7,952</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color w:val="auto"/>
              </w:rPr>
              <w:t>7,088</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Hedging activities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(6,279)</w:t>
            </w:r>
          </w:p>
        </w:tc>
        <w:tc>
          <w:tcPr>
            <w:tcW w:w="20" w:type="dxa"/>
            <w:vAlign w:val="bottom"/>
          </w:tcPr>
          <w:p>
            <w:pPr>
              <w:spacing w:after="0"/>
              <w:rPr>
                <w:sz w:val="12"/>
                <w:szCs w:val="12"/>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(5,727)</w:t>
            </w: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color w:val="auto"/>
              </w:rPr>
              <w:t>(4,564)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Sale of securities (*)</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(196)</w:t>
            </w:r>
          </w:p>
        </w:tc>
        <w:tc>
          <w:tcPr>
            <w:tcW w:w="20" w:type="dxa"/>
            <w:vAlign w:val="bottom"/>
          </w:tcPr>
          <w:p>
            <w:pPr>
              <w:spacing w:after="0"/>
              <w:rPr>
                <w:sz w:val="12"/>
                <w:szCs w:val="12"/>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(196)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Presentation of securities</w:t>
            </w:r>
          </w:p>
        </w:tc>
        <w:tc>
          <w:tcPr>
            <w:tcW w:w="78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color w:val="auto"/>
              </w:rPr>
              <w:t>12,563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24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According to US GAAP</w:t>
            </w:r>
          </w:p>
        </w:tc>
        <w:tc>
          <w:tcPr>
            <w:tcW w:w="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$758,041</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top w:val="single" w:sz="8" w:color="auto"/>
              <w:bottom w:val="single" w:sz="8" w:color="auto"/>
            </w:tcBorders>
            <w:gridSpan w:val="2"/>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722,706</w:t>
            </w:r>
          </w:p>
        </w:tc>
        <w:tc>
          <w:tcPr>
            <w:tcW w:w="6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477,824</w:t>
            </w:r>
          </w:p>
        </w:tc>
        <w:tc>
          <w:tcPr>
            <w:tcW w:w="6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199,813</w:t>
            </w:r>
          </w:p>
        </w:tc>
        <w:tc>
          <w:tcPr>
            <w:tcW w:w="2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162,299</w:t>
            </w:r>
          </w:p>
        </w:tc>
        <w:tc>
          <w:tcPr>
            <w:tcW w:w="2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rPr>
              <w:t>$</w:t>
            </w:r>
          </w:p>
        </w:tc>
        <w:tc>
          <w:tcPr>
            <w:tcW w:w="36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w w:val="94"/>
              </w:rPr>
              <w:t>186,285</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Shareholders' equity</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According to Israel GAAP</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$246,117</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$298,334</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1"/>
                <w:szCs w:val="11"/>
                <w:color w:val="auto"/>
              </w:rPr>
              <w:t>$252,805</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color w:val="auto"/>
              </w:rPr>
              <w:t>$134,648</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color w:val="auto"/>
              </w:rPr>
              <w:t>$122,121</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4"/>
              </w:rPr>
              <w:t>143,325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The effect of:</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Hedging activities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(18,465)</w:t>
            </w:r>
          </w:p>
        </w:tc>
        <w:tc>
          <w:tcPr>
            <w:tcW w:w="20" w:type="dxa"/>
            <w:vAlign w:val="bottom"/>
          </w:tcPr>
          <w:p>
            <w:pPr>
              <w:spacing w:after="0"/>
              <w:rPr>
                <w:sz w:val="12"/>
                <w:szCs w:val="12"/>
                <w:color w:val="auto"/>
              </w:rPr>
            </w:pP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1"/>
                <w:szCs w:val="11"/>
                <w:color w:val="auto"/>
              </w:rPr>
              <w:t>(17,807)</w:t>
            </w:r>
          </w:p>
        </w:tc>
        <w:tc>
          <w:tcPr>
            <w:tcW w:w="62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color w:val="auto"/>
              </w:rPr>
              <w:t>(8,169)</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Sale of securities (*)</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rPr>
              <w:t>2,363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Presentation of securities</w:t>
            </w:r>
          </w:p>
        </w:tc>
        <w:tc>
          <w:tcPr>
            <w:tcW w:w="780" w:type="dxa"/>
            <w:vAlign w:val="bottom"/>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color w:val="auto"/>
              </w:rPr>
              <w:t>12,563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240" w:type="dxa"/>
            <w:vAlign w:val="bottom"/>
          </w:tcPr>
          <w:p>
            <w:pPr>
              <w:spacing w:after="0" w:line="105" w:lineRule="exact"/>
              <w:rPr>
                <w:sz w:val="20"/>
                <w:szCs w:val="20"/>
                <w:color w:val="auto"/>
              </w:rPr>
            </w:pPr>
            <w:r>
              <w:rPr>
                <w:rFonts w:ascii="Times New Roman" w:cs="Times New Roman" w:eastAsia="Times New Roman" w:hAnsi="Times New Roman"/>
                <w:sz w:val="11"/>
                <w:szCs w:val="11"/>
                <w:color w:val="auto"/>
              </w:rPr>
              <w:t>According to US GAAP</w:t>
            </w:r>
          </w:p>
        </w:tc>
        <w:tc>
          <w:tcPr>
            <w:tcW w:w="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$230,015</w:t>
            </w: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top w:val="single" w:sz="8" w:color="auto"/>
              <w:bottom w:val="single" w:sz="8" w:color="auto"/>
            </w:tcBorders>
            <w:gridSpan w:val="2"/>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282,890</w:t>
            </w:r>
          </w:p>
        </w:tc>
        <w:tc>
          <w:tcPr>
            <w:tcW w:w="6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244,636</w:t>
            </w:r>
          </w:p>
        </w:tc>
        <w:tc>
          <w:tcPr>
            <w:tcW w:w="6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147,211</w:t>
            </w:r>
          </w:p>
        </w:tc>
        <w:tc>
          <w:tcPr>
            <w:tcW w:w="2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122,121</w:t>
            </w:r>
          </w:p>
        </w:tc>
        <w:tc>
          <w:tcPr>
            <w:tcW w:w="20" w:type="dxa"/>
            <w:vAlign w:val="bottom"/>
          </w:tcPr>
          <w:p>
            <w:pPr>
              <w:spacing w:after="0"/>
              <w:rPr>
                <w:sz w:val="9"/>
                <w:szCs w:val="9"/>
                <w:color w:val="auto"/>
              </w:rPr>
            </w:pPr>
          </w:p>
        </w:tc>
        <w:tc>
          <w:tcPr>
            <w:tcW w:w="120" w:type="dxa"/>
            <w:vAlign w:val="bottom"/>
            <w:gridSpan w:val="3"/>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rPr>
              <w:t>$</w:t>
            </w:r>
          </w:p>
        </w:tc>
        <w:tc>
          <w:tcPr>
            <w:tcW w:w="36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w w:val="94"/>
              </w:rPr>
              <w:t>143,325</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128905</wp:posOffset>
            </wp:positionH>
            <wp:positionV relativeFrom="page">
              <wp:posOffset>248285</wp:posOffset>
            </wp:positionV>
            <wp:extent cx="5062220"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page">
              <wp:posOffset>141605</wp:posOffset>
            </wp:positionH>
            <wp:positionV relativeFrom="page">
              <wp:posOffset>445770</wp:posOffset>
            </wp:positionV>
            <wp:extent cx="6350" cy="660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clrChange>
                        <a:clrFrom>
                          <a:srgbClr val="FFFFFF"/>
                        </a:clrFrom>
                        <a:clrTo>
                          <a:srgbClr val="FFFFFF">
                            <a:alpha val="0"/>
                          </a:srgbClr>
                        </a:clrTo>
                      </a:clrChange>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-3377565</wp:posOffset>
            </wp:positionV>
            <wp:extent cx="389382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93820"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-3298190</wp:posOffset>
            </wp:positionV>
            <wp:extent cx="13335"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-3298190</wp:posOffset>
            </wp:positionV>
            <wp:extent cx="13335"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-3178810</wp:posOffset>
            </wp:positionV>
            <wp:extent cx="13335"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-3178810</wp:posOffset>
            </wp:positionV>
            <wp:extent cx="13335"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-3178810</wp:posOffset>
            </wp:positionV>
            <wp:extent cx="13335"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-3178810</wp:posOffset>
            </wp:positionV>
            <wp:extent cx="13335"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-3178810</wp:posOffset>
            </wp:positionV>
            <wp:extent cx="13335"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-3178810</wp:posOffset>
            </wp:positionV>
            <wp:extent cx="13335"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-3086100</wp:posOffset>
            </wp:positionV>
            <wp:extent cx="13335"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-2994025</wp:posOffset>
            </wp:positionV>
            <wp:extent cx="13335"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-2994025</wp:posOffset>
            </wp:positionV>
            <wp:extent cx="13335"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-2861945</wp:posOffset>
            </wp:positionV>
            <wp:extent cx="13335"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-2861945</wp:posOffset>
            </wp:positionV>
            <wp:extent cx="13335"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-2861945</wp:posOffset>
            </wp:positionV>
            <wp:extent cx="13335"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-2861945</wp:posOffset>
            </wp:positionV>
            <wp:extent cx="13335"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-2861945</wp:posOffset>
            </wp:positionV>
            <wp:extent cx="13335"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-2861945</wp:posOffset>
            </wp:positionV>
            <wp:extent cx="13335"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-2696210</wp:posOffset>
            </wp:positionV>
            <wp:extent cx="13335"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-2696210</wp:posOffset>
            </wp:positionV>
            <wp:extent cx="13335"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-2696210</wp:posOffset>
            </wp:positionV>
            <wp:extent cx="13335"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-2696210</wp:posOffset>
            </wp:positionV>
            <wp:extent cx="13335"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-2696210</wp:posOffset>
            </wp:positionV>
            <wp:extent cx="13335"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-2696210</wp:posOffset>
            </wp:positionV>
            <wp:extent cx="13335"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-2570480</wp:posOffset>
            </wp:positionV>
            <wp:extent cx="13335"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-2570480</wp:posOffset>
            </wp:positionV>
            <wp:extent cx="13335" cy="63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-2570480</wp:posOffset>
            </wp:positionV>
            <wp:extent cx="13335"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-2570480</wp:posOffset>
            </wp:positionV>
            <wp:extent cx="13335"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-2570480</wp:posOffset>
            </wp:positionV>
            <wp:extent cx="13335"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-2570480</wp:posOffset>
            </wp:positionV>
            <wp:extent cx="13335"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-2478405</wp:posOffset>
            </wp:positionV>
            <wp:extent cx="13335"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-2478405</wp:posOffset>
            </wp:positionV>
            <wp:extent cx="13335"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-2478405</wp:posOffset>
            </wp:positionV>
            <wp:extent cx="13335"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-2478405</wp:posOffset>
            </wp:positionV>
            <wp:extent cx="13335"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-2478405</wp:posOffset>
            </wp:positionV>
            <wp:extent cx="13335"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-2478405</wp:posOffset>
            </wp:positionV>
            <wp:extent cx="13335"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-2385695</wp:posOffset>
            </wp:positionV>
            <wp:extent cx="13335"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-2385695</wp:posOffset>
            </wp:positionV>
            <wp:extent cx="13335"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-2385695</wp:posOffset>
            </wp:positionV>
            <wp:extent cx="13335"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-2385695</wp:posOffset>
            </wp:positionV>
            <wp:extent cx="13335"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-2385695</wp:posOffset>
            </wp:positionV>
            <wp:extent cx="13335"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-2385695</wp:posOffset>
            </wp:positionV>
            <wp:extent cx="13335"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-2292985</wp:posOffset>
            </wp:positionV>
            <wp:extent cx="13335"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-2292985</wp:posOffset>
            </wp:positionV>
            <wp:extent cx="13335"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-2292985</wp:posOffset>
            </wp:positionV>
            <wp:extent cx="13335"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-2292985</wp:posOffset>
            </wp:positionV>
            <wp:extent cx="13335"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-2292985</wp:posOffset>
            </wp:positionV>
            <wp:extent cx="13335"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-2292985</wp:posOffset>
            </wp:positionV>
            <wp:extent cx="13335"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-2160905</wp:posOffset>
            </wp:positionV>
            <wp:extent cx="13335"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-2160905</wp:posOffset>
            </wp:positionV>
            <wp:extent cx="13335"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-2160905</wp:posOffset>
            </wp:positionV>
            <wp:extent cx="13335"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-2160905</wp:posOffset>
            </wp:positionV>
            <wp:extent cx="13335"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-2160905</wp:posOffset>
            </wp:positionV>
            <wp:extent cx="13335"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-2160905</wp:posOffset>
            </wp:positionV>
            <wp:extent cx="13335"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-2035175</wp:posOffset>
            </wp:positionV>
            <wp:extent cx="13335"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-2035175</wp:posOffset>
            </wp:positionV>
            <wp:extent cx="13335"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2289175</wp:posOffset>
            </wp:positionH>
            <wp:positionV relativeFrom="paragraph">
              <wp:posOffset>-2035175</wp:posOffset>
            </wp:positionV>
            <wp:extent cx="13335"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2679065</wp:posOffset>
            </wp:positionH>
            <wp:positionV relativeFrom="paragraph">
              <wp:posOffset>-2035175</wp:posOffset>
            </wp:positionV>
            <wp:extent cx="13335"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-2035175</wp:posOffset>
            </wp:positionV>
            <wp:extent cx="13335"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3419475</wp:posOffset>
            </wp:positionH>
            <wp:positionV relativeFrom="paragraph">
              <wp:posOffset>-2035175</wp:posOffset>
            </wp:positionV>
            <wp:extent cx="13335"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-1982470</wp:posOffset>
            </wp:positionV>
            <wp:extent cx="3900170" cy="13906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900170" cy="139065"/>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-1771015</wp:posOffset>
            </wp:positionV>
            <wp:extent cx="13335"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-1771015</wp:posOffset>
            </wp:positionV>
            <wp:extent cx="13335"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-1612265</wp:posOffset>
            </wp:positionV>
            <wp:extent cx="13335"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-1612265</wp:posOffset>
            </wp:positionV>
            <wp:extent cx="13335"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-1612265</wp:posOffset>
            </wp:positionV>
            <wp:extent cx="13335"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-1612265</wp:posOffset>
            </wp:positionV>
            <wp:extent cx="13335"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-1612265</wp:posOffset>
            </wp:positionV>
            <wp:extent cx="13335"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-1612265</wp:posOffset>
            </wp:positionV>
            <wp:extent cx="13335"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-1486535</wp:posOffset>
            </wp:positionV>
            <wp:extent cx="13335"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-1394460</wp:posOffset>
            </wp:positionV>
            <wp:extent cx="13335"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-1394460</wp:posOffset>
            </wp:positionV>
            <wp:extent cx="13335"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-1394460</wp:posOffset>
            </wp:positionV>
            <wp:extent cx="13335"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-1394460</wp:posOffset>
            </wp:positionV>
            <wp:extent cx="13335"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-1394460</wp:posOffset>
            </wp:positionV>
            <wp:extent cx="13335"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-1394460</wp:posOffset>
            </wp:positionV>
            <wp:extent cx="13335"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-1301750</wp:posOffset>
            </wp:positionV>
            <wp:extent cx="13335"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-1169670</wp:posOffset>
            </wp:positionV>
            <wp:extent cx="13335"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-1169670</wp:posOffset>
            </wp:positionV>
            <wp:extent cx="13335"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-1169670</wp:posOffset>
            </wp:positionV>
            <wp:extent cx="13335"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-1169670</wp:posOffset>
            </wp:positionV>
            <wp:extent cx="13335"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-1169670</wp:posOffset>
            </wp:positionV>
            <wp:extent cx="13335"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-1169670</wp:posOffset>
            </wp:positionV>
            <wp:extent cx="13335"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-1043940</wp:posOffset>
            </wp:positionV>
            <wp:extent cx="13335"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-1043940</wp:posOffset>
            </wp:positionV>
            <wp:extent cx="13335"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-1043940</wp:posOffset>
            </wp:positionV>
            <wp:extent cx="13335"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-1043940</wp:posOffset>
            </wp:positionV>
            <wp:extent cx="13335"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-1043940</wp:posOffset>
            </wp:positionV>
            <wp:extent cx="13335"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-1043940</wp:posOffset>
            </wp:positionV>
            <wp:extent cx="13335" cy="63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-951230</wp:posOffset>
            </wp:positionV>
            <wp:extent cx="13335"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-951230</wp:posOffset>
            </wp:positionV>
            <wp:extent cx="13335"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-951230</wp:posOffset>
            </wp:positionV>
            <wp:extent cx="13335"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-951230</wp:posOffset>
            </wp:positionV>
            <wp:extent cx="13335"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-951230</wp:posOffset>
            </wp:positionV>
            <wp:extent cx="13335"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-951230</wp:posOffset>
            </wp:positionV>
            <wp:extent cx="13335" cy="63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-858520</wp:posOffset>
            </wp:positionV>
            <wp:extent cx="13335"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-858520</wp:posOffset>
            </wp:positionV>
            <wp:extent cx="13335"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-858520</wp:posOffset>
            </wp:positionV>
            <wp:extent cx="13335"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-858520</wp:posOffset>
            </wp:positionV>
            <wp:extent cx="13335"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-858520</wp:posOffset>
            </wp:positionV>
            <wp:extent cx="13335"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-858520</wp:posOffset>
            </wp:positionV>
            <wp:extent cx="13335"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-766445</wp:posOffset>
            </wp:positionV>
            <wp:extent cx="13335"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-766445</wp:posOffset>
            </wp:positionV>
            <wp:extent cx="13335"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-766445</wp:posOffset>
            </wp:positionV>
            <wp:extent cx="13335"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-766445</wp:posOffset>
            </wp:positionV>
            <wp:extent cx="13335" cy="6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-766445</wp:posOffset>
            </wp:positionV>
            <wp:extent cx="13335"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-766445</wp:posOffset>
            </wp:positionV>
            <wp:extent cx="13335" cy="6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-607695</wp:posOffset>
            </wp:positionV>
            <wp:extent cx="13335"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-514985</wp:posOffset>
            </wp:positionV>
            <wp:extent cx="13335" cy="6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-514985</wp:posOffset>
            </wp:positionV>
            <wp:extent cx="13335" cy="63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-514985</wp:posOffset>
            </wp:positionV>
            <wp:extent cx="13335" cy="63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-514985</wp:posOffset>
            </wp:positionV>
            <wp:extent cx="13335" cy="6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-514985</wp:posOffset>
            </wp:positionV>
            <wp:extent cx="13335" cy="63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-514985</wp:posOffset>
            </wp:positionV>
            <wp:extent cx="13335" cy="63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-422275</wp:posOffset>
            </wp:positionV>
            <wp:extent cx="13335"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-329565</wp:posOffset>
            </wp:positionV>
            <wp:extent cx="13335"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-329565</wp:posOffset>
            </wp:positionV>
            <wp:extent cx="13335" cy="63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-329565</wp:posOffset>
            </wp:positionV>
            <wp:extent cx="13335" cy="63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-329565</wp:posOffset>
            </wp:positionV>
            <wp:extent cx="13335" cy="63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-329565</wp:posOffset>
            </wp:positionV>
            <wp:extent cx="13335" cy="63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-329565</wp:posOffset>
            </wp:positionV>
            <wp:extent cx="13335" cy="63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-237490</wp:posOffset>
            </wp:positionV>
            <wp:extent cx="13335"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-237490</wp:posOffset>
            </wp:positionV>
            <wp:extent cx="13335" cy="63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-237490</wp:posOffset>
            </wp:positionV>
            <wp:extent cx="13335"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-237490</wp:posOffset>
            </wp:positionV>
            <wp:extent cx="13335" cy="63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-237490</wp:posOffset>
            </wp:positionV>
            <wp:extent cx="13335" cy="6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-237490</wp:posOffset>
            </wp:positionV>
            <wp:extent cx="13335" cy="63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-144780</wp:posOffset>
            </wp:positionV>
            <wp:extent cx="13335"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-144780</wp:posOffset>
            </wp:positionV>
            <wp:extent cx="13335"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-144780</wp:posOffset>
            </wp:positionV>
            <wp:extent cx="13335"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-144780</wp:posOffset>
            </wp:positionV>
            <wp:extent cx="13335"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-144780</wp:posOffset>
            </wp:positionV>
            <wp:extent cx="13335"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-144780</wp:posOffset>
            </wp:positionV>
            <wp:extent cx="13335"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1370330</wp:posOffset>
            </wp:positionH>
            <wp:positionV relativeFrom="paragraph">
              <wp:posOffset>-52070</wp:posOffset>
            </wp:positionV>
            <wp:extent cx="13335"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-52070</wp:posOffset>
            </wp:positionV>
            <wp:extent cx="13335"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-52070</wp:posOffset>
            </wp:positionV>
            <wp:extent cx="13335"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-52070</wp:posOffset>
            </wp:positionV>
            <wp:extent cx="13335" cy="63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-52070</wp:posOffset>
            </wp:positionV>
            <wp:extent cx="13335" cy="63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-52070</wp:posOffset>
            </wp:positionV>
            <wp:extent cx="13335"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26840" cy="1784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926840" cy="178435"/>
                    </a:xfrm>
                    <a:prstGeom prst="rect">
                      <a:avLst/>
                    </a:prstGeom>
                    <a:noFill/>
                  </pic:spPr>
                </pic:pic>
              </a:graphicData>
            </a:graphic>
          </wp:anchor>
        </w:drawing>
      </w:r>
    </w:p>
    <w:p>
      <w:pPr>
        <w:spacing w:after="0" w:line="24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1"/>
          <w:szCs w:val="11"/>
          <w:color w:val="auto"/>
        </w:rPr>
        <w:t>(*)</w:t>
        <w:tab/>
        <w:t>The allocation of a portion of the total proceeds from the sale of securities issued in January 2002.</w:t>
      </w:r>
    </w:p>
    <w:p>
      <w:pPr>
        <w:spacing w:after="0" w:line="20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w:t>
      </w:r>
    </w:p>
    <w:p>
      <w:pPr>
        <w:spacing w:after="0" w:line="23"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4"/>
          <w:szCs w:val="14"/>
          <w:b w:val="1"/>
          <w:bCs w:val="1"/>
          <w:color w:val="auto"/>
        </w:rPr>
        <w:t>Financial Condition and Results of Operations</w:t>
      </w:r>
    </w:p>
    <w:p>
      <w:pPr>
        <w:spacing w:after="0" w:line="72" w:lineRule="exact"/>
        <w:rPr>
          <w:sz w:val="20"/>
          <w:szCs w:val="20"/>
          <w:color w:val="auto"/>
        </w:rPr>
      </w:pPr>
    </w:p>
    <w:p>
      <w:pPr>
        <w:ind w:right="3959"/>
        <w:spacing w:after="0" w:line="255" w:lineRule="auto"/>
        <w:rPr>
          <w:sz w:val="20"/>
          <w:szCs w:val="20"/>
          <w:color w:val="auto"/>
        </w:rPr>
      </w:pPr>
      <w:r>
        <w:rPr>
          <w:rFonts w:ascii="Times New Roman" w:cs="Times New Roman" w:eastAsia="Times New Roman" w:hAnsi="Times New Roman"/>
          <w:sz w:val="14"/>
          <w:szCs w:val="14"/>
          <w:i w:val="1"/>
          <w:iCs w:val="1"/>
          <w:color w:val="auto"/>
        </w:rPr>
        <w:t>The information contained in this section should be read in conjunction with our consolidated financial statements and related notes and the information contained elsewhere in this prospectus. Our financial statements have been prepared in accordance with generally accepted accounting principles ("GAAP") in Israel. Material differences between Israel GAAP and US GAAP as they relate to our financial statements are described in Note 20 to our consolidated audited annual financial statements and in Note 5 to our unaudited consolidated financial statements contained elsewhere in this prospectus.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1" w:lineRule="exact"/>
        <w:rPr>
          <w:sz w:val="20"/>
          <w:szCs w:val="20"/>
          <w:color w:val="auto"/>
        </w:rPr>
      </w:pPr>
    </w:p>
    <w:p>
      <w:pPr>
        <w:ind w:right="3919"/>
        <w:spacing w:after="0" w:line="254" w:lineRule="auto"/>
        <w:rPr>
          <w:sz w:val="20"/>
          <w:szCs w:val="20"/>
          <w:color w:val="auto"/>
        </w:rPr>
      </w:pPr>
      <w:r>
        <w:rPr>
          <w:rFonts w:ascii="Times New Roman" w:cs="Times New Roman" w:eastAsia="Times New Roman" w:hAnsi="Times New Roman"/>
          <w:sz w:val="14"/>
          <w:szCs w:val="14"/>
          <w:color w:val="auto"/>
        </w:rPr>
        <w:t>We are a pure-play independent wafer foundry dedicated to the manufacture of semiconductors. Pure-play foundries do not offer any products of their own, but focus on producing ICs based on the design specifications of their customers. We manufacture semiconductors using advanced production processes for our customers primarily based on third party designs and our own proprietary designs. We currently manufacture integrated circuits, or ICs, with geometries ranging from 1.0 to 0.18 microns and plan to initiate volume production in geometries of 0.13 microns during 2005.</w:t>
      </w:r>
    </w:p>
    <w:p>
      <w:pPr>
        <w:spacing w:after="0" w:line="60" w:lineRule="exact"/>
        <w:rPr>
          <w:sz w:val="20"/>
          <w:szCs w:val="20"/>
          <w:color w:val="auto"/>
        </w:rPr>
      </w:pPr>
    </w:p>
    <w:p>
      <w:pPr>
        <w:ind w:right="4039"/>
        <w:spacing w:after="0" w:line="256" w:lineRule="auto"/>
        <w:rPr>
          <w:sz w:val="20"/>
          <w:szCs w:val="20"/>
          <w:color w:val="auto"/>
        </w:rPr>
      </w:pPr>
      <w:r>
        <w:rPr>
          <w:rFonts w:ascii="Times New Roman" w:cs="Times New Roman" w:eastAsia="Times New Roman" w:hAnsi="Times New Roman"/>
          <w:sz w:val="14"/>
          <w:szCs w:val="14"/>
          <w:color w:val="auto"/>
        </w:rPr>
        <w:t>Our primary source of revenue is from the fabrication of ICs using CMOS process technology. We are currently focused on the emerging opportunities involving CMOS image sensors, embedded flash and mixed-signal technologies. ICs manufactured by us are incorporated into a wide range of products in diverse markets, including consumer electronics, personal computer and office equipment, communications, automotive, professional photography and medical device products.</w:t>
      </w:r>
    </w:p>
    <w:p>
      <w:pPr>
        <w:spacing w:after="0" w:line="57" w:lineRule="exact"/>
        <w:rPr>
          <w:sz w:val="20"/>
          <w:szCs w:val="20"/>
          <w:color w:val="auto"/>
        </w:rPr>
      </w:pPr>
    </w:p>
    <w:p>
      <w:pPr>
        <w:ind w:right="3959"/>
        <w:spacing w:after="0" w:line="254" w:lineRule="auto"/>
        <w:rPr>
          <w:sz w:val="20"/>
          <w:szCs w:val="20"/>
          <w:color w:val="auto"/>
        </w:rPr>
      </w:pPr>
      <w:r>
        <w:rPr>
          <w:rFonts w:ascii="Times New Roman" w:cs="Times New Roman" w:eastAsia="Times New Roman" w:hAnsi="Times New Roman"/>
          <w:sz w:val="14"/>
          <w:szCs w:val="14"/>
          <w:color w:val="auto"/>
        </w:rPr>
        <w:t>The primary customers for our products are fabless IC companies and integrated device manufacturers, or IDMs. Most of our product sales are made pursuant to long-term contracts with our customers, under which we have agreed to reserve manufacturing capacity at our production facilities. Our sales cycle is generally 18-24 months for new customers and can be as short as 9-12 months for existing customers. The typical stages in the sales process, from initial contact until production, are: technical evaluation; photomask design specification; silicon prototyping; assembly and testing; validation and qualification; and production.</w:t>
      </w:r>
    </w:p>
    <w:p>
      <w:pPr>
        <w:spacing w:after="0" w:line="60" w:lineRule="exact"/>
        <w:rPr>
          <w:sz w:val="20"/>
          <w:szCs w:val="20"/>
          <w:color w:val="auto"/>
        </w:rPr>
      </w:pPr>
    </w:p>
    <w:p>
      <w:pPr>
        <w:ind w:right="3919"/>
        <w:spacing w:after="0" w:line="253" w:lineRule="auto"/>
        <w:rPr>
          <w:sz w:val="20"/>
          <w:szCs w:val="20"/>
          <w:color w:val="auto"/>
        </w:rPr>
      </w:pPr>
      <w:r>
        <w:rPr>
          <w:rFonts w:ascii="Times New Roman" w:cs="Times New Roman" w:eastAsia="Times New Roman" w:hAnsi="Times New Roman"/>
          <w:sz w:val="14"/>
          <w:szCs w:val="14"/>
          <w:color w:val="auto"/>
        </w:rPr>
        <w:t>During the nine months ended September 30, 2003, National Semiconductor, Motorola, FillFactory and SanDisk contributed 26%, 15%, 12% and 11% of our revenues, respectively. In 2002, National Semiconductor, Matsushita and Motorola contributed 31%, 16% and 13% of our revenues, respectively. In 2001, National Semiconductor and Motorola contributed 30% and 17% of our revenues, respectively. In 2004, we expect that SanDisk, our largest Fab 2 customer, will account for a significant portion of our Fab 2 revenues. As foundry utilization rates peak with the industry recovery, we expect to attract additional customers as available capacity decreases worldwide, including at leading Asian foundries.</w:t>
      </w:r>
    </w:p>
    <w:p>
      <w:pPr>
        <w:spacing w:after="0" w:line="61" w:lineRule="exact"/>
        <w:rPr>
          <w:sz w:val="20"/>
          <w:szCs w:val="20"/>
          <w:color w:val="auto"/>
        </w:rPr>
      </w:pPr>
    </w:p>
    <w:p>
      <w:pPr>
        <w:ind w:right="3979"/>
        <w:spacing w:after="0" w:line="254" w:lineRule="auto"/>
        <w:rPr>
          <w:sz w:val="20"/>
          <w:szCs w:val="20"/>
          <w:color w:val="auto"/>
        </w:rPr>
      </w:pPr>
      <w:r>
        <w:rPr>
          <w:rFonts w:ascii="Times New Roman" w:cs="Times New Roman" w:eastAsia="Times New Roman" w:hAnsi="Times New Roman"/>
          <w:sz w:val="14"/>
          <w:szCs w:val="14"/>
          <w:color w:val="auto"/>
        </w:rPr>
        <w:t>In addition to further developing our customer base, we have also made a concentrated effort to expand the geographical diversity of our sales. The percentage of our sales from customers located outside the United States was 10%, 31%, 38% and 28% in the years ended December 31, 2000, 2001 and 2002 and the nine months ended September 30, 2003, respectively. As we have successfully expanded our customer base with customers located in Asia-Pacific and in Europe, we believe that a substantial portion of our sales will continue to come from customers located outside the United States.</w:t>
      </w:r>
    </w:p>
    <w:p>
      <w:pPr>
        <w:spacing w:after="0" w:line="60" w:lineRule="exact"/>
        <w:rPr>
          <w:sz w:val="20"/>
          <w:szCs w:val="20"/>
          <w:color w:val="auto"/>
        </w:rPr>
      </w:pPr>
    </w:p>
    <w:p>
      <w:pPr>
        <w:ind w:right="4039"/>
        <w:spacing w:after="0" w:line="253" w:lineRule="auto"/>
        <w:rPr>
          <w:sz w:val="20"/>
          <w:szCs w:val="20"/>
          <w:color w:val="auto"/>
        </w:rPr>
      </w:pPr>
      <w:r>
        <w:rPr>
          <w:rFonts w:ascii="Times New Roman" w:cs="Times New Roman" w:eastAsia="Times New Roman" w:hAnsi="Times New Roman"/>
          <w:sz w:val="14"/>
          <w:szCs w:val="14"/>
          <w:color w:val="auto"/>
        </w:rPr>
        <w:t>Our Company was founded in 1993, when we acquired National Semiconductor's 150-mm wafer fabrication facility, or Fab 1, and commenced operations as an independent foundry with a production capacity of approximately 5,000 wafer starts per month. Since then, we have significantly modernized our facilities and equipment, which has improved our process geometries from 1.0 microns to 0.35 microns and enhanced our process technologies to include CMOS image sensors, embedded flash and mixed-signal technologies. We have also expanded our capacity through increased production in Fab 1 to approximately 16,000 wafer starts per month to meet additional customer demand. Fab 1 has been cash flow positive for the past six quarters.</w:t>
      </w:r>
    </w:p>
    <w:p>
      <w:pPr>
        <w:sectPr>
          <w:pgSz w:w="11900" w:h="16838" w:orient="portrait"/>
          <w:cols w:equalWidth="0" w:num="1">
            <w:col w:w="10239"/>
          </w:cols>
          <w:pgMar w:left="220" w:top="785" w:right="1440" w:bottom="0" w:gutter="0" w:footer="0" w:header="0"/>
        </w:sectPr>
      </w:pPr>
    </w:p>
    <w:p>
      <w:pPr>
        <w:spacing w:after="0" w:line="19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239"/>
          </w:cols>
          <w:pgMar w:left="220" w:top="785" w:right="1440" w:bottom="0" w:gutter="0" w:footer="0" w:header="0"/>
          <w:type w:val="continuous"/>
        </w:sectPr>
      </w:pPr>
    </w:p>
    <w:bookmarkStart w:id="14" w:name="page15"/>
    <w:bookmarkEnd w:id="14"/>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128905</wp:posOffset>
            </wp:positionH>
            <wp:positionV relativeFrom="page">
              <wp:posOffset>248285</wp:posOffset>
            </wp:positionV>
            <wp:extent cx="5062220" cy="387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ind w:right="3919"/>
        <w:spacing w:after="0" w:line="270" w:lineRule="auto"/>
        <w:rPr>
          <w:sz w:val="20"/>
          <w:szCs w:val="20"/>
          <w:color w:val="auto"/>
        </w:rPr>
      </w:pPr>
      <w:r>
        <w:rPr>
          <w:rFonts w:ascii="Times New Roman" w:cs="Times New Roman" w:eastAsia="Times New Roman" w:hAnsi="Times New Roman"/>
          <w:sz w:val="13"/>
          <w:szCs w:val="13"/>
          <w:color w:val="auto"/>
        </w:rPr>
        <w:t>We recently completed the construction of the building and infrastructure and commenced the initial ramp-up of a second manufacturing facility, or Fab 2. Fab 2 is designed to operate in geometries of 0.18 microns and below, using advanced materials and advanced CMOS technology licensed from Motorola and Toshiba, as well as other technologies that we might acquire or develop independently. We began volume production at Fab 2 during the third quarter of 2003, and production capacity as of November 30, 2003 was 7,000 wafer starts per month. By year end, we anticipate that Fab 2 will have production capacity of 8,500 wafer starts per month, and we currently expect to have production capacity ranging between 13,000 and 15,000 wafer starts per month by the end of</w:t>
      </w:r>
    </w:p>
    <w:p>
      <w:pPr>
        <w:spacing w:after="0" w:line="4"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color w:val="auto"/>
        </w:rPr>
        <w:t>2004. When the production ramp is completed, Fab 2 is expected to have the capacity to produce 33,000 200-mm wafer starts per month. While we expect to continue to operate Fab 1, we expect Fab 2 to form the core of our future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89" w:lineRule="exact"/>
        <w:rPr>
          <w:sz w:val="20"/>
          <w:szCs w:val="20"/>
          <w:color w:val="auto"/>
        </w:rPr>
      </w:pPr>
    </w:p>
    <w:p>
      <w:pPr>
        <w:ind w:right="3979"/>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Non-Capitalizable Costs. </w:t>
      </w:r>
      <w:r>
        <w:rPr>
          <w:rFonts w:ascii="Times New Roman" w:cs="Times New Roman" w:eastAsia="Times New Roman" w:hAnsi="Times New Roman"/>
          <w:sz w:val="14"/>
          <w:szCs w:val="14"/>
          <w:color w:val="auto"/>
        </w:rPr>
        <w:t>In accordance with generally accepted accounting principles, we capitalized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third quarter of 2003 most of our costs relating to the establishment of Fab 2, primarily for property and equipment and other assets. Following commencement of operations of Fab 2 in the third quarter of 2003, most of the direct costs related to the construction and equipping of Fab 2 and to the transfer of the Fab 2 technologies that were capitalizable until Fab 2 came into production, are no longer capitalizable. Capitalizable Fab 2 costs were only incremental direct costs that related to the establishment and equipping of Fab 2 and to the integration and transfer of technology to be implemented in Fab 2.</w:t>
      </w:r>
    </w:p>
    <w:p>
      <w:pPr>
        <w:spacing w:after="0" w:line="63" w:lineRule="exact"/>
        <w:rPr>
          <w:sz w:val="20"/>
          <w:szCs w:val="20"/>
          <w:color w:val="auto"/>
        </w:rPr>
      </w:pPr>
    </w:p>
    <w:p>
      <w:pPr>
        <w:ind w:right="3959"/>
        <w:spacing w:after="0" w:line="253" w:lineRule="auto"/>
        <w:rPr>
          <w:sz w:val="20"/>
          <w:szCs w:val="20"/>
          <w:color w:val="auto"/>
        </w:rPr>
      </w:pPr>
      <w:r>
        <w:rPr>
          <w:rFonts w:ascii="Times New Roman" w:cs="Times New Roman" w:eastAsia="Times New Roman" w:hAnsi="Times New Roman"/>
          <w:sz w:val="14"/>
          <w:szCs w:val="14"/>
          <w:color w:val="auto"/>
        </w:rPr>
        <w:t>Direct internal costs consisted primarily of payroll-related costs, and allocated payroll costs, on the basis of management's estimates and assumptions and methodologies, including timesheet inputs. Most of the capitalized payroll-related costs consisted of wages to employees dedicated solely to the establishment of Fab 2. In addition, other direct related expenses such as import costs, transportation, installation and consulting fees were also capitalized. Under different assumptions relating to these costs and their being attributable to the Fab 2 project, the classification of these costs may be different, which may significantly affect our financial position and results of operations. The effect, if any, under Israel GAAP and US GAAP would be similar.</w:t>
      </w:r>
    </w:p>
    <w:p>
      <w:pPr>
        <w:spacing w:after="0" w:line="59" w:lineRule="exact"/>
        <w:rPr>
          <w:sz w:val="20"/>
          <w:szCs w:val="20"/>
          <w:color w:val="auto"/>
        </w:rPr>
      </w:pPr>
    </w:p>
    <w:p>
      <w:pPr>
        <w:ind w:right="3899"/>
        <w:spacing w:after="0" w:line="250" w:lineRule="auto"/>
        <w:rPr>
          <w:sz w:val="20"/>
          <w:szCs w:val="20"/>
          <w:color w:val="auto"/>
        </w:rPr>
      </w:pP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In accordance with generally accepted accounting principles, our revenues are recognized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upon shipment or as services are rendered when title has been transferred, collectibility is reasonably assured and acceptance criteria are satisfied, based on tests performed prior to customer on-site testing. Prior to commencement of production by us, we and our customers test and pre-approve the prototype, on the basis of which specifications and features the ordered products will be produced. Electronic, functional and quality tests are performed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Our revenue recognition policy is significant because our revenues are a key component of our results of operations. We follow very specific and detailed guidelines in measuring revenue; however an accrual for estimated returns, which is computed primarily on the basis of historical experience, is recorded. Changes in assumptions for determining the accrual for returns may affect mainly the timing of our revenue recognition and cause our operating results to vary from quarter to quarter. Accordingly, our financial position and results of operations may be affected. That effect, if any, under Israel GAAP and US GAAP would be similar.</w:t>
      </w:r>
    </w:p>
    <w:p>
      <w:pPr>
        <w:spacing w:after="0" w:line="67" w:lineRule="exact"/>
        <w:rPr>
          <w:sz w:val="20"/>
          <w:szCs w:val="20"/>
          <w:color w:val="auto"/>
        </w:rPr>
      </w:pPr>
    </w:p>
    <w:p>
      <w:pPr>
        <w:ind w:right="3939"/>
        <w:spacing w:after="0" w:line="253" w:lineRule="auto"/>
        <w:rPr>
          <w:sz w:val="20"/>
          <w:szCs w:val="20"/>
          <w:color w:val="auto"/>
        </w:rPr>
      </w:pPr>
      <w:r>
        <w:rPr>
          <w:rFonts w:ascii="Times New Roman" w:cs="Times New Roman" w:eastAsia="Times New Roman" w:hAnsi="Times New Roman"/>
          <w:sz w:val="14"/>
          <w:szCs w:val="14"/>
          <w:i w:val="1"/>
          <w:iCs w:val="1"/>
          <w:color w:val="auto"/>
        </w:rPr>
        <w:t>Depreciation and Amortization of Fab 2 Assets</w:t>
      </w:r>
      <w:r>
        <w:rPr>
          <w:rFonts w:ascii="Times New Roman" w:cs="Times New Roman" w:eastAsia="Times New Roman" w:hAnsi="Times New Roman"/>
          <w:sz w:val="14"/>
          <w:szCs w:val="14"/>
          <w:color w:val="auto"/>
        </w:rPr>
        <w:t>. During the third quarter of 2003, we commenced depreciating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Fab 2 property and equipment and amortizing the 0.18-micron technology, based on the straight-line method. Currently, we estimate that the expected economic life of the Fab 2 assets will be as follows: (i) prepaid perpetual land lease and buildings – 14 to 25 years; (ii) machinery and equipment – 5 years; and (iii) the 0.18-micron technology – 4 years, while amortization will phase in commencing on the dates on which each of the Fab 2 manufacturing lines is ready for use. We expect that the depreciation and amortization expenses relating to Fab 2 facilities will be in 2004 approximately $30 million per quarter due to the Fab 2 ramp-up. Changes in our estimates regarding</w:t>
      </w:r>
    </w:p>
    <w:p>
      <w:pPr>
        <w:spacing w:after="0" w:line="19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4079"/>
        <w:spacing w:after="0" w:line="263" w:lineRule="auto"/>
        <w:rPr>
          <w:sz w:val="20"/>
          <w:szCs w:val="20"/>
          <w:color w:val="auto"/>
        </w:rPr>
      </w:pPr>
      <w:r>
        <w:rPr>
          <w:rFonts w:ascii="Times New Roman" w:cs="Times New Roman" w:eastAsia="Times New Roman" w:hAnsi="Times New Roman"/>
          <w:sz w:val="14"/>
          <w:szCs w:val="14"/>
          <w:color w:val="auto"/>
        </w:rPr>
        <w:t>the expected economic life of Fab 2 assets, or a change in the dates on which each of the Fab 2 manufacturing lines is ready for use, might significantly affect our depreciation and amortization expenses. That effect, if any, under Israel GAAP and US GAAP would be similar.</w:t>
      </w:r>
    </w:p>
    <w:p>
      <w:pPr>
        <w:spacing w:after="0" w:line="52" w:lineRule="exact"/>
        <w:rPr>
          <w:sz w:val="20"/>
          <w:szCs w:val="20"/>
          <w:color w:val="auto"/>
        </w:rPr>
      </w:pPr>
    </w:p>
    <w:p>
      <w:pPr>
        <w:ind w:right="3959"/>
        <w:spacing w:after="0" w:line="251" w:lineRule="auto"/>
        <w:rPr>
          <w:sz w:val="20"/>
          <w:szCs w:val="20"/>
          <w:color w:val="auto"/>
        </w:rPr>
      </w:pPr>
      <w:r>
        <w:rPr>
          <w:rFonts w:ascii="Times New Roman" w:cs="Times New Roman" w:eastAsia="Times New Roman" w:hAnsi="Times New Roman"/>
          <w:sz w:val="14"/>
          <w:szCs w:val="14"/>
          <w:i w:val="1"/>
          <w:iCs w:val="1"/>
          <w:color w:val="auto"/>
        </w:rPr>
        <w:t>Impairment of Assets</w:t>
      </w:r>
      <w:r>
        <w:rPr>
          <w:rFonts w:ascii="Times New Roman" w:cs="Times New Roman" w:eastAsia="Times New Roman" w:hAnsi="Times New Roman"/>
          <w:sz w:val="14"/>
          <w:szCs w:val="14"/>
          <w:color w:val="auto"/>
        </w:rPr>
        <w:t>. In January 2003, the Israeli Accounting Standards Board issued Standard No. 15,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"Impairment of Assets," which is effective for financial statements for reporting periods commencing January 1, 2003 or thereafter. This standard addresses the accounting treatment and presentation of impairment of assets, and establishes procedures to be implemented in order to ensure that assets are not presented in amounts exceeding their recoverable value. Though according to US GAAP, e.g. FASB 144 and FASB 142, recoverability tests are performed based on undiscounted expected cash flows, Standard No. 15 indicates that an asset's recoverable value is the higher of the asset's net selling price and the asset's value in use, the latter being equal to the asset's discounted expected cash flows. While the adoption of the provisions of Standard No. 15 as of September 30, 2003, had no effect on our financial position and results of operations as of such date, the use of different assumptions with respect to the expected cash flows from our assets and other economic variables, primarily the discount rate, may lead to different conclusions regarding the recoverability of our assets' carrying values and to the potential need to record an impairment loss for our long-lived assets.</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Recent Accounting Pronouncements under US GAAP as They Apply to Us</w:t>
      </w:r>
    </w:p>
    <w:p>
      <w:pPr>
        <w:spacing w:after="0" w:line="78" w:lineRule="exact"/>
        <w:rPr>
          <w:sz w:val="20"/>
          <w:szCs w:val="20"/>
          <w:color w:val="auto"/>
        </w:rPr>
      </w:pPr>
    </w:p>
    <w:p>
      <w:pPr>
        <w:ind w:right="3959"/>
        <w:spacing w:after="0" w:line="252" w:lineRule="auto"/>
        <w:rPr>
          <w:sz w:val="20"/>
          <w:szCs w:val="20"/>
          <w:color w:val="auto"/>
        </w:rPr>
      </w:pPr>
      <w:r>
        <w:rPr>
          <w:rFonts w:ascii="Times New Roman" w:cs="Times New Roman" w:eastAsia="Times New Roman" w:hAnsi="Times New Roman"/>
          <w:sz w:val="14"/>
          <w:szCs w:val="14"/>
          <w:i w:val="1"/>
          <w:iCs w:val="1"/>
          <w:color w:val="auto"/>
        </w:rPr>
        <w:t>Rescission and Amendments of Certain SFASs</w:t>
      </w:r>
      <w:r>
        <w:rPr>
          <w:rFonts w:ascii="Times New Roman" w:cs="Times New Roman" w:eastAsia="Times New Roman" w:hAnsi="Times New Roman"/>
          <w:sz w:val="14"/>
          <w:szCs w:val="14"/>
          <w:color w:val="auto"/>
        </w:rPr>
        <w:t>. In April 2002, the Financial Accounting Standard Board,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FASB, issued Statement of Financial Accounting Standards No. 145 "Rescission of FASB Statements No. 4, 44 and 64, Amendment of FASB Statement No. 13 and Technical Corrections" ("SFAS 145"). SFAS 145 rescinds amends and clarifies certain previous standards related primarily to debt extinguishments and leases. SFAS 145 eliminates the requirement that gains and losses from the extinguishments of debt be aggregated and classified as an extraordinary item. The rescission of SFAS No. 4 is effective for fiscal years beginning after May 15, 2002. The remainder of SFAS 145 is generally effective for transactions occurring after May 15, 2002. Adoption of SFAS 145 did not have and is not expected to have any material impact on our financial position and results of operations.</w:t>
      </w:r>
    </w:p>
    <w:p>
      <w:pPr>
        <w:spacing w:after="0" w:line="61" w:lineRule="exact"/>
        <w:rPr>
          <w:sz w:val="20"/>
          <w:szCs w:val="20"/>
          <w:color w:val="auto"/>
        </w:rPr>
      </w:pPr>
    </w:p>
    <w:p>
      <w:pPr>
        <w:ind w:right="3959"/>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Accounting for Costs Associated with Exit or Disposal Activities. </w:t>
      </w:r>
      <w:r>
        <w:rPr>
          <w:rFonts w:ascii="Times New Roman" w:cs="Times New Roman" w:eastAsia="Times New Roman" w:hAnsi="Times New Roman"/>
          <w:sz w:val="14"/>
          <w:szCs w:val="14"/>
          <w:color w:val="auto"/>
        </w:rPr>
        <w:t>In July 2002, the FASB issued Statement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Accounting Standards No. 146, "Accounting for Costs Associated with Exit or Disposal Activities" ("SFAS 146"). SFAS 146 supersedes EITF No. 94-3, "Liability Recognition for Certain Employee Termination Benefits and Other Costs to Exit an Activity (including Certain Costs Incurred in a Restructuring)." SFAS 146 requires companies to recognize costs associated with exit or disposal activities when they are incurred rather than at the date of a commitment to an exit or disposal plan, as required by EITF 94-3. SFAS 146 is effective for exit or disposal activities that are initiated after December 31, 2002, with early application encouraged. Adoption of SFAS 146 did not have any impact on our financial position and results of operations.</w:t>
      </w:r>
    </w:p>
    <w:p>
      <w:pPr>
        <w:spacing w:after="0" w:line="58" w:lineRule="exact"/>
        <w:rPr>
          <w:sz w:val="20"/>
          <w:szCs w:val="20"/>
          <w:color w:val="auto"/>
        </w:rPr>
      </w:pPr>
    </w:p>
    <w:p>
      <w:pPr>
        <w:ind w:right="3999"/>
        <w:spacing w:after="0" w:line="294" w:lineRule="auto"/>
        <w:rPr>
          <w:sz w:val="20"/>
          <w:szCs w:val="20"/>
          <w:color w:val="auto"/>
        </w:rPr>
      </w:pPr>
      <w:r>
        <w:rPr>
          <w:rFonts w:ascii="Times New Roman" w:cs="Times New Roman" w:eastAsia="Times New Roman" w:hAnsi="Times New Roman"/>
          <w:sz w:val="13"/>
          <w:szCs w:val="13"/>
          <w:i w:val="1"/>
          <w:iCs w:val="1"/>
          <w:color w:val="auto"/>
        </w:rPr>
        <w:t xml:space="preserve">Accounting for Stock-Based Compensation — Transition and Disclosure — an Amendment of FASB Statement No. 123. </w:t>
      </w:r>
      <w:r>
        <w:rPr>
          <w:rFonts w:ascii="Times New Roman" w:cs="Times New Roman" w:eastAsia="Times New Roman" w:hAnsi="Times New Roman"/>
          <w:sz w:val="13"/>
          <w:szCs w:val="13"/>
          <w:color w:val="auto"/>
        </w:rPr>
        <w:t>In December 2002, the FASB issued Statement of Financial Accounting Standards Board No. 148,</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"Accounting for Stock-Based Compensation — Transition and Disclosure — an amendment of FASB Statement</w:t>
      </w:r>
    </w:p>
    <w:p>
      <w:pPr>
        <w:sectPr>
          <w:pgSz w:w="11900" w:h="16914" w:orient="portrait"/>
          <w:cols w:equalWidth="0" w:num="1">
            <w:col w:w="10239"/>
          </w:cols>
          <w:pgMar w:left="220" w:top="770" w:right="1440" w:bottom="0" w:gutter="0" w:footer="0" w:header="0"/>
        </w:sectPr>
      </w:pPr>
    </w:p>
    <w:bookmarkStart w:id="15" w:name="page16"/>
    <w:bookmarkEnd w:id="15"/>
    <w:p>
      <w:pPr>
        <w:spacing w:after="0" w:line="14" w:lineRule="exact"/>
        <w:rPr>
          <w:sz w:val="20"/>
          <w:szCs w:val="20"/>
          <w:color w:val="auto"/>
        </w:rPr>
      </w:pPr>
    </w:p>
    <w:p>
      <w:pPr>
        <w:ind w:right="3959"/>
        <w:spacing w:after="0" w:line="252" w:lineRule="auto"/>
        <w:rPr>
          <w:sz w:val="20"/>
          <w:szCs w:val="20"/>
          <w:color w:val="auto"/>
        </w:rPr>
      </w:pPr>
      <w:r>
        <w:rPr>
          <w:rFonts w:ascii="Times New Roman" w:cs="Times New Roman" w:eastAsia="Times New Roman" w:hAnsi="Times New Roman"/>
          <w:sz w:val="14"/>
          <w:szCs w:val="14"/>
          <w:color w:val="auto"/>
        </w:rPr>
        <w:t>No. 123" ("SFAS 148"). SFAS 148 amends SFAS No. 123 to provide alternative methods of transition for a voluntary change to the fair value based method of accounting for stock-based employee compensation. In addition, SFAS 148 amends the disclosure requirements of SFAS 123 to require prominent disclosures in both annual and interim financial statements about the method of accounting for stock-based employee compensation and the effect of the method used on reported results. We have followed the prescribed format and have provided the additional disclosures required by SFAS 148 in the financial statements contained elsewhere in this prospectus for the periods presented and have provided the disclosures in our quarterly reports containing condensed financial statements for interim periods commencing the quarter ended March 31, 2003.</w:t>
      </w:r>
    </w:p>
    <w:p>
      <w:pPr>
        <w:spacing w:after="0" w:line="61" w:lineRule="exact"/>
        <w:rPr>
          <w:sz w:val="20"/>
          <w:szCs w:val="20"/>
          <w:color w:val="auto"/>
        </w:rPr>
      </w:pPr>
    </w:p>
    <w:p>
      <w:pPr>
        <w:ind w:right="409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Amendment of SFAS 133. </w:t>
      </w:r>
      <w:r>
        <w:rPr>
          <w:rFonts w:ascii="Times New Roman" w:cs="Times New Roman" w:eastAsia="Times New Roman" w:hAnsi="Times New Roman"/>
          <w:sz w:val="14"/>
          <w:szCs w:val="14"/>
          <w:color w:val="auto"/>
        </w:rPr>
        <w:t>In May 2003, the FASB issued SFAS No. 149, "Amendment of Statement 133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Derivative Instruments and Hedging Activities." SFAS No. 149 amends and clarifies accounting for derivative instruments including certain derivative instruments embedded in other contracts and</w:t>
      </w:r>
    </w:p>
    <w:p>
      <w:pPr>
        <w:spacing w:after="0" w:line="18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79"/>
        <w:spacing w:after="0" w:line="263" w:lineRule="auto"/>
        <w:rPr>
          <w:sz w:val="20"/>
          <w:szCs w:val="20"/>
          <w:color w:val="auto"/>
        </w:rPr>
      </w:pPr>
      <w:r>
        <w:rPr>
          <w:rFonts w:ascii="Times New Roman" w:cs="Times New Roman" w:eastAsia="Times New Roman" w:hAnsi="Times New Roman"/>
          <w:sz w:val="14"/>
          <w:szCs w:val="14"/>
          <w:color w:val="auto"/>
        </w:rPr>
        <w:t>hedging activities under SFAS No. 133. It is effective for contracts entered into or modified after June 30, 2003 and for hedging relationships designated after June 30, 2003. The adoption of this standard had no impact on our financial position or results of operations.</w:t>
      </w:r>
    </w:p>
    <w:p>
      <w:pPr>
        <w:spacing w:after="0" w:line="52" w:lineRule="exact"/>
        <w:rPr>
          <w:sz w:val="20"/>
          <w:szCs w:val="20"/>
          <w:color w:val="auto"/>
        </w:rPr>
      </w:pPr>
    </w:p>
    <w:p>
      <w:pPr>
        <w:ind w:right="3899"/>
        <w:spacing w:after="0" w:line="252" w:lineRule="auto"/>
        <w:rPr>
          <w:sz w:val="20"/>
          <w:szCs w:val="20"/>
          <w:color w:val="auto"/>
        </w:rPr>
      </w:pPr>
      <w:r>
        <w:rPr>
          <w:rFonts w:ascii="Times New Roman" w:cs="Times New Roman" w:eastAsia="Times New Roman" w:hAnsi="Times New Roman"/>
          <w:sz w:val="14"/>
          <w:szCs w:val="14"/>
          <w:i w:val="1"/>
          <w:iCs w:val="1"/>
          <w:color w:val="auto"/>
        </w:rPr>
        <w:t>Accounting for Certain Financial Instruments with Characteristics of Both Liabilities and Equity</w:t>
      </w:r>
      <w:r>
        <w:rPr>
          <w:rFonts w:ascii="Times New Roman" w:cs="Times New Roman" w:eastAsia="Times New Roman" w:hAnsi="Times New Roman"/>
          <w:sz w:val="14"/>
          <w:szCs w:val="14"/>
          <w:color w:val="auto"/>
        </w:rPr>
        <w:t>. In May 2003,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FASB issued SFAS No. 150, "Accounting For Certain Financial Instruments with Characteristics of Both Liabilities and Equity" which establishes standards for how an issuer of financial instruments classifies and measures certain financial instruments with characteristics of both liabilities and equity. SFAS 150 requires that an issuer classify a financial instrument that is within its scope as a liability (or an asset in some circumstances) if, at inception, the monetary value of the obligation is based solely or predominantly on a fixed monetary amount known at inception, variations in something other than the fair value of the issuer's equity shares or variations inversely related to changes in the fair value of the issuer's equity shares. This statement is effective in connections with our activities for financial instruments entered into at the beginning of the third quarter of 2003. The adoption of SFAS 150 had no impact on our financial position and results of operations.</w:t>
      </w:r>
    </w:p>
    <w:p>
      <w:pPr>
        <w:spacing w:after="0" w:line="59"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i w:val="1"/>
          <w:iCs w:val="1"/>
          <w:color w:val="auto"/>
        </w:rPr>
        <w:t>FIN 45</w:t>
      </w:r>
      <w:r>
        <w:rPr>
          <w:rFonts w:ascii="Times New Roman" w:cs="Times New Roman" w:eastAsia="Times New Roman" w:hAnsi="Times New Roman"/>
          <w:sz w:val="14"/>
          <w:szCs w:val="14"/>
          <w:color w:val="auto"/>
        </w:rPr>
        <w:t>. In November 2002, the FASB issued FASB Interpretation No. 45, "Guarantor's Accounting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Disclosure Requirements for Guarantees, Including Indirect Guarantees of Indebtedness of Others" ("FIN 45"). This interpretation requires elaborating on the disclosures that must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disclosure requirements of FIN 45 are effective for financial statements issued after December 15, 2002 and its recognition requirements are applicable for guarantees issued or modified after December 31, 2002. The adoption of FIN 45 had no impact on our financial position and results of operations.</w:t>
      </w:r>
    </w:p>
    <w:p>
      <w:pPr>
        <w:spacing w:after="0" w:line="61" w:lineRule="exact"/>
        <w:rPr>
          <w:sz w:val="20"/>
          <w:szCs w:val="20"/>
          <w:color w:val="auto"/>
        </w:rPr>
      </w:pPr>
    </w:p>
    <w:p>
      <w:pPr>
        <w:ind w:right="389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FIN 46. </w:t>
      </w:r>
      <w:r>
        <w:rPr>
          <w:rFonts w:ascii="Times New Roman" w:cs="Times New Roman" w:eastAsia="Times New Roman" w:hAnsi="Times New Roman"/>
          <w:sz w:val="14"/>
          <w:szCs w:val="14"/>
          <w:color w:val="auto"/>
        </w:rPr>
        <w:t>In January, 2003, the FASB issued FASB Interpretation No. 46, "Consolidation of Variable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Entities" ("FIN 46"). This Interpretation of Accounting Research Bulletin No. 51, "Consolidated Financial Statements,"addresses consolidation by enterprises of variable interest entities in which equity investors do not have the characteristics of a controlling financial interest or do not have sufficient equity at risk for the entity to finance its activities without additional support from other parties. FIN 46 applies immediately to variable interest entities created after January 31, 2003, and to variable interest entities in which an enterprise obtains an interest after that date. With respect to variable interest entities, if any, in which we hold a variable interest acquired before February 1, 2003, the guidance in FIN 46 is in effect for our financial statements beginning July 1, 2003. The adoption of FIN 46 had no impact on our financial position and results of operations.</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Recent Accounting Pronouncements under Israel GAAP as They Apply to Us</w:t>
      </w:r>
    </w:p>
    <w:p>
      <w:pPr>
        <w:spacing w:after="0" w:line="78" w:lineRule="exact"/>
        <w:rPr>
          <w:sz w:val="20"/>
          <w:szCs w:val="20"/>
          <w:color w:val="auto"/>
        </w:rPr>
      </w:pPr>
    </w:p>
    <w:p>
      <w:pPr>
        <w:ind w:right="4019"/>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Impairment of Assets According to Standard No. 15 of the Israeli Accounting Standards Board. </w:t>
      </w:r>
      <w:r>
        <w:rPr>
          <w:rFonts w:ascii="Times New Roman" w:cs="Times New Roman" w:eastAsia="Times New Roman" w:hAnsi="Times New Roman"/>
          <w:sz w:val="14"/>
          <w:szCs w:val="14"/>
          <w:color w:val="auto"/>
        </w:rPr>
        <w:t>In January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2003, the Israeli Accounting Standards Board issued Standard No. 15, "Impairment of Assets". This standard is the initial formal accounting pronouncement in Israel addressing the accounting treatment and presentation of impairment of assets, which establishes procedures to be implemented in order to ensure that assets are not presented in amounts exceeding their recoverable value. An asset's recoverable value is the higher of the asset's net selling price and the asset's value in use, the latter being equal to the asset's discounted expected cash flows. Prior to issuing Standard No. 15, we tested the recoverability of our assets based on undiscounted expected cash flows, a method that under Standard No. 15 will no longer be acceptable. Initial application of this standard will generally be on a prospective basis. Standard No. 15 is effective for financial statements for reporting periods commencing January 1, 2003 or thereafter, with early application encouraged. The adoption of the provisions of Standard No. 15 as of December 31, 2002 and September 30, 2003, would not have a material effect on our financial position and results of operations as of such dates.</w:t>
      </w:r>
    </w:p>
    <w:p>
      <w:pPr>
        <w:spacing w:after="0" w:line="64" w:lineRule="exact"/>
        <w:rPr>
          <w:sz w:val="20"/>
          <w:szCs w:val="20"/>
          <w:color w:val="auto"/>
        </w:rPr>
      </w:pPr>
    </w:p>
    <w:p>
      <w:pPr>
        <w:ind w:right="4239"/>
        <w:spacing w:after="0" w:line="279" w:lineRule="auto"/>
        <w:rPr>
          <w:sz w:val="20"/>
          <w:szCs w:val="20"/>
          <w:color w:val="auto"/>
        </w:rPr>
      </w:pPr>
      <w:r>
        <w:rPr>
          <w:rFonts w:ascii="Times New Roman" w:cs="Times New Roman" w:eastAsia="Times New Roman" w:hAnsi="Times New Roman"/>
          <w:sz w:val="14"/>
          <w:szCs w:val="14"/>
          <w:color w:val="auto"/>
        </w:rPr>
        <w:t>You should read the following discussion and analysis of our financial condition and results of operations in conjunction with the interim financial statements and the related notes thereto.</w:t>
      </w:r>
    </w:p>
    <w:p>
      <w:pPr>
        <w:spacing w:after="0" w:line="17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2003 compared to Nine Months ended September 30, 2002</w:t>
      </w:r>
    </w:p>
    <w:p>
      <w:pPr>
        <w:spacing w:after="0" w:line="89" w:lineRule="exact"/>
        <w:rPr>
          <w:sz w:val="20"/>
          <w:szCs w:val="20"/>
          <w:color w:val="auto"/>
        </w:rPr>
      </w:pPr>
    </w:p>
    <w:p>
      <w:pPr>
        <w:ind w:right="4099"/>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Sales. </w:t>
      </w:r>
      <w:r>
        <w:rPr>
          <w:rFonts w:ascii="Times New Roman" w:cs="Times New Roman" w:eastAsia="Times New Roman" w:hAnsi="Times New Roman"/>
          <w:sz w:val="14"/>
          <w:szCs w:val="14"/>
          <w:color w:val="auto"/>
        </w:rPr>
        <w:t>Sales in the nine months ended September 30, 2003 increased by 14.7% to $41.5 million from $36.2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million in the comparable 2002 period. This increase was attributable to higher wafer shipments in Fab 1, which resulted in increased Fab 1 sales of $3.9 million, and a $1.4 million increase in Fab 2 revenues from the sales of Fab 2 wafer products, in comparison to $4 million in the comparable period attributable to revenues in Fab 2 associated with our joint development agreement with Matsushita for the development of 0.18-micron embedded </w:t>
      </w:r>
      <w:r>
        <w:rPr>
          <w:rFonts w:ascii="Times New Roman" w:cs="Times New Roman" w:eastAsia="Times New Roman" w:hAnsi="Times New Roman"/>
          <w:sz w:val="14"/>
          <w:szCs w:val="14"/>
          <w:i w:val="1"/>
          <w:iCs w:val="1"/>
          <w:color w:val="auto"/>
        </w:rPr>
        <w:t>micro</w:t>
      </w:r>
      <w:r>
        <w:rPr>
          <w:rFonts w:ascii="Times New Roman" w:cs="Times New Roman" w:eastAsia="Times New Roman" w:hAnsi="Times New Roman"/>
          <w:sz w:val="14"/>
          <w:szCs w:val="14"/>
          <w:color w:val="auto"/>
        </w:rPr>
        <w:t>FLASH technology.</w:t>
      </w:r>
    </w:p>
    <w:p>
      <w:pPr>
        <w:spacing w:after="0" w:line="56" w:lineRule="exact"/>
        <w:rPr>
          <w:sz w:val="20"/>
          <w:szCs w:val="20"/>
          <w:color w:val="auto"/>
        </w:rPr>
      </w:pPr>
    </w:p>
    <w:p>
      <w:pPr>
        <w:ind w:right="395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Cost of Sales. </w:t>
      </w:r>
      <w:r>
        <w:rPr>
          <w:rFonts w:ascii="Times New Roman" w:cs="Times New Roman" w:eastAsia="Times New Roman" w:hAnsi="Times New Roman"/>
          <w:sz w:val="14"/>
          <w:szCs w:val="14"/>
          <w:color w:val="auto"/>
        </w:rPr>
        <w:t>Cost of sales in the nine months ended September 30, 2003 was $75.8 million, compared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$50.0 million in the comparable 2002 period. This increase is due mainly to the commencement of Fab 2 operations during 2003, which resulted in higher depreciation and amortization expenses of $17.5 million related to Fab 2, as well as expensing costs amounting to $7.6 million, which were capitalized prior to the commencement of Fab 2 operations.</w:t>
      </w:r>
    </w:p>
    <w:p>
      <w:pPr>
        <w:spacing w:after="0" w:line="57" w:lineRule="exact"/>
        <w:rPr>
          <w:sz w:val="20"/>
          <w:szCs w:val="20"/>
          <w:color w:val="auto"/>
        </w:rPr>
      </w:pPr>
    </w:p>
    <w:p>
      <w:pPr>
        <w:ind w:right="411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Gross Loss. </w:t>
      </w:r>
      <w:r>
        <w:rPr>
          <w:rFonts w:ascii="Times New Roman" w:cs="Times New Roman" w:eastAsia="Times New Roman" w:hAnsi="Times New Roman"/>
          <w:sz w:val="14"/>
          <w:szCs w:val="14"/>
          <w:color w:val="auto"/>
        </w:rPr>
        <w:t>Gross loss in the nine months ended September 30, 2003 was $34.3 million compared to a gross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loss of $13.7 million in the comparable 2002 period. The increase in gross loss is primarily attributable to the high level of expenses related to Fab 2 of $38.0 million (mainly due to depreciation and amortization costs of $17.7 million and payroll costs of $8.7 million) in relation to low levels of Fab 2 sales amounting to $5.5 million during this period.</w:t>
      </w:r>
    </w:p>
    <w:p>
      <w:pPr>
        <w:spacing w:after="0" w:line="57" w:lineRule="exact"/>
        <w:rPr>
          <w:sz w:val="20"/>
          <w:szCs w:val="20"/>
          <w:color w:val="auto"/>
        </w:rPr>
      </w:pPr>
    </w:p>
    <w:p>
      <w:pPr>
        <w:ind w:right="3939"/>
        <w:spacing w:after="0" w:line="294" w:lineRule="auto"/>
        <w:rPr>
          <w:sz w:val="20"/>
          <w:szCs w:val="20"/>
          <w:color w:val="auto"/>
        </w:rPr>
      </w:pPr>
      <w:r>
        <w:rPr>
          <w:rFonts w:ascii="Times New Roman" w:cs="Times New Roman" w:eastAsia="Times New Roman" w:hAnsi="Times New Roman"/>
          <w:sz w:val="13"/>
          <w:szCs w:val="13"/>
          <w:i w:val="1"/>
          <w:iCs w:val="1"/>
          <w:color w:val="auto"/>
        </w:rPr>
        <w:t xml:space="preserve">Research and Development. </w:t>
      </w:r>
      <w:r>
        <w:rPr>
          <w:rFonts w:ascii="Times New Roman" w:cs="Times New Roman" w:eastAsia="Times New Roman" w:hAnsi="Times New Roman"/>
          <w:sz w:val="13"/>
          <w:szCs w:val="13"/>
          <w:color w:val="auto"/>
        </w:rPr>
        <w:t>Research and development expenses in the nine months ended September 30, 2003</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increased to $12.6 million from $10.2 million in the comparable 2002 period. The increase was due to increased research and development activities related to the technologies we licensed from Motorola and Toshiba for Fab 2.</w:t>
      </w:r>
    </w:p>
    <w:p>
      <w:pPr>
        <w:sectPr>
          <w:pgSz w:w="11900" w:h="16852" w:orient="portrait"/>
          <w:cols w:equalWidth="0" w:num="1">
            <w:col w:w="10239"/>
          </w:cols>
          <w:pgMar w:left="220" w:top="125" w:right="1440" w:bottom="0" w:gutter="0" w:footer="0" w:header="0"/>
        </w:sectPr>
      </w:pPr>
    </w:p>
    <w:bookmarkStart w:id="16" w:name="page17"/>
    <w:bookmarkEnd w:id="16"/>
    <w:p>
      <w:pPr>
        <w:ind w:right="4619"/>
        <w:spacing w:after="0" w:line="279" w:lineRule="auto"/>
        <w:rPr>
          <w:sz w:val="20"/>
          <w:szCs w:val="20"/>
          <w:color w:val="auto"/>
        </w:rPr>
      </w:pPr>
      <w:r>
        <w:rPr>
          <w:rFonts w:ascii="Times New Roman" w:cs="Times New Roman" w:eastAsia="Times New Roman" w:hAnsi="Times New Roman"/>
          <w:sz w:val="14"/>
          <w:szCs w:val="14"/>
          <w:color w:val="auto"/>
        </w:rPr>
        <w:t>Research and development expenses are reflected net of participation grants received from the Israeli government ($0.7 million and $0.9 million, respectively).</w:t>
      </w:r>
    </w:p>
    <w:p>
      <w:pPr>
        <w:spacing w:after="0" w:line="40" w:lineRule="exact"/>
        <w:rPr>
          <w:sz w:val="20"/>
          <w:szCs w:val="20"/>
          <w:color w:val="auto"/>
        </w:rPr>
      </w:pPr>
    </w:p>
    <w:p>
      <w:pPr>
        <w:ind w:right="41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Marketing, General and Administration. </w:t>
      </w:r>
      <w:r>
        <w:rPr>
          <w:rFonts w:ascii="Times New Roman" w:cs="Times New Roman" w:eastAsia="Times New Roman" w:hAnsi="Times New Roman"/>
          <w:sz w:val="14"/>
          <w:szCs w:val="14"/>
          <w:color w:val="auto"/>
        </w:rPr>
        <w:t>Marketing, general and administrative expenses in the nine months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ended September 30, 2003 increased to $17.1 million from $11.8 million in the comparable 2002 period, primarily due to the expansion of our worldwide marketing and sales efforts in connection with the commencement of production in Fab 2 amounting to $3.9 million.</w:t>
      </w:r>
    </w:p>
    <w:p>
      <w:pPr>
        <w:spacing w:after="0" w:line="55" w:lineRule="exact"/>
        <w:rPr>
          <w:sz w:val="20"/>
          <w:szCs w:val="20"/>
          <w:color w:val="auto"/>
        </w:rPr>
      </w:pPr>
    </w:p>
    <w:p>
      <w:pPr>
        <w:ind w:right="401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Operating Loss. </w:t>
      </w:r>
      <w:r>
        <w:rPr>
          <w:rFonts w:ascii="Times New Roman" w:cs="Times New Roman" w:eastAsia="Times New Roman" w:hAnsi="Times New Roman"/>
          <w:sz w:val="14"/>
          <w:szCs w:val="14"/>
          <w:color w:val="auto"/>
        </w:rPr>
        <w:t>Operating loss in the nine months ended September 30, 2003 was $63.9 million, compared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$35.7 million in the comparable 2002 period, reflecting the increased gross loss of $20.5 million, increased research and development expenses of $2.4 million and increased marketing and sales expenses of $5.3 million incurred in connection with the commencement of production in Fab 2.</w:t>
      </w:r>
    </w:p>
    <w:p>
      <w:pPr>
        <w:spacing w:after="0" w:line="55" w:lineRule="exact"/>
        <w:rPr>
          <w:sz w:val="20"/>
          <w:szCs w:val="20"/>
          <w:color w:val="auto"/>
        </w:rPr>
      </w:pPr>
    </w:p>
    <w:p>
      <w:pPr>
        <w:ind w:right="3939"/>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Financing Expenses, Net. </w:t>
      </w:r>
      <w:r>
        <w:rPr>
          <w:rFonts w:ascii="Times New Roman" w:cs="Times New Roman" w:eastAsia="Times New Roman" w:hAnsi="Times New Roman"/>
          <w:sz w:val="14"/>
          <w:szCs w:val="14"/>
          <w:color w:val="auto"/>
        </w:rPr>
        <w:t>Financing expenses in the nine months ended September 30, 2003 were $4.3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compared to financing expenses of $2.1 million in the comparable 2002 period. This increase is due to the expensing of interest costs on loans and convertible debentures totaling $4.1 million that were capitalized prior to the commencement of operations of Fab 2 in the third quarter of 2003 and offset by exchange rate differences of $1.9 million. Financing expenses, net, in the nine months ended September 30, 2003 exclude interest costs of $9.1 million in connection with the establishment of Fab 2 that were capitalized to property and equipment, compared to $7.4 million in the comparable 2002 period.</w:t>
      </w:r>
    </w:p>
    <w:p>
      <w:pPr>
        <w:spacing w:after="0" w:line="61" w:lineRule="exact"/>
        <w:rPr>
          <w:sz w:val="20"/>
          <w:szCs w:val="20"/>
          <w:color w:val="auto"/>
        </w:rPr>
      </w:pPr>
    </w:p>
    <w:p>
      <w:pPr>
        <w:ind w:right="409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Loss. </w:t>
      </w:r>
      <w:r>
        <w:rPr>
          <w:rFonts w:ascii="Times New Roman" w:cs="Times New Roman" w:eastAsia="Times New Roman" w:hAnsi="Times New Roman"/>
          <w:sz w:val="14"/>
          <w:szCs w:val="14"/>
          <w:color w:val="auto"/>
        </w:rPr>
        <w:t>Our loss in the nine-month period ended September 30, 2003 was $68.3 million, compared to $37.8</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in the comparable 2002 period. This increase is primarily attributable to the increased operating loss of $28.2 million and increased financing expenses, net of $2.2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December 31, 2002 Compared to Year Ended December 31, 2001</w:t>
      </w:r>
    </w:p>
    <w:p>
      <w:pPr>
        <w:spacing w:after="0" w:line="89" w:lineRule="exact"/>
        <w:rPr>
          <w:sz w:val="20"/>
          <w:szCs w:val="20"/>
          <w:color w:val="auto"/>
        </w:rPr>
      </w:pPr>
    </w:p>
    <w:p>
      <w:pPr>
        <w:ind w:right="395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Sales. </w:t>
      </w:r>
      <w:r>
        <w:rPr>
          <w:rFonts w:ascii="Times New Roman" w:cs="Times New Roman" w:eastAsia="Times New Roman" w:hAnsi="Times New Roman"/>
          <w:sz w:val="14"/>
          <w:szCs w:val="14"/>
          <w:color w:val="auto"/>
        </w:rPr>
        <w:t>Sales in 2002 decreased by 1.1% to $51.8 million from $52.4 million in 2001. This decrease is attributable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to 10% lower wafer shipments in Fab 1 as well as a reduction of 9% in the average price per wafer in Fab 1 as a result of weakening demand in the semiconductor industry that was offset by $8 million in revenue associated with our joint development agreement with Matsushita for the development of 0.18-micron embedded </w:t>
      </w:r>
      <w:r>
        <w:rPr>
          <w:rFonts w:ascii="Times New Roman" w:cs="Times New Roman" w:eastAsia="Times New Roman" w:hAnsi="Times New Roman"/>
          <w:sz w:val="14"/>
          <w:szCs w:val="14"/>
          <w:i w:val="1"/>
          <w:iCs w:val="1"/>
          <w:color w:val="auto"/>
        </w:rPr>
        <w:t>micro</w:t>
      </w:r>
      <w:r>
        <w:rPr>
          <w:rFonts w:ascii="Times New Roman" w:cs="Times New Roman" w:eastAsia="Times New Roman" w:hAnsi="Times New Roman"/>
          <w:sz w:val="14"/>
          <w:szCs w:val="14"/>
          <w:color w:val="auto"/>
        </w:rPr>
        <w:t>-FLASH technology in Fab 2.</w:t>
      </w:r>
    </w:p>
    <w:p>
      <w:pPr>
        <w:spacing w:after="0" w:line="19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i w:val="1"/>
          <w:iCs w:val="1"/>
          <w:color w:val="auto"/>
        </w:rPr>
        <w:t>Cost of Sales.</w:t>
      </w:r>
      <w:r>
        <w:rPr>
          <w:sz w:val="20"/>
          <w:szCs w:val="20"/>
          <w:color w:val="auto"/>
        </w:rPr>
        <w:tab/>
      </w:r>
      <w:r>
        <w:rPr>
          <w:rFonts w:ascii="Times New Roman" w:cs="Times New Roman" w:eastAsia="Times New Roman" w:hAnsi="Times New Roman"/>
          <w:sz w:val="13"/>
          <w:szCs w:val="13"/>
          <w:color w:val="auto"/>
        </w:rPr>
        <w:t>Cost of sales in 2002 was $67.0 million, compared with $76.7 million in 2001. A decrease of</w:t>
      </w:r>
    </w:p>
    <w:p>
      <w:pPr>
        <w:spacing w:after="0" w:line="23"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color w:val="auto"/>
        </w:rPr>
        <w:t>$21.5 million in the cost of sales of Fab 1 was attributable to cost saving initiatives that were implemented in Fab 1, offset by fixed manufacturing costs and increased uncapitalized expenses of $11.8 million related to the establishment of Fab 2.</w:t>
      </w:r>
    </w:p>
    <w:p>
      <w:pPr>
        <w:spacing w:after="0" w:line="59" w:lineRule="exact"/>
        <w:rPr>
          <w:sz w:val="20"/>
          <w:szCs w:val="20"/>
          <w:color w:val="auto"/>
        </w:rPr>
      </w:pPr>
    </w:p>
    <w:p>
      <w:pPr>
        <w:ind w:right="391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Gross Loss. </w:t>
      </w:r>
      <w:r>
        <w:rPr>
          <w:rFonts w:ascii="Times New Roman" w:cs="Times New Roman" w:eastAsia="Times New Roman" w:hAnsi="Times New Roman"/>
          <w:sz w:val="14"/>
          <w:szCs w:val="14"/>
          <w:color w:val="auto"/>
        </w:rPr>
        <w:t>Gross loss in 2002 was $15.2 million compared with a gross loss of $24.4 million in 2001.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gross loss in 2002 was lower than our gross loss in 2001 due to reduced gross loss in Fab 1 of $12.9 million resulting from reduced sales and cost savings activities offset by our increased gross loss in Fab 2 of $3.8 million, which resulted from $10.0 million in increased uncapitalized expenses related to the establishment of Fab 2 offset by $6.2 million in gross profits from the joint development agreement with Matsushita.</w:t>
      </w:r>
    </w:p>
    <w:p>
      <w:pPr>
        <w:spacing w:after="0" w:line="57" w:lineRule="exact"/>
        <w:rPr>
          <w:sz w:val="20"/>
          <w:szCs w:val="20"/>
          <w:color w:val="auto"/>
        </w:rPr>
      </w:pPr>
    </w:p>
    <w:p>
      <w:pPr>
        <w:ind w:right="391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w:t>
      </w:r>
      <w:r>
        <w:rPr>
          <w:rFonts w:ascii="Times New Roman" w:cs="Times New Roman" w:eastAsia="Times New Roman" w:hAnsi="Times New Roman"/>
          <w:sz w:val="14"/>
          <w:szCs w:val="14"/>
          <w:color w:val="auto"/>
        </w:rPr>
        <w:t>Research and development expenses in 2002 increased to $17.0 million from $9.6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in 2001. The increase was due to increased research and development activities for technologies to be implemented in Fab 2. Research and development expenses are reflected net of participation grants received from the Israeli government ($1.2 million and $1.4 million, respectively).</w:t>
      </w:r>
    </w:p>
    <w:p>
      <w:pPr>
        <w:spacing w:after="0" w:line="55" w:lineRule="exact"/>
        <w:rPr>
          <w:sz w:val="20"/>
          <w:szCs w:val="20"/>
          <w:color w:val="auto"/>
        </w:rPr>
      </w:pPr>
    </w:p>
    <w:p>
      <w:pPr>
        <w:ind w:right="391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Marketing, General and Administration. </w:t>
      </w:r>
      <w:r>
        <w:rPr>
          <w:rFonts w:ascii="Times New Roman" w:cs="Times New Roman" w:eastAsia="Times New Roman" w:hAnsi="Times New Roman"/>
          <w:sz w:val="14"/>
          <w:szCs w:val="14"/>
          <w:color w:val="auto"/>
        </w:rPr>
        <w:t>Marketing, general and administrative expenses in 2002 increased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$17.1 million from $14.5 million in 2001 due to higher deployment for Fab 2 activities of $2.5 million and higher marketing efforts among new and potential Fab 2 customers during 2002 amounting to $2.7 million offset by $2.6 million decreased sales, general and administration expenses related to Fab 1.</w:t>
      </w:r>
    </w:p>
    <w:p>
      <w:pPr>
        <w:spacing w:after="0" w:line="55" w:lineRule="exact"/>
        <w:rPr>
          <w:sz w:val="20"/>
          <w:szCs w:val="20"/>
          <w:color w:val="auto"/>
        </w:rPr>
      </w:pPr>
    </w:p>
    <w:p>
      <w:pPr>
        <w:jc w:val="both"/>
        <w:ind w:right="407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Operating Loss. </w:t>
      </w:r>
      <w:r>
        <w:rPr>
          <w:rFonts w:ascii="Times New Roman" w:cs="Times New Roman" w:eastAsia="Times New Roman" w:hAnsi="Times New Roman"/>
          <w:sz w:val="14"/>
          <w:szCs w:val="14"/>
          <w:color w:val="auto"/>
        </w:rPr>
        <w:t>Operating loss in 2002 was $49.3 million, compared to $48.4 million in 2001. The increase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was due to $7.5 million in higher research and development expenses in connection with Fab 2, as well as $2.6 million in higher marketing expenses, offset by $9.1 million in lower gross loss.</w:t>
      </w:r>
    </w:p>
    <w:p>
      <w:pPr>
        <w:spacing w:after="0" w:line="50" w:lineRule="exact"/>
        <w:rPr>
          <w:sz w:val="20"/>
          <w:szCs w:val="20"/>
          <w:color w:val="auto"/>
        </w:rPr>
      </w:pPr>
    </w:p>
    <w:p>
      <w:pPr>
        <w:ind w:right="395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Financing Income (Expenses), Net. </w:t>
      </w:r>
      <w:r>
        <w:rPr>
          <w:rFonts w:ascii="Times New Roman" w:cs="Times New Roman" w:eastAsia="Times New Roman" w:hAnsi="Times New Roman"/>
          <w:sz w:val="14"/>
          <w:szCs w:val="14"/>
          <w:color w:val="auto"/>
        </w:rPr>
        <w:t>Financing expenses in 2002 were $2.1 million compared with $1.5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financing income in 2001. The majority of our financing costs in 2002 and 2001, amounting to $11.0 million and $2.3 million, respectively, were not included in our results of operations since they were capitalized to Fab 2 assets during the establishment of Fab 2. The capitalized financing expenses were primarily comprised of bank loans interest, amounting to $10.6 million and $_1.5 million, respectively, as well as expenses in 2002 related to convertible debentures, amounting to $ 1.2 million. In 2001, non-capitalized financial expenses were offset by financial income, primarily attributable to bank interest on proceeds from our Fab 2 investors, resulting in net financial income, while in 2002, financial expenses exceeded financial income due to the decrease in cash and cash equivalents.</w:t>
      </w:r>
    </w:p>
    <w:p>
      <w:pPr>
        <w:spacing w:after="0" w:line="61" w:lineRule="exact"/>
        <w:rPr>
          <w:sz w:val="20"/>
          <w:szCs w:val="20"/>
          <w:color w:val="auto"/>
        </w:rPr>
      </w:pPr>
    </w:p>
    <w:p>
      <w:pPr>
        <w:jc w:val="both"/>
        <w:ind w:right="415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Other Income, Net. </w:t>
      </w:r>
      <w:r>
        <w:rPr>
          <w:rFonts w:ascii="Times New Roman" w:cs="Times New Roman" w:eastAsia="Times New Roman" w:hAnsi="Times New Roman"/>
          <w:sz w:val="14"/>
          <w:szCs w:val="14"/>
          <w:color w:val="auto"/>
        </w:rPr>
        <w:t>Other income, net, in 2002 was $0.045 million, compared to other income, net, of $8.4</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in 2001, due to the sale of our shareholding in Virage Logic in 2001 for a capital gain of $9.5 million, offset by a $1.1 million write off of our investment in Azalea Microelectronics in 2001.</w:t>
      </w:r>
    </w:p>
    <w:p>
      <w:pPr>
        <w:spacing w:after="0" w:line="50" w:lineRule="exact"/>
        <w:rPr>
          <w:sz w:val="20"/>
          <w:szCs w:val="20"/>
          <w:color w:val="auto"/>
        </w:rPr>
      </w:pPr>
    </w:p>
    <w:p>
      <w:pPr>
        <w:ind w:right="413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Taxes on Income. </w:t>
      </w:r>
      <w:r>
        <w:rPr>
          <w:rFonts w:ascii="Times New Roman" w:cs="Times New Roman" w:eastAsia="Times New Roman" w:hAnsi="Times New Roman"/>
          <w:sz w:val="14"/>
          <w:szCs w:val="14"/>
          <w:color w:val="auto"/>
        </w:rPr>
        <w:t>Due to our recent history of operating losses, in 2002 and 2001 we established valuation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allowances against all deferred tax assets, except with respect to existing deferred tax liabilities; therefore, we recognized no income tax benefit attributable to our net operating loss.</w:t>
      </w:r>
    </w:p>
    <w:p>
      <w:pPr>
        <w:spacing w:after="0" w:line="50" w:lineRule="exact"/>
        <w:rPr>
          <w:sz w:val="20"/>
          <w:szCs w:val="20"/>
          <w:color w:val="auto"/>
        </w:rPr>
      </w:pPr>
    </w:p>
    <w:p>
      <w:pPr>
        <w:ind w:right="401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Loss. </w:t>
      </w:r>
      <w:r>
        <w:rPr>
          <w:rFonts w:ascii="Times New Roman" w:cs="Times New Roman" w:eastAsia="Times New Roman" w:hAnsi="Times New Roman"/>
          <w:sz w:val="14"/>
          <w:szCs w:val="14"/>
          <w:color w:val="auto"/>
        </w:rPr>
        <w:t>Our loss in 2002 was $51.4 million compared to a loss of $38.5 million in 2001. The increased loss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attributable to the increase in our Fab 2 operating loss of $19.4 million, comprised of increased non-capitalized expenses, research, development and marketing expenses, and offset by the $9.5 million capital gain generated from the sale of our holdings in Virage Logic.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Year Ended December 31, 2001 Compared to Year Ended December 31, 2000</w:t>
      </w:r>
    </w:p>
    <w:p>
      <w:pPr>
        <w:spacing w:after="0" w:line="89" w:lineRule="exact"/>
        <w:rPr>
          <w:sz w:val="20"/>
          <w:szCs w:val="20"/>
          <w:color w:val="auto"/>
        </w:rPr>
      </w:pPr>
    </w:p>
    <w:p>
      <w:pPr>
        <w:ind w:right="405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Sales. </w:t>
      </w:r>
      <w:r>
        <w:rPr>
          <w:rFonts w:ascii="Times New Roman" w:cs="Times New Roman" w:eastAsia="Times New Roman" w:hAnsi="Times New Roman"/>
          <w:sz w:val="14"/>
          <w:szCs w:val="14"/>
          <w:color w:val="auto"/>
        </w:rPr>
        <w:t>Sales in 2001 decreased by 50% to $52.4 million from $104.8 million in 2000. The decrease in 2001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attributable to 52.8% lower wafer shipments in Fab 1, compared to 2000, as a result of weakening demand in the semiconductor industry.</w:t>
      </w:r>
    </w:p>
    <w:p>
      <w:pPr>
        <w:spacing w:after="0" w:line="50" w:lineRule="exact"/>
        <w:rPr>
          <w:sz w:val="20"/>
          <w:szCs w:val="20"/>
          <w:color w:val="auto"/>
        </w:rPr>
      </w:pPr>
    </w:p>
    <w:p>
      <w:pPr>
        <w:ind w:right="395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Cost of Sales. </w:t>
      </w:r>
      <w:r>
        <w:rPr>
          <w:rFonts w:ascii="Times New Roman" w:cs="Times New Roman" w:eastAsia="Times New Roman" w:hAnsi="Times New Roman"/>
          <w:sz w:val="14"/>
          <w:szCs w:val="14"/>
          <w:color w:val="auto"/>
        </w:rPr>
        <w:t>Cost of sales in 2001 was $76.7 million, compared with $88.8 million in 2000. The decrease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2001 was primarily attributable to the lower utilization of Fab 1. Although our sales reduced by 50%, we were only able to reduce our cost of sales in Fab 1 by 17.7% due to our high level of fixed manufacturing costs mainly related to depreciation and amortization and payroll expenses and due to our Fab 2 non-capitalized expenses amounting to $3.8 million.</w:t>
      </w:r>
    </w:p>
    <w:p>
      <w:pPr>
        <w:sectPr>
          <w:pgSz w:w="11900" w:h="16838" w:orient="portrait"/>
          <w:cols w:equalWidth="0" w:num="1">
            <w:col w:w="10239"/>
          </w:cols>
          <w:pgMar w:left="220" w:top="125" w:right="1440" w:bottom="685" w:gutter="0" w:footer="0" w:header="0"/>
        </w:sectPr>
      </w:pPr>
    </w:p>
    <w:p>
      <w:pPr>
        <w:spacing w:after="0" w:line="19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125" w:right="1440" w:bottom="685" w:gutter="0" w:footer="0" w:header="0"/>
          <w:type w:val="continuous"/>
        </w:sectPr>
      </w:pPr>
    </w:p>
    <w:bookmarkStart w:id="17" w:name="page18"/>
    <w:bookmarkEnd w:id="17"/>
    <w:p>
      <w:pPr>
        <w:jc w:val="both"/>
        <w:ind w:right="415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Gross Profit (Loss). </w:t>
      </w:r>
      <w:r>
        <w:rPr>
          <w:rFonts w:ascii="Times New Roman" w:cs="Times New Roman" w:eastAsia="Times New Roman" w:hAnsi="Times New Roman"/>
          <w:sz w:val="14"/>
          <w:szCs w:val="14"/>
          <w:color w:val="auto"/>
        </w:rPr>
        <w:t>Gross loss in 2001 was $24.4 million, compared with a gross profit of $16.0 million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2000. This gross loss in 2001 is primarily attributable to our reduced sales by $52.4 million partially offset by $12.1 million in reduced cost of sales.</w:t>
      </w:r>
    </w:p>
    <w:p>
      <w:pPr>
        <w:spacing w:after="0" w:line="50" w:lineRule="exact"/>
        <w:rPr>
          <w:sz w:val="20"/>
          <w:szCs w:val="20"/>
          <w:color w:val="auto"/>
        </w:rPr>
      </w:pPr>
    </w:p>
    <w:p>
      <w:pPr>
        <w:ind w:right="413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w:t>
      </w:r>
      <w:r>
        <w:rPr>
          <w:rFonts w:ascii="Times New Roman" w:cs="Times New Roman" w:eastAsia="Times New Roman" w:hAnsi="Times New Roman"/>
          <w:sz w:val="14"/>
          <w:szCs w:val="14"/>
          <w:color w:val="auto"/>
        </w:rPr>
        <w:t>Research and development expenses in 2001 were $9.6 million, compared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$9.0 million in 2000. The slight increase in research and development in 2001 was due to our high level of research activity in connection with new technologies to be implemented in Fab 2. Research and development expenses are reflected net of participation grants received from the Israeli government ($1.4 million and $1.3 million, respectively).</w:t>
      </w:r>
    </w:p>
    <w:p>
      <w:pPr>
        <w:spacing w:after="0" w:line="57" w:lineRule="exact"/>
        <w:rPr>
          <w:sz w:val="20"/>
          <w:szCs w:val="20"/>
          <w:color w:val="auto"/>
        </w:rPr>
      </w:pPr>
    </w:p>
    <w:p>
      <w:pPr>
        <w:jc w:val="both"/>
        <w:ind w:right="393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Marketing, General and Administration. </w:t>
      </w:r>
      <w:r>
        <w:rPr>
          <w:rFonts w:ascii="Times New Roman" w:cs="Times New Roman" w:eastAsia="Times New Roman" w:hAnsi="Times New Roman"/>
          <w:sz w:val="14"/>
          <w:szCs w:val="14"/>
          <w:color w:val="auto"/>
        </w:rPr>
        <w:t>Marketing, general and administrative expenses in 2001 increased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$14.5 million, compared to $11.4 million in 2000. The increase in 2001 was primarily attributable to an increase of $1.5 million in recruitment and training expenses, in addition to an increase of $1.8 million in Fab 2 marketing efforts.</w:t>
      </w:r>
    </w:p>
    <w:p>
      <w:pPr>
        <w:spacing w:after="0" w:line="55" w:lineRule="exact"/>
        <w:rPr>
          <w:sz w:val="20"/>
          <w:szCs w:val="20"/>
          <w:color w:val="auto"/>
        </w:rPr>
      </w:pPr>
    </w:p>
    <w:p>
      <w:pPr>
        <w:ind w:right="391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Financing Income, Net. </w:t>
      </w:r>
      <w:r>
        <w:rPr>
          <w:rFonts w:ascii="Times New Roman" w:cs="Times New Roman" w:eastAsia="Times New Roman" w:hAnsi="Times New Roman"/>
          <w:sz w:val="14"/>
          <w:szCs w:val="14"/>
          <w:color w:val="auto"/>
        </w:rPr>
        <w:t>Financing income, net, in 2001 was $1.5 million compared with $1.4 million in 2000.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slight increase in our financing income was due to interest income on proceeds received from our Fab 2 investors offset by higher levels of interest expenses on our increased Fab 1 credit facility. In 2001, $2.3 million of financing expenses, net, were capitalized to Fab 2 assets, comprised mainly of $1.5 million in interest expenses on bank loans, while no such expenses were incurred in 2000.</w:t>
      </w:r>
    </w:p>
    <w:p>
      <w:pPr>
        <w:spacing w:after="0" w:line="57" w:lineRule="exact"/>
        <w:rPr>
          <w:sz w:val="20"/>
          <w:szCs w:val="20"/>
          <w:color w:val="auto"/>
        </w:rPr>
      </w:pPr>
    </w:p>
    <w:p>
      <w:pPr>
        <w:ind w:right="413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Operating Loss. </w:t>
      </w:r>
      <w:r>
        <w:rPr>
          <w:rFonts w:ascii="Times New Roman" w:cs="Times New Roman" w:eastAsia="Times New Roman" w:hAnsi="Times New Roman"/>
          <w:sz w:val="14"/>
          <w:szCs w:val="14"/>
          <w:color w:val="auto"/>
        </w:rPr>
        <w:t>Operating loss in 2001 increased to $48.4 million from $4.4 million in 2000. The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operating loss in 2001 was primarily attributable to increased gross losses in Fab 1 amounting to $36.7 million and Fab 2 non-capitalized expenses amounting to $14.4 million.</w:t>
      </w:r>
    </w:p>
    <w:p>
      <w:pPr>
        <w:spacing w:after="0" w:line="50" w:lineRule="exact"/>
        <w:rPr>
          <w:sz w:val="20"/>
          <w:szCs w:val="20"/>
          <w:color w:val="auto"/>
        </w:rPr>
      </w:pPr>
    </w:p>
    <w:p>
      <w:pPr>
        <w:ind w:right="393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Other Income (Expense), Net. </w:t>
      </w:r>
      <w:r>
        <w:rPr>
          <w:rFonts w:ascii="Times New Roman" w:cs="Times New Roman" w:eastAsia="Times New Roman" w:hAnsi="Times New Roman"/>
          <w:sz w:val="14"/>
          <w:szCs w:val="14"/>
          <w:color w:val="auto"/>
        </w:rPr>
        <w:t>Other income, net, in 2001 was $8.4 million compared to other expense of $0.5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in 2000 due to the sale of our holdings in Virage Logic generating a capital gain of $9.5 million, offset by a $1.1 million write-off of our investment in Azalea Microelectronics.</w:t>
      </w:r>
    </w:p>
    <w:p>
      <w:pPr>
        <w:spacing w:after="0" w:line="50" w:lineRule="exact"/>
        <w:rPr>
          <w:sz w:val="20"/>
          <w:szCs w:val="20"/>
          <w:color w:val="auto"/>
        </w:rPr>
      </w:pPr>
    </w:p>
    <w:p>
      <w:pPr>
        <w:ind w:right="407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Income Taxes (Benefit). </w:t>
      </w:r>
      <w:r>
        <w:rPr>
          <w:rFonts w:ascii="Times New Roman" w:cs="Times New Roman" w:eastAsia="Times New Roman" w:hAnsi="Times New Roman"/>
          <w:sz w:val="14"/>
          <w:szCs w:val="14"/>
          <w:color w:val="auto"/>
        </w:rPr>
        <w:t>Due to our recent history of operating losses, in 2001 and 2000 we established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valuation allowances against all deferred tax assets, except with respect to deferred tax liabilities; therefore, we recognized no income tax benefit attributable to the net operating loss. In 2000, we entered into a final settlement agreement with the Israeli tax authorities for the years 1993-1998, pursuant to which we incurred an expense of $0.5 million.</w:t>
      </w:r>
    </w:p>
    <w:p>
      <w:pPr>
        <w:spacing w:after="0" w:line="57" w:lineRule="exact"/>
        <w:rPr>
          <w:sz w:val="20"/>
          <w:szCs w:val="20"/>
          <w:color w:val="auto"/>
        </w:rPr>
      </w:pPr>
    </w:p>
    <w:p>
      <w:pPr>
        <w:ind w:right="419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Loss. </w:t>
      </w:r>
      <w:r>
        <w:rPr>
          <w:rFonts w:ascii="Times New Roman" w:cs="Times New Roman" w:eastAsia="Times New Roman" w:hAnsi="Times New Roman"/>
          <w:sz w:val="14"/>
          <w:szCs w:val="14"/>
          <w:color w:val="auto"/>
        </w:rPr>
        <w:t>The loss in 2001 was $38.5 million, compared to a loss of $4.0 million in 2000. The loss in 2001 was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primarily attributable to an increased operating loss of $44.0 million, offset by the $9.5 million capital gain generated from the sale of our holdings in Virage Logic.</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1" w:lineRule="exact"/>
        <w:rPr>
          <w:sz w:val="20"/>
          <w:szCs w:val="20"/>
          <w:color w:val="auto"/>
        </w:rPr>
      </w:pPr>
    </w:p>
    <w:p>
      <w:pPr>
        <w:ind w:right="4099"/>
        <w:spacing w:after="0" w:line="258" w:lineRule="auto"/>
        <w:rPr>
          <w:sz w:val="20"/>
          <w:szCs w:val="20"/>
          <w:color w:val="auto"/>
        </w:rPr>
      </w:pPr>
      <w:r>
        <w:rPr>
          <w:rFonts w:ascii="Times New Roman" w:cs="Times New Roman" w:eastAsia="Times New Roman" w:hAnsi="Times New Roman"/>
          <w:sz w:val="14"/>
          <w:szCs w:val="14"/>
          <w:color w:val="auto"/>
        </w:rPr>
        <w:t>At September 30, 2003, we had an aggregate of $8.4 million in cash, cash equivalents, and short-term interest-bearing deposits, of which $1.7 million was contractually restricted for Fab 2 use only. This compares to $69.7 million in cash, cash equivalents, and short-term and interest-bearing deposits, of which $51.3 million was contractually restricted for Fab 2 use only, as of December 31, 2002.</w:t>
      </w:r>
    </w:p>
    <w:p>
      <w:pPr>
        <w:spacing w:after="0" w:line="57" w:lineRule="exact"/>
        <w:rPr>
          <w:sz w:val="20"/>
          <w:szCs w:val="20"/>
          <w:color w:val="auto"/>
        </w:rPr>
      </w:pPr>
    </w:p>
    <w:p>
      <w:pPr>
        <w:ind w:right="3939"/>
        <w:spacing w:after="0" w:line="277" w:lineRule="auto"/>
        <w:rPr>
          <w:sz w:val="20"/>
          <w:szCs w:val="20"/>
          <w:color w:val="auto"/>
        </w:rPr>
      </w:pPr>
      <w:r>
        <w:rPr>
          <w:rFonts w:ascii="Times New Roman" w:cs="Times New Roman" w:eastAsia="Times New Roman" w:hAnsi="Times New Roman"/>
          <w:sz w:val="13"/>
          <w:szCs w:val="13"/>
          <w:color w:val="auto"/>
        </w:rPr>
        <w:t>During the nine months ended September 30, 2003, we generated cash from the following sources: $94.0 million from bank loans, net of $3 million in repayments; $15.8 million net proceeds from our issuance of ordinary shares; and $27.8 million from Investment Center grants. During the nine months ended September 30, 2003, we invested $161.5 million in construction, equipment and other assets of Fab 2, primarily in connection with our purchase and transfer of technology from Motorola and Toshiba and construction and equipping of Fab 2. Fab 2 operating expenses are expected to result in negative cash flow from operating activities through the end of 2003.</w:t>
      </w:r>
    </w:p>
    <w:p>
      <w:pPr>
        <w:spacing w:after="0" w:line="47" w:lineRule="exact"/>
        <w:rPr>
          <w:sz w:val="20"/>
          <w:szCs w:val="20"/>
          <w:color w:val="auto"/>
        </w:rPr>
      </w:pPr>
    </w:p>
    <w:p>
      <w:pPr>
        <w:ind w:right="4279"/>
        <w:spacing w:after="0" w:line="279" w:lineRule="auto"/>
        <w:rPr>
          <w:sz w:val="20"/>
          <w:szCs w:val="20"/>
          <w:color w:val="auto"/>
        </w:rPr>
      </w:pPr>
      <w:r>
        <w:rPr>
          <w:rFonts w:ascii="Times New Roman" w:cs="Times New Roman" w:eastAsia="Times New Roman" w:hAnsi="Times New Roman"/>
          <w:sz w:val="14"/>
          <w:szCs w:val="14"/>
          <w:color w:val="auto"/>
        </w:rPr>
        <w:t>As of September 30, 2003, we had $10.0 million of loans under our Fab 1 facility, which will be repaid and terminated in December 2003.</w:t>
      </w:r>
    </w:p>
    <w:p>
      <w:pPr>
        <w:spacing w:after="0" w:line="42" w:lineRule="exact"/>
        <w:rPr>
          <w:sz w:val="20"/>
          <w:szCs w:val="20"/>
          <w:color w:val="auto"/>
        </w:rPr>
      </w:pPr>
    </w:p>
    <w:p>
      <w:pPr>
        <w:ind w:right="4019"/>
        <w:spacing w:after="0" w:line="279" w:lineRule="auto"/>
        <w:rPr>
          <w:sz w:val="20"/>
          <w:szCs w:val="20"/>
          <w:color w:val="auto"/>
        </w:rPr>
      </w:pPr>
      <w:r>
        <w:rPr>
          <w:rFonts w:ascii="Times New Roman" w:cs="Times New Roman" w:eastAsia="Times New Roman" w:hAnsi="Times New Roman"/>
          <w:sz w:val="14"/>
          <w:szCs w:val="14"/>
          <w:color w:val="auto"/>
        </w:rPr>
        <w:t>We recently completed the construction of the building and infrastructure and commenced the initial ramp-up of Fab 2, our new advanced wafer facility adjacent to Fab 1 in Migdal Haemek, Israel and</w:t>
      </w:r>
    </w:p>
    <w:p>
      <w:pPr>
        <w:spacing w:after="0" w:line="17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19"/>
        <w:spacing w:after="0" w:line="272" w:lineRule="auto"/>
        <w:rPr>
          <w:sz w:val="20"/>
          <w:szCs w:val="20"/>
          <w:color w:val="auto"/>
        </w:rPr>
      </w:pPr>
      <w:r>
        <w:rPr>
          <w:rFonts w:ascii="Times New Roman" w:cs="Times New Roman" w:eastAsia="Times New Roman" w:hAnsi="Times New Roman"/>
          <w:sz w:val="13"/>
          <w:szCs w:val="13"/>
          <w:color w:val="auto"/>
        </w:rPr>
        <w:t>have begun wafer production for our customers in Fab 2 during the third quarter of 2003, and production capacity as of November 30, 2003 was 7,000 wafer starts per month. By the end of 2003, we anticipate that Fab 2 will have production capacity of 8,500 wafer starts per month, and we currently expect to have production capacity ranging between 13,000 and 15,000 wafer starts per month by the end of 2004. When the ramp-up is completed, Fab 2 is expected to have the capacity of 33,000 200-mm wafer starts per month. We expect to complete our ramp-up of Fab 2 by December 2006. We expect the total cost of the construction, equipping of the Fab 2 facility and ramp-up of production will be approximately $1.5 billion. As of December 15, 2003, we received a total of $907 million for the Fab 2 project. The remainder of the Fab 2 project can be funded by additional grants available from the Investment Center, debt financing made available from our banks, sales of our securities, proceeds from the sale of securities we own in certain companies, including Saifun Semiconductors, wafer prepayments from our customers, payments we receive from Matsushita and cash flow from operations.</w:t>
      </w:r>
    </w:p>
    <w:p>
      <w:pPr>
        <w:spacing w:after="0" w:line="52" w:lineRule="exact"/>
        <w:rPr>
          <w:sz w:val="20"/>
          <w:szCs w:val="20"/>
          <w:color w:val="auto"/>
        </w:rPr>
      </w:pPr>
    </w:p>
    <w:p>
      <w:pPr>
        <w:ind w:right="4099"/>
        <w:spacing w:after="0" w:line="256" w:lineRule="auto"/>
        <w:rPr>
          <w:sz w:val="20"/>
          <w:szCs w:val="20"/>
          <w:color w:val="auto"/>
        </w:rPr>
      </w:pPr>
      <w:r>
        <w:rPr>
          <w:rFonts w:ascii="Times New Roman" w:cs="Times New Roman" w:eastAsia="Times New Roman" w:hAnsi="Times New Roman"/>
          <w:sz w:val="14"/>
          <w:szCs w:val="14"/>
          <w:color w:val="auto"/>
        </w:rPr>
        <w:t>We expect to have adequate liquidity for our Fab 2 activities in 2004. In 2004, we expect to make capital investments of approximately $160 million in Fab 2 and to have negative cash flow from Fab 2 operations of approximately $40 million. We expect to fund our Fab 2 activities during 2004 from the following sources: (1) additional loans under the Fab 2 credit facility, approximately $70 million; (2) Investment Center grants, approximately $30 million; and (3) sales of our securities, including the proceeds of this offering.</w:t>
      </w:r>
    </w:p>
    <w:p>
      <w:pPr>
        <w:spacing w:after="0" w:line="57" w:lineRule="exact"/>
        <w:rPr>
          <w:sz w:val="20"/>
          <w:szCs w:val="20"/>
          <w:color w:val="auto"/>
        </w:rPr>
      </w:pPr>
    </w:p>
    <w:p>
      <w:pPr>
        <w:jc w:val="both"/>
        <w:ind w:right="4019"/>
        <w:spacing w:after="0" w:line="263" w:lineRule="auto"/>
        <w:rPr>
          <w:sz w:val="20"/>
          <w:szCs w:val="20"/>
          <w:color w:val="auto"/>
        </w:rPr>
      </w:pPr>
      <w:r>
        <w:rPr>
          <w:rFonts w:ascii="Times New Roman" w:cs="Times New Roman" w:eastAsia="Times New Roman" w:hAnsi="Times New Roman"/>
          <w:sz w:val="14"/>
          <w:szCs w:val="14"/>
          <w:color w:val="auto"/>
        </w:rPr>
        <w:t>The following chart illustrates the various financial sources available to us to fund the construction and ramp-up to completion of Fab 2, the amounts received to date and the amounts expected or required to be received from various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6350" cy="7302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expected</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Received as</w:t>
            </w:r>
          </w:p>
        </w:tc>
        <w:tc>
          <w:tcPr>
            <w:tcW w:w="8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or required to</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be received</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of</w:t>
            </w:r>
          </w:p>
        </w:tc>
        <w:tc>
          <w:tcPr>
            <w:tcW w:w="8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7"/>
              </w:rPr>
              <w:t>after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0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Financial Sources</w:t>
            </w:r>
          </w:p>
        </w:tc>
        <w:tc>
          <w:tcPr>
            <w:tcW w:w="80" w:type="dxa"/>
            <w:vAlign w:val="bottom"/>
          </w:tcPr>
          <w:p>
            <w:pPr>
              <w:spacing w:after="0"/>
              <w:rPr>
                <w:sz w:val="9"/>
                <w:szCs w:val="9"/>
                <w:color w:val="auto"/>
              </w:rPr>
            </w:pPr>
          </w:p>
        </w:tc>
        <w:tc>
          <w:tcPr>
            <w:tcW w:w="6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8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December 15,</w:t>
            </w:r>
          </w:p>
        </w:tc>
        <w:tc>
          <w:tcPr>
            <w:tcW w:w="100" w:type="dxa"/>
            <w:vAlign w:val="bottom"/>
          </w:tcPr>
          <w:p>
            <w:pPr>
              <w:spacing w:after="0"/>
              <w:rPr>
                <w:sz w:val="9"/>
                <w:szCs w:val="9"/>
                <w:color w:val="auto"/>
              </w:rPr>
            </w:pPr>
          </w:p>
        </w:tc>
        <w:tc>
          <w:tcPr>
            <w:tcW w:w="60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Total (5)</w:t>
            </w:r>
          </w:p>
        </w:tc>
        <w:tc>
          <w:tcPr>
            <w:tcW w:w="0" w:type="dxa"/>
            <w:vAlign w:val="bottom"/>
          </w:tcPr>
          <w:p>
            <w:pPr>
              <w:spacing w:after="0"/>
              <w:rPr>
                <w:sz w:val="1"/>
                <w:szCs w:val="1"/>
                <w:color w:val="auto"/>
              </w:rPr>
            </w:pPr>
          </w:p>
        </w:tc>
      </w:tr>
      <w:tr>
        <w:trPr>
          <w:trHeight w:val="134"/>
        </w:trPr>
        <w:tc>
          <w:tcPr>
            <w:tcW w:w="4000" w:type="dxa"/>
            <w:vAlign w:val="bottom"/>
            <w:vMerge w:val="continue"/>
          </w:tcPr>
          <w:p>
            <w:pPr>
              <w:spacing w:after="0"/>
              <w:rPr>
                <w:sz w:val="11"/>
                <w:szCs w:val="11"/>
                <w:color w:val="auto"/>
              </w:rPr>
            </w:pPr>
          </w:p>
        </w:tc>
        <w:tc>
          <w:tcPr>
            <w:tcW w:w="700" w:type="dxa"/>
            <w:vAlign w:val="bottom"/>
            <w:gridSpan w:val="2"/>
          </w:tcPr>
          <w:p>
            <w:pPr>
              <w:jc w:val="center"/>
              <w:ind w:left="19"/>
              <w:spacing w:after="0"/>
              <w:rPr>
                <w:sz w:val="20"/>
                <w:szCs w:val="20"/>
                <w:color w:val="auto"/>
              </w:rPr>
            </w:pPr>
            <w:r>
              <w:rPr>
                <w:rFonts w:ascii="Times New Roman" w:cs="Times New Roman" w:eastAsia="Times New Roman" w:hAnsi="Times New Roman"/>
                <w:sz w:val="11"/>
                <w:szCs w:val="11"/>
                <w:b w:val="1"/>
                <w:bCs w:val="1"/>
                <w:color w:val="auto"/>
                <w:w w:val="98"/>
              </w:rPr>
              <w:t>15, 2003</w:t>
            </w:r>
          </w:p>
        </w:tc>
        <w:tc>
          <w:tcPr>
            <w:tcW w:w="780" w:type="dxa"/>
            <w:vAlign w:val="bottom"/>
            <w:gridSpan w:val="2"/>
          </w:tcPr>
          <w:p>
            <w:pPr>
              <w:jc w:val="center"/>
              <w:ind w:left="19"/>
              <w:spacing w:after="0"/>
              <w:rPr>
                <w:sz w:val="20"/>
                <w:szCs w:val="20"/>
                <w:color w:val="auto"/>
              </w:rPr>
            </w:pPr>
            <w:r>
              <w:rPr>
                <w:rFonts w:ascii="Times New Roman" w:cs="Times New Roman" w:eastAsia="Times New Roman" w:hAnsi="Times New Roman"/>
                <w:sz w:val="11"/>
                <w:szCs w:val="11"/>
                <w:b w:val="1"/>
                <w:bCs w:val="1"/>
                <w:color w:val="auto"/>
                <w:w w:val="99"/>
              </w:rPr>
              <w:t>2003</w:t>
            </w: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4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jc w:val="right"/>
              <w:ind w:right="85"/>
              <w:spacing w:after="0" w:line="125" w:lineRule="exact"/>
              <w:rPr>
                <w:sz w:val="20"/>
                <w:szCs w:val="20"/>
                <w:color w:val="auto"/>
              </w:rPr>
            </w:pPr>
            <w:r>
              <w:rPr>
                <w:rFonts w:ascii="Times New Roman" w:cs="Times New Roman" w:eastAsia="Times New Roman" w:hAnsi="Times New Roman"/>
                <w:sz w:val="11"/>
                <w:szCs w:val="11"/>
                <w:color w:val="auto"/>
                <w:w w:val="98"/>
              </w:rPr>
              <w:t>(in millions)</w:t>
            </w:r>
          </w:p>
        </w:tc>
        <w:tc>
          <w:tcPr>
            <w:tcW w:w="1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Wafer Partners and other equity investors</w:t>
            </w:r>
          </w:p>
        </w:tc>
        <w:tc>
          <w:tcPr>
            <w:tcW w:w="700" w:type="dxa"/>
            <w:vAlign w:val="bottom"/>
            <w:gridSpan w:val="2"/>
          </w:tcPr>
          <w:p>
            <w:pPr>
              <w:jc w:val="right"/>
              <w:ind w:right="205"/>
              <w:spacing w:after="0"/>
              <w:rPr>
                <w:sz w:val="20"/>
                <w:szCs w:val="20"/>
                <w:color w:val="auto"/>
              </w:rPr>
            </w:pPr>
            <w:r>
              <w:rPr>
                <w:rFonts w:ascii="Times New Roman" w:cs="Times New Roman" w:eastAsia="Times New Roman" w:hAnsi="Times New Roman"/>
                <w:sz w:val="12"/>
                <w:szCs w:val="12"/>
                <w:color w:val="auto"/>
              </w:rPr>
              <w:t>$ 306</w:t>
            </w:r>
          </w:p>
        </w:tc>
        <w:tc>
          <w:tcPr>
            <w:tcW w:w="780" w:type="dxa"/>
            <w:vAlign w:val="bottom"/>
            <w:gridSpan w:val="2"/>
          </w:tcPr>
          <w:p>
            <w:pPr>
              <w:jc w:val="right"/>
              <w:ind w:right="285"/>
              <w:spacing w:after="0"/>
              <w:rPr>
                <w:sz w:val="20"/>
                <w:szCs w:val="20"/>
                <w:color w:val="auto"/>
              </w:rPr>
            </w:pPr>
            <w:r>
              <w:rPr>
                <w:rFonts w:ascii="Times New Roman" w:cs="Times New Roman" w:eastAsia="Times New Roman" w:hAnsi="Times New Roman"/>
                <w:sz w:val="12"/>
                <w:szCs w:val="12"/>
                <w:color w:val="auto"/>
              </w:rPr>
              <w:t>$  0</w:t>
            </w:r>
          </w:p>
        </w:tc>
        <w:tc>
          <w:tcPr>
            <w:tcW w:w="700" w:type="dxa"/>
            <w:vAlign w:val="bottom"/>
            <w:gridSpan w:val="2"/>
          </w:tcPr>
          <w:p>
            <w:pPr>
              <w:jc w:val="right"/>
              <w:ind w:right="205"/>
              <w:spacing w:after="0"/>
              <w:rPr>
                <w:sz w:val="20"/>
                <w:szCs w:val="20"/>
                <w:color w:val="auto"/>
              </w:rPr>
            </w:pPr>
            <w:r>
              <w:rPr>
                <w:rFonts w:ascii="Times New Roman" w:cs="Times New Roman" w:eastAsia="Times New Roman" w:hAnsi="Times New Roman"/>
                <w:sz w:val="12"/>
                <w:szCs w:val="12"/>
                <w:color w:val="auto"/>
              </w:rPr>
              <w:t>$306</w:t>
            </w:r>
          </w:p>
        </w:tc>
        <w:tc>
          <w:tcPr>
            <w:tcW w:w="0" w:type="dxa"/>
            <w:vAlign w:val="bottom"/>
          </w:tcPr>
          <w:p>
            <w:pPr>
              <w:spacing w:after="0"/>
              <w:rPr>
                <w:sz w:val="1"/>
                <w:szCs w:val="1"/>
                <w:color w:val="auto"/>
              </w:rPr>
            </w:pPr>
          </w:p>
        </w:tc>
      </w:tr>
      <w:tr>
        <w:trPr>
          <w:trHeight w:val="187"/>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Israel Government Investment Center</w:t>
            </w:r>
          </w:p>
        </w:tc>
        <w:tc>
          <w:tcPr>
            <w:tcW w:w="700" w:type="dxa"/>
            <w:vAlign w:val="bottom"/>
            <w:gridSpan w:val="2"/>
          </w:tcPr>
          <w:p>
            <w:pPr>
              <w:jc w:val="right"/>
              <w:ind w:right="205"/>
              <w:spacing w:after="0"/>
              <w:rPr>
                <w:sz w:val="20"/>
                <w:szCs w:val="20"/>
                <w:color w:val="auto"/>
              </w:rPr>
            </w:pPr>
            <w:r>
              <w:rPr>
                <w:rFonts w:ascii="Times New Roman" w:cs="Times New Roman" w:eastAsia="Times New Roman" w:hAnsi="Times New Roman"/>
                <w:sz w:val="12"/>
                <w:szCs w:val="12"/>
                <w:color w:val="auto"/>
              </w:rPr>
              <w:t>114</w:t>
            </w:r>
          </w:p>
        </w:tc>
        <w:tc>
          <w:tcPr>
            <w:tcW w:w="78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color w:val="auto"/>
              </w:rPr>
              <w:t>136(1)</w:t>
            </w:r>
          </w:p>
        </w:tc>
        <w:tc>
          <w:tcPr>
            <w:tcW w:w="700" w:type="dxa"/>
            <w:vAlign w:val="bottom"/>
            <w:gridSpan w:val="2"/>
          </w:tcPr>
          <w:p>
            <w:pPr>
              <w:jc w:val="right"/>
              <w:ind w:right="205"/>
              <w:spacing w:after="0"/>
              <w:rPr>
                <w:sz w:val="20"/>
                <w:szCs w:val="20"/>
                <w:color w:val="auto"/>
              </w:rPr>
            </w:pPr>
            <w:r>
              <w:rPr>
                <w:rFonts w:ascii="Times New Roman" w:cs="Times New Roman" w:eastAsia="Times New Roman" w:hAnsi="Times New Roman"/>
                <w:sz w:val="12"/>
                <w:szCs w:val="12"/>
                <w:color w:val="auto"/>
              </w:rPr>
              <w:t>250</w:t>
            </w:r>
          </w:p>
        </w:tc>
        <w:tc>
          <w:tcPr>
            <w:tcW w:w="0" w:type="dxa"/>
            <w:vAlign w:val="bottom"/>
          </w:tcPr>
          <w:p>
            <w:pPr>
              <w:spacing w:after="0"/>
              <w:rPr>
                <w:sz w:val="1"/>
                <w:szCs w:val="1"/>
                <w:color w:val="auto"/>
              </w:rPr>
            </w:pPr>
          </w:p>
        </w:tc>
      </w:tr>
      <w:tr>
        <w:trPr>
          <w:trHeight w:val="187"/>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Credit facility</w:t>
            </w:r>
          </w:p>
        </w:tc>
        <w:tc>
          <w:tcPr>
            <w:tcW w:w="700" w:type="dxa"/>
            <w:vAlign w:val="bottom"/>
            <w:gridSpan w:val="2"/>
          </w:tcPr>
          <w:p>
            <w:pPr>
              <w:jc w:val="right"/>
              <w:ind w:right="205"/>
              <w:spacing w:after="0"/>
              <w:rPr>
                <w:sz w:val="20"/>
                <w:szCs w:val="20"/>
                <w:color w:val="auto"/>
              </w:rPr>
            </w:pPr>
            <w:r>
              <w:rPr>
                <w:rFonts w:ascii="Times New Roman" w:cs="Times New Roman" w:eastAsia="Times New Roman" w:hAnsi="Times New Roman"/>
                <w:sz w:val="12"/>
                <w:szCs w:val="12"/>
                <w:color w:val="auto"/>
              </w:rPr>
              <w:t>401</w:t>
            </w:r>
          </w:p>
        </w:tc>
        <w:tc>
          <w:tcPr>
            <w:tcW w:w="78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99(2)(4)</w:t>
            </w:r>
          </w:p>
        </w:tc>
        <w:tc>
          <w:tcPr>
            <w:tcW w:w="700" w:type="dxa"/>
            <w:vAlign w:val="bottom"/>
            <w:gridSpan w:val="2"/>
          </w:tcPr>
          <w:p>
            <w:pPr>
              <w:jc w:val="right"/>
              <w:ind w:right="205"/>
              <w:spacing w:after="0"/>
              <w:rPr>
                <w:sz w:val="20"/>
                <w:szCs w:val="20"/>
                <w:color w:val="auto"/>
              </w:rPr>
            </w:pPr>
            <w:r>
              <w:rPr>
                <w:rFonts w:ascii="Times New Roman" w:cs="Times New Roman" w:eastAsia="Times New Roman" w:hAnsi="Times New Roman"/>
                <w:sz w:val="12"/>
                <w:szCs w:val="12"/>
                <w:color w:val="auto"/>
              </w:rPr>
              <w:t>500</w:t>
            </w:r>
          </w:p>
        </w:tc>
        <w:tc>
          <w:tcPr>
            <w:tcW w:w="0" w:type="dxa"/>
            <w:vAlign w:val="bottom"/>
          </w:tcPr>
          <w:p>
            <w:pPr>
              <w:spacing w:after="0"/>
              <w:rPr>
                <w:sz w:val="1"/>
                <w:szCs w:val="1"/>
                <w:color w:val="auto"/>
              </w:rPr>
            </w:pPr>
          </w:p>
        </w:tc>
      </w:tr>
      <w:tr>
        <w:trPr>
          <w:trHeight w:val="187"/>
        </w:trPr>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Other financing sources</w:t>
            </w:r>
          </w:p>
        </w:tc>
        <w:tc>
          <w:tcPr>
            <w:tcW w:w="700" w:type="dxa"/>
            <w:vAlign w:val="bottom"/>
            <w:gridSpan w:val="2"/>
          </w:tcPr>
          <w:p>
            <w:pPr>
              <w:jc w:val="right"/>
              <w:ind w:right="205"/>
              <w:spacing w:after="0"/>
              <w:rPr>
                <w:sz w:val="20"/>
                <w:szCs w:val="20"/>
                <w:color w:val="auto"/>
              </w:rPr>
            </w:pPr>
            <w:r>
              <w:rPr>
                <w:rFonts w:ascii="Times New Roman" w:cs="Times New Roman" w:eastAsia="Times New Roman" w:hAnsi="Times New Roman"/>
                <w:sz w:val="12"/>
                <w:szCs w:val="12"/>
                <w:color w:val="auto"/>
              </w:rPr>
              <w:t>86</w:t>
            </w:r>
          </w:p>
        </w:tc>
        <w:tc>
          <w:tcPr>
            <w:tcW w:w="78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color w:val="auto"/>
              </w:rPr>
              <w:t>152(3)(4)</w:t>
            </w:r>
          </w:p>
        </w:tc>
        <w:tc>
          <w:tcPr>
            <w:tcW w:w="700" w:type="dxa"/>
            <w:vAlign w:val="bottom"/>
            <w:gridSpan w:val="2"/>
          </w:tcPr>
          <w:p>
            <w:pPr>
              <w:jc w:val="right"/>
              <w:ind w:right="205"/>
              <w:spacing w:after="0"/>
              <w:rPr>
                <w:sz w:val="20"/>
                <w:szCs w:val="20"/>
                <w:color w:val="auto"/>
              </w:rPr>
            </w:pPr>
            <w:r>
              <w:rPr>
                <w:rFonts w:ascii="Times New Roman" w:cs="Times New Roman" w:eastAsia="Times New Roman" w:hAnsi="Times New Roman"/>
                <w:sz w:val="12"/>
                <w:szCs w:val="12"/>
                <w:color w:val="auto"/>
              </w:rPr>
              <w:t>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-1068070</wp:posOffset>
            </wp:positionV>
            <wp:extent cx="3662045" cy="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66204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-810260</wp:posOffset>
            </wp:positionV>
            <wp:extent cx="13335" cy="63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-810260</wp:posOffset>
            </wp:positionV>
            <wp:extent cx="13335"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-810260</wp:posOffset>
            </wp:positionV>
            <wp:extent cx="13335" cy="63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-506095</wp:posOffset>
            </wp:positionV>
            <wp:extent cx="13335"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-506095</wp:posOffset>
            </wp:positionV>
            <wp:extent cx="13335" cy="63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-506095</wp:posOffset>
            </wp:positionV>
            <wp:extent cx="13335"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-400050</wp:posOffset>
            </wp:positionV>
            <wp:extent cx="13335"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-400050</wp:posOffset>
            </wp:positionV>
            <wp:extent cx="13335"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-400050</wp:posOffset>
            </wp:positionV>
            <wp:extent cx="13335"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-281305</wp:posOffset>
            </wp:positionV>
            <wp:extent cx="13335" cy="63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-281305</wp:posOffset>
            </wp:positionV>
            <wp:extent cx="13335"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-281305</wp:posOffset>
            </wp:positionV>
            <wp:extent cx="13335"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-162560</wp:posOffset>
            </wp:positionV>
            <wp:extent cx="13335" cy="63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-162560</wp:posOffset>
            </wp:positionV>
            <wp:extent cx="13335"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-162560</wp:posOffset>
            </wp:positionV>
            <wp:extent cx="13335" cy="6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-43180</wp:posOffset>
            </wp:positionV>
            <wp:extent cx="13335"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2983230</wp:posOffset>
            </wp:positionH>
            <wp:positionV relativeFrom="paragraph">
              <wp:posOffset>-43180</wp:posOffset>
            </wp:positionV>
            <wp:extent cx="13335"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-43180</wp:posOffset>
            </wp:positionV>
            <wp:extent cx="13335"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22225</wp:posOffset>
            </wp:positionV>
            <wp:extent cx="3926840" cy="1784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926840" cy="178435"/>
                    </a:xfrm>
                    <a:prstGeom prst="rect">
                      <a:avLst/>
                    </a:prstGeom>
                    <a:noFill/>
                  </pic:spPr>
                </pic:pic>
              </a:graphicData>
            </a:graphic>
          </wp:anchor>
        </w:drawing>
      </w:r>
    </w:p>
    <w:p>
      <w:pPr>
        <w:spacing w:after="0" w:line="279" w:lineRule="exact"/>
        <w:rPr>
          <w:sz w:val="20"/>
          <w:szCs w:val="20"/>
          <w:color w:val="auto"/>
        </w:rPr>
      </w:pPr>
    </w:p>
    <w:p>
      <w:pPr>
        <w:ind w:left="260" w:right="4139" w:hanging="257"/>
        <w:spacing w:after="0" w:line="230" w:lineRule="auto"/>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the requirements of Israeli Law, we are required to complete our approved investment program for Fab 2 by the end of 2005 (see "— Investment Center Grants"). Failure to meet this requirement may result in the cancellation of all or a portion of our grants. See "Risk Factors — If we do not meet conditions to receive the Israeli government grants and tax benefits approved for Fab 2, we may be required to seek alternative financing sources."</w:t>
      </w:r>
    </w:p>
    <w:p>
      <w:pPr>
        <w:spacing w:after="0" w:line="56" w:lineRule="exact"/>
        <w:rPr>
          <w:rFonts w:ascii="Times New Roman" w:cs="Times New Roman" w:eastAsia="Times New Roman" w:hAnsi="Times New Roman"/>
          <w:sz w:val="11"/>
          <w:szCs w:val="11"/>
          <w:color w:val="auto"/>
        </w:rPr>
      </w:pPr>
    </w:p>
    <w:p>
      <w:pPr>
        <w:ind w:left="260" w:right="4379" w:hanging="257"/>
        <w:spacing w:after="0" w:line="235" w:lineRule="auto"/>
        <w:tabs>
          <w:tab w:leader="none" w:pos="26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banks' obligation to fund the loans is subject to the satisfaction of minimum production capacity milestones, the required maintenance of financial ratios and to additional conditions and covenants (see "Material Agreements — Credit Facility" for a discussion of the amendment to the credit facility with our banks).</w:t>
      </w:r>
    </w:p>
    <w:p>
      <w:pPr>
        <w:sectPr>
          <w:pgSz w:w="11900" w:h="16838" w:orient="portrait"/>
          <w:cols w:equalWidth="0" w:num="1">
            <w:col w:w="10239"/>
          </w:cols>
          <w:pgMar w:left="220" w:top="206" w:right="1440" w:bottom="0" w:gutter="0" w:footer="0" w:header="0"/>
        </w:sectPr>
      </w:pPr>
    </w:p>
    <w:bookmarkStart w:id="18" w:name="page19"/>
    <w:bookmarkEnd w:id="18"/>
    <w:p>
      <w:pPr>
        <w:ind w:left="260" w:right="4079" w:hanging="257"/>
        <w:spacing w:after="0" w:line="225"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Under the amendment to our Fab 2 credit facility, we are required to raise additional financing from specified sources by various prescribed dates and to raise an aggregate amount of $152.0 million by no later than the end of 2005 (see "Material Agreements — Credit Facility"). The proceeds of this offering will be applied toward our compliance with this contractual obligation. If we raise $85.6 million in this offering, the remaining additional financing that we will be required to raise under our credit facility will decrease from $152 million to $66.4 million. We expect to raise this additional funding through: (i) equity investments, including the sale of convertible securities; (ii) proceeds from the sale of securities we own in certain companies, including Saifun Semiconductors Ltd.; (iii) wafer prepayments from customers and (iv) a portion of payments we receive from Matsushita.</w:t>
      </w:r>
    </w:p>
    <w:p>
      <w:pPr>
        <w:spacing w:after="0" w:line="55" w:lineRule="exact"/>
        <w:rPr>
          <w:rFonts w:ascii="Times New Roman" w:cs="Times New Roman" w:eastAsia="Times New Roman" w:hAnsi="Times New Roman"/>
          <w:sz w:val="11"/>
          <w:szCs w:val="11"/>
          <w:color w:val="auto"/>
        </w:rPr>
      </w:pPr>
    </w:p>
    <w:p>
      <w:pPr>
        <w:ind w:left="260" w:right="4319" w:hanging="257"/>
        <w:spacing w:after="0" w:line="248"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have agreed with our banks and TIC to complete a rights offering on pre-determined terms if we do not complete a required fundraising. This arrangement may result in an increase of our credit facility by up to $43 million.</w:t>
      </w:r>
    </w:p>
    <w:p>
      <w:pPr>
        <w:spacing w:after="0" w:line="50" w:lineRule="exact"/>
        <w:rPr>
          <w:rFonts w:ascii="Times New Roman" w:cs="Times New Roman" w:eastAsia="Times New Roman" w:hAnsi="Times New Roman"/>
          <w:sz w:val="11"/>
          <w:szCs w:val="11"/>
          <w:color w:val="auto"/>
        </w:rPr>
      </w:pPr>
    </w:p>
    <w:p>
      <w:pPr>
        <w:ind w:left="260" w:right="4079" w:hanging="257"/>
        <w:spacing w:after="0" w:line="230" w:lineRule="auto"/>
        <w:tabs>
          <w:tab w:leader="none" w:pos="26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will be required to make capital investments and implement and acquire advanced technologies of an aggregate of approximately $1.5 billion in order to ramp-up Fab 2 to 33,000 wafer starts per month. All of our capital investments in 2004 will be made in Fab 2. In addition to the amounts listed in footnote 5 above, we will require additional cash to complete the full ramp-up of Fab 2; we expect to fund these cash needs through cash generated from operations.</w:t>
      </w:r>
    </w:p>
    <w:p>
      <w:pPr>
        <w:spacing w:after="0" w:line="19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19"/>
        <w:spacing w:after="0" w:line="280" w:lineRule="auto"/>
        <w:rPr>
          <w:sz w:val="20"/>
          <w:szCs w:val="20"/>
          <w:color w:val="auto"/>
        </w:rPr>
      </w:pPr>
      <w:r>
        <w:rPr>
          <w:rFonts w:ascii="Times New Roman" w:cs="Times New Roman" w:eastAsia="Times New Roman" w:hAnsi="Times New Roman"/>
          <w:sz w:val="13"/>
          <w:szCs w:val="13"/>
          <w:color w:val="auto"/>
        </w:rPr>
        <w:t>We cannot assure you that we will be able to obtain funds from these sources as expected, due to existing or potential defaults under our Fab 2 agreements, poor conditions in capital markets, failure to benefit from a recovery in the semiconductor market, failure to achieve milestones and other factors, which may affect our ability to raise funds. If we do not satisfy our need for funds for Fab 2 or if the timing of the receipt of financing lags behind the timing of expenses, we may from time to time experience lack of liquidity for our activities.</w:t>
      </w:r>
    </w:p>
    <w:p>
      <w:pPr>
        <w:spacing w:after="0" w:line="44" w:lineRule="exact"/>
        <w:rPr>
          <w:sz w:val="20"/>
          <w:szCs w:val="20"/>
          <w:color w:val="auto"/>
        </w:rPr>
      </w:pPr>
    </w:p>
    <w:p>
      <w:pPr>
        <w:ind w:right="4079"/>
        <w:spacing w:after="0" w:line="279" w:lineRule="auto"/>
        <w:rPr>
          <w:sz w:val="20"/>
          <w:szCs w:val="20"/>
          <w:color w:val="auto"/>
        </w:rPr>
      </w:pPr>
      <w:r>
        <w:rPr>
          <w:rFonts w:ascii="Times New Roman" w:cs="Times New Roman" w:eastAsia="Times New Roman" w:hAnsi="Times New Roman"/>
          <w:sz w:val="14"/>
          <w:szCs w:val="14"/>
          <w:color w:val="auto"/>
        </w:rPr>
        <w:t>The following table summarizes our contractual obligations and commercial commitments as of 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4051935" cy="7302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051935" cy="73025"/>
                    </a:xfrm>
                    <a:prstGeom prst="rect">
                      <a:avLst/>
                    </a:prstGeom>
                    <a:noFill/>
                  </pic:spPr>
                </pic:pic>
              </a:graphicData>
            </a:graphic>
          </wp:anchor>
        </w:drawing>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Payment Due</w:t>
            </w: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tcPr>
          <w:p>
            <w:pPr>
              <w:jc w:val="center"/>
              <w:ind w:right="60"/>
              <w:spacing w:after="0" w:line="86" w:lineRule="exact"/>
              <w:rPr>
                <w:sz w:val="20"/>
                <w:szCs w:val="20"/>
                <w:color w:val="auto"/>
              </w:rPr>
            </w:pPr>
            <w:r>
              <w:rPr>
                <w:rFonts w:ascii="Times New Roman" w:cs="Times New Roman" w:eastAsia="Times New Roman" w:hAnsi="Times New Roman"/>
                <w:sz w:val="9"/>
                <w:szCs w:val="9"/>
                <w:b w:val="1"/>
                <w:bCs w:val="1"/>
                <w:color w:val="auto"/>
              </w:rPr>
              <w:t>Less</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After</w:t>
            </w:r>
          </w:p>
        </w:tc>
        <w:tc>
          <w:tcPr>
            <w:tcW w:w="0" w:type="dxa"/>
            <w:vAlign w:val="bottom"/>
          </w:tcPr>
          <w:p>
            <w:pPr>
              <w:spacing w:after="0"/>
              <w:rPr>
                <w:sz w:val="1"/>
                <w:szCs w:val="1"/>
                <w:color w:val="auto"/>
              </w:rPr>
            </w:pPr>
          </w:p>
        </w:tc>
      </w:tr>
      <w:tr>
        <w:trPr>
          <w:trHeight w:val="115"/>
        </w:trPr>
        <w:tc>
          <w:tcPr>
            <w:tcW w:w="19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Contractual Obligations</w:t>
            </w:r>
          </w:p>
        </w:tc>
        <w:tc>
          <w:tcPr>
            <w:tcW w:w="8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than 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89"/>
              </w:rPr>
              <w:t>2 Years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3 Years</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4 Years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5 Years</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980" w:type="dxa"/>
            <w:vAlign w:val="bottom"/>
            <w:tcBorders>
              <w:bottom w:val="single" w:sz="8" w:color="auto"/>
            </w:tcBorders>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5 Years</w:t>
            </w:r>
          </w:p>
        </w:tc>
        <w:tc>
          <w:tcPr>
            <w:tcW w:w="0" w:type="dxa"/>
            <w:vAlign w:val="bottom"/>
          </w:tcPr>
          <w:p>
            <w:pPr>
              <w:spacing w:after="0"/>
              <w:rPr>
                <w:sz w:val="1"/>
                <w:szCs w:val="1"/>
                <w:color w:val="auto"/>
              </w:rPr>
            </w:pPr>
          </w:p>
        </w:tc>
      </w:tr>
      <w:tr>
        <w:trPr>
          <w:trHeight w:val="121"/>
        </w:trPr>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w w:val="83"/>
              </w:rPr>
              <w:t>(in thousands)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Short-term debt and other current</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liabilities (1)</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73,361</w:t>
            </w:r>
          </w:p>
        </w:tc>
        <w:tc>
          <w:tcPr>
            <w:tcW w:w="4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73,361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Long-term debt (2)</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2"/>
              </w:rPr>
              <w:t>455,713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28,455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3"/>
              </w:rPr>
              <w:t>20,897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3"/>
              </w:rPr>
              <w:t>21,711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106,231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128,530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149,889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Convertible debentures (3)</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7,591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7,283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6,974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Fab 2 construction &amp; equipment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agreements (4)</w:t>
            </w: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37,542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3,500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26,302</w:t>
            </w:r>
          </w:p>
        </w:tc>
        <w:tc>
          <w:tcPr>
            <w:tcW w:w="0" w:type="dxa"/>
            <w:vAlign w:val="bottom"/>
          </w:tcPr>
          <w:p>
            <w:pPr>
              <w:spacing w:after="0"/>
              <w:rPr>
                <w:sz w:val="1"/>
                <w:szCs w:val="1"/>
                <w:color w:val="auto"/>
              </w:rPr>
            </w:pPr>
          </w:p>
        </w:tc>
      </w:tr>
      <w:tr>
        <w:trPr>
          <w:trHeight w:val="157"/>
        </w:trPr>
        <w:tc>
          <w:tcPr>
            <w:tcW w:w="206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Total contractual obligations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2"/>
              </w:rPr>
              <w:t>642,086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143,789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3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3"/>
              </w:rPr>
              <w:t>28,805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380" w:type="dxa"/>
            <w:vAlign w:val="bottom"/>
            <w:tcBorders>
              <w:top w:val="single" w:sz="8" w:color="auto"/>
              <w:bottom w:val="single" w:sz="8" w:color="auto"/>
            </w:tcBorders>
          </w:tcPr>
          <w:p>
            <w:pPr>
              <w:spacing w:after="0" w:line="157" w:lineRule="exact"/>
              <w:rPr>
                <w:sz w:val="20"/>
                <w:szCs w:val="20"/>
                <w:color w:val="auto"/>
              </w:rPr>
            </w:pPr>
            <w:r>
              <w:rPr>
                <w:rFonts w:ascii="Times New Roman" w:cs="Times New Roman" w:eastAsia="Times New Roman" w:hAnsi="Times New Roman"/>
                <w:sz w:val="14"/>
                <w:szCs w:val="14"/>
                <w:color w:val="auto"/>
                <w:w w:val="93"/>
              </w:rPr>
              <w:t>32,381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116,247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138,007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182,857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-1460500</wp:posOffset>
            </wp:positionV>
            <wp:extent cx="13335" cy="63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-1301750</wp:posOffset>
            </wp:positionV>
            <wp:extent cx="13335" cy="63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-1301750</wp:posOffset>
            </wp:positionV>
            <wp:extent cx="13335" cy="63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-1301750</wp:posOffset>
            </wp:positionV>
            <wp:extent cx="13335" cy="63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-1301750</wp:posOffset>
            </wp:positionV>
            <wp:extent cx="13335" cy="63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-1301750</wp:posOffset>
            </wp:positionV>
            <wp:extent cx="13335" cy="63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-1301750</wp:posOffset>
            </wp:positionV>
            <wp:extent cx="13335" cy="63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-1301750</wp:posOffset>
            </wp:positionV>
            <wp:extent cx="13335" cy="63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-1143000</wp:posOffset>
            </wp:positionV>
            <wp:extent cx="13335" cy="63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-1143000</wp:posOffset>
            </wp:positionV>
            <wp:extent cx="13335" cy="63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-977900</wp:posOffset>
            </wp:positionV>
            <wp:extent cx="13335" cy="63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-977900</wp:posOffset>
            </wp:positionV>
            <wp:extent cx="13335" cy="63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-977900</wp:posOffset>
            </wp:positionV>
            <wp:extent cx="13335" cy="63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-977900</wp:posOffset>
            </wp:positionV>
            <wp:extent cx="13335" cy="63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-977900</wp:posOffset>
            </wp:positionV>
            <wp:extent cx="13335" cy="63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-977900</wp:posOffset>
            </wp:positionV>
            <wp:extent cx="13335" cy="6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-977900</wp:posOffset>
            </wp:positionV>
            <wp:extent cx="13335" cy="63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-799465</wp:posOffset>
            </wp:positionV>
            <wp:extent cx="13335" cy="6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-799465</wp:posOffset>
            </wp:positionV>
            <wp:extent cx="13335"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-799465</wp:posOffset>
            </wp:positionV>
            <wp:extent cx="13335" cy="63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-799465</wp:posOffset>
            </wp:positionV>
            <wp:extent cx="13335" cy="63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-799465</wp:posOffset>
            </wp:positionV>
            <wp:extent cx="13335" cy="6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-799465</wp:posOffset>
            </wp:positionV>
            <wp:extent cx="13335" cy="63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-799465</wp:posOffset>
            </wp:positionV>
            <wp:extent cx="13335" cy="63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-673735</wp:posOffset>
            </wp:positionV>
            <wp:extent cx="13335" cy="63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-673735</wp:posOffset>
            </wp:positionV>
            <wp:extent cx="13335" cy="63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-673735</wp:posOffset>
            </wp:positionV>
            <wp:extent cx="13335" cy="63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-673735</wp:posOffset>
            </wp:positionV>
            <wp:extent cx="13335" cy="63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-673735</wp:posOffset>
            </wp:positionV>
            <wp:extent cx="13335" cy="63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-673735</wp:posOffset>
            </wp:positionV>
            <wp:extent cx="13335" cy="63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-673735</wp:posOffset>
            </wp:positionV>
            <wp:extent cx="13335" cy="63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-548005</wp:posOffset>
            </wp:positionV>
            <wp:extent cx="13335" cy="63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-548005</wp:posOffset>
            </wp:positionV>
            <wp:extent cx="13335" cy="63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-548005</wp:posOffset>
            </wp:positionV>
            <wp:extent cx="13335" cy="6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-548005</wp:posOffset>
            </wp:positionV>
            <wp:extent cx="13335" cy="63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-548005</wp:posOffset>
            </wp:positionV>
            <wp:extent cx="13335" cy="6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-548005</wp:posOffset>
            </wp:positionV>
            <wp:extent cx="13335" cy="63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-548005</wp:posOffset>
            </wp:positionV>
            <wp:extent cx="13335" cy="63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-369570</wp:posOffset>
            </wp:positionV>
            <wp:extent cx="13335" cy="63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-369570</wp:posOffset>
            </wp:positionV>
            <wp:extent cx="13335" cy="6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-369570</wp:posOffset>
            </wp:positionV>
            <wp:extent cx="13335" cy="63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-369570</wp:posOffset>
            </wp:positionV>
            <wp:extent cx="13335" cy="63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-369570</wp:posOffset>
            </wp:positionV>
            <wp:extent cx="13335" cy="63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-369570</wp:posOffset>
            </wp:positionV>
            <wp:extent cx="13335" cy="63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-369570</wp:posOffset>
            </wp:positionV>
            <wp:extent cx="13335" cy="63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-191135</wp:posOffset>
            </wp:positionV>
            <wp:extent cx="13335" cy="63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-191135</wp:posOffset>
            </wp:positionV>
            <wp:extent cx="13335" cy="63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-191135</wp:posOffset>
            </wp:positionV>
            <wp:extent cx="13335" cy="6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-191135</wp:posOffset>
            </wp:positionV>
            <wp:extent cx="13335"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-191135</wp:posOffset>
            </wp:positionV>
            <wp:extent cx="13335" cy="63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-191135</wp:posOffset>
            </wp:positionV>
            <wp:extent cx="13335" cy="63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-191135</wp:posOffset>
            </wp:positionV>
            <wp:extent cx="13335" cy="6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-65405</wp:posOffset>
            </wp:positionV>
            <wp:extent cx="13335" cy="63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-65405</wp:posOffset>
            </wp:positionV>
            <wp:extent cx="13335" cy="6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-65405</wp:posOffset>
            </wp:positionV>
            <wp:extent cx="13335" cy="63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2454275</wp:posOffset>
            </wp:positionH>
            <wp:positionV relativeFrom="paragraph">
              <wp:posOffset>-65405</wp:posOffset>
            </wp:positionV>
            <wp:extent cx="13335" cy="63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-65405</wp:posOffset>
            </wp:positionV>
            <wp:extent cx="13335" cy="63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3241040</wp:posOffset>
            </wp:positionH>
            <wp:positionV relativeFrom="paragraph">
              <wp:posOffset>-65405</wp:posOffset>
            </wp:positionV>
            <wp:extent cx="13335" cy="63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-65405</wp:posOffset>
            </wp:positionV>
            <wp:extent cx="13335" cy="63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26840" cy="1784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926840" cy="178435"/>
                    </a:xfrm>
                    <a:prstGeom prst="rect">
                      <a:avLst/>
                    </a:prstGeom>
                    <a:noFill/>
                  </pic:spPr>
                </pic:pic>
              </a:graphicData>
            </a:graphic>
          </wp:anchor>
        </w:drawing>
      </w:r>
    </w:p>
    <w:p>
      <w:pPr>
        <w:spacing w:after="0" w:line="244" w:lineRule="exact"/>
        <w:rPr>
          <w:sz w:val="20"/>
          <w:szCs w:val="20"/>
          <w:color w:val="auto"/>
        </w:rPr>
      </w:pPr>
    </w:p>
    <w:p>
      <w:pPr>
        <w:ind w:left="260" w:right="4239" w:hanging="257"/>
        <w:spacing w:after="0" w:line="248" w:lineRule="auto"/>
        <w:tabs>
          <w:tab w:leader="none" w:pos="2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Short-term debt and other current liabilities include our trade accounts payable for equipment and services that have already been supplied.</w:t>
      </w:r>
    </w:p>
    <w:p>
      <w:pPr>
        <w:spacing w:after="0" w:line="50" w:lineRule="exact"/>
        <w:rPr>
          <w:rFonts w:ascii="Times New Roman" w:cs="Times New Roman" w:eastAsia="Times New Roman" w:hAnsi="Times New Roman"/>
          <w:sz w:val="11"/>
          <w:szCs w:val="11"/>
          <w:color w:val="auto"/>
        </w:rPr>
      </w:pPr>
    </w:p>
    <w:p>
      <w:pPr>
        <w:ind w:left="260" w:right="4239" w:hanging="257"/>
        <w:spacing w:after="0" w:line="248" w:lineRule="auto"/>
        <w:tabs>
          <w:tab w:leader="none" w:pos="2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Long-term debt includes principal and interest payments in accordance with the terms of the credit facility amended in November 2003, as well as the impact of our hedging transactions.</w:t>
      </w:r>
    </w:p>
    <w:p>
      <w:pPr>
        <w:spacing w:after="0" w:line="50" w:lineRule="exact"/>
        <w:rPr>
          <w:rFonts w:ascii="Times New Roman" w:cs="Times New Roman" w:eastAsia="Times New Roman" w:hAnsi="Times New Roman"/>
          <w:sz w:val="11"/>
          <w:szCs w:val="11"/>
          <w:color w:val="auto"/>
        </w:rPr>
      </w:pPr>
    </w:p>
    <w:p>
      <w:pPr>
        <w:ind w:left="260" w:hanging="257"/>
        <w:spacing w:after="0"/>
        <w:tabs>
          <w:tab w:leader="none" w:pos="2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amounts include expected principal and interest payments for the presented periods.</w:t>
      </w:r>
    </w:p>
    <w:p>
      <w:pPr>
        <w:spacing w:after="0" w:line="71" w:lineRule="exact"/>
        <w:rPr>
          <w:rFonts w:ascii="Times New Roman" w:cs="Times New Roman" w:eastAsia="Times New Roman" w:hAnsi="Times New Roman"/>
          <w:sz w:val="11"/>
          <w:szCs w:val="11"/>
          <w:color w:val="auto"/>
        </w:rPr>
      </w:pPr>
    </w:p>
    <w:p>
      <w:pPr>
        <w:ind w:left="260" w:right="4259" w:hanging="257"/>
        <w:spacing w:after="0" w:line="235" w:lineRule="auto"/>
        <w:tabs>
          <w:tab w:leader="none" w:pos="26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amounts primarily consist of ordered equipment that has not yet been received. In addition to these agreements, we have committed approximately $4.5 million in standby letters of credit and guarantees to secure our Fab 2 construction and equipment obligations.</w:t>
      </w:r>
    </w:p>
    <w:p>
      <w:pPr>
        <w:spacing w:after="0" w:line="141" w:lineRule="exact"/>
        <w:rPr>
          <w:sz w:val="20"/>
          <w:szCs w:val="20"/>
          <w:color w:val="auto"/>
        </w:rPr>
      </w:pPr>
    </w:p>
    <w:p>
      <w:pPr>
        <w:ind w:right="3939"/>
        <w:spacing w:after="0" w:line="284" w:lineRule="auto"/>
        <w:rPr>
          <w:sz w:val="20"/>
          <w:szCs w:val="20"/>
          <w:color w:val="auto"/>
        </w:rPr>
      </w:pPr>
      <w:r>
        <w:rPr>
          <w:rFonts w:ascii="Times New Roman" w:cs="Times New Roman" w:eastAsia="Times New Roman" w:hAnsi="Times New Roman"/>
          <w:sz w:val="13"/>
          <w:szCs w:val="13"/>
          <w:color w:val="auto"/>
        </w:rPr>
        <w:t>The above table does not include other categories of obligations or commitments, such as royalty agreements and short term service agreements for Fab 2. We are unable to reasonably estimate the total amounts to be paid under the terms of these agreements, as the royalties and required services are a function of future sales revenues and the volume of business in Fab 2. We are not a party to any material off-balance sheet arrangements.</w:t>
      </w:r>
    </w:p>
    <w:p>
      <w:pPr>
        <w:spacing w:after="0" w:line="40" w:lineRule="exact"/>
        <w:rPr>
          <w:sz w:val="20"/>
          <w:szCs w:val="20"/>
          <w:color w:val="auto"/>
        </w:rPr>
      </w:pPr>
    </w:p>
    <w:p>
      <w:pPr>
        <w:ind w:right="3919"/>
        <w:spacing w:after="0" w:line="251" w:lineRule="auto"/>
        <w:rPr>
          <w:sz w:val="20"/>
          <w:szCs w:val="20"/>
          <w:color w:val="auto"/>
        </w:rPr>
      </w:pPr>
      <w:r>
        <w:rPr>
          <w:rFonts w:ascii="Times New Roman" w:cs="Times New Roman" w:eastAsia="Times New Roman" w:hAnsi="Times New Roman"/>
          <w:sz w:val="14"/>
          <w:szCs w:val="14"/>
          <w:i w:val="1"/>
          <w:iCs w:val="1"/>
          <w:color w:val="auto"/>
        </w:rPr>
        <w:t xml:space="preserve">Investment Center Grants. </w:t>
      </w:r>
      <w:r>
        <w:rPr>
          <w:rFonts w:ascii="Times New Roman" w:cs="Times New Roman" w:eastAsia="Times New Roman" w:hAnsi="Times New Roman"/>
          <w:sz w:val="14"/>
          <w:szCs w:val="14"/>
          <w:color w:val="auto"/>
        </w:rPr>
        <w:t>In December 2000, the Israeli government's Investment Center approved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 program in connection with Fab 2. The approval certificate provides for government grants at a rate of 20% of qualified investments up to $1.25 billion, up to $250 million, subject to customary conditions and other conditions, including a requirement that approximately $400 million of our Fab 2 funding consist of paid-in-capital and that $550 million of our Fab 2 funding will be obtained by way of a credit facility from commercial banks, which was subsequently reduced to $500 million. We have registered a lien on our assets for the benefit of the Investment Center which ranks subordinate to our banks. The approval certificate also provides for a tax holiday on all taxable income related to Fab 2 for the first two years of undistributed profitable operations. As of September 30, 2003, we had received approximately $112 million in grants from the Investment Center, and raised $276.9 million as paid in capital towards the $400 million. As long as we comply with the terms of our grants, we are not required to make royalty payments or other payments under the terms of our Investment Center grants.</w:t>
      </w:r>
    </w:p>
    <w:p>
      <w:pPr>
        <w:spacing w:after="0" w:line="64" w:lineRule="exact"/>
        <w:rPr>
          <w:sz w:val="20"/>
          <w:szCs w:val="20"/>
          <w:color w:val="auto"/>
        </w:rPr>
      </w:pPr>
    </w:p>
    <w:p>
      <w:pPr>
        <w:jc w:val="both"/>
        <w:ind w:right="4099"/>
        <w:spacing w:after="0" w:line="263" w:lineRule="auto"/>
        <w:rPr>
          <w:sz w:val="20"/>
          <w:szCs w:val="20"/>
          <w:color w:val="auto"/>
        </w:rPr>
      </w:pPr>
      <w:r>
        <w:rPr>
          <w:rFonts w:ascii="Times New Roman" w:cs="Times New Roman" w:eastAsia="Times New Roman" w:hAnsi="Times New Roman"/>
          <w:sz w:val="14"/>
          <w:szCs w:val="14"/>
          <w:color w:val="auto"/>
        </w:rPr>
        <w:t>Consistent with the requirements of Israeli law, our investment grant requires that we complete our investment program within five years, meaning by no later than the end of 2005. We do not expect to complete our Fab 2 investments and achieve full production capacity of 33,000 wafer starts per month</w:t>
      </w:r>
    </w:p>
    <w:p>
      <w:pPr>
        <w:spacing w:after="0" w:line="19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19"/>
        <w:spacing w:after="0" w:line="256" w:lineRule="auto"/>
        <w:rPr>
          <w:sz w:val="20"/>
          <w:szCs w:val="20"/>
          <w:color w:val="auto"/>
        </w:rPr>
      </w:pPr>
      <w:r>
        <w:rPr>
          <w:rFonts w:ascii="Times New Roman" w:cs="Times New Roman" w:eastAsia="Times New Roman" w:hAnsi="Times New Roman"/>
          <w:sz w:val="14"/>
          <w:szCs w:val="14"/>
          <w:color w:val="auto"/>
        </w:rPr>
        <w:t>by the end of 2005. Israeli law limits the ability of the investment center to extend the five-year investment limitation, unless an exempting amendment to this law is adopted by the Israeli parliament. We have notified the Investment Center of our revised investment schedule, and it is currently being evaluated by the investment center. We have also informed the investment center of our reduced rate of annual investments and our lower than projected expectations for Fab 2 sales.</w:t>
      </w:r>
    </w:p>
    <w:p>
      <w:pPr>
        <w:spacing w:after="0" w:line="55" w:lineRule="exact"/>
        <w:rPr>
          <w:sz w:val="20"/>
          <w:szCs w:val="20"/>
          <w:color w:val="auto"/>
        </w:rPr>
      </w:pPr>
    </w:p>
    <w:p>
      <w:pPr>
        <w:ind w:right="3919"/>
        <w:spacing w:after="0" w:line="251" w:lineRule="auto"/>
        <w:rPr>
          <w:sz w:val="20"/>
          <w:szCs w:val="20"/>
          <w:color w:val="auto"/>
        </w:rPr>
      </w:pPr>
      <w:r>
        <w:rPr>
          <w:rFonts w:ascii="Times New Roman" w:cs="Times New Roman" w:eastAsia="Times New Roman" w:hAnsi="Times New Roman"/>
          <w:sz w:val="14"/>
          <w:szCs w:val="14"/>
          <w:i w:val="1"/>
          <w:iCs w:val="1"/>
          <w:color w:val="auto"/>
        </w:rPr>
        <w:t>Securities Issuances</w:t>
      </w:r>
      <w:r>
        <w:rPr>
          <w:rFonts w:ascii="Times New Roman" w:cs="Times New Roman" w:eastAsia="Times New Roman" w:hAnsi="Times New Roman"/>
          <w:sz w:val="14"/>
          <w:szCs w:val="14"/>
          <w:color w:val="auto"/>
        </w:rPr>
        <w:t>. Since the beginning of the Fab 2 project, we have completed a series of capital raising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transactions. In January 2002, we completed a sale of units in Israel, each composed of convertible unsecured subordinated debentures and options, resulting in net proceeds of approximately $21.5 million. Each debenture is NIS 1 in principal amount, and is adjusted to reflect increases in the Israeli Consumer Price Index and bears interest at a rate of 4.7% per annum, payable yearly commencing January 20, 2003. Principal is payable in four installments beginning in January of 2006 through 2009. Prior to December 31, 2008, the debentures are convertible into ordinary shares at a conversion rate of one ordinary share per NIS 41 principal amount of debentures. As of September 30, 2003, NIS 113,475,535 (or $25.6 million) in convertible debentures and 2,211,596 Options (Series 1) were outstanding. In September 2002, we distributed to our shareholders and certain of our employees rights to purchase ordinary shares and warrants to purchase our ordinary shares. The rights offering resulted in net proceeds of approximately $19.7 million. See "Material Agreements — Fab 2 Securities Issuances."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Trend Information</w:t>
      </w:r>
    </w:p>
    <w:p>
      <w:pPr>
        <w:spacing w:after="0" w:line="91" w:lineRule="exact"/>
        <w:rPr>
          <w:sz w:val="20"/>
          <w:szCs w:val="20"/>
          <w:color w:val="auto"/>
        </w:rPr>
      </w:pPr>
    </w:p>
    <w:p>
      <w:pPr>
        <w:jc w:val="both"/>
        <w:ind w:right="4139"/>
        <w:spacing w:after="0" w:line="319" w:lineRule="auto"/>
        <w:rPr>
          <w:sz w:val="20"/>
          <w:szCs w:val="20"/>
          <w:color w:val="auto"/>
        </w:rPr>
      </w:pPr>
      <w:r>
        <w:rPr>
          <w:rFonts w:ascii="Times New Roman" w:cs="Times New Roman" w:eastAsia="Times New Roman" w:hAnsi="Times New Roman"/>
          <w:sz w:val="13"/>
          <w:szCs w:val="13"/>
          <w:color w:val="auto"/>
        </w:rPr>
        <w:t>The semiconductor industry has historically been highly cyclical on a seasonal and on a long-term basis. On a long-term basis, the market has fluctuated, cycling through periods of weak demand, production overcapacity,</w:t>
      </w:r>
    </w:p>
    <w:p>
      <w:pPr>
        <w:sectPr>
          <w:pgSz w:w="11900" w:h="16838" w:orient="portrait"/>
          <w:cols w:equalWidth="0" w:num="1">
            <w:col w:w="10239"/>
          </w:cols>
          <w:pgMar w:left="220" w:top="122" w:right="1440" w:bottom="0" w:gutter="0" w:footer="0" w:header="0"/>
        </w:sectPr>
      </w:pPr>
    </w:p>
    <w:bookmarkStart w:id="19" w:name="page20"/>
    <w:bookmarkEnd w:id="19"/>
    <w:p>
      <w:pPr>
        <w:ind w:right="3919"/>
        <w:spacing w:after="0" w:line="271" w:lineRule="auto"/>
        <w:rPr>
          <w:sz w:val="20"/>
          <w:szCs w:val="20"/>
          <w:color w:val="auto"/>
        </w:rPr>
      </w:pPr>
      <w:r>
        <w:rPr>
          <w:rFonts w:ascii="Times New Roman" w:cs="Times New Roman" w:eastAsia="Times New Roman" w:hAnsi="Times New Roman"/>
          <w:sz w:val="13"/>
          <w:szCs w:val="13"/>
          <w:color w:val="auto"/>
        </w:rPr>
        <w:t>excess inventory and lower sales prices and periods of strong demand, full capacity utilization, product shortages and higher sales prices. Although there can be no assurance that this trend will continue, the semiconductor industry now appears to be in the midst of a cyclical upswing. According to Worldwide Semiconductor Trade Statistic Organization, worldwide sales of semiconductors increased 6.8% to $15.4 billion in October 2003, up from $14.4 billion in September 2003, which represented the eighth consecutive monthly increase. As a result of this recent growth in semiconductor demand, we believe, based on market data information made publicly available by leading Asian foundries, that these foundries are experiencing tight capacity due to rising orders. According to DataQuest, U.S.-based IDMs have increased orders from major foundries for leading edge process technology and to avoid investing in more advanced fabs. Two leading Taiwanese foundries recently reported that they expect to achieve overall utilization rates exceeding 90% in the fourth quarter of 2003. While we experienced a decrease in the revenues of Fab 1 which utilizes older technologies during the third quarter of 2003, we believe that our more advanced Fab 2 is well positioned to benefit from this trend, especially considering that we are one of a few semiconductor manufacturing companies that increased its investments in new capacity during the worst downturn in the history of the semiconductor industry.</w:t>
      </w:r>
    </w:p>
    <w:p>
      <w:pPr>
        <w:spacing w:after="0" w:line="221" w:lineRule="exact"/>
        <w:rPr>
          <w:sz w:val="20"/>
          <w:szCs w:val="20"/>
          <w:color w:val="auto"/>
        </w:rPr>
      </w:pPr>
    </w:p>
    <w:p>
      <w:pPr>
        <w:ind w:right="3919"/>
        <w:spacing w:after="0" w:line="250" w:lineRule="auto"/>
        <w:rPr>
          <w:sz w:val="20"/>
          <w:szCs w:val="20"/>
          <w:color w:val="auto"/>
        </w:rPr>
      </w:pPr>
      <w:r>
        <w:rPr>
          <w:rFonts w:ascii="Times New Roman" w:cs="Times New Roman" w:eastAsia="Times New Roman" w:hAnsi="Times New Roman"/>
          <w:sz w:val="14"/>
          <w:szCs w:val="14"/>
          <w:color w:val="auto"/>
        </w:rPr>
        <w:t>There is a trend within the semiconductor industry toward ever-smaller features. State-of-the-art fabs are currently using process geometries of 0.18 microns and below. As demand for smaller geometries increases, there is downward pressure on the pricing of larger geometry products and increasing underutilization of fabs that are limited to manufacturing larger geometry products, which results in less profitability for manufacturers of larger geometry products. Fab 1 is limited to geometries of 0.35 microns and above and Fab 2 currently operates at process geometries of 0.18 microns and produces 200-mm wafers. In order for an independent wafer foundry to successfully compete, it must decrease the process geometries with which it manufactures wafers every 18 to 24 months, and it must purchase or develop suitable technology, which typically costs between $30 million and $50 million per generation. A new generation of process technology will also require the purchase of manufacturing equipment, which currently costs approximately $20 million to provide capacity to produce 1,000 wafer starts per month. In order for us to successfully compete over the long term, we must be capable of manufacturing wafers with increasingly smaller geometries. We have already begun the transfer to us of 0.13 micron process technology which we licensed from Motorola, and our Fab 2</w:t>
      </w:r>
    </w:p>
    <w:p>
      <w:pPr>
        <w:spacing w:after="0" w:line="20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99"/>
        <w:spacing w:after="0" w:line="263" w:lineRule="auto"/>
        <w:rPr>
          <w:sz w:val="20"/>
          <w:szCs w:val="20"/>
          <w:color w:val="auto"/>
        </w:rPr>
      </w:pPr>
      <w:r>
        <w:rPr>
          <w:rFonts w:ascii="Times New Roman" w:cs="Times New Roman" w:eastAsia="Times New Roman" w:hAnsi="Times New Roman"/>
          <w:sz w:val="14"/>
          <w:szCs w:val="14"/>
          <w:color w:val="auto"/>
        </w:rPr>
        <w:t>business plan contemplates the purchase of manufacturing equipment necessary to manufacture wafers with a process geometry of 0.13 microns. We plan to initiate volume production in geometries of 0.13 microns at Fab 2 during 2005.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Quantitative and Qualitative Disclosures about Market Risk</w:t>
      </w:r>
    </w:p>
    <w:p>
      <w:pPr>
        <w:spacing w:after="0" w:line="91" w:lineRule="exact"/>
        <w:rPr>
          <w:sz w:val="20"/>
          <w:szCs w:val="20"/>
          <w:color w:val="auto"/>
        </w:rPr>
      </w:pPr>
    </w:p>
    <w:p>
      <w:pPr>
        <w:ind w:right="3939"/>
        <w:spacing w:after="0" w:line="263" w:lineRule="auto"/>
        <w:rPr>
          <w:sz w:val="20"/>
          <w:szCs w:val="20"/>
          <w:color w:val="auto"/>
        </w:rPr>
      </w:pPr>
      <w:r>
        <w:rPr>
          <w:rFonts w:ascii="Times New Roman" w:cs="Times New Roman" w:eastAsia="Times New Roman" w:hAnsi="Times New Roman"/>
          <w:sz w:val="14"/>
          <w:szCs w:val="14"/>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54" w:lineRule="exact"/>
        <w:rPr>
          <w:sz w:val="20"/>
          <w:szCs w:val="20"/>
          <w:color w:val="auto"/>
        </w:rPr>
      </w:pPr>
    </w:p>
    <w:p>
      <w:pPr>
        <w:ind w:right="3919"/>
        <w:spacing w:after="0" w:line="256" w:lineRule="auto"/>
        <w:rPr>
          <w:sz w:val="20"/>
          <w:szCs w:val="20"/>
          <w:color w:val="auto"/>
        </w:rPr>
      </w:pPr>
      <w:r>
        <w:rPr>
          <w:rFonts w:ascii="Times New Roman" w:cs="Times New Roman" w:eastAsia="Times New Roman" w:hAnsi="Times New Roman"/>
          <w:sz w:val="14"/>
          <w:szCs w:val="14"/>
          <w:color w:val="auto"/>
        </w:rPr>
        <w:t>Our primary market risk exposures relate to interest rate movements on borrowings and fluctuations of the exchange rate of the US dollar, which is the primary currency in which we conduct our operations, against the NIS, the Japanese Yen and the Euro. To manage those risks and mitigate our exposure to them, we from time to time use financial instruments, primarily collar agreements with a knock-out feature, cylinder options (call &amp; put) and forward transactions.</w:t>
      </w:r>
    </w:p>
    <w:p>
      <w:pPr>
        <w:spacing w:after="0" w:line="57" w:lineRule="exact"/>
        <w:rPr>
          <w:sz w:val="20"/>
          <w:szCs w:val="20"/>
          <w:color w:val="auto"/>
        </w:rPr>
      </w:pPr>
    </w:p>
    <w:p>
      <w:pPr>
        <w:ind w:right="3959"/>
        <w:spacing w:after="0" w:line="284" w:lineRule="auto"/>
        <w:rPr>
          <w:sz w:val="20"/>
          <w:szCs w:val="20"/>
          <w:color w:val="auto"/>
        </w:rPr>
      </w:pPr>
      <w:r>
        <w:rPr>
          <w:rFonts w:ascii="Times New Roman" w:cs="Times New Roman" w:eastAsia="Times New Roman" w:hAnsi="Times New Roman"/>
          <w:sz w:val="13"/>
          <w:szCs w:val="13"/>
          <w:color w:val="auto"/>
        </w:rPr>
        <w:t>All financial instruments are managed and controlled under a program of risk management in accordance with established policies. These policies are reviewed and approved by our board of directors. Our treasury operations are subject to an internal audit on a regular basis. We do not hold derivative financial instruments for speculative purposes, and we do not issue any derivative financial instruments for trading or speculative purposes.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Risk of Interest Rate Fluctuation</w:t>
      </w:r>
    </w:p>
    <w:p>
      <w:pPr>
        <w:spacing w:after="0" w:line="80" w:lineRule="exact"/>
        <w:rPr>
          <w:sz w:val="20"/>
          <w:szCs w:val="20"/>
          <w:color w:val="auto"/>
        </w:rPr>
      </w:pPr>
    </w:p>
    <w:p>
      <w:pPr>
        <w:ind w:right="3939"/>
        <w:spacing w:after="0" w:line="270" w:lineRule="auto"/>
        <w:rPr>
          <w:sz w:val="20"/>
          <w:szCs w:val="20"/>
          <w:color w:val="auto"/>
        </w:rPr>
      </w:pPr>
      <w:r>
        <w:rPr>
          <w:rFonts w:ascii="Times New Roman" w:cs="Times New Roman" w:eastAsia="Times New Roman" w:hAnsi="Times New Roman"/>
          <w:sz w:val="13"/>
          <w:szCs w:val="13"/>
          <w:color w:val="auto"/>
        </w:rPr>
        <w:t>We have market risk exposure to changes in interest rates on our long-term debt obligations with floating interest rates. We primarily enter into debt obligations to support capital expenditures and needs. From time to time, we enter into interest rate collar agreements to modify our exposure to interest rate movements. These agreements limit our exposure to the risk of fluctuating interest rates by allowing us to convert a portion of the interest on our borrowings from a variable rate to a limited variable rate. We entered into interest rate collar agreements that expire in 2007 in the amount of $212 million, of which $172 million is effective as of September 30, 2003. With respect to $172 million of the Fab 2 credit facility debt, under the terms of these collar agreements, if the LIBOR is below the floor rate of 4.28%, we will pay total interest at the fixed rate of 5.83%; if the LIBOR is between 4.28% and 5.56%, we will pay interest at the actual LIBOR plus 1.55%; if the LIBOR is between 5.56% and</w:t>
      </w:r>
    </w:p>
    <w:p>
      <w:pPr>
        <w:spacing w:after="0" w:line="1" w:lineRule="exact"/>
        <w:rPr>
          <w:sz w:val="20"/>
          <w:szCs w:val="20"/>
          <w:color w:val="auto"/>
        </w:rPr>
      </w:pPr>
    </w:p>
    <w:p>
      <w:pPr>
        <w:ind w:right="3939"/>
        <w:spacing w:after="0" w:line="249" w:lineRule="auto"/>
        <w:rPr>
          <w:sz w:val="20"/>
          <w:szCs w:val="20"/>
          <w:color w:val="auto"/>
        </w:rPr>
      </w:pPr>
      <w:r>
        <w:rPr>
          <w:rFonts w:ascii="Times New Roman" w:cs="Times New Roman" w:eastAsia="Times New Roman" w:hAnsi="Times New Roman"/>
          <w:sz w:val="14"/>
          <w:szCs w:val="14"/>
          <w:color w:val="auto"/>
        </w:rPr>
        <w:t>7.50%, we will pay total interest at a fixed rate of 7.11%; and if the LIBOR is higher than 7.50%, we will pay the actual LIBOR rate plus 1.55%. At September 30, 2003, the LIBOR rate was 1.19%. Accordingly, as of September 30, 2003, the interest rate on the $172 million of long-term loans covered by the collar agreements was 5.83%, and the interest rate on the $179 million of long-term loans not subject to the collar agreements was 2.74%. These collar agreements resulted in a loss of $4.0 million in the nine months ended September 30, 2003, of which $2.5 million was capitalized to property and equipment. The fair value of the interest rate collar, as of September 30, 2003, was a $12.2 million loss. Assuming a 10% upward shift in the LIBOR rate at September 30, 2003, (from 1.19% to 1.30%), the effective fair value of the $179 million debt that is not hedged by the collar agreements, and as to which we are exposed to the risk of interest rate fluctuation, would have increased by $0.8 million. The $172 million debt hedged by the collar agreements would not have changed assuming such interest rate increases.</w:t>
      </w:r>
    </w:p>
    <w:p>
      <w:pPr>
        <w:spacing w:after="0" w:line="63" w:lineRule="exact"/>
        <w:rPr>
          <w:sz w:val="20"/>
          <w:szCs w:val="20"/>
          <w:color w:val="auto"/>
        </w:rPr>
      </w:pPr>
    </w:p>
    <w:p>
      <w:pPr>
        <w:ind w:right="4079"/>
        <w:spacing w:after="0" w:line="279" w:lineRule="auto"/>
        <w:rPr>
          <w:sz w:val="20"/>
          <w:szCs w:val="20"/>
          <w:color w:val="auto"/>
        </w:rPr>
      </w:pPr>
      <w:r>
        <w:rPr>
          <w:rFonts w:ascii="Times New Roman" w:cs="Times New Roman" w:eastAsia="Times New Roman" w:hAnsi="Times New Roman"/>
          <w:sz w:val="14"/>
          <w:szCs w:val="14"/>
          <w:color w:val="auto"/>
        </w:rPr>
        <w:t>As of the date of this prospectus, our facility agreement with our banks was amended as described in "Material Agreements — Credit Facility." This analysis does not reflect the amended terms.</w:t>
      </w:r>
    </w:p>
    <w:p>
      <w:pPr>
        <w:spacing w:after="0" w:line="42" w:lineRule="exact"/>
        <w:rPr>
          <w:sz w:val="20"/>
          <w:szCs w:val="20"/>
          <w:color w:val="auto"/>
        </w:rPr>
      </w:pPr>
    </w:p>
    <w:p>
      <w:pPr>
        <w:ind w:right="4019"/>
        <w:spacing w:after="0" w:line="279" w:lineRule="auto"/>
        <w:rPr>
          <w:sz w:val="20"/>
          <w:szCs w:val="20"/>
          <w:color w:val="auto"/>
        </w:rPr>
      </w:pPr>
      <w:r>
        <w:rPr>
          <w:rFonts w:ascii="Times New Roman" w:cs="Times New Roman" w:eastAsia="Times New Roman" w:hAnsi="Times New Roman"/>
          <w:sz w:val="13"/>
          <w:szCs w:val="13"/>
          <w:color w:val="auto"/>
        </w:rPr>
        <w:t>Under the terms of the $40 million collar agreements to be effective as of July 2004 and the credit facility, if the LIBOR is below 2.8%, we will pay total interest at the fixed rate of 4.35%; if the LIBOR is between 2.8% and</w:t>
      </w:r>
    </w:p>
    <w:p>
      <w:pPr>
        <w:spacing w:after="0" w:line="1" w:lineRule="exact"/>
        <w:rPr>
          <w:sz w:val="20"/>
          <w:szCs w:val="20"/>
          <w:color w:val="auto"/>
        </w:rPr>
      </w:pPr>
    </w:p>
    <w:p>
      <w:pPr>
        <w:jc w:val="both"/>
        <w:ind w:right="3959"/>
        <w:spacing w:after="0" w:line="294" w:lineRule="auto"/>
        <w:rPr>
          <w:sz w:val="20"/>
          <w:szCs w:val="20"/>
          <w:color w:val="auto"/>
        </w:rPr>
      </w:pPr>
      <w:r>
        <w:rPr>
          <w:rFonts w:ascii="Times New Roman" w:cs="Times New Roman" w:eastAsia="Times New Roman" w:hAnsi="Times New Roman"/>
          <w:sz w:val="13"/>
          <w:szCs w:val="13"/>
          <w:color w:val="auto"/>
        </w:rPr>
        <w:t>5.5%, we will pay interest at the LIBOR plus 1.55%; if the LIBOR is between 5.5% and 7.50%, we will pay total interest at a fixed rate of 7.05%; and if the LIBOR is higher than 7.50%, we will pay the LIBOR rate plus 1.55%.</w:t>
      </w:r>
    </w:p>
    <w:p>
      <w:pPr>
        <w:spacing w:after="0" w:line="35" w:lineRule="exact"/>
        <w:rPr>
          <w:sz w:val="20"/>
          <w:szCs w:val="20"/>
          <w:color w:val="auto"/>
        </w:rPr>
      </w:pPr>
    </w:p>
    <w:p>
      <w:pPr>
        <w:ind w:right="3959"/>
        <w:spacing w:after="0" w:line="258" w:lineRule="auto"/>
        <w:rPr>
          <w:sz w:val="20"/>
          <w:szCs w:val="20"/>
          <w:color w:val="auto"/>
        </w:rPr>
      </w:pPr>
      <w:r>
        <w:rPr>
          <w:rFonts w:ascii="Times New Roman" w:cs="Times New Roman" w:eastAsia="Times New Roman" w:hAnsi="Times New Roman"/>
          <w:sz w:val="14"/>
          <w:szCs w:val="14"/>
          <w:color w:val="auto"/>
        </w:rPr>
        <w:t>Our cash equivalents and short-term interest-bearing deposits are exposed to market risk due to fluctuation in interest rates, which may affect our interest income and the fair market value of our investments. We manage this exposure by performing ongoing evaluations of our investments in those deposits. Due to the short maturities of our investments, the carrying value approximates the fair value.</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Foreign Exchange Risk</w:t>
      </w:r>
    </w:p>
    <w:p>
      <w:pPr>
        <w:spacing w:after="0" w:line="80" w:lineRule="exact"/>
        <w:rPr>
          <w:sz w:val="20"/>
          <w:szCs w:val="20"/>
          <w:color w:val="auto"/>
        </w:rPr>
      </w:pPr>
    </w:p>
    <w:p>
      <w:pPr>
        <w:ind w:right="3919"/>
        <w:spacing w:after="0" w:line="284" w:lineRule="auto"/>
        <w:rPr>
          <w:sz w:val="20"/>
          <w:szCs w:val="20"/>
          <w:color w:val="auto"/>
        </w:rPr>
      </w:pPr>
      <w:r>
        <w:rPr>
          <w:rFonts w:ascii="Times New Roman" w:cs="Times New Roman" w:eastAsia="Times New Roman" w:hAnsi="Times New Roman"/>
          <w:sz w:val="13"/>
          <w:szCs w:val="13"/>
          <w:color w:val="auto"/>
        </w:rPr>
        <w:t>Our main foreign currency exposures give rise to market risk associated with exchange rate movements of the US dollar, our functional and reporting currency, against the Japanese Yen, the Euro and the NIS. To protect against reductions in value and against the volatility of future cash flows caused by changes in foreign exchange rates, we utilize forward transactions and currency cylinder options to minimize part of the impact of foreign currency</w:t>
      </w:r>
    </w:p>
    <w:p>
      <w:pPr>
        <w:sectPr>
          <w:pgSz w:w="11900" w:h="16838" w:orient="portrait"/>
          <w:cols w:equalWidth="0" w:num="1">
            <w:col w:w="10239"/>
          </w:cols>
          <w:pgMar w:left="220" w:top="125" w:right="1440" w:bottom="0" w:gutter="0" w:footer="0" w:header="0"/>
        </w:sectPr>
      </w:pPr>
    </w:p>
    <w:bookmarkStart w:id="20" w:name="page21"/>
    <w:bookmarkEnd w:id="20"/>
    <w:p>
      <w:pPr>
        <w:ind w:right="3899"/>
        <w:spacing w:after="0" w:line="252" w:lineRule="auto"/>
        <w:rPr>
          <w:sz w:val="20"/>
          <w:szCs w:val="20"/>
          <w:color w:val="auto"/>
        </w:rPr>
      </w:pPr>
      <w:r>
        <w:rPr>
          <w:rFonts w:ascii="Times New Roman" w:cs="Times New Roman" w:eastAsia="Times New Roman" w:hAnsi="Times New Roman"/>
          <w:sz w:val="14"/>
          <w:szCs w:val="14"/>
          <w:color w:val="auto"/>
        </w:rPr>
        <w:t>fluctuations on our financial position and results of operations. Most of those agreements are designated to eliminate exposure changes in the Japanese Yen and the Euro vis-à-vis the US dollar. A cylinder option is a combination of a purchased call option and a written put option. The combination of these options limit our exposure to changes in the exchange rate of the US dollar against foreign currencies by placing a maximum and minimum effective exchange rate, and accordingly, the dollar amount to be paid for equipment purchases. The forward transactions limit our foreign exchange risk exposure by placing a predetermined effective exchange rate. During the nine months ended September 30, 2003, we had options in an aggregate amount of $45 million, which resulted in this period in a $ 2.3 million gain (mostly capitalized to property and equipment). As of September 30, 2003, we had no open transactions.</w:t>
      </w:r>
    </w:p>
    <w:p>
      <w:pPr>
        <w:spacing w:after="0" w:line="61" w:lineRule="exact"/>
        <w:rPr>
          <w:sz w:val="20"/>
          <w:szCs w:val="20"/>
          <w:color w:val="auto"/>
        </w:rPr>
      </w:pPr>
    </w:p>
    <w:p>
      <w:pPr>
        <w:ind w:right="3899"/>
        <w:spacing w:after="0" w:line="251" w:lineRule="auto"/>
        <w:rPr>
          <w:sz w:val="20"/>
          <w:szCs w:val="20"/>
          <w:color w:val="auto"/>
        </w:rPr>
      </w:pPr>
      <w:r>
        <w:rPr>
          <w:rFonts w:ascii="Times New Roman" w:cs="Times New Roman" w:eastAsia="Times New Roman" w:hAnsi="Times New Roman"/>
          <w:sz w:val="14"/>
          <w:szCs w:val="14"/>
          <w:color w:val="auto"/>
        </w:rPr>
        <w:t>We are exposed to the risk of fluctuation in the NIS/dollar exchange rate with respect to our convertible debentures and the exercise price of our Options (Series 1), which are both denominated in NIS linked to the Consumer Price Index in Israel, or CPI. As of September 30, 2003, the outstanding principal amount of the convertible debentures was NIS 116.6 million (equivalent to $26.3 million), and the exercise price of the Options (Series 1) was NIS 41.1 (equivalent to $9.30). The dollar amount of our finance costs (interest and currency adjustments) related to the convertible debentures will be increased if the rate of inflation in Israel is not offset (or is offset on a lagging basis) by the devaluation of the NIS in relation to the dollar. In addition, the dollar amount of any repayment on account of the principal of the convertible debentures will be increased as well. On the other hand, if the devaluation of the NIS against the dollar is greater than the rate of inflation in Israel, the dollar amounts we shall raise on the date of exercising our Options (Series 1) will be decreased. From the date of the issuance of the convertible debentures and Options (Series 1) in January 2002 until September 2003, the CPI increased by 5.4% while the US dollar/NIS exchange rate decreased by 3.1%.</w:t>
      </w:r>
    </w:p>
    <w:p>
      <w:pPr>
        <w:spacing w:after="0" w:line="62" w:lineRule="exact"/>
        <w:rPr>
          <w:sz w:val="20"/>
          <w:szCs w:val="20"/>
          <w:color w:val="auto"/>
        </w:rPr>
      </w:pPr>
    </w:p>
    <w:p>
      <w:pPr>
        <w:ind w:right="3979"/>
        <w:spacing w:after="0" w:line="263" w:lineRule="auto"/>
        <w:rPr>
          <w:sz w:val="20"/>
          <w:szCs w:val="20"/>
          <w:color w:val="auto"/>
        </w:rPr>
      </w:pPr>
      <w:r>
        <w:rPr>
          <w:rFonts w:ascii="Times New Roman" w:cs="Times New Roman" w:eastAsia="Times New Roman" w:hAnsi="Times New Roman"/>
          <w:sz w:val="14"/>
          <w:szCs w:val="14"/>
          <w:color w:val="auto"/>
        </w:rPr>
        <w:t>Approximately half of the convertible debentures amount is covered by a deposit denominated in NIS and linked to the CPI. Therefore, we are exposed to the risk of fluctuations in the NIS/dollar exchange rate only for the remaining balance of the convertible debentures.</w:t>
      </w:r>
    </w:p>
    <w:p>
      <w:pPr>
        <w:spacing w:after="0" w:line="54" w:lineRule="exact"/>
        <w:rPr>
          <w:sz w:val="20"/>
          <w:szCs w:val="20"/>
          <w:color w:val="auto"/>
        </w:rPr>
      </w:pPr>
    </w:p>
    <w:p>
      <w:pPr>
        <w:ind w:right="3939"/>
        <w:spacing w:after="0" w:line="263" w:lineRule="auto"/>
        <w:rPr>
          <w:sz w:val="20"/>
          <w:szCs w:val="20"/>
          <w:color w:val="auto"/>
        </w:rPr>
      </w:pPr>
      <w:r>
        <w:rPr>
          <w:rFonts w:ascii="Times New Roman" w:cs="Times New Roman" w:eastAsia="Times New Roman" w:hAnsi="Times New Roman"/>
          <w:sz w:val="14"/>
          <w:szCs w:val="14"/>
          <w:color w:val="auto"/>
        </w:rPr>
        <w:t>The convertible debentures bear annual interest at a fixed rate of 4.7%. The debentures are payable in four annual installments commencing January 2006. Therefore, we are not subject to exposure to interest rate fluctuations with respect to the debentures.</w:t>
      </w:r>
    </w:p>
    <w:p>
      <w:pPr>
        <w:spacing w:after="0" w:line="54" w:lineRule="exact"/>
        <w:rPr>
          <w:sz w:val="20"/>
          <w:szCs w:val="20"/>
          <w:color w:val="auto"/>
        </w:rPr>
      </w:pPr>
    </w:p>
    <w:p>
      <w:pPr>
        <w:ind w:right="4079"/>
        <w:spacing w:after="0" w:line="293" w:lineRule="auto"/>
        <w:rPr>
          <w:sz w:val="20"/>
          <w:szCs w:val="20"/>
          <w:color w:val="auto"/>
        </w:rPr>
      </w:pPr>
      <w:r>
        <w:rPr>
          <w:rFonts w:ascii="Times New Roman" w:cs="Times New Roman" w:eastAsia="Times New Roman" w:hAnsi="Times New Roman"/>
          <w:sz w:val="13"/>
          <w:szCs w:val="13"/>
          <w:color w:val="auto"/>
        </w:rPr>
        <w:t>We enter, from time to time, into foreign exchange agreements to hedge exposure relating to Value Added Tax, grants receivables and payroll expenses denominated in NIS. The effect of these agreements during the nine months ended September 30, 2003 was immaterial. As of September 30, 2003, we had no open transactions.</w:t>
      </w:r>
    </w:p>
    <w:p>
      <w:pPr>
        <w:spacing w:after="0" w:line="35" w:lineRule="exact"/>
        <w:rPr>
          <w:sz w:val="20"/>
          <w:szCs w:val="20"/>
          <w:color w:val="auto"/>
        </w:rPr>
      </w:pPr>
    </w:p>
    <w:p>
      <w:pPr>
        <w:ind w:right="4259"/>
        <w:spacing w:after="0" w:line="319" w:lineRule="auto"/>
        <w:rPr>
          <w:sz w:val="20"/>
          <w:szCs w:val="20"/>
          <w:color w:val="auto"/>
        </w:rPr>
      </w:pPr>
      <w:r>
        <w:rPr>
          <w:rFonts w:ascii="Times New Roman" w:cs="Times New Roman" w:eastAsia="Times New Roman" w:hAnsi="Times New Roman"/>
          <w:sz w:val="13"/>
          <w:szCs w:val="13"/>
          <w:color w:val="auto"/>
        </w:rPr>
        <w:t>We are exposed to currency risk in the event of default by the other parties of the exchange transaction. The likelihood of such default is remote, as the other parties are widely recognized and reputable Israeli banks.</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Impact of Inflation</w:t>
      </w:r>
    </w:p>
    <w:p>
      <w:pPr>
        <w:spacing w:after="0" w:line="80" w:lineRule="exact"/>
        <w:rPr>
          <w:sz w:val="20"/>
          <w:szCs w:val="20"/>
          <w:color w:val="auto"/>
        </w:rPr>
      </w:pPr>
    </w:p>
    <w:p>
      <w:pPr>
        <w:ind w:right="4039"/>
        <w:spacing w:after="0" w:line="263" w:lineRule="auto"/>
        <w:rPr>
          <w:sz w:val="20"/>
          <w:szCs w:val="20"/>
          <w:color w:val="auto"/>
        </w:rPr>
      </w:pPr>
      <w:r>
        <w:rPr>
          <w:rFonts w:ascii="Times New Roman" w:cs="Times New Roman" w:eastAsia="Times New Roman" w:hAnsi="Times New Roman"/>
          <w:sz w:val="14"/>
          <w:szCs w:val="14"/>
          <w:color w:val="auto"/>
        </w:rPr>
        <w:t>We believe that the rate of inflation in Israel has had a minor effect on our business to date. However, our dollar costs in Israel will increase if inflation in Israel exceeds the devaluation of the NIS against the dollar or if the timing of such devaluation lags behind inflation in Israel.</w:t>
      </w:r>
    </w:p>
    <w:p>
      <w:pPr>
        <w:spacing w:after="0" w:line="18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1" w:lineRule="exact"/>
        <w:rPr>
          <w:sz w:val="20"/>
          <w:szCs w:val="20"/>
          <w:color w:val="auto"/>
        </w:rPr>
      </w:pPr>
    </w:p>
    <w:p>
      <w:pPr>
        <w:ind w:right="3919"/>
        <w:spacing w:after="0" w:line="252" w:lineRule="auto"/>
        <w:rPr>
          <w:sz w:val="20"/>
          <w:szCs w:val="20"/>
          <w:color w:val="auto"/>
        </w:rPr>
      </w:pPr>
      <w:r>
        <w:rPr>
          <w:rFonts w:ascii="Times New Roman" w:cs="Times New Roman" w:eastAsia="Times New Roman" w:hAnsi="Times New Roman"/>
          <w:sz w:val="14"/>
          <w:szCs w:val="14"/>
          <w:color w:val="auto"/>
        </w:rPr>
        <w:t>We are a pure-play independent wafer foundry dedicated to the manufacture of semiconductors. Pure-play foundries do not offer any products of their own, but focus on producing ICs based on the design specifications of their customers. We manufacture semiconductors using advanced production processes for our customers primarily based on third party designs and our own proprietary designs. We currently manufacture integrated circuits, or ICs, with geometries ranging from 1.0 to 0.18 microns and plan to initiate volume production in geometries of 0.13 microns during 2005. ICs manufactured by us are incorporated into a wide range of products in diverse markets, including consumer electronics, personal computer and office equipment, communications, automotive, professional photography and medical device products.</w:t>
      </w:r>
    </w:p>
    <w:p>
      <w:pPr>
        <w:spacing w:after="0" w:line="63" w:lineRule="exact"/>
        <w:rPr>
          <w:sz w:val="20"/>
          <w:szCs w:val="20"/>
          <w:color w:val="auto"/>
        </w:rPr>
      </w:pPr>
    </w:p>
    <w:p>
      <w:pPr>
        <w:ind w:right="3979"/>
        <w:spacing w:after="0" w:line="252" w:lineRule="auto"/>
        <w:rPr>
          <w:sz w:val="20"/>
          <w:szCs w:val="20"/>
          <w:color w:val="auto"/>
        </w:rPr>
      </w:pPr>
      <w:r>
        <w:rPr>
          <w:rFonts w:ascii="Times New Roman" w:cs="Times New Roman" w:eastAsia="Times New Roman" w:hAnsi="Times New Roman"/>
          <w:sz w:val="14"/>
          <w:szCs w:val="14"/>
          <w:color w:val="auto"/>
        </w:rPr>
        <w:t>We are focused on establishing leading market share in high-growth specialized markets by providing our customers with high-value wafer foundry services. Our historical focus has been standard digital complementary metal oxide semiconductor, or CMOS, process technology, which is the most widely used method of producing ICs. We currently are focused on the emerging opportunities surrounding CMOS image sensors, embedded flash and mixed-signal technologies. Through our expertise and experience gained over a decade of operations, we differentiate ourselves in these areas by creating a high level of value for our clients through innovative technological processes, competitive manufacturing indices, such as cycle times and yields, and dedicated customer service.</w:t>
      </w:r>
    </w:p>
    <w:p>
      <w:pPr>
        <w:spacing w:after="0" w:line="63" w:lineRule="exact"/>
        <w:rPr>
          <w:sz w:val="20"/>
          <w:szCs w:val="20"/>
          <w:color w:val="auto"/>
        </w:rPr>
      </w:pPr>
    </w:p>
    <w:p>
      <w:pPr>
        <w:ind w:right="4039"/>
        <w:spacing w:after="0" w:line="253" w:lineRule="auto"/>
        <w:rPr>
          <w:sz w:val="20"/>
          <w:szCs w:val="20"/>
          <w:color w:val="auto"/>
        </w:rPr>
      </w:pPr>
      <w:r>
        <w:rPr>
          <w:rFonts w:ascii="Times New Roman" w:cs="Times New Roman" w:eastAsia="Times New Roman" w:hAnsi="Times New Roman"/>
          <w:sz w:val="14"/>
          <w:szCs w:val="14"/>
          <w:color w:val="auto"/>
        </w:rPr>
        <w:t>Our Company was founded in 1993, when we acquired National Semiconductor's 150-mm wafer fabrication facility, or Fab 1, and commenced operations as an independent foundry with a production capacity of approximately 5,000 wafer starts per month. Since then, we have significantly modernized our facilities and equipment, which has improved our process geometries from 1.0 microns to 0.35 microns and enhanced our process technologies to include CMOS image sensors, embedded flash and mixed-signal technologies. We have also expanded our capacity through increased production in Fab 1 to approximately 16,000 wafer starts per month to meet additional customer demand. Fab 1 has been cash flow positive for the past six quarters.</w:t>
      </w:r>
    </w:p>
    <w:p>
      <w:pPr>
        <w:spacing w:after="0" w:line="61" w:lineRule="exact"/>
        <w:rPr>
          <w:sz w:val="20"/>
          <w:szCs w:val="20"/>
          <w:color w:val="auto"/>
        </w:rPr>
      </w:pPr>
    </w:p>
    <w:p>
      <w:pPr>
        <w:ind w:right="3959"/>
        <w:spacing w:after="0" w:line="252" w:lineRule="auto"/>
        <w:rPr>
          <w:sz w:val="20"/>
          <w:szCs w:val="20"/>
          <w:color w:val="auto"/>
        </w:rPr>
      </w:pPr>
      <w:r>
        <w:rPr>
          <w:rFonts w:ascii="Times New Roman" w:cs="Times New Roman" w:eastAsia="Times New Roman" w:hAnsi="Times New Roman"/>
          <w:sz w:val="14"/>
          <w:szCs w:val="14"/>
          <w:color w:val="auto"/>
        </w:rPr>
        <w:t>We have recently completed the construction of the building and infrastructure and commenced the initial ramp-up of a second manufacturing facility, or Fab 2. Fab 2 is designed to operate in geometries of 0.18 microns and below, using advanced materials and advanced CMOS technology licensed from Motorola and Toshiba and other technologies that we might acquire or develop independently. Production capacity as of November 30, 2003 was 7,000 wafer starts per month and by the end of 2003, we anticipate that Fab 2 will have production capacity of 8,500 wafer starts per month. We currently expect to have production capacity ranging between 13,000 and 15,000 wafer starts per month by the end of 2004. When the production ramp-up is completed, Fab 2 is expected to have a capacity of 33,000 200-mm wafer starts per month. While we expect to continue to operate Fab 1, we anticipate Fab 2 to be the core of our future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Overview</w:t>
      </w:r>
    </w:p>
    <w:p>
      <w:pPr>
        <w:spacing w:after="0" w:line="91" w:lineRule="exact"/>
        <w:rPr>
          <w:sz w:val="20"/>
          <w:szCs w:val="20"/>
          <w:color w:val="auto"/>
        </w:rPr>
      </w:pPr>
    </w:p>
    <w:p>
      <w:pPr>
        <w:ind w:right="3979"/>
        <w:spacing w:after="0" w:line="254" w:lineRule="auto"/>
        <w:rPr>
          <w:sz w:val="20"/>
          <w:szCs w:val="20"/>
          <w:color w:val="auto"/>
        </w:rPr>
      </w:pPr>
      <w:r>
        <w:rPr>
          <w:rFonts w:ascii="Times New Roman" w:cs="Times New Roman" w:eastAsia="Times New Roman" w:hAnsi="Times New Roman"/>
          <w:sz w:val="14"/>
          <w:szCs w:val="14"/>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The semiconductor industry is characterized by rapid changes in technology, frequently resulting in the obsolescence of recently introduced products. As performance has increased and size and cost have decreased, the use of semiconductors and the number of their applications have grown significantly.</w:t>
      </w:r>
    </w:p>
    <w:p>
      <w:pPr>
        <w:spacing w:after="0" w:line="60" w:lineRule="exact"/>
        <w:rPr>
          <w:sz w:val="20"/>
          <w:szCs w:val="20"/>
          <w:color w:val="auto"/>
        </w:rPr>
      </w:pPr>
    </w:p>
    <w:p>
      <w:pPr>
        <w:ind w:right="3999"/>
        <w:spacing w:after="0" w:line="256" w:lineRule="auto"/>
        <w:rPr>
          <w:sz w:val="20"/>
          <w:szCs w:val="20"/>
          <w:color w:val="auto"/>
        </w:rPr>
      </w:pPr>
      <w:r>
        <w:rPr>
          <w:rFonts w:ascii="Times New Roman" w:cs="Times New Roman" w:eastAsia="Times New Roman" w:hAnsi="Times New Roman"/>
          <w:sz w:val="14"/>
          <w:szCs w:val="14"/>
          <w:color w:val="auto"/>
        </w:rPr>
        <w:t>Historically, the semiconductor industry was composed primarily of companies that designed and manufactured ICs in their own fabrication facilities. These companies, such as Intel and IBM, are known as integrated device manufacturers, or IDMs. In the mid-1980s, fabless IC companies, which focused on IC design and used external manufacturing capacity, began to emerge. Fabless companies initially outsourced production to IDMs, which filled this need through their excess capacity. As the</w:t>
      </w:r>
    </w:p>
    <w:p>
      <w:pPr>
        <w:sectPr>
          <w:pgSz w:w="11900" w:h="16838" w:orient="portrait"/>
          <w:cols w:equalWidth="0" w:num="1">
            <w:col w:w="10239"/>
          </w:cols>
          <w:pgMar w:left="220" w:top="125" w:right="1440" w:bottom="0" w:gutter="0" w:footer="0" w:header="0"/>
        </w:sectPr>
      </w:pPr>
    </w:p>
    <w:bookmarkStart w:id="21" w:name="page22"/>
    <w:bookmarkEnd w:id="21"/>
    <w:p>
      <w:pPr>
        <w:ind w:left="310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99"/>
        <w:spacing w:after="0" w:line="256" w:lineRule="auto"/>
        <w:rPr>
          <w:sz w:val="20"/>
          <w:szCs w:val="20"/>
          <w:color w:val="auto"/>
        </w:rPr>
      </w:pPr>
      <w:r>
        <w:rPr>
          <w:rFonts w:ascii="Times New Roman" w:cs="Times New Roman" w:eastAsia="Times New Roman" w:hAnsi="Times New Roman"/>
          <w:sz w:val="14"/>
          <w:szCs w:val="14"/>
          <w:color w:val="auto"/>
        </w:rPr>
        <w:t>semiconductor industry continued to grow, increasing competition forced fabless companies and IDMs to seek reliable and dedicated sources of IC manufacturing services. This need has been met by the development of independent companies, known as foundries, that focus primarily on providing IC manufacturing services to semiconductor suppliers. Foundry services are now used by nearly every major semiconductor company in the world, including IDMs as part of a dual-source, risk-diversification strategy.</w:t>
      </w:r>
    </w:p>
    <w:p>
      <w:pPr>
        <w:spacing w:after="0" w:line="57" w:lineRule="exact"/>
        <w:rPr>
          <w:sz w:val="20"/>
          <w:szCs w:val="20"/>
          <w:color w:val="auto"/>
        </w:rPr>
      </w:pPr>
    </w:p>
    <w:p>
      <w:pPr>
        <w:ind w:right="3939"/>
        <w:spacing w:after="0" w:line="253" w:lineRule="auto"/>
        <w:rPr>
          <w:sz w:val="20"/>
          <w:szCs w:val="20"/>
          <w:color w:val="auto"/>
        </w:rPr>
      </w:pPr>
      <w:r>
        <w:rPr>
          <w:rFonts w:ascii="Times New Roman" w:cs="Times New Roman" w:eastAsia="Times New Roman" w:hAnsi="Times New Roman"/>
          <w:sz w:val="14"/>
          <w:szCs w:val="14"/>
          <w:color w:val="auto"/>
        </w:rPr>
        <w:t>Semiconductor suppliers face increasing demands for new products that provide higher performance, greater functionality and smaller form factors at lower prices, which require increasingly complex ICs. To compete successfully, semiconductor suppliers must also minimize the time it takes to bring a product to market. As a result, fabless companies and IDMs are focusing more on their core competencies — design and intellectual property — and outsourcing manufacturing to foundries. In addition to the increased complexity of designs, there has also been a dramatic increase in the number of applications for semiconductors, driving significant growth in the semiconductor market.</w:t>
      </w:r>
    </w:p>
    <w:p>
      <w:pPr>
        <w:spacing w:after="0" w:line="61" w:lineRule="exact"/>
        <w:rPr>
          <w:sz w:val="20"/>
          <w:szCs w:val="20"/>
          <w:color w:val="auto"/>
        </w:rPr>
      </w:pPr>
    </w:p>
    <w:p>
      <w:pPr>
        <w:ind w:right="3939"/>
        <w:spacing w:after="0" w:line="253" w:lineRule="auto"/>
        <w:rPr>
          <w:sz w:val="20"/>
          <w:szCs w:val="20"/>
          <w:color w:val="auto"/>
        </w:rPr>
      </w:pPr>
      <w:r>
        <w:rPr>
          <w:rFonts w:ascii="Times New Roman" w:cs="Times New Roman" w:eastAsia="Times New Roman" w:hAnsi="Times New Roman"/>
          <w:sz w:val="14"/>
          <w:szCs w:val="14"/>
          <w:color w:val="auto"/>
        </w:rPr>
        <w:t>With increased demand for these new applications, particularly in the consumer sector, the semiconductor industry is now recovering from its worst downturn in history. According to the Worldwide Semiconductor Trade Statistic Organization, worldwide sales of semiconductors increased 6.8% to $15.4 billion in October 2003, up from $14.4 billion in September 2003, which represented the eighth consecutive monthly increase. IC Insights, a market research firm, projects that the worldwide semiconductor market will grow from approximately $141 billion in 2002 to approximately $225 billion in 2007, representing a five-year compound annual growth rate of 10%.</w:t>
      </w:r>
    </w:p>
    <w:p>
      <w:pPr>
        <w:spacing w:after="0" w:line="61" w:lineRule="exact"/>
        <w:rPr>
          <w:sz w:val="20"/>
          <w:szCs w:val="20"/>
          <w:color w:val="auto"/>
        </w:rPr>
      </w:pPr>
    </w:p>
    <w:p>
      <w:pPr>
        <w:ind w:right="3919"/>
        <w:spacing w:after="0" w:line="252" w:lineRule="auto"/>
        <w:rPr>
          <w:sz w:val="20"/>
          <w:szCs w:val="20"/>
          <w:color w:val="auto"/>
        </w:rPr>
      </w:pPr>
      <w:r>
        <w:rPr>
          <w:rFonts w:ascii="Times New Roman" w:cs="Times New Roman" w:eastAsia="Times New Roman" w:hAnsi="Times New Roman"/>
          <w:sz w:val="14"/>
          <w:szCs w:val="14"/>
          <w:color w:val="auto"/>
        </w:rPr>
        <w:t>As a result of this recent growth in semiconductor demand, two leading Taiwanese foundries, which according to IC Insights account for over 70% of worldwide sales of ICs, have reported that they are experiencing tight capacity due to rising orders. These Taiwanese foundries have also reported that U.S.-based IDMs have increased their orders because their own capacities could not handle emergent orders from clients. According to IC Insights, these foundries recently reported that they both expect to achieve overall utilization rates exceeding 90% in the fourth quarter of 2003. With Fab 2 beginning commercial production in the third quarter of 2003, we believe that, like these foundries, we are well-positioned to benefit from this trend especially considering that we are one of a few semiconductor manufacturing companies that increased its investments in new capacity during the worst downturn in the history of the semiconductor industry.</w:t>
      </w:r>
    </w:p>
    <w:p>
      <w:pPr>
        <w:spacing w:after="0" w:line="61" w:lineRule="exact"/>
        <w:rPr>
          <w:sz w:val="20"/>
          <w:szCs w:val="20"/>
          <w:color w:val="auto"/>
        </w:rPr>
      </w:pPr>
    </w:p>
    <w:p>
      <w:pPr>
        <w:ind w:right="3899"/>
        <w:spacing w:after="0" w:line="258" w:lineRule="auto"/>
        <w:rPr>
          <w:sz w:val="20"/>
          <w:szCs w:val="20"/>
          <w:color w:val="auto"/>
        </w:rPr>
      </w:pPr>
      <w:r>
        <w:rPr>
          <w:rFonts w:ascii="Times New Roman" w:cs="Times New Roman" w:eastAsia="Times New Roman" w:hAnsi="Times New Roman"/>
          <w:sz w:val="14"/>
          <w:szCs w:val="14"/>
          <w:color w:val="auto"/>
        </w:rPr>
        <w:t>The consumer sector, which currently represents 17% of semiconductor demand, is expanding worldwide with new applications and multi-functional devices, including those that incorporate CMOS image sensors, embedded flash and mixed-signal ICs. Increasingly, emerging applications, such as camera-equipped cell phones, digital still cameras and flat panel displays, are enabled by ICs manufactured using advanced process technologies.</w:t>
      </w:r>
    </w:p>
    <w:p>
      <w:pPr>
        <w:spacing w:after="0" w:line="57" w:lineRule="exact"/>
        <w:rPr>
          <w:sz w:val="20"/>
          <w:szCs w:val="20"/>
          <w:color w:val="auto"/>
        </w:rPr>
      </w:pPr>
    </w:p>
    <w:p>
      <w:pPr>
        <w:ind w:right="3979"/>
        <w:spacing w:after="0" w:line="254" w:lineRule="auto"/>
        <w:rPr>
          <w:sz w:val="20"/>
          <w:szCs w:val="20"/>
          <w:color w:val="auto"/>
        </w:rPr>
      </w:pPr>
      <w:r>
        <w:rPr>
          <w:rFonts w:ascii="Times New Roman" w:cs="Times New Roman" w:eastAsia="Times New Roman" w:hAnsi="Times New Roman"/>
          <w:sz w:val="14"/>
          <w:szCs w:val="14"/>
          <w:color w:val="auto"/>
        </w:rPr>
        <w:t>As the semiconductor industry continues its expansion, the cost of building new fabrication facilities, or fabs, is becoming increasingly prohibitive for all but a very few companies. For example, the total cost of our Fab 2 is currently expected to be approximately $1.5 billion. We believe that new 300-mm wafer fabs cost approximately twice that amount. For companies to justify the enormous investment in a new fab, a high level of capacity utilization is essential to ensure that fixed costs are fully absorbed. Because independent foundries serve a large customer base they are generally well-positioned to enjoy higher utilization rates than IDMs.</w:t>
      </w:r>
    </w:p>
    <w:p>
      <w:pPr>
        <w:spacing w:after="0" w:line="60" w:lineRule="exact"/>
        <w:rPr>
          <w:sz w:val="20"/>
          <w:szCs w:val="20"/>
          <w:color w:val="auto"/>
        </w:rPr>
      </w:pPr>
    </w:p>
    <w:p>
      <w:pPr>
        <w:ind w:right="3959"/>
        <w:spacing w:after="0" w:line="252" w:lineRule="auto"/>
        <w:rPr>
          <w:sz w:val="20"/>
          <w:szCs w:val="20"/>
          <w:color w:val="auto"/>
        </w:rPr>
      </w:pPr>
      <w:r>
        <w:rPr>
          <w:rFonts w:ascii="Times New Roman" w:cs="Times New Roman" w:eastAsia="Times New Roman" w:hAnsi="Times New Roman"/>
          <w:sz w:val="14"/>
          <w:szCs w:val="14"/>
          <w:color w:val="auto"/>
        </w:rPr>
        <w:t>The enormous costs associated with modern fabs, combined with the increasing demand for complex ICs, has created an expanding market for outsourced manufacturing offered by foundries. Foundries can cost-effectively supply the technologies involved in manufacturing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such as CMOS image sensors, embedded flash and mixed-signal technologies. Foundries also offer competitive customer service through design, testing, and information services, often at a level previously found only at an IDM's internal facilities.</w:t>
      </w:r>
    </w:p>
    <w:p>
      <w:pPr>
        <w:spacing w:after="0" w:line="20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19"/>
        <w:spacing w:after="0" w:line="256" w:lineRule="auto"/>
        <w:rPr>
          <w:sz w:val="20"/>
          <w:szCs w:val="20"/>
          <w:color w:val="auto"/>
        </w:rPr>
      </w:pPr>
      <w:r>
        <w:rPr>
          <w:rFonts w:ascii="Times New Roman" w:cs="Times New Roman" w:eastAsia="Times New Roman" w:hAnsi="Times New Roman"/>
          <w:sz w:val="14"/>
          <w:szCs w:val="14"/>
          <w:color w:val="auto"/>
        </w:rPr>
        <w:t>These trends have led to the rapid growth in demand in recent years for advanced semiconductor manufacturing services provided by independent foundries. According to IC Insights, the worldwide pure-play foundry market, which excludes IDMs, was $8.6 billion in 2002 and is projected to grow to $23.6 billion in 2007, representing a five-year compound annual growth rate of 24% — more than double the expected growth rate of the overall semiconductor market for the same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Tower Focus</w:t>
      </w:r>
    </w:p>
    <w:p>
      <w:pPr>
        <w:spacing w:after="0" w:line="91" w:lineRule="exact"/>
        <w:rPr>
          <w:sz w:val="20"/>
          <w:szCs w:val="20"/>
          <w:color w:val="auto"/>
        </w:rPr>
      </w:pPr>
    </w:p>
    <w:p>
      <w:pPr>
        <w:ind w:right="4059"/>
        <w:spacing w:after="0" w:line="254" w:lineRule="auto"/>
        <w:rPr>
          <w:sz w:val="20"/>
          <w:szCs w:val="20"/>
          <w:color w:val="auto"/>
        </w:rPr>
      </w:pPr>
      <w:r>
        <w:rPr>
          <w:rFonts w:ascii="Times New Roman" w:cs="Times New Roman" w:eastAsia="Times New Roman" w:hAnsi="Times New Roman"/>
          <w:sz w:val="14"/>
          <w:szCs w:val="14"/>
          <w:color w:val="auto"/>
        </w:rPr>
        <w:t>We provide wafer fabrication services and technologies to fabless IC companies and IDMs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strong positions in large, high-growth specialized markets for CMOS image sensors, embedded flash memory and mixed signal ICs. We serve as a sole source or alternative provider of foundry services.</w:t>
      </w:r>
    </w:p>
    <w:p>
      <w:pPr>
        <w:spacing w:after="0" w:line="60" w:lineRule="exact"/>
        <w:rPr>
          <w:sz w:val="20"/>
          <w:szCs w:val="20"/>
          <w:color w:val="auto"/>
        </w:rPr>
      </w:pPr>
    </w:p>
    <w:p>
      <w:pPr>
        <w:ind w:right="3979"/>
        <w:spacing w:after="0" w:line="253" w:lineRule="auto"/>
        <w:rPr>
          <w:sz w:val="20"/>
          <w:szCs w:val="20"/>
          <w:color w:val="auto"/>
        </w:rPr>
      </w:pPr>
      <w:r>
        <w:rPr>
          <w:rFonts w:ascii="Times New Roman" w:cs="Times New Roman" w:eastAsia="Times New Roman" w:hAnsi="Times New Roman"/>
          <w:sz w:val="14"/>
          <w:szCs w:val="14"/>
          <w:color w:val="auto"/>
        </w:rPr>
        <w:t>We believe that we are a trusted, customer-oriented service provider that has built a solid reputation in the foundry industry over the last ten years. We have built strong relationships with customers, who continue to use our services, even as their demands evolve to smaller form factors and new applications. Our consistent focus on providing high-quality, value added services, including engineering and design support, has allowed us to attract customers for both our Fab 1 and Fab 2 facilities who seek to work with a proven provider of foundry services. As a result, we have a high customer retention rate, which is illustrated by our long-standing relationships with leading semiconductor suppliers such as Motorola and National Semiconductor.</w:t>
      </w:r>
    </w:p>
    <w:p>
      <w:pPr>
        <w:spacing w:after="0" w:line="61" w:lineRule="exact"/>
        <w:rPr>
          <w:sz w:val="20"/>
          <w:szCs w:val="20"/>
          <w:color w:val="auto"/>
        </w:rPr>
      </w:pPr>
    </w:p>
    <w:p>
      <w:pPr>
        <w:ind w:right="3939"/>
        <w:spacing w:after="0" w:line="251" w:lineRule="auto"/>
        <w:rPr>
          <w:sz w:val="20"/>
          <w:szCs w:val="20"/>
          <w:color w:val="auto"/>
        </w:rPr>
      </w:pPr>
      <w:r>
        <w:rPr>
          <w:rFonts w:ascii="Times New Roman" w:cs="Times New Roman" w:eastAsia="Times New Roman" w:hAnsi="Times New Roman"/>
          <w:sz w:val="14"/>
          <w:szCs w:val="14"/>
          <w:color w:val="auto"/>
        </w:rPr>
        <w:t>Strong relationships in the industry have been an important facet of our success and will continue to be important in the future. In order to enhance these relationships, we have created relationships with partners that have made significant investments in Fab 2 to enhance mutual growth plans. These investments were made during the recent industry downturn, when most foundries were reducing capital expenditures. As a result, we believe that we are well-positioned to attract new customers and increase utilization rates as the industry recovers. In addition, our wafer partners were issued wafer credits as part of their investment in Fab 2, which provides them an incentive to outsource manufacturing of their ICs to us (see "Certain Transactions — Wafer Partner Agreements"). We plan to use Fab 2 as a source for volume production of next generation geometries. This plant allows us to meet the evolving needs of our current customers and provide the potential for significant new relationships as semiconductor suppliers seek to meet their outsourcing needs.</w:t>
      </w:r>
    </w:p>
    <w:p>
      <w:pPr>
        <w:spacing w:after="0" w:line="65" w:lineRule="exact"/>
        <w:rPr>
          <w:sz w:val="20"/>
          <w:szCs w:val="20"/>
          <w:color w:val="auto"/>
        </w:rPr>
      </w:pPr>
    </w:p>
    <w:p>
      <w:pPr>
        <w:ind w:right="4019"/>
        <w:spacing w:after="0" w:line="280" w:lineRule="auto"/>
        <w:rPr>
          <w:sz w:val="20"/>
          <w:szCs w:val="20"/>
          <w:color w:val="auto"/>
        </w:rPr>
      </w:pPr>
      <w:r>
        <w:rPr>
          <w:rFonts w:ascii="Times New Roman" w:cs="Times New Roman" w:eastAsia="Times New Roman" w:hAnsi="Times New Roman"/>
          <w:sz w:val="13"/>
          <w:szCs w:val="13"/>
          <w:color w:val="auto"/>
        </w:rPr>
        <w:t>We serve as a sole-source provider for most of our CMOS image sensor and embedded flash customers and also serve as an alternative, second-source provider of other foundry services. Foundry diversification is an increasingly important factor among semiconductor companies, which benefits us due to our unique location. Semiconductor companies have sought to hedge their manufacturing risk by securing production relationships with companies in different parts of the world. Our unique location in Israel, with its close proximity to Europe</w:t>
      </w:r>
    </w:p>
    <w:p>
      <w:pPr>
        <w:sectPr>
          <w:pgSz w:w="11900" w:h="16838" w:orient="portrait"/>
          <w:cols w:equalWidth="0" w:num="1">
            <w:col w:w="10239"/>
          </w:cols>
          <w:pgMar w:left="220" w:top="125" w:right="1440" w:bottom="0" w:gutter="0" w:footer="0" w:header="0"/>
        </w:sectPr>
      </w:pPr>
    </w:p>
    <w:bookmarkStart w:id="22" w:name="page23"/>
    <w:bookmarkEnd w:id="22"/>
    <w:p>
      <w:pPr>
        <w:ind w:right="3919"/>
        <w:spacing w:after="0" w:line="256" w:lineRule="auto"/>
        <w:rPr>
          <w:sz w:val="20"/>
          <w:szCs w:val="20"/>
          <w:color w:val="auto"/>
        </w:rPr>
      </w:pPr>
      <w:r>
        <w:rPr>
          <w:rFonts w:ascii="Times New Roman" w:cs="Times New Roman" w:eastAsia="Times New Roman" w:hAnsi="Times New Roman"/>
          <w:sz w:val="14"/>
          <w:szCs w:val="14"/>
          <w:color w:val="auto"/>
        </w:rPr>
        <w:t>and its strong semiconductor R&amp;D resources, evident through the presence of multinational corporations, such as Broadcom, Intel, Marvell, Motorola, National Semiconductor, SanDisk, Texas Instruments, and Zoran and numerous fabless IC companies, strengthens our competitive position as a second-source provider of foundry services. In addition, as foundry utilization rates peak, we expect to attract additional customers with our standard 0.18-micron process technology and future 0.13-micron process technology.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Target Markets</w:t>
      </w:r>
    </w:p>
    <w:p>
      <w:pPr>
        <w:spacing w:after="0" w:line="91" w:lineRule="exact"/>
        <w:rPr>
          <w:sz w:val="20"/>
          <w:szCs w:val="20"/>
          <w:color w:val="auto"/>
        </w:rPr>
      </w:pPr>
    </w:p>
    <w:p>
      <w:pPr>
        <w:ind w:right="3979"/>
        <w:spacing w:after="0" w:line="254" w:lineRule="auto"/>
        <w:rPr>
          <w:sz w:val="20"/>
          <w:szCs w:val="20"/>
          <w:color w:val="auto"/>
        </w:rPr>
      </w:pPr>
      <w:r>
        <w:rPr>
          <w:rFonts w:ascii="Times New Roman" w:cs="Times New Roman" w:eastAsia="Times New Roman" w:hAnsi="Times New Roman"/>
          <w:sz w:val="14"/>
          <w:szCs w:val="14"/>
          <w:color w:val="auto"/>
        </w:rPr>
        <w:t>We derived approximately 60% of our revenues for the nine-month period ended September 30, 2003 from our target specialized markets: CMOS image sensors, embedded flash and mixed-signal ICs. We are focusing on these markets because they provide a relatively high gross margin and have high growth characteristics. In addition, we are highly experienced in these markets, being an early entrant and having developed unique proprietary technologies, primarily through licensing and joint development efforts with our customers and other technology companies.</w:t>
      </w:r>
    </w:p>
    <w:p>
      <w:pPr>
        <w:spacing w:after="0" w:line="19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CMOS Image Sensors</w:t>
      </w:r>
    </w:p>
    <w:p>
      <w:pPr>
        <w:spacing w:after="0" w:line="80" w:lineRule="exact"/>
        <w:rPr>
          <w:sz w:val="20"/>
          <w:szCs w:val="20"/>
          <w:color w:val="auto"/>
        </w:rPr>
      </w:pPr>
    </w:p>
    <w:p>
      <w:pPr>
        <w:ind w:right="3979"/>
        <w:spacing w:after="0" w:line="251" w:lineRule="auto"/>
        <w:rPr>
          <w:sz w:val="20"/>
          <w:szCs w:val="20"/>
          <w:color w:val="auto"/>
        </w:rPr>
      </w:pPr>
      <w:r>
        <w:rPr>
          <w:rFonts w:ascii="Times New Roman" w:cs="Times New Roman" w:eastAsia="Times New Roman" w:hAnsi="Times New Roman"/>
          <w:sz w:val="14"/>
          <w:szCs w:val="14"/>
          <w:color w:val="auto"/>
        </w:rPr>
        <w:t>CMOS image sensors are ICs used to capture an image in a wide variety of consumer, commercial and industrial mass market applications, including camera-equipped cell phones, digital still and video cameras, security and surveillance cameras and video game consoles. We are currently actively involved in this mass market as well as the high-end sensor and applications specific markets, which includes applications such as studio quality megapixel digital cameras, ingestible capsule cameras for medical imaging and rearview mirrors that automatically dim to eliminate glare. While CMOS image sensors for advanced optical applications are an emerging technology, we believe that they are gradually becoming the preferred technology to traditional charge coupled devices, or CCDs. CCDs have historically provided superior image quality; however, advances in semiconductor manufacturing processes and design techniques have led to significant improvements in CMOS image sensor performance and image quality. These advances have resulted in smaller size circuits and better current control, making it possible to design CMOS image sensors that provide high image quality at a significantly lower cost.</w:t>
      </w:r>
    </w:p>
    <w:p>
      <w:pPr>
        <w:spacing w:after="0" w:line="62" w:lineRule="exact"/>
        <w:rPr>
          <w:sz w:val="20"/>
          <w:szCs w:val="20"/>
          <w:color w:val="auto"/>
        </w:rPr>
      </w:pPr>
    </w:p>
    <w:p>
      <w:pPr>
        <w:ind w:right="3919"/>
        <w:spacing w:after="0" w:line="252" w:lineRule="auto"/>
        <w:rPr>
          <w:sz w:val="20"/>
          <w:szCs w:val="20"/>
          <w:color w:val="auto"/>
        </w:rPr>
      </w:pPr>
      <w:r>
        <w:rPr>
          <w:rFonts w:ascii="Times New Roman" w:cs="Times New Roman" w:eastAsia="Times New Roman" w:hAnsi="Times New Roman"/>
          <w:sz w:val="14"/>
          <w:szCs w:val="14"/>
          <w:color w:val="auto"/>
        </w:rPr>
        <w:t>As early as 1997, we recognized the market potential of using CMOS process technology for a digital camera-on-a-chip, which would integrate a CMOS image sensor, filters and digital circuitry. In entering the CMOS image sensor foundry business, we utilized research and development work that had been ongoing since 1993. Our services include a broad range of turnkey solutions and services, including sensor design services, optical characterization of a CMOS process, innovative stitching manufacturing technique and optical testing and packaging. CMOS image sensors manufactured by us deliver outstanding image quality for a broad spectrum of digital imaging applications. Currently, we are one of few foundries that manufacture CMOS image sensors and, as such, believe that we have developed leading market position.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 to In-Stat/MDR, a market research firm, the CMOS image sensor market is expected to grow from</w:t>
      </w:r>
    </w:p>
    <w:p>
      <w:pPr>
        <w:spacing w:after="0" w:line="21" w:lineRule="exact"/>
        <w:rPr>
          <w:sz w:val="20"/>
          <w:szCs w:val="20"/>
          <w:color w:val="auto"/>
        </w:rPr>
      </w:pPr>
    </w:p>
    <w:p>
      <w:pPr>
        <w:ind w:right="3919"/>
        <w:spacing w:after="0" w:line="250" w:lineRule="auto"/>
        <w:rPr>
          <w:sz w:val="20"/>
          <w:szCs w:val="20"/>
          <w:color w:val="auto"/>
        </w:rPr>
      </w:pPr>
      <w:r>
        <w:rPr>
          <w:rFonts w:ascii="Times New Roman" w:cs="Times New Roman" w:eastAsia="Times New Roman" w:hAnsi="Times New Roman"/>
          <w:sz w:val="14"/>
          <w:szCs w:val="14"/>
          <w:color w:val="auto"/>
        </w:rPr>
        <w:t>$184 million in 2002 to $547 million in 2007, representing a five-year compound annual growth rate of 24%. In-Stat/MDR also forecasts that CMOS image sensors will grow from approximately 30 million units in 2002 to 221 million units in 2007, representing a five-year compound annual growth rate of 49%. Two of the markets expected to provide much of the growth for CMOS image sensors are camera-equipped cell phones and digital still cameras.</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Embedded Flash</w:t>
      </w:r>
    </w:p>
    <w:p>
      <w:pPr>
        <w:spacing w:after="0" w:line="80" w:lineRule="exact"/>
        <w:rPr>
          <w:sz w:val="20"/>
          <w:szCs w:val="20"/>
          <w:color w:val="auto"/>
        </w:rPr>
      </w:pPr>
    </w:p>
    <w:p>
      <w:pPr>
        <w:ind w:right="3959"/>
        <w:spacing w:after="0" w:line="252" w:lineRule="auto"/>
        <w:rPr>
          <w:sz w:val="20"/>
          <w:szCs w:val="20"/>
          <w:color w:val="auto"/>
        </w:rPr>
      </w:pPr>
      <w:r>
        <w:rPr>
          <w:rFonts w:ascii="Times New Roman" w:cs="Times New Roman" w:eastAsia="Times New Roman" w:hAnsi="Times New Roman"/>
          <w:sz w:val="14"/>
          <w:szCs w:val="14"/>
          <w:color w:val="auto"/>
        </w:rPr>
        <w:t>Flash memory is a constantly powered nonvolatile memory that can be erased and reprogrammed in units of memory called blocks. The IC of flash memory is organized so that a section of memory cells may be erased in a single action (or "flash"). Applications for flash memory products range from most types of portable electronic equipment devices to high volume mass storage of data. Flash is particularly suitable for applications such as handheld devices, combining the need for portability, high density, ruggedness and lower power requirements. Flash memory products are also well-suited for audio products such as digital answering machines and MP3 players, as well as other applications including networking devices, digital cameras, personal computer motherboards and portable memory devices.</w:t>
      </w:r>
    </w:p>
    <w:p>
      <w:pPr>
        <w:spacing w:after="0" w:line="63" w:lineRule="exact"/>
        <w:rPr>
          <w:sz w:val="20"/>
          <w:szCs w:val="20"/>
          <w:color w:val="auto"/>
        </w:rPr>
      </w:pPr>
    </w:p>
    <w:p>
      <w:pPr>
        <w:ind w:right="4079"/>
        <w:spacing w:after="0" w:line="256" w:lineRule="auto"/>
        <w:rPr>
          <w:sz w:val="20"/>
          <w:szCs w:val="20"/>
          <w:color w:val="auto"/>
        </w:rPr>
      </w:pPr>
      <w:r>
        <w:rPr>
          <w:rFonts w:ascii="Times New Roman" w:cs="Times New Roman" w:eastAsia="Times New Roman" w:hAnsi="Times New Roman"/>
          <w:sz w:val="14"/>
          <w:szCs w:val="14"/>
          <w:color w:val="auto"/>
        </w:rPr>
        <w:t>Embedded flash is the combination of flash memory with other components, such as other memory, logic and analog, on a single IC to provide speed, functionality and form factor advantages and reduce system cost. Embedded flash memory products are used in communications, consumer, industrial, military and automotive applications. End products include networks, base stations, servers, microcontrollers, toys, set-top boxes, DVD players, cell phones and smart cards.</w:t>
      </w:r>
    </w:p>
    <w:p>
      <w:pPr>
        <w:spacing w:after="0" w:line="57" w:lineRule="exact"/>
        <w:rPr>
          <w:sz w:val="20"/>
          <w:szCs w:val="20"/>
          <w:color w:val="auto"/>
        </w:rPr>
      </w:pPr>
    </w:p>
    <w:p>
      <w:pPr>
        <w:ind w:right="3959"/>
        <w:spacing w:after="0" w:line="256" w:lineRule="auto"/>
        <w:rPr>
          <w:sz w:val="20"/>
          <w:szCs w:val="20"/>
          <w:color w:val="auto"/>
        </w:rPr>
      </w:pPr>
      <w:r>
        <w:rPr>
          <w:rFonts w:ascii="Times New Roman" w:cs="Times New Roman" w:eastAsia="Times New Roman" w:hAnsi="Times New Roman"/>
          <w:sz w:val="14"/>
          <w:szCs w:val="14"/>
          <w:color w:val="auto"/>
        </w:rPr>
        <w:t>In 1997 we entered into a strategic investment and technology agreement with Saifun, pursuant to which we currently own approximately a 10% equity stake in Saifun. Together we brought to market a new non-volatile memory technology, NROM™. NROM technology enables the implementation of ultra high-density flash arrays using 0.5-micron CMOS process, and is particularly suitable for embedding flash arrays with standard CMOS logic, as well as for commodity memories. We have</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continued to strengthen our specialized technology service offering and leadership position in the embedded flash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market, most recently by partnering with Matsushita for joint development of 0.18-micron embedded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micro</w:t>
      </w:r>
      <w:r>
        <w:rPr>
          <w:rFonts w:ascii="Times New Roman" w:cs="Times New Roman" w:eastAsia="Times New Roman" w:hAnsi="Times New Roman"/>
          <w:sz w:val="13"/>
          <w:szCs w:val="13"/>
          <w:color w:val="auto"/>
        </w:rPr>
        <w:t>FLASH technology. Our</w:t>
      </w:r>
      <w:r>
        <w:rPr>
          <w:rFonts w:ascii="Times New Roman" w:cs="Times New Roman" w:eastAsia="Times New Roman" w:hAnsi="Times New Roman"/>
          <w:sz w:val="13"/>
          <w:szCs w:val="13"/>
          <w:i w:val="1"/>
          <w:iCs w:val="1"/>
          <w:color w:val="auto"/>
        </w:rPr>
        <w:t xml:space="preserve"> micro</w:t>
      </w:r>
      <w:r>
        <w:rPr>
          <w:rFonts w:ascii="Times New Roman" w:cs="Times New Roman" w:eastAsia="Times New Roman" w:hAnsi="Times New Roman"/>
          <w:sz w:val="13"/>
          <w:szCs w:val="13"/>
          <w:color w:val="auto"/>
        </w:rPr>
        <w:t>FLASH technology, based on Saifun's patented NROM technology, provides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greater memory cell density than other currently available flash architectures for given design rule generation,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permitting an approximately four-fold reduction in the size of the memory cell for stand-alone memories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embedded applications in a given geometry.</w:t>
      </w:r>
    </w:p>
    <w:p>
      <w:pPr>
        <w:spacing w:after="0" w:line="74" w:lineRule="exact"/>
        <w:rPr>
          <w:sz w:val="20"/>
          <w:szCs w:val="20"/>
          <w:color w:val="auto"/>
        </w:rPr>
      </w:pPr>
    </w:p>
    <w:p>
      <w:pPr>
        <w:ind w:right="3919"/>
        <w:spacing w:after="0" w:line="258" w:lineRule="auto"/>
        <w:rPr>
          <w:sz w:val="20"/>
          <w:szCs w:val="20"/>
          <w:color w:val="auto"/>
        </w:rPr>
      </w:pPr>
      <w:r>
        <w:rPr>
          <w:rFonts w:ascii="Times New Roman" w:cs="Times New Roman" w:eastAsia="Times New Roman" w:hAnsi="Times New Roman"/>
          <w:sz w:val="14"/>
          <w:szCs w:val="14"/>
          <w:color w:val="auto"/>
        </w:rPr>
        <w:t>IC Insights forecasts an increase in the worldwide flash memory market from $7.8 billion in 2002 to $20.0 billion by 2007, representing a five-year compound annual growth rate of 21%. According to Semico Research, a market research firm, embedded flash in microcontrollers is expected to grow from $4.0 billion in 2002 to $17.0 billion in 2007, representing a five-year compounded annual growth rate of 34%.</w:t>
      </w:r>
    </w:p>
    <w:p>
      <w:pPr>
        <w:spacing w:after="0" w:line="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Mixed Signal</w:t>
      </w:r>
    </w:p>
    <w:p>
      <w:pPr>
        <w:spacing w:after="0" w:line="80" w:lineRule="exact"/>
        <w:rPr>
          <w:sz w:val="20"/>
          <w:szCs w:val="20"/>
          <w:color w:val="auto"/>
        </w:rPr>
      </w:pPr>
    </w:p>
    <w:p>
      <w:pPr>
        <w:ind w:right="4019"/>
        <w:spacing w:after="0" w:line="274" w:lineRule="auto"/>
        <w:rPr>
          <w:sz w:val="20"/>
          <w:szCs w:val="20"/>
          <w:color w:val="auto"/>
        </w:rPr>
      </w:pPr>
      <w:r>
        <w:rPr>
          <w:rFonts w:ascii="Times New Roman" w:cs="Times New Roman" w:eastAsia="Times New Roman" w:hAnsi="Times New Roman"/>
          <w:sz w:val="13"/>
          <w:szCs w:val="13"/>
          <w:color w:val="auto"/>
        </w:rPr>
        <w:t>Mixed-signal ICs are an essential part of any electronic system that interacts with the real world. Analog ICs monitor and manipulate real world signals such as sound, light, pressure, motion, temperature and electrical current and are used in a wide variety of electronic products such as PCs, cell phones, DVD players, automotive electronics and medical imaging equipment. Digital ICs perform arithmetic functions on data represented by a series of ones and zeroes, provide critical processing power and have enabled many of the computing and communication advances of recent years. Mixed-signal ICs combine analog and digital semiconductor functionality on a single IC to enable digital systems to interface with the real world. As these digital systems proliferate, there is a growing need for analog functionality to enable them to interface with the real world.</w:t>
      </w:r>
    </w:p>
    <w:p>
      <w:pPr>
        <w:sectPr>
          <w:pgSz w:w="11900" w:h="16838" w:orient="portrait"/>
          <w:cols w:equalWidth="0" w:num="1">
            <w:col w:w="10239"/>
          </w:cols>
          <w:pgMar w:left="220" w:top="125" w:right="1440" w:bottom="0" w:gutter="0" w:footer="0" w:header="0"/>
        </w:sectPr>
      </w:pPr>
    </w:p>
    <w:bookmarkStart w:id="23" w:name="page24"/>
    <w:bookmarkEnd w:id="23"/>
    <w:p>
      <w:pPr>
        <w:spacing w:after="0" w:line="26" w:lineRule="exact"/>
        <w:rPr>
          <w:sz w:val="20"/>
          <w:szCs w:val="20"/>
          <w:color w:val="auto"/>
        </w:rPr>
      </w:pPr>
    </w:p>
    <w:p>
      <w:pPr>
        <w:ind w:right="3939"/>
        <w:spacing w:after="0" w:line="274" w:lineRule="auto"/>
        <w:rPr>
          <w:sz w:val="20"/>
          <w:szCs w:val="20"/>
          <w:color w:val="auto"/>
        </w:rPr>
      </w:pPr>
      <w:r>
        <w:rPr>
          <w:rFonts w:ascii="Times New Roman" w:cs="Times New Roman" w:eastAsia="Times New Roman" w:hAnsi="Times New Roman"/>
          <w:sz w:val="13"/>
          <w:szCs w:val="13"/>
          <w:color w:val="auto"/>
        </w:rPr>
        <w:t>We focus on providing high-quality mixed-signal capabilities, as this technology is a cornerstone to both CMOS image sensor and embedded flash applications. Our expertise in mixed signal has been further enhanced through several strategic initiatives. In 1998, Motorola transferred its 0.6- and 0.8-micron analog and mixed-signal processes to our Fab 1 facility. Additionally, in 2002 we signed an agreement with Interuniversity MicroElectronics Center, or IMEC, for the technology transfer and licensing of analog modules and applicable technologies for our Fab 2. In May 2003, we licensed a wide array of intellectual property from Chipidea, whereby Chipidea will port its IP to our Fab 2. Our customers can now use Chipidea's extensive IP portfolio with our advanced technology for a state-of-the-art solution that meets their analog and mixed-signal design needs.</w:t>
      </w:r>
    </w:p>
    <w:p>
      <w:pPr>
        <w:spacing w:after="0" w:line="50" w:lineRule="exact"/>
        <w:rPr>
          <w:sz w:val="20"/>
          <w:szCs w:val="20"/>
          <w:color w:val="auto"/>
        </w:rPr>
      </w:pPr>
    </w:p>
    <w:p>
      <w:pPr>
        <w:ind w:right="4239"/>
        <w:spacing w:after="0" w:line="263" w:lineRule="auto"/>
        <w:rPr>
          <w:sz w:val="20"/>
          <w:szCs w:val="20"/>
          <w:color w:val="auto"/>
        </w:rPr>
      </w:pPr>
      <w:r>
        <w:rPr>
          <w:rFonts w:ascii="Times New Roman" w:cs="Times New Roman" w:eastAsia="Times New Roman" w:hAnsi="Times New Roman"/>
          <w:sz w:val="14"/>
          <w:szCs w:val="14"/>
          <w:color w:val="auto"/>
        </w:rPr>
        <w:t>According to Dataquest, a market research firm, the worldwide general-purpose analog and mixed-signal IC market was $9.3 billion in 2002 and is projected to grow to $17.6 billion in 2007, representing a five-year compound annual growth rate of 14%.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1" w:lineRule="exact"/>
        <w:rPr>
          <w:sz w:val="20"/>
          <w:szCs w:val="20"/>
          <w:color w:val="auto"/>
        </w:rPr>
      </w:pPr>
    </w:p>
    <w:p>
      <w:pPr>
        <w:ind w:right="3939"/>
        <w:spacing w:after="0" w:line="280" w:lineRule="auto"/>
        <w:rPr>
          <w:sz w:val="20"/>
          <w:szCs w:val="20"/>
          <w:color w:val="auto"/>
        </w:rPr>
      </w:pPr>
      <w:r>
        <w:rPr>
          <w:rFonts w:ascii="Times New Roman" w:cs="Times New Roman" w:eastAsia="Times New Roman" w:hAnsi="Times New Roman"/>
          <w:sz w:val="13"/>
          <w:szCs w:val="13"/>
          <w:color w:val="auto"/>
        </w:rPr>
        <w:t>We focus on establishing leading market position in specialized markets by providing our customers with high-value wafer foundry services. We believe that our success and profitability depend on the success of our customers. Therefore, to maintain and enhance our position as a specialized technology market leader, we pursue a business strategy with a focus on a partnership business model, designed to accommodate our customers' business objectives and needs and to promote their interests as our partners. The key elements of our strategy are:</w:t>
      </w:r>
    </w:p>
    <w:p>
      <w:pPr>
        <w:spacing w:after="0" w:line="42" w:lineRule="exact"/>
        <w:rPr>
          <w:sz w:val="20"/>
          <w:szCs w:val="20"/>
          <w:color w:val="auto"/>
        </w:rPr>
      </w:pPr>
    </w:p>
    <w:p>
      <w:pPr>
        <w:ind w:right="3959"/>
        <w:spacing w:after="0" w:line="255" w:lineRule="auto"/>
        <w:rPr>
          <w:sz w:val="20"/>
          <w:szCs w:val="20"/>
          <w:color w:val="auto"/>
        </w:rPr>
      </w:pPr>
      <w:r>
        <w:rPr>
          <w:rFonts w:ascii="Times New Roman" w:cs="Times New Roman" w:eastAsia="Times New Roman" w:hAnsi="Times New Roman"/>
          <w:sz w:val="14"/>
          <w:szCs w:val="14"/>
          <w:i w:val="1"/>
          <w:iCs w:val="1"/>
          <w:color w:val="auto"/>
        </w:rPr>
        <w:t>Establishing Leading Market Share for Specialized, High Growth Applications</w:t>
      </w:r>
      <w:r>
        <w:rPr>
          <w:rFonts w:ascii="Times New Roman" w:cs="Times New Roman" w:eastAsia="Times New Roman" w:hAnsi="Times New Roman"/>
          <w:sz w:val="14"/>
          <w:szCs w:val="14"/>
          <w:color w:val="auto"/>
        </w:rPr>
        <w:t>. We focus on the emerging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opportunities surrounding CMOS image sensors, embedded flash and mixed-signal ICs. In addition to their high gross margins, we are focusing on these markets because of their large size and high growth characteristics. With our advanced manufacturing technologies and service capabilities, we have established a strong position in these markets with industry leaders, including Kodak, Matsushita, Motorola, National Semiconductor, SanDisk and Zoran.</w:t>
      </w:r>
    </w:p>
    <w:p>
      <w:pPr>
        <w:spacing w:after="0" w:line="56" w:lineRule="exact"/>
        <w:rPr>
          <w:sz w:val="20"/>
          <w:szCs w:val="20"/>
          <w:color w:val="auto"/>
        </w:rPr>
      </w:pPr>
    </w:p>
    <w:p>
      <w:pPr>
        <w:ind w:right="3899"/>
        <w:spacing w:after="0" w:line="265" w:lineRule="auto"/>
        <w:rPr>
          <w:sz w:val="20"/>
          <w:szCs w:val="20"/>
          <w:color w:val="auto"/>
        </w:rPr>
      </w:pPr>
      <w:r>
        <w:rPr>
          <w:rFonts w:ascii="Times New Roman" w:cs="Times New Roman" w:eastAsia="Times New Roman" w:hAnsi="Times New Roman"/>
          <w:sz w:val="14"/>
          <w:szCs w:val="14"/>
          <w:i w:val="1"/>
          <w:iCs w:val="1"/>
          <w:color w:val="auto"/>
        </w:rPr>
        <w:t>Pursuing a Partnership Business Model</w:t>
      </w:r>
      <w:r>
        <w:rPr>
          <w:rFonts w:ascii="Times New Roman" w:cs="Times New Roman" w:eastAsia="Times New Roman" w:hAnsi="Times New Roman"/>
          <w:sz w:val="14"/>
          <w:szCs w:val="14"/>
          <w:color w:val="auto"/>
        </w:rPr>
        <w:t>. We believe that the use of our customers as an equity financing source,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as in the case of Alliance Semiconductor, Macronix, SanDisk and QuickLogic (to which we refer as our "wafer partners"), will strengthen our long-term relationships with these</w:t>
      </w:r>
    </w:p>
    <w:p>
      <w:pPr>
        <w:spacing w:after="0" w:line="18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4059"/>
        <w:spacing w:after="0" w:line="263" w:lineRule="auto"/>
        <w:rPr>
          <w:sz w:val="20"/>
          <w:szCs w:val="20"/>
          <w:color w:val="auto"/>
        </w:rPr>
      </w:pPr>
      <w:r>
        <w:rPr>
          <w:rFonts w:ascii="Times New Roman" w:cs="Times New Roman" w:eastAsia="Times New Roman" w:hAnsi="Times New Roman"/>
          <w:sz w:val="14"/>
          <w:szCs w:val="14"/>
          <w:color w:val="auto"/>
        </w:rPr>
        <w:t>parties, as our growth objectives are closely aligned. We granted our existing wafer partners a right to purchase up to approximately 50% of the capacity of our Fab 2 facility, and we believe that their ownership interest in us provides them added incentive to utilize this capacity.</w:t>
      </w:r>
    </w:p>
    <w:p>
      <w:pPr>
        <w:spacing w:after="0" w:line="52" w:lineRule="exact"/>
        <w:rPr>
          <w:sz w:val="20"/>
          <w:szCs w:val="20"/>
          <w:color w:val="auto"/>
        </w:rPr>
      </w:pPr>
    </w:p>
    <w:p>
      <w:pPr>
        <w:ind w:right="3919"/>
        <w:spacing w:after="0" w:line="274" w:lineRule="auto"/>
        <w:rPr>
          <w:sz w:val="20"/>
          <w:szCs w:val="20"/>
          <w:color w:val="auto"/>
        </w:rPr>
      </w:pPr>
      <w:r>
        <w:rPr>
          <w:rFonts w:ascii="Times New Roman" w:cs="Times New Roman" w:eastAsia="Times New Roman" w:hAnsi="Times New Roman"/>
          <w:sz w:val="13"/>
          <w:szCs w:val="13"/>
          <w:i w:val="1"/>
          <w:iCs w:val="1"/>
          <w:color w:val="auto"/>
        </w:rPr>
        <w:t>Maintaining Our Commitment to Customer Service</w:t>
      </w:r>
      <w:r>
        <w:rPr>
          <w:rFonts w:ascii="Times New Roman" w:cs="Times New Roman" w:eastAsia="Times New Roman" w:hAnsi="Times New Roman"/>
          <w:sz w:val="13"/>
          <w:szCs w:val="13"/>
          <w:color w:val="auto"/>
        </w:rPr>
        <w:t>. We place significant emphasis on providing world-class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customer service, research and development, as well as engineering support and execution of complex process and product transfers, while maintaining reduced cycle times and higher product yields. We believe that our customer service has helped us differentiate ourselves from our larger competitors, as demonstrated by Motorola naming us "Foundry of the Year" in 1999 and awarding us "Gold Supplier" status in 2000, 2001 and 2002. As a result, we have a high customer retention rate, which is illustrated by our long-standing relationships with leading semiconductor suppliers such as Fairchild Semiconductor, Motorola and National Semiconductor. We also serve as the sole-source provider for certain customers' products, such as QuickLogic, which we believe rely on us for the manufacture of all of their ICs due to our commitment to develop technologies specific to their needs.</w:t>
      </w:r>
    </w:p>
    <w:p>
      <w:pPr>
        <w:spacing w:after="0" w:line="46" w:lineRule="exact"/>
        <w:rPr>
          <w:sz w:val="20"/>
          <w:szCs w:val="20"/>
          <w:color w:val="auto"/>
        </w:rPr>
      </w:pPr>
    </w:p>
    <w:p>
      <w:pPr>
        <w:ind w:right="3899"/>
        <w:spacing w:after="0" w:line="250" w:lineRule="auto"/>
        <w:rPr>
          <w:sz w:val="20"/>
          <w:szCs w:val="20"/>
          <w:color w:val="auto"/>
        </w:rPr>
      </w:pPr>
      <w:r>
        <w:rPr>
          <w:rFonts w:ascii="Times New Roman" w:cs="Times New Roman" w:eastAsia="Times New Roman" w:hAnsi="Times New Roman"/>
          <w:sz w:val="14"/>
          <w:szCs w:val="14"/>
          <w:i w:val="1"/>
          <w:iCs w:val="1"/>
          <w:color w:val="auto"/>
        </w:rPr>
        <w:t>Expanding Our Technological Expertise through Licensing and Joint Development Efforts with Leading Technology Companies</w:t>
      </w:r>
      <w:r>
        <w:rPr>
          <w:rFonts w:ascii="Times New Roman" w:cs="Times New Roman" w:eastAsia="Times New Roman" w:hAnsi="Times New Roman"/>
          <w:sz w:val="14"/>
          <w:szCs w:val="14"/>
          <w:color w:val="auto"/>
        </w:rPr>
        <w:t>. In addition to our independent research and development resources, we seek to partner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technology companies to expand our core strengths in CMOS image sensors, embedded flash and mixed-signal technologies by combining our proprietary technology with that of leading technology companies. In the past, this arrangement has been highly successful. Our high-quality CMOS image sensor technology was used to optimize Kodak's complex image-sensor design for volume production, and this project has, in turn, enhanced our CMOS image sensor technology. A significant number of our embedded flash solutions, which offer significant form factor and cost advantages relative to the competition, were developed through our relationships with Matsushita and Saifun. In addition, our mixed-signal offering for 0.18-micron CMOS processes has been improved through the use of proprietary technology from Toshiba, and our analog capabilities have been improved through a technology transfer and licensing arrangement with IMEC. These relationships have been an important part of creating a competitive advantage in these applications, and we are continuing to pursue similar relationships in the future. For example, to enhance our capabilities at Fab 2, we entered into technology transfer agreements with Motorola and Toshiba that will enable us to provide advanced 0.18- and 0.13-micron CMOS technologies. These relationships also allow us to minimize R&amp;D expenses for developing new technologies.</w:t>
      </w:r>
    </w:p>
    <w:p>
      <w:pPr>
        <w:spacing w:after="0" w:line="66" w:lineRule="exact"/>
        <w:rPr>
          <w:sz w:val="20"/>
          <w:szCs w:val="20"/>
          <w:color w:val="auto"/>
        </w:rPr>
      </w:pPr>
    </w:p>
    <w:p>
      <w:pPr>
        <w:ind w:right="3959"/>
        <w:spacing w:after="0" w:line="253" w:lineRule="auto"/>
        <w:rPr>
          <w:sz w:val="20"/>
          <w:szCs w:val="20"/>
          <w:color w:val="auto"/>
        </w:rPr>
      </w:pPr>
      <w:r>
        <w:rPr>
          <w:rFonts w:ascii="Times New Roman" w:cs="Times New Roman" w:eastAsia="Times New Roman" w:hAnsi="Times New Roman"/>
          <w:sz w:val="14"/>
          <w:szCs w:val="14"/>
          <w:i w:val="1"/>
          <w:iCs w:val="1"/>
          <w:color w:val="auto"/>
        </w:rPr>
        <w:t>Enhancing Our Global Sales and Marketing Efforts</w:t>
      </w:r>
      <w:r>
        <w:rPr>
          <w:rFonts w:ascii="Times New Roman" w:cs="Times New Roman" w:eastAsia="Times New Roman" w:hAnsi="Times New Roman"/>
          <w:sz w:val="14"/>
          <w:szCs w:val="14"/>
          <w:color w:val="auto"/>
        </w:rPr>
        <w:t>. We focus our sales and marketing efforts on technology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service driven leading customers, with sophisticated products in industries with high gross margins and growth potential. Over the past year, we have significantly increased our global sales and marketing efforts in order to establish worldwide coverage to support the ramp-up of our Fab 2 facility. As part of this effort, we have sales personnel located in the United States, Israel and Japan, as well as a worldwide network of independent sales representatives. We believe that this presence will allow us to address significant market opportunities worldwide.</w:t>
      </w:r>
    </w:p>
    <w:p>
      <w:pPr>
        <w:spacing w:after="0" w:line="61" w:lineRule="exact"/>
        <w:rPr>
          <w:sz w:val="20"/>
          <w:szCs w:val="20"/>
          <w:color w:val="auto"/>
        </w:rPr>
      </w:pPr>
    </w:p>
    <w:p>
      <w:pPr>
        <w:ind w:right="3919"/>
        <w:spacing w:after="0" w:line="251" w:lineRule="auto"/>
        <w:rPr>
          <w:sz w:val="20"/>
          <w:szCs w:val="20"/>
          <w:color w:val="auto"/>
        </w:rPr>
      </w:pPr>
      <w:r>
        <w:rPr>
          <w:rFonts w:ascii="Times New Roman" w:cs="Times New Roman" w:eastAsia="Times New Roman" w:hAnsi="Times New Roman"/>
          <w:sz w:val="14"/>
          <w:szCs w:val="14"/>
          <w:i w:val="1"/>
          <w:iCs w:val="1"/>
          <w:color w:val="auto"/>
        </w:rPr>
        <w:t>Maximizing Capacity Utilization</w:t>
      </w:r>
      <w:r>
        <w:rPr>
          <w:rFonts w:ascii="Times New Roman" w:cs="Times New Roman" w:eastAsia="Times New Roman" w:hAnsi="Times New Roman"/>
          <w:sz w:val="14"/>
          <w:szCs w:val="14"/>
          <w:color w:val="auto"/>
        </w:rPr>
        <w:t>. We seek to maximize capacity utilization by attracting new customers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rapidly expanding our capabilities for high-margin advanced technologies through the construction of Fab 2. Over the course of our history, our business model has involved targeting capacity growth in standard digital CMOS technology and then migrating that capacity to specialized, high-end technologies. Fab 1 provides a steady source of funds, as it generates cash at even modest production levels. In order to optimize production levels of Fab 1, we seek to operate the facility at close to maximum capacity with the most advanced technologies it can produce. Fab 2 is the core focus of our future efforts, and we are ramping up production in the facility to meet customer demand. Fab 2 seeks to maximize returns by addressing the market for more advanced geometries, which have relatively higher gross margins. In order to consistently meet this demand, we have plans for both capacity expansion at the current 0.18-micron geometry and volume production at 0.13-micron geometry by 2005.</w:t>
      </w:r>
    </w:p>
    <w:p>
      <w:pPr>
        <w:spacing w:after="0" w:line="63" w:lineRule="exact"/>
        <w:rPr>
          <w:sz w:val="20"/>
          <w:szCs w:val="20"/>
          <w:color w:val="auto"/>
        </w:rPr>
      </w:pPr>
    </w:p>
    <w:p>
      <w:pPr>
        <w:ind w:right="4039"/>
        <w:spacing w:after="0" w:line="265" w:lineRule="auto"/>
        <w:rPr>
          <w:sz w:val="20"/>
          <w:szCs w:val="20"/>
          <w:color w:val="auto"/>
        </w:rPr>
      </w:pPr>
      <w:r>
        <w:rPr>
          <w:rFonts w:ascii="Times New Roman" w:cs="Times New Roman" w:eastAsia="Times New Roman" w:hAnsi="Times New Roman"/>
          <w:sz w:val="14"/>
          <w:szCs w:val="14"/>
          <w:i w:val="1"/>
          <w:iCs w:val="1"/>
          <w:color w:val="auto"/>
        </w:rPr>
        <w:t>Becoming a Preferred Second-Source Foundry Service Provider</w:t>
      </w:r>
      <w:r>
        <w:rPr>
          <w:rFonts w:ascii="Times New Roman" w:cs="Times New Roman" w:eastAsia="Times New Roman" w:hAnsi="Times New Roman"/>
          <w:sz w:val="14"/>
          <w:szCs w:val="14"/>
          <w:color w:val="auto"/>
        </w:rPr>
        <w:t>. We serve as a sole-source provider for many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our customers for certain of their products and devices, and we also offer our services as an alternative or second-source provider of foundry services. Foundry diversification is an increasingly</w:t>
      </w:r>
    </w:p>
    <w:p>
      <w:pPr>
        <w:spacing w:after="0" w:line="18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59"/>
        <w:spacing w:after="0" w:line="280" w:lineRule="auto"/>
        <w:rPr>
          <w:sz w:val="20"/>
          <w:szCs w:val="20"/>
          <w:color w:val="auto"/>
        </w:rPr>
      </w:pPr>
      <w:r>
        <w:rPr>
          <w:rFonts w:ascii="Times New Roman" w:cs="Times New Roman" w:eastAsia="Times New Roman" w:hAnsi="Times New Roman"/>
          <w:sz w:val="13"/>
          <w:szCs w:val="13"/>
          <w:color w:val="auto"/>
        </w:rPr>
        <w:t>important factor among semiconductor companies, including both IDMs and fabless IC companies. In previous industry cycles when semiconductor demand was high, there was a shortage of IC manufacturing capacity. Because the semiconductor industry is now recovering from its worst downturn in history, we aim to take advantage of an expected capacity shortage during this upswing by becoming a preferred second-source provider of IC manufacturing services. In particular, as foundry utilization rates peak and available capacity decreases at</w:t>
      </w:r>
    </w:p>
    <w:p>
      <w:pPr>
        <w:sectPr>
          <w:pgSz w:w="11900" w:h="16864" w:orient="portrait"/>
          <w:cols w:equalWidth="0" w:num="1">
            <w:col w:w="10239"/>
          </w:cols>
          <w:pgMar w:left="220" w:top="208" w:right="1440" w:bottom="0" w:gutter="0" w:footer="0" w:header="0"/>
        </w:sectPr>
      </w:pPr>
    </w:p>
    <w:bookmarkStart w:id="24" w:name="page25"/>
    <w:bookmarkEnd w:id="24"/>
    <w:p>
      <w:pPr>
        <w:ind w:right="4079"/>
        <w:spacing w:after="0" w:line="279" w:lineRule="auto"/>
        <w:rPr>
          <w:sz w:val="20"/>
          <w:szCs w:val="20"/>
          <w:color w:val="auto"/>
        </w:rPr>
      </w:pPr>
      <w:r>
        <w:rPr>
          <w:rFonts w:ascii="Times New Roman" w:cs="Times New Roman" w:eastAsia="Times New Roman" w:hAnsi="Times New Roman"/>
          <w:sz w:val="14"/>
          <w:szCs w:val="14"/>
          <w:color w:val="auto"/>
        </w:rPr>
        <w:t>leading Asian foundries, we expect to attract new customers with our standard 0.18-micron process technology and future 0.13-micron process technology.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 Marketing and Sales</w:t>
      </w:r>
    </w:p>
    <w:p>
      <w:pPr>
        <w:spacing w:after="0" w:line="91" w:lineRule="exact"/>
        <w:rPr>
          <w:sz w:val="20"/>
          <w:szCs w:val="20"/>
          <w:color w:val="auto"/>
        </w:rPr>
      </w:pPr>
    </w:p>
    <w:p>
      <w:pPr>
        <w:ind w:right="3979"/>
        <w:spacing w:after="0" w:line="252" w:lineRule="auto"/>
        <w:rPr>
          <w:sz w:val="20"/>
          <w:szCs w:val="20"/>
          <w:color w:val="auto"/>
        </w:rPr>
      </w:pPr>
      <w:r>
        <w:rPr>
          <w:rFonts w:ascii="Times New Roman" w:cs="Times New Roman" w:eastAsia="Times New Roman" w:hAnsi="Times New Roman"/>
          <w:sz w:val="14"/>
          <w:szCs w:val="14"/>
          <w:color w:val="auto"/>
        </w:rPr>
        <w:t>Our marketing and sales strategy seeks to aggressively expand our global customer base to take advantage of the current upswing in the semiconductor industry. To achieve this objective, we match our standard digital CMOS technology to the industry benchmark and differentiate ourselves based on customer service, design support and expertise in specialized technologies, such as CMOS image sensors, embedded flash and mixed signal. We have marketing and sales personnel in the United States, Japan and Israel. The group in Israel is responsible for covering Israel, Europe and Taiwan. Our marketing and sales staff is supported by independent sales representatives, located throughout the world, who have been selected based on their understanding of the semiconductor marketplace.</w:t>
      </w:r>
    </w:p>
    <w:p>
      <w:pPr>
        <w:spacing w:after="0" w:line="63" w:lineRule="exact"/>
        <w:rPr>
          <w:sz w:val="20"/>
          <w:szCs w:val="20"/>
          <w:color w:val="auto"/>
        </w:rPr>
      </w:pPr>
    </w:p>
    <w:p>
      <w:pPr>
        <w:ind w:right="4199"/>
        <w:spacing w:after="0" w:line="279" w:lineRule="auto"/>
        <w:rPr>
          <w:sz w:val="20"/>
          <w:szCs w:val="20"/>
          <w:color w:val="auto"/>
        </w:rPr>
      </w:pPr>
      <w:r>
        <w:rPr>
          <w:rFonts w:ascii="Times New Roman" w:cs="Times New Roman" w:eastAsia="Times New Roman" w:hAnsi="Times New Roman"/>
          <w:sz w:val="14"/>
          <w:szCs w:val="14"/>
          <w:color w:val="auto"/>
        </w:rPr>
        <w:t>Our sales cycle is generally 18-24 months for new customers and can be as short as 9-12 months for existing customers. The typical stages in the sales process from initial contact until production are:</w:t>
      </w:r>
    </w:p>
    <w:p>
      <w:pPr>
        <w:spacing w:after="0" w:line="125" w:lineRule="exact"/>
        <w:rPr>
          <w:sz w:val="20"/>
          <w:szCs w:val="20"/>
          <w:color w:val="auto"/>
        </w:rPr>
      </w:pPr>
    </w:p>
    <w:p>
      <w:pPr>
        <w:ind w:left="400" w:hanging="261"/>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evaluation;</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design to our specifications including integration of third party intellectual property;</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photomask design specification;</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silicon prototyping;</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assembly and test;</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validation and qualification; and</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w:t>
      </w:r>
    </w:p>
    <w:p>
      <w:pPr>
        <w:spacing w:after="0" w:line="172" w:lineRule="exact"/>
        <w:rPr>
          <w:sz w:val="20"/>
          <w:szCs w:val="20"/>
          <w:color w:val="auto"/>
        </w:rPr>
      </w:pPr>
    </w:p>
    <w:p>
      <w:pPr>
        <w:ind w:right="3979"/>
        <w:spacing w:after="0" w:line="253" w:lineRule="auto"/>
        <w:rPr>
          <w:sz w:val="20"/>
          <w:szCs w:val="20"/>
          <w:color w:val="auto"/>
        </w:rPr>
      </w:pPr>
      <w:r>
        <w:rPr>
          <w:rFonts w:ascii="Times New Roman" w:cs="Times New Roman" w:eastAsia="Times New Roman" w:hAnsi="Times New Roman"/>
          <w:sz w:val="14"/>
          <w:szCs w:val="14"/>
          <w:color w:val="auto"/>
        </w:rPr>
        <w:t>The primary customers of our foundry services are fabless semiconductor companies and IDMs. A significant portion of our product sales are made pursuant to long-term contracts with our customers, under which we have agreed to reserve manufacturing capacity at our production facilities for such customers. When we commenced business in March 1993, our only customer was National Semiconductor. Since then, we have succeeded in adding a significant number of new customers, including many industry leaders and a number of Taiwanese companies who preferred our solution to that offered locally. During the nine months ended September 30, 2003, our primary customers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wp:posOffset>
            </wp:positionV>
            <wp:extent cx="6350" cy="660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Alliance Semiconductor</w:t>
            </w:r>
          </w:p>
        </w:tc>
        <w:tc>
          <w:tcPr>
            <w:tcW w:w="21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Macronix</w:t>
            </w:r>
          </w:p>
        </w:tc>
        <w:tc>
          <w:tcPr>
            <w:tcW w:w="15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QuickLogic</w:t>
            </w:r>
          </w:p>
        </w:tc>
      </w:tr>
      <w:tr>
        <w:trPr>
          <w:trHeight w:val="198"/>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Comtech AHA</w:t>
            </w:r>
          </w:p>
        </w:tc>
        <w:tc>
          <w:tcPr>
            <w:tcW w:w="21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Micron</w:t>
            </w:r>
          </w:p>
        </w:tc>
        <w:tc>
          <w:tcPr>
            <w:tcW w:w="15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SanDisk</w:t>
            </w:r>
          </w:p>
        </w:tc>
      </w:tr>
      <w:tr>
        <w:trPr>
          <w:trHeight w:val="198"/>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Cypress Semiconductor</w:t>
            </w:r>
          </w:p>
        </w:tc>
        <w:tc>
          <w:tcPr>
            <w:tcW w:w="21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Motorola</w:t>
            </w:r>
          </w:p>
        </w:tc>
        <w:tc>
          <w:tcPr>
            <w:tcW w:w="1580" w:type="dxa"/>
            <w:vAlign w:val="bottom"/>
          </w:tcPr>
          <w:p>
            <w:pPr>
              <w:ind w:left="480"/>
              <w:spacing w:after="0"/>
              <w:rPr>
                <w:sz w:val="20"/>
                <w:szCs w:val="20"/>
                <w:color w:val="auto"/>
              </w:rPr>
            </w:pPr>
            <w:r>
              <w:rPr>
                <w:rFonts w:ascii="Times New Roman" w:cs="Times New Roman" w:eastAsia="Times New Roman" w:hAnsi="Times New Roman"/>
                <w:sz w:val="14"/>
                <w:szCs w:val="14"/>
                <w:color w:val="auto"/>
                <w:w w:val="97"/>
              </w:rPr>
              <w:t>STMicroelectronics</w:t>
            </w:r>
          </w:p>
        </w:tc>
      </w:tr>
      <w:tr>
        <w:trPr>
          <w:trHeight w:val="198"/>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FillFactory</w:t>
            </w:r>
          </w:p>
        </w:tc>
        <w:tc>
          <w:tcPr>
            <w:tcW w:w="21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National Semiconductor</w:t>
            </w:r>
          </w:p>
        </w:tc>
        <w:tc>
          <w:tcPr>
            <w:tcW w:w="158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Xemics</w:t>
            </w:r>
          </w:p>
        </w:tc>
      </w:tr>
      <w:tr>
        <w:trPr>
          <w:trHeight w:val="198"/>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Kodak</w:t>
            </w:r>
          </w:p>
        </w:tc>
        <w:tc>
          <w:tcPr>
            <w:tcW w:w="21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ON Semiconductor</w:t>
            </w:r>
          </w:p>
        </w:tc>
        <w:tc>
          <w:tcPr>
            <w:tcW w:w="15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-614045</wp:posOffset>
            </wp:positionV>
            <wp:extent cx="3814445" cy="6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381444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-548005</wp:posOffset>
            </wp:positionV>
            <wp:extent cx="13335" cy="63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-548005</wp:posOffset>
            </wp:positionV>
            <wp:extent cx="13335" cy="63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-422910</wp:posOffset>
            </wp:positionV>
            <wp:extent cx="13335" cy="63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-422910</wp:posOffset>
            </wp:positionV>
            <wp:extent cx="13335"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-297180</wp:posOffset>
            </wp:positionV>
            <wp:extent cx="13335" cy="63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-297180</wp:posOffset>
            </wp:positionV>
            <wp:extent cx="13335"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-171450</wp:posOffset>
            </wp:positionV>
            <wp:extent cx="13335"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-171450</wp:posOffset>
            </wp:positionV>
            <wp:extent cx="13335"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-45720</wp:posOffset>
            </wp:positionV>
            <wp:extent cx="13335"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-45720</wp:posOffset>
            </wp:positionV>
            <wp:extent cx="13335"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1198245</wp:posOffset>
            </wp:positionH>
            <wp:positionV relativeFrom="paragraph">
              <wp:posOffset>79375</wp:posOffset>
            </wp:positionV>
            <wp:extent cx="13335"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2659380</wp:posOffset>
            </wp:positionH>
            <wp:positionV relativeFrom="paragraph">
              <wp:posOffset>79375</wp:posOffset>
            </wp:positionV>
            <wp:extent cx="13335" cy="6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145415</wp:posOffset>
            </wp:positionV>
            <wp:extent cx="6350" cy="660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381" w:lineRule="exact"/>
        <w:rPr>
          <w:sz w:val="20"/>
          <w:szCs w:val="20"/>
          <w:color w:val="auto"/>
        </w:rPr>
      </w:pPr>
    </w:p>
    <w:p>
      <w:pPr>
        <w:ind w:right="3919"/>
        <w:spacing w:after="0" w:line="253" w:lineRule="auto"/>
        <w:rPr>
          <w:sz w:val="20"/>
          <w:szCs w:val="20"/>
          <w:color w:val="auto"/>
        </w:rPr>
      </w:pPr>
      <w:r>
        <w:rPr>
          <w:rFonts w:ascii="Times New Roman" w:cs="Times New Roman" w:eastAsia="Times New Roman" w:hAnsi="Times New Roman"/>
          <w:sz w:val="14"/>
          <w:szCs w:val="14"/>
          <w:color w:val="auto"/>
        </w:rPr>
        <w:t>During the nine months ended September 30, 2003, National Semiconductor, Motorola, FillFactory and SanDisk contributed 26%, 15%, 12% and 11% of our revenues, respectively. In 2002, National Semiconductor, Matsushita and Motorola contributed 31%, 16% and 13% of our revenues, respectively. In 2001, National Semiconductor and Motorola contributed 30% and 17% of our revenues, respectively. In 2004, we expect that SanDisk, our number one customer in Fab 2, will account for a significant portion of our Fab 2 revenues. As foundry utilization rates peak with the industry recovery, we expect to attract additional customers as available capacity decreases at leading Asian foundries.</w:t>
      </w:r>
    </w:p>
    <w:p>
      <w:pPr>
        <w:spacing w:after="0" w:line="19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79"/>
        <w:spacing w:after="0" w:line="274" w:lineRule="auto"/>
        <w:rPr>
          <w:sz w:val="20"/>
          <w:szCs w:val="20"/>
          <w:color w:val="auto"/>
        </w:rPr>
      </w:pPr>
      <w:r>
        <w:rPr>
          <w:rFonts w:ascii="Times New Roman" w:cs="Times New Roman" w:eastAsia="Times New Roman" w:hAnsi="Times New Roman"/>
          <w:sz w:val="13"/>
          <w:szCs w:val="13"/>
          <w:color w:val="auto"/>
        </w:rPr>
        <w:t>In addition to further developing our customer base, we have also made a concentrated effort to expand the geographical diversity of our sales. The percentage of our sales from customers located outside the United States was 10%, 31%, 38% and 28% in the years ended December 31, 2000, 2001 and 2002 and the nine months ended September 30, 2003, respectively. As we have successfully expanded our customer base with customers located in Asia-Pacific and in Europe, we believe that a substantial portion of our sales will continue to come from customers located in the United States. We experienced a significant increase in our Asia-Pacific sales in 2002 due to payments made to us by Matsushita in connection with our technology agreement with them. The following table sets forth the geographical distribution, by percentage, of our net sales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6350" cy="7302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Nine Months</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80" w:type="dxa"/>
            <w:vAlign w:val="bottom"/>
            <w:gridSpan w:val="7"/>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23"/>
        </w:trPr>
        <w:tc>
          <w:tcPr>
            <w:tcW w:w="3400" w:type="dxa"/>
            <w:vAlign w:val="bottom"/>
          </w:tcPr>
          <w:p>
            <w:pPr>
              <w:spacing w:after="0"/>
              <w:rPr>
                <w:sz w:val="10"/>
                <w:szCs w:val="10"/>
                <w:color w:val="auto"/>
              </w:rPr>
            </w:pPr>
          </w:p>
        </w:tc>
        <w:tc>
          <w:tcPr>
            <w:tcW w:w="640" w:type="dxa"/>
            <w:vAlign w:val="bottom"/>
            <w:gridSpan w:val="2"/>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Ended</w:t>
            </w:r>
          </w:p>
        </w:tc>
        <w:tc>
          <w:tcPr>
            <w:tcW w:w="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400" w:type="dxa"/>
            <w:vAlign w:val="bottom"/>
          </w:tcPr>
          <w:p>
            <w:pPr>
              <w:spacing w:after="0"/>
              <w:rPr>
                <w:sz w:val="7"/>
                <w:szCs w:val="7"/>
                <w:color w:val="auto"/>
              </w:rPr>
            </w:pPr>
          </w:p>
        </w:tc>
        <w:tc>
          <w:tcPr>
            <w:tcW w:w="640" w:type="dxa"/>
            <w:vAlign w:val="bottom"/>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September</w:t>
            </w:r>
          </w:p>
        </w:tc>
        <w:tc>
          <w:tcPr>
            <w:tcW w:w="700" w:type="dxa"/>
            <w:vAlign w:val="bottom"/>
            <w:gridSpan w:val="3"/>
            <w:vMerge w:val="restart"/>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2002</w:t>
            </w:r>
          </w:p>
        </w:tc>
        <w:tc>
          <w:tcPr>
            <w:tcW w:w="7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2001</w:t>
            </w:r>
          </w:p>
        </w:tc>
        <w:tc>
          <w:tcPr>
            <w:tcW w:w="7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2000</w:t>
            </w:r>
          </w:p>
        </w:tc>
        <w:tc>
          <w:tcPr>
            <w:tcW w:w="0" w:type="dxa"/>
            <w:vAlign w:val="bottom"/>
          </w:tcPr>
          <w:p>
            <w:pPr>
              <w:spacing w:after="0"/>
              <w:rPr>
                <w:sz w:val="1"/>
                <w:szCs w:val="1"/>
                <w:color w:val="auto"/>
              </w:rPr>
            </w:pPr>
          </w:p>
        </w:tc>
      </w:tr>
      <w:tr>
        <w:trPr>
          <w:trHeight w:val="134"/>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30, 2003</w:t>
            </w:r>
          </w:p>
        </w:tc>
        <w:tc>
          <w:tcPr>
            <w:tcW w:w="700" w:type="dxa"/>
            <w:vAlign w:val="bottom"/>
            <w:gridSpan w:val="3"/>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400" w:type="dxa"/>
            <w:vAlign w:val="bottom"/>
            <w:vMerge w:val="continue"/>
          </w:tcPr>
          <w:p>
            <w:pPr>
              <w:spacing w:after="0"/>
              <w:rPr>
                <w:sz w:val="14"/>
                <w:szCs w:val="14"/>
                <w:color w:val="auto"/>
              </w:rPr>
            </w:pPr>
          </w:p>
        </w:tc>
        <w:tc>
          <w:tcPr>
            <w:tcW w:w="64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Pr>
          <w:p>
            <w:pPr>
              <w:spacing w:after="0"/>
              <w:rPr>
                <w:sz w:val="14"/>
                <w:szCs w:val="14"/>
                <w:color w:val="auto"/>
              </w:rPr>
            </w:pPr>
          </w:p>
        </w:tc>
        <w:tc>
          <w:tcPr>
            <w:tcW w:w="620" w:type="dxa"/>
            <w:vAlign w:val="bottom"/>
            <w:tcBorders>
              <w:top w:val="single" w:sz="8" w:color="auto"/>
            </w:tcBorders>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4"/>
                <w:szCs w:val="14"/>
                <w:color w:val="auto"/>
              </w:rPr>
            </w:pPr>
          </w:p>
        </w:tc>
        <w:tc>
          <w:tcPr>
            <w:tcW w:w="6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4"/>
                <w:szCs w:val="14"/>
                <w:color w:val="auto"/>
              </w:rPr>
            </w:pPr>
          </w:p>
        </w:tc>
        <w:tc>
          <w:tcPr>
            <w:tcW w:w="62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83"/>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Asia-Pacific</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Pr>
          <w:p>
            <w:pPr>
              <w:spacing w:after="0"/>
              <w:rPr>
                <w:sz w:val="15"/>
                <w:szCs w:val="15"/>
                <w:color w:val="auto"/>
              </w:rPr>
            </w:pPr>
          </w:p>
        </w:tc>
        <w:tc>
          <w:tcPr>
            <w:tcW w:w="700" w:type="dxa"/>
            <w:vAlign w:val="bottom"/>
            <w:gridSpan w:val="3"/>
          </w:tcPr>
          <w:p>
            <w:pPr>
              <w:jc w:val="right"/>
              <w:ind w:right="205"/>
              <w:spacing w:after="0"/>
              <w:rPr>
                <w:sz w:val="20"/>
                <w:szCs w:val="20"/>
                <w:color w:val="auto"/>
              </w:rPr>
            </w:pPr>
            <w:r>
              <w:rPr>
                <w:rFonts w:ascii="Times New Roman" w:cs="Times New Roman" w:eastAsia="Times New Roman" w:hAnsi="Times New Roman"/>
                <w:sz w:val="14"/>
                <w:szCs w:val="14"/>
                <w:color w:val="auto"/>
              </w:rPr>
              <w:t>25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tcPr>
          <w:p>
            <w:pPr>
              <w:spacing w:after="0"/>
              <w:rPr>
                <w:sz w:val="15"/>
                <w:szCs w:val="15"/>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tcPr>
          <w:p>
            <w:pPr>
              <w:spacing w:after="0"/>
              <w:rPr>
                <w:sz w:val="17"/>
                <w:szCs w:val="17"/>
                <w:color w:val="auto"/>
              </w:rPr>
            </w:pPr>
          </w:p>
        </w:tc>
        <w:tc>
          <w:tcPr>
            <w:tcW w:w="700" w:type="dxa"/>
            <w:vAlign w:val="bottom"/>
            <w:gridSpan w:val="3"/>
          </w:tcPr>
          <w:p>
            <w:pPr>
              <w:jc w:val="right"/>
              <w:ind w:right="205"/>
              <w:spacing w:after="0"/>
              <w:rPr>
                <w:sz w:val="20"/>
                <w:szCs w:val="20"/>
                <w:color w:val="auto"/>
              </w:rPr>
            </w:pPr>
            <w:r>
              <w:rPr>
                <w:rFonts w:ascii="Times New Roman" w:cs="Times New Roman" w:eastAsia="Times New Roman" w:hAnsi="Times New Roman"/>
                <w:sz w:val="14"/>
                <w:szCs w:val="14"/>
                <w:color w:val="auto"/>
              </w:rPr>
              <w:t>11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60" w:type="dxa"/>
            <w:vAlign w:val="bottom"/>
          </w:tcPr>
          <w:p>
            <w:pPr>
              <w:spacing w:after="0"/>
              <w:rPr>
                <w:sz w:val="17"/>
                <w:szCs w:val="17"/>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vMerge w:val="continue"/>
          </w:tcPr>
          <w:p>
            <w:pPr>
              <w:spacing w:after="0"/>
              <w:rPr>
                <w:sz w:val="13"/>
                <w:szCs w:val="13"/>
                <w:color w:val="auto"/>
              </w:rPr>
            </w:pPr>
          </w:p>
        </w:tc>
        <w:tc>
          <w:tcPr>
            <w:tcW w:w="640" w:type="dxa"/>
            <w:vAlign w:val="bottom"/>
            <w:gridSpan w:val="2"/>
          </w:tcPr>
          <w:p>
            <w:pPr>
              <w:jc w:val="right"/>
              <w:ind w:right="160"/>
              <w:spacing w:after="0" w:line="157"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vMerge w:val="continue"/>
          </w:tcPr>
          <w:p>
            <w:pPr>
              <w:spacing w:after="0"/>
              <w:rPr>
                <w:sz w:val="13"/>
                <w:szCs w:val="13"/>
                <w:color w:val="auto"/>
              </w:rPr>
            </w:pPr>
          </w:p>
        </w:tc>
        <w:tc>
          <w:tcPr>
            <w:tcW w:w="620" w:type="dxa"/>
            <w:vAlign w:val="bottom"/>
            <w:gridSpan w:val="2"/>
          </w:tcPr>
          <w:p>
            <w:pPr>
              <w:jc w:val="right"/>
              <w:ind w:right="85"/>
              <w:spacing w:after="0" w:line="157" w:lineRule="exact"/>
              <w:rPr>
                <w:sz w:val="20"/>
                <w:szCs w:val="20"/>
                <w:color w:val="auto"/>
              </w:rPr>
            </w:pPr>
            <w:r>
              <w:rPr>
                <w:rFonts w:ascii="Times New Roman" w:cs="Times New Roman" w:eastAsia="Times New Roman" w:hAnsi="Times New Roman"/>
                <w:sz w:val="14"/>
                <w:szCs w:val="14"/>
                <w:color w:val="auto"/>
              </w:rPr>
              <w:t>100%</w:t>
            </w:r>
          </w:p>
        </w:tc>
        <w:tc>
          <w:tcPr>
            <w:tcW w:w="80" w:type="dxa"/>
            <w:vAlign w:val="bottom"/>
            <w:vMerge w:val="continue"/>
          </w:tcPr>
          <w:p>
            <w:pPr>
              <w:spacing w:after="0"/>
              <w:rPr>
                <w:sz w:val="13"/>
                <w:szCs w:val="13"/>
                <w:color w:val="auto"/>
              </w:rPr>
            </w:pPr>
          </w:p>
        </w:tc>
        <w:tc>
          <w:tcPr>
            <w:tcW w:w="620" w:type="dxa"/>
            <w:vAlign w:val="bottom"/>
            <w:gridSpan w:val="2"/>
          </w:tcPr>
          <w:p>
            <w:pPr>
              <w:jc w:val="right"/>
              <w:ind w:right="140"/>
              <w:spacing w:after="0" w:line="157"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vMerge w:val="continue"/>
          </w:tcPr>
          <w:p>
            <w:pPr>
              <w:spacing w:after="0"/>
              <w:rPr>
                <w:sz w:val="13"/>
                <w:szCs w:val="13"/>
                <w:color w:val="auto"/>
              </w:rPr>
            </w:pPr>
          </w:p>
        </w:tc>
        <w:tc>
          <w:tcPr>
            <w:tcW w:w="620" w:type="dxa"/>
            <w:vAlign w:val="bottom"/>
            <w:gridSpan w:val="2"/>
          </w:tcPr>
          <w:p>
            <w:pPr>
              <w:jc w:val="right"/>
              <w:ind w:right="140"/>
              <w:spacing w:after="0" w:line="157" w:lineRule="exact"/>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-931545</wp:posOffset>
            </wp:positionV>
            <wp:extent cx="3655695" cy="63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65569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-858520</wp:posOffset>
            </wp:positionV>
            <wp:extent cx="13335" cy="63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-779145</wp:posOffset>
            </wp:positionV>
            <wp:extent cx="13335" cy="63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-706755</wp:posOffset>
            </wp:positionV>
            <wp:extent cx="13335" cy="63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-706755</wp:posOffset>
            </wp:positionV>
            <wp:extent cx="13335" cy="63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-706755</wp:posOffset>
            </wp:positionV>
            <wp:extent cx="13335" cy="6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-706755</wp:posOffset>
            </wp:positionV>
            <wp:extent cx="13335" cy="63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-567690</wp:posOffset>
            </wp:positionV>
            <wp:extent cx="13335" cy="63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-567690</wp:posOffset>
            </wp:positionV>
            <wp:extent cx="13335" cy="63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-567690</wp:posOffset>
            </wp:positionV>
            <wp:extent cx="13335" cy="6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-567690</wp:posOffset>
            </wp:positionV>
            <wp:extent cx="13335" cy="63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-441960</wp:posOffset>
            </wp:positionV>
            <wp:extent cx="13335" cy="6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-441960</wp:posOffset>
            </wp:positionV>
            <wp:extent cx="13335" cy="63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-441960</wp:posOffset>
            </wp:positionV>
            <wp:extent cx="13335" cy="6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-441960</wp:posOffset>
            </wp:positionV>
            <wp:extent cx="13335"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-316865</wp:posOffset>
            </wp:positionV>
            <wp:extent cx="13335" cy="6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-316865</wp:posOffset>
            </wp:positionV>
            <wp:extent cx="13335" cy="63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-316865</wp:posOffset>
            </wp:positionV>
            <wp:extent cx="13335" cy="6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-316865</wp:posOffset>
            </wp:positionV>
            <wp:extent cx="13335" cy="6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-191135</wp:posOffset>
            </wp:positionV>
            <wp:extent cx="13335" cy="63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-191135</wp:posOffset>
            </wp:positionV>
            <wp:extent cx="13335"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-191135</wp:posOffset>
            </wp:positionV>
            <wp:extent cx="13335" cy="6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-191135</wp:posOffset>
            </wp:positionV>
            <wp:extent cx="13335"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2110740</wp:posOffset>
            </wp:positionH>
            <wp:positionV relativeFrom="paragraph">
              <wp:posOffset>-65405</wp:posOffset>
            </wp:positionV>
            <wp:extent cx="13335"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-65405</wp:posOffset>
            </wp:positionV>
            <wp:extent cx="13335" cy="6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-65405</wp:posOffset>
            </wp:positionV>
            <wp:extent cx="13335" cy="6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-65405</wp:posOffset>
            </wp:positionV>
            <wp:extent cx="13335"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36" w:lineRule="exact"/>
        <w:rPr>
          <w:sz w:val="20"/>
          <w:szCs w:val="20"/>
          <w:color w:val="auto"/>
        </w:rPr>
      </w:pPr>
    </w:p>
    <w:p>
      <w:pPr>
        <w:ind w:right="3999"/>
        <w:spacing w:after="0" w:line="258" w:lineRule="auto"/>
        <w:rPr>
          <w:sz w:val="20"/>
          <w:szCs w:val="20"/>
          <w:color w:val="auto"/>
        </w:rPr>
      </w:pPr>
      <w:r>
        <w:rPr>
          <w:rFonts w:ascii="Times New Roman" w:cs="Times New Roman" w:eastAsia="Times New Roman" w:hAnsi="Times New Roman"/>
          <w:sz w:val="14"/>
          <w:szCs w:val="14"/>
          <w:color w:val="auto"/>
        </w:rPr>
        <w:t>We currently allocate a portion of our wafer manufacturing capacity in Fab 2 to certain customers under several types of agreements. We are also obligated to make capacity available to customers under certain other agreements (See "Certain Transactions — Wafer Partner Agreements"). Some of our primary customers are also our shareholders.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1"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color w:val="auto"/>
        </w:rPr>
        <w:t>The global semiconductor foundry industry is highly competitive. We compete with approximately 10 independent dedicated foundries, including Taiwan Semiconductor Manufacturing Corporation, United Microelectronics and Chartered Semiconductor Manufacturing; emerging and existing Chinese, Korean, Malaysian and Taiwanese foundries, including Semiconductor Manufacturing International Corp., DongBu, Anam, Hynix, Powerchip Semiconductor and Silterra; other specialized foundries, such as AMI Semiconductor, Jazz Semiconductor and X-Fab; and over 20 IDMs and end-product manufacturers that produce ICs for their own use and/or allocate a portion of their manufacturing capacity to foundry operations. The foundries with which we compete are located in Asia Pacific and benefit from their close proximity to other companies involved in the design and manufacture of ICs.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 principal elements of competition in the wafer foundry market are:</w:t>
      </w:r>
    </w:p>
    <w:p>
      <w:pPr>
        <w:spacing w:after="0" w:line="172" w:lineRule="exact"/>
        <w:rPr>
          <w:sz w:val="20"/>
          <w:szCs w:val="20"/>
          <w:color w:val="auto"/>
        </w:rPr>
      </w:pPr>
    </w:p>
    <w:p>
      <w:pPr>
        <w:ind w:left="400" w:hanging="261"/>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competence;</w:t>
      </w:r>
    </w:p>
    <w:p>
      <w:pPr>
        <w:sectPr>
          <w:pgSz w:w="11900" w:h="16838" w:orient="portrait"/>
          <w:cols w:equalWidth="0" w:num="1">
            <w:col w:w="10239"/>
          </w:cols>
          <w:pgMar w:left="220" w:top="125" w:right="1440" w:bottom="0" w:gutter="0" w:footer="0" w:header="0"/>
        </w:sectPr>
      </w:pPr>
    </w:p>
    <w:bookmarkStart w:id="25" w:name="page26"/>
    <w:bookmarkEnd w:id="25"/>
    <w:p>
      <w:pPr>
        <w:ind w:left="400" w:hanging="261"/>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quality;</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time-to-market;</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device and end-product price;</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available capacity;</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device yields;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and customer support services;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intellectual property; and</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and development capabilities.</w:t>
      </w:r>
    </w:p>
    <w:p>
      <w:pPr>
        <w:spacing w:after="0" w:line="172" w:lineRule="exact"/>
        <w:rPr>
          <w:sz w:val="20"/>
          <w:szCs w:val="20"/>
          <w:color w:val="auto"/>
        </w:rPr>
      </w:pPr>
    </w:p>
    <w:p>
      <w:pPr>
        <w:ind w:right="3919"/>
        <w:spacing w:after="0" w:line="263" w:lineRule="auto"/>
        <w:rPr>
          <w:sz w:val="20"/>
          <w:szCs w:val="20"/>
          <w:color w:val="auto"/>
        </w:rPr>
      </w:pPr>
      <w:r>
        <w:rPr>
          <w:rFonts w:ascii="Times New Roman" w:cs="Times New Roman" w:eastAsia="Times New Roman" w:hAnsi="Times New Roman"/>
          <w:sz w:val="14"/>
          <w:szCs w:val="14"/>
          <w:color w:val="auto"/>
        </w:rPr>
        <w:t>Many of our competitors have greater manufacturing capacity, multiple manufacturing facilities, more advanced technological capabilities, a more diverse and established customer base, greater financial, marketing, distribution and other resources and a better cost structure than ours.</w:t>
      </w:r>
    </w:p>
    <w:p>
      <w:pPr>
        <w:spacing w:after="0" w:line="18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99"/>
        <w:spacing w:after="0" w:line="263" w:lineRule="auto"/>
        <w:rPr>
          <w:sz w:val="20"/>
          <w:szCs w:val="20"/>
          <w:color w:val="auto"/>
        </w:rPr>
      </w:pPr>
      <w:r>
        <w:rPr>
          <w:rFonts w:ascii="Times New Roman" w:cs="Times New Roman" w:eastAsia="Times New Roman" w:hAnsi="Times New Roman"/>
          <w:sz w:val="14"/>
          <w:szCs w:val="14"/>
          <w:color w:val="auto"/>
        </w:rPr>
        <w:t>We seek to compete primarily on the basis of technology, production quality, device yields and service. We believe we have a differentiated service offering in specialized markets, which enables us to effectively compete with larger IC manufacturers.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Wafer Fabrication Services</w:t>
      </w:r>
    </w:p>
    <w:p>
      <w:pPr>
        <w:spacing w:after="0" w:line="91" w:lineRule="exact"/>
        <w:rPr>
          <w:sz w:val="20"/>
          <w:szCs w:val="20"/>
          <w:color w:val="auto"/>
        </w:rPr>
      </w:pPr>
    </w:p>
    <w:p>
      <w:pPr>
        <w:ind w:right="3919"/>
        <w:spacing w:after="0" w:line="258" w:lineRule="auto"/>
        <w:rPr>
          <w:sz w:val="20"/>
          <w:szCs w:val="20"/>
          <w:color w:val="auto"/>
        </w:rPr>
      </w:pPr>
      <w:r>
        <w:rPr>
          <w:rFonts w:ascii="Times New Roman" w:cs="Times New Roman" w:eastAsia="Times New Roman" w:hAnsi="Times New Roman"/>
          <w:sz w:val="14"/>
          <w:szCs w:val="14"/>
          <w:color w:val="auto"/>
        </w:rPr>
        <w:t>Wafer fabrication is an intricate process that consists of constructing layers of conducting and insulating materials on raw wafers in intricate patterns that give the IC its function. IC manufacturing requires hundreds of interrelated steps performed on different types of equipment, and each step must be completed with extreme accuracy for finished ICs to work properly. The process can be summarized as follows:</w:t>
      </w:r>
    </w:p>
    <w:p>
      <w:pPr>
        <w:spacing w:after="0" w:line="55" w:lineRule="exact"/>
        <w:rPr>
          <w:sz w:val="20"/>
          <w:szCs w:val="20"/>
          <w:color w:val="auto"/>
        </w:rPr>
      </w:pPr>
    </w:p>
    <w:p>
      <w:pPr>
        <w:ind w:right="3979"/>
        <w:spacing w:after="0" w:line="256" w:lineRule="auto"/>
        <w:rPr>
          <w:sz w:val="20"/>
          <w:szCs w:val="20"/>
          <w:color w:val="auto"/>
        </w:rPr>
      </w:pPr>
      <w:r>
        <w:rPr>
          <w:rFonts w:ascii="Times New Roman" w:cs="Times New Roman" w:eastAsia="Times New Roman" w:hAnsi="Times New Roman"/>
          <w:sz w:val="14"/>
          <w:szCs w:val="14"/>
          <w:i w:val="1"/>
          <w:iCs w:val="1"/>
          <w:color w:val="auto"/>
        </w:rPr>
        <w:t>Circuit Design</w:t>
      </w:r>
      <w:r>
        <w:rPr>
          <w:rFonts w:ascii="Times New Roman" w:cs="Times New Roman" w:eastAsia="Times New Roman" w:hAnsi="Times New Roman"/>
          <w:sz w:val="14"/>
          <w:szCs w:val="14"/>
          <w:color w:val="auto"/>
        </w:rPr>
        <w:t>. IC production begins when a fabless IC company or IDM designs the layout of a device's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components and designates the interconnections between each component. The result is a pattern of components and connections that defines the function of the IC. In highly complex circuits, there may be more than 35 layers of electronic patterns. After the IC design is complete, we provide these companies with IC manufacturing services.</w:t>
      </w:r>
    </w:p>
    <w:p>
      <w:pPr>
        <w:spacing w:after="0" w:line="57" w:lineRule="exact"/>
        <w:rPr>
          <w:sz w:val="20"/>
          <w:szCs w:val="20"/>
          <w:color w:val="auto"/>
        </w:rPr>
      </w:pPr>
    </w:p>
    <w:p>
      <w:pPr>
        <w:ind w:right="4179"/>
        <w:spacing w:after="0" w:line="282" w:lineRule="auto"/>
        <w:rPr>
          <w:sz w:val="20"/>
          <w:szCs w:val="20"/>
          <w:color w:val="auto"/>
        </w:rPr>
      </w:pPr>
      <w:r>
        <w:rPr>
          <w:rFonts w:ascii="Times New Roman" w:cs="Times New Roman" w:eastAsia="Times New Roman" w:hAnsi="Times New Roman"/>
          <w:sz w:val="14"/>
          <w:szCs w:val="14"/>
          <w:i w:val="1"/>
          <w:iCs w:val="1"/>
          <w:color w:val="auto"/>
        </w:rPr>
        <w:t>Mask Making</w:t>
      </w:r>
      <w:r>
        <w:rPr>
          <w:rFonts w:ascii="Times New Roman" w:cs="Times New Roman" w:eastAsia="Times New Roman" w:hAnsi="Times New Roman"/>
          <w:sz w:val="14"/>
          <w:szCs w:val="14"/>
          <w:color w:val="auto"/>
        </w:rPr>
        <w:t>. The design for each layer of a semiconductor wafer is imprinted on a photographic negative,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called a reticle or mask. The mask is the blueprint for each specific layer of the semiconductor wafer.</w:t>
      </w:r>
    </w:p>
    <w:p>
      <w:pPr>
        <w:spacing w:after="0" w:line="38" w:lineRule="exact"/>
        <w:rPr>
          <w:sz w:val="20"/>
          <w:szCs w:val="20"/>
          <w:color w:val="auto"/>
        </w:rPr>
      </w:pPr>
    </w:p>
    <w:p>
      <w:pPr>
        <w:ind w:right="4019"/>
        <w:spacing w:after="0" w:line="253" w:lineRule="auto"/>
        <w:rPr>
          <w:sz w:val="20"/>
          <w:szCs w:val="20"/>
          <w:color w:val="auto"/>
        </w:rPr>
      </w:pPr>
      <w:r>
        <w:rPr>
          <w:rFonts w:ascii="Times New Roman" w:cs="Times New Roman" w:eastAsia="Times New Roman" w:hAnsi="Times New Roman"/>
          <w:sz w:val="14"/>
          <w:szCs w:val="14"/>
          <w:i w:val="1"/>
          <w:iCs w:val="1"/>
          <w:color w:val="auto"/>
        </w:rPr>
        <w:t>IC Manufacturing</w:t>
      </w:r>
      <w:r>
        <w:rPr>
          <w:rFonts w:ascii="Times New Roman" w:cs="Times New Roman" w:eastAsia="Times New Roman" w:hAnsi="Times New Roman"/>
          <w:sz w:val="14"/>
          <w:szCs w:val="14"/>
          <w:color w:val="auto"/>
        </w:rPr>
        <w:t>. Transistors and other circuit elements comprising an IC are formed by repeating a series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processes in which a photosensitive material is 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probe, which involves visually and electronically inspecting each individual IC in order to identify those that are operable for assembly.</w:t>
      </w:r>
    </w:p>
    <w:p>
      <w:pPr>
        <w:spacing w:after="0" w:line="61" w:lineRule="exact"/>
        <w:rPr>
          <w:sz w:val="20"/>
          <w:szCs w:val="20"/>
          <w:color w:val="auto"/>
        </w:rPr>
      </w:pPr>
    </w:p>
    <w:p>
      <w:pPr>
        <w:ind w:right="3939"/>
        <w:spacing w:after="0" w:line="255" w:lineRule="auto"/>
        <w:rPr>
          <w:sz w:val="20"/>
          <w:szCs w:val="20"/>
          <w:color w:val="auto"/>
        </w:rPr>
      </w:pPr>
      <w:r>
        <w:rPr>
          <w:rFonts w:ascii="Times New Roman" w:cs="Times New Roman" w:eastAsia="Times New Roman" w:hAnsi="Times New Roman"/>
          <w:sz w:val="14"/>
          <w:szCs w:val="14"/>
          <w:i w:val="1"/>
          <w:iCs w:val="1"/>
          <w:color w:val="auto"/>
        </w:rPr>
        <w:t>Assembly and Test</w:t>
      </w:r>
      <w:r>
        <w:rPr>
          <w:rFonts w:ascii="Times New Roman" w:cs="Times New Roman" w:eastAsia="Times New Roman" w:hAnsi="Times New Roman"/>
          <w:sz w:val="14"/>
          <w:szCs w:val="14"/>
          <w:color w:val="auto"/>
        </w:rPr>
        <w:t>. After IC manufacture, the wafers are transferred to assembly and test facilities.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assembly process, each wafer is cut into dies, or individual semiconductors, and tested. Defective dies are discarded, while good dies are packaged and assembled. Assembly protects the IC, facilitates its integration into electronic systems and enables the dissipation of heat. Following assembly, the functionality, voltage, current and timing of each IC is tested. After testing, the completed IC is shipped to the IC supplier or directly to its final destination.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Processes</w:t>
      </w:r>
    </w:p>
    <w:p>
      <w:pPr>
        <w:spacing w:after="0" w:line="91"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color w:val="auto"/>
        </w:rPr>
        <w:t>We manufacture ICs on silicon wafers, generally using the customer's proprietary circuit designs. In some cases we use third-party designs or our own proprietary product design. The end product of our manufacturing process is a silicon wafer containing multiple identical ICs. In most cases, our customer assumes responsibility for dicing and assembly. Although we are an independent foundry specializing in wafer fabrication, we offer our customers the option to purchase from us finished semiconductor products that have been assembled and tested. In these cases, we take responsibility for the production and delivery of finished IC products to our customer on a turnkey basis and subcontract some or all of the dicing, assembly and testing functions to third parties. We also maintain limited assembly capabilities for manufacturing prototype units to facilitate customer evaluation and thereby accelerate new product introduction.</w:t>
      </w:r>
    </w:p>
    <w:p>
      <w:pPr>
        <w:spacing w:after="0" w:line="61" w:lineRule="exact"/>
        <w:rPr>
          <w:sz w:val="20"/>
          <w:szCs w:val="20"/>
          <w:color w:val="auto"/>
        </w:rPr>
      </w:pPr>
    </w:p>
    <w:p>
      <w:pPr>
        <w:ind w:right="3959"/>
        <w:spacing w:after="0" w:line="254" w:lineRule="auto"/>
        <w:rPr>
          <w:sz w:val="20"/>
          <w:szCs w:val="20"/>
          <w:color w:val="auto"/>
        </w:rPr>
      </w:pPr>
      <w:r>
        <w:rPr>
          <w:rFonts w:ascii="Times New Roman" w:cs="Times New Roman" w:eastAsia="Times New Roman" w:hAnsi="Times New Roman"/>
          <w:sz w:val="14"/>
          <w:szCs w:val="14"/>
          <w:color w:val="auto"/>
        </w:rPr>
        <w:t>We manufacture ICs using CMOS process technology. CMOS is currently the dominant semiconductor manufacturing process because it requires lower power than other technologies and allows dense placement of components onto a single IC. The low power consumption and high-density characteristics of the CMOS process allow the continued development of high performance ICs that are smaller and faster. We believe that our specialized process technology distinguishes our IC manufacturing services and attracts many industry-leading customers. The specific process technologies that we focus on include:</w:t>
      </w:r>
    </w:p>
    <w:p>
      <w:pPr>
        <w:spacing w:after="0" w:line="58" w:lineRule="exact"/>
        <w:rPr>
          <w:sz w:val="20"/>
          <w:szCs w:val="20"/>
          <w:color w:val="auto"/>
        </w:rPr>
      </w:pPr>
    </w:p>
    <w:p>
      <w:pPr>
        <w:ind w:right="3979"/>
        <w:spacing w:after="0" w:line="282" w:lineRule="auto"/>
        <w:rPr>
          <w:sz w:val="20"/>
          <w:szCs w:val="20"/>
          <w:color w:val="auto"/>
        </w:rPr>
      </w:pPr>
      <w:r>
        <w:rPr>
          <w:rFonts w:ascii="Times New Roman" w:cs="Times New Roman" w:eastAsia="Times New Roman" w:hAnsi="Times New Roman"/>
          <w:sz w:val="14"/>
          <w:szCs w:val="14"/>
          <w:i w:val="1"/>
          <w:iCs w:val="1"/>
          <w:color w:val="auto"/>
        </w:rPr>
        <w:t>CMOS Image Sensors</w:t>
      </w:r>
      <w:r>
        <w:rPr>
          <w:rFonts w:ascii="Times New Roman" w:cs="Times New Roman" w:eastAsia="Times New Roman" w:hAnsi="Times New Roman"/>
          <w:sz w:val="14"/>
          <w:szCs w:val="14"/>
          <w:color w:val="auto"/>
        </w:rPr>
        <w:t>. Our advanced CMOS image sensor process is intended to meet the established growing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demand for optical sensors used in consumer, industrial, medical and automotive</w:t>
      </w:r>
    </w:p>
    <w:p>
      <w:pPr>
        <w:spacing w:after="0" w:line="18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79"/>
        <w:spacing w:after="0" w:line="256" w:lineRule="auto"/>
        <w:rPr>
          <w:sz w:val="20"/>
          <w:szCs w:val="20"/>
          <w:color w:val="auto"/>
        </w:rPr>
      </w:pPr>
      <w:r>
        <w:rPr>
          <w:rFonts w:ascii="Times New Roman" w:cs="Times New Roman" w:eastAsia="Times New Roman" w:hAnsi="Times New Roman"/>
          <w:sz w:val="14"/>
          <w:szCs w:val="14"/>
          <w:color w:val="auto"/>
        </w:rPr>
        <w:t>applications. Our dedicated manufacturing and testing processes assure consistently high electro-optical performance of the integrated sensor through wafer-level characterization. Our CMOS image sensor process has demonstrated superior optical characteristics, excellent spectral response and high resolution and sensitivity. The ultra-low dark current, high efficiency and accurate spectral response to our photodiode enable faithful color reproduction and acute detail definition.</w:t>
      </w:r>
    </w:p>
    <w:p>
      <w:pPr>
        <w:spacing w:after="0" w:line="57" w:lineRule="exact"/>
        <w:rPr>
          <w:sz w:val="20"/>
          <w:szCs w:val="20"/>
          <w:color w:val="auto"/>
        </w:rPr>
      </w:pPr>
    </w:p>
    <w:p>
      <w:pPr>
        <w:ind w:right="4039"/>
        <w:spacing w:after="0" w:line="253" w:lineRule="auto"/>
        <w:rPr>
          <w:sz w:val="20"/>
          <w:szCs w:val="20"/>
          <w:color w:val="auto"/>
        </w:rPr>
      </w:pPr>
      <w:r>
        <w:rPr>
          <w:rFonts w:ascii="Times New Roman" w:cs="Times New Roman" w:eastAsia="Times New Roman" w:hAnsi="Times New Roman"/>
          <w:sz w:val="14"/>
          <w:szCs w:val="14"/>
          <w:color w:val="auto"/>
        </w:rPr>
        <w:t>In addition, our innovative "stitching" technology enables semiconductor exposure tools to manufacture single ultra high-resolution CMOS image sensors containing millions of pixels at sizes far larger than their existing field. Our 0.5-and 0.35-micron CMOS image sensor processes permit the customer to create high-quality solutions and integrate a product's CMOS analog and logic circuitry together with the sensor pixel array all on one chip, thereby facilitating miniaturization, reducing power consumption and increasing performance. We are currently developing a 0.18-micron CMOS image sensor process to address the rapidly growing market for camera-embedded cell phones and low end digital cameras.</w:t>
      </w:r>
    </w:p>
    <w:p>
      <w:pPr>
        <w:sectPr>
          <w:pgSz w:w="11900" w:h="16838" w:orient="portrait"/>
          <w:cols w:equalWidth="0" w:num="1">
            <w:col w:w="10239"/>
          </w:cols>
          <w:pgMar w:left="220" w:top="218" w:right="1440" w:bottom="0" w:gutter="0" w:footer="0" w:header="0"/>
        </w:sectPr>
      </w:pPr>
    </w:p>
    <w:bookmarkStart w:id="26" w:name="page27"/>
    <w:bookmarkEnd w:id="26"/>
    <w:p>
      <w:pPr>
        <w:ind w:right="4039"/>
        <w:spacing w:after="0" w:line="253" w:lineRule="auto"/>
        <w:rPr>
          <w:sz w:val="20"/>
          <w:szCs w:val="20"/>
          <w:color w:val="auto"/>
        </w:rPr>
      </w:pPr>
      <w:r>
        <w:rPr>
          <w:rFonts w:ascii="Times New Roman" w:cs="Times New Roman" w:eastAsia="Times New Roman" w:hAnsi="Times New Roman"/>
          <w:sz w:val="14"/>
          <w:szCs w:val="14"/>
          <w:i w:val="1"/>
          <w:iCs w:val="1"/>
          <w:color w:val="auto"/>
        </w:rPr>
        <w:t>Embedded Flash</w:t>
      </w:r>
      <w:r>
        <w:rPr>
          <w:rFonts w:ascii="Times New Roman" w:cs="Times New Roman" w:eastAsia="Times New Roman" w:hAnsi="Times New Roman"/>
          <w:sz w:val="14"/>
          <w:szCs w:val="14"/>
          <w:color w:val="auto"/>
        </w:rPr>
        <w:t>. Our</w:t>
      </w:r>
      <w:r>
        <w:rPr>
          <w:rFonts w:ascii="Times New Roman" w:cs="Times New Roman" w:eastAsia="Times New Roman" w:hAnsi="Times New Roman"/>
          <w:sz w:val="14"/>
          <w:szCs w:val="14"/>
          <w:i w:val="1"/>
          <w:iCs w:val="1"/>
          <w:color w:val="auto"/>
        </w:rPr>
        <w:t xml:space="preserve"> micro</w:t>
      </w:r>
      <w:r>
        <w:rPr>
          <w:rFonts w:ascii="Times New Roman" w:cs="Times New Roman" w:eastAsia="Times New Roman" w:hAnsi="Times New Roman"/>
          <w:sz w:val="14"/>
          <w:szCs w:val="14"/>
          <w:color w:val="auto"/>
        </w:rPr>
        <w:t>FLASH technology, based on Saifun's patented NROM technology, provides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greater memory cell density than other currently available flash architectures for given design rule generation, permitting an approximately four-fold reduction in the size of the memory cell for stand-alone memories and embedded applications in a given geometry. The relative simplicity of our </w:t>
      </w:r>
      <w:r>
        <w:rPr>
          <w:rFonts w:ascii="Times New Roman" w:cs="Times New Roman" w:eastAsia="Times New Roman" w:hAnsi="Times New Roman"/>
          <w:sz w:val="14"/>
          <w:szCs w:val="14"/>
          <w:i w:val="1"/>
          <w:iCs w:val="1"/>
          <w:color w:val="auto"/>
        </w:rPr>
        <w:t>micro</w:t>
      </w:r>
      <w:r>
        <w:rPr>
          <w:rFonts w:ascii="Times New Roman" w:cs="Times New Roman" w:eastAsia="Times New Roman" w:hAnsi="Times New Roman"/>
          <w:sz w:val="14"/>
          <w:szCs w:val="14"/>
          <w:color w:val="auto"/>
        </w:rPr>
        <w:t xml:space="preserve">FLASH manufacturing process enables the technology to offer cost advantages over competing flash technologies for high density memories. Using our 0.5-micron technology, we have introduced the first of our </w:t>
      </w:r>
      <w:r>
        <w:rPr>
          <w:rFonts w:ascii="Times New Roman" w:cs="Times New Roman" w:eastAsia="Times New Roman" w:hAnsi="Times New Roman"/>
          <w:sz w:val="14"/>
          <w:szCs w:val="14"/>
          <w:i w:val="1"/>
          <w:iCs w:val="1"/>
          <w:color w:val="auto"/>
        </w:rPr>
        <w:t>micro</w:t>
      </w:r>
      <w:r>
        <w:rPr>
          <w:rFonts w:ascii="Times New Roman" w:cs="Times New Roman" w:eastAsia="Times New Roman" w:hAnsi="Times New Roman"/>
          <w:sz w:val="14"/>
          <w:szCs w:val="14"/>
          <w:color w:val="auto"/>
        </w:rPr>
        <w:t>FLASH processes into production with the manufacture of a 2 megabit stand-alone memory device and embedded multi-time programming modules, with a limited number of rewrite cycles.</w:t>
      </w:r>
    </w:p>
    <w:p>
      <w:pPr>
        <w:spacing w:after="0" w:line="58" w:lineRule="exact"/>
        <w:rPr>
          <w:sz w:val="20"/>
          <w:szCs w:val="20"/>
          <w:color w:val="auto"/>
        </w:rPr>
      </w:pPr>
    </w:p>
    <w:p>
      <w:pPr>
        <w:ind w:right="3979"/>
        <w:spacing w:after="0" w:line="259" w:lineRule="auto"/>
        <w:rPr>
          <w:sz w:val="20"/>
          <w:szCs w:val="20"/>
          <w:color w:val="auto"/>
        </w:rPr>
      </w:pPr>
      <w:r>
        <w:rPr>
          <w:rFonts w:ascii="Times New Roman" w:cs="Times New Roman" w:eastAsia="Times New Roman" w:hAnsi="Times New Roman"/>
          <w:sz w:val="14"/>
          <w:szCs w:val="14"/>
          <w:i w:val="1"/>
          <w:iCs w:val="1"/>
          <w:color w:val="auto"/>
        </w:rPr>
        <w:t>Mixed Signal</w:t>
      </w:r>
      <w:r>
        <w:rPr>
          <w:rFonts w:ascii="Times New Roman" w:cs="Times New Roman" w:eastAsia="Times New Roman" w:hAnsi="Times New Roman"/>
          <w:sz w:val="14"/>
          <w:szCs w:val="14"/>
          <w:color w:val="auto"/>
        </w:rPr>
        <w:t>. We have developed the Tower Mixed-Signal Design Kit, which contains a comprehensive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characterization of a wide range of analog devices, providing our customers with the ability to design mixed-signal ICs for their specific needs. In addition, we developed certain mixed-signal features for use with our 0.18-micron process and are working to develop more features.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Fab 1</w:t>
      </w:r>
    </w:p>
    <w:p>
      <w:pPr>
        <w:spacing w:after="0" w:line="91" w:lineRule="exact"/>
        <w:rPr>
          <w:sz w:val="20"/>
          <w:szCs w:val="20"/>
          <w:color w:val="auto"/>
        </w:rPr>
      </w:pPr>
    </w:p>
    <w:p>
      <w:pPr>
        <w:ind w:right="4059"/>
        <w:spacing w:after="0" w:line="258" w:lineRule="auto"/>
        <w:rPr>
          <w:sz w:val="20"/>
          <w:szCs w:val="20"/>
          <w:color w:val="auto"/>
        </w:rPr>
      </w:pPr>
      <w:r>
        <w:rPr>
          <w:rFonts w:ascii="Times New Roman" w:cs="Times New Roman" w:eastAsia="Times New Roman" w:hAnsi="Times New Roman"/>
          <w:sz w:val="14"/>
          <w:szCs w:val="14"/>
          <w:color w:val="auto"/>
        </w:rPr>
        <w:t>We acquired our Fab 1 facility from National Semiconductor in March 1993 when National Semiconductor, which had operated the facility since 1986, sold the facility as part of a worldwide restructuring of its manufacturing operations. We occupy the facility pursuant to a long-term lease from the Israel Lands Authority that expires in 2032.</w:t>
      </w:r>
    </w:p>
    <w:p>
      <w:pPr>
        <w:spacing w:after="0" w:line="57" w:lineRule="exact"/>
        <w:rPr>
          <w:sz w:val="20"/>
          <w:szCs w:val="20"/>
          <w:color w:val="auto"/>
        </w:rPr>
      </w:pPr>
    </w:p>
    <w:p>
      <w:pPr>
        <w:ind w:right="4459"/>
        <w:spacing w:after="0" w:line="263" w:lineRule="auto"/>
        <w:rPr>
          <w:sz w:val="20"/>
          <w:szCs w:val="20"/>
          <w:color w:val="auto"/>
        </w:rPr>
      </w:pPr>
      <w:r>
        <w:rPr>
          <w:rFonts w:ascii="Times New Roman" w:cs="Times New Roman" w:eastAsia="Times New Roman" w:hAnsi="Times New Roman"/>
          <w:sz w:val="14"/>
          <w:szCs w:val="14"/>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54"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color w:val="auto"/>
        </w:rPr>
        <w:t>Since we commenced manufacturing at Fab 1, we have increased our manufacturing capacity from 5,000 wafer starts per month, using 1.25-micron and 1.0-micron processes, to approximately 16,000 wafer starts per month based on our current product mix, which is primarily concentrated on our 0.35-micron, 0.5-micron and other specialized processes. However, our exact capacity is variable and depends on the combination of the processes being used and may be significantly lower at certain times as a result of certain of our combinations. In general, our ability to increase our manufacturing capacity has been achieved through the addition of equipment, improvement in equipment utilization, the reconfiguration and expansion of the existing clean room area and the construction of an additional clean room area within the building shell of Fab 1. Approximately 60% of our Fab 1 facility is capable of 0.5-micron and below process technology.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Fab 2</w:t>
      </w:r>
    </w:p>
    <w:p>
      <w:pPr>
        <w:spacing w:after="0" w:line="91" w:lineRule="exact"/>
        <w:rPr>
          <w:sz w:val="20"/>
          <w:szCs w:val="20"/>
          <w:color w:val="auto"/>
        </w:rPr>
      </w:pPr>
    </w:p>
    <w:p>
      <w:pPr>
        <w:ind w:right="3979"/>
        <w:spacing w:after="0" w:line="279" w:lineRule="auto"/>
        <w:rPr>
          <w:sz w:val="20"/>
          <w:szCs w:val="20"/>
          <w:color w:val="auto"/>
        </w:rPr>
      </w:pPr>
      <w:r>
        <w:rPr>
          <w:rFonts w:ascii="Times New Roman" w:cs="Times New Roman" w:eastAsia="Times New Roman" w:hAnsi="Times New Roman"/>
          <w:sz w:val="14"/>
          <w:szCs w:val="14"/>
          <w:color w:val="auto"/>
        </w:rPr>
        <w:t>In January 2001, we commenced construction of Fab 2, our new advanced wafer fab adjacent to Fab 1 in Migdal Haemek. Fab 2 offers IC manufacturing services utilizing advanced materials and a</w:t>
      </w:r>
    </w:p>
    <w:p>
      <w:pPr>
        <w:spacing w:after="0" w:line="17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19"/>
        <w:spacing w:after="0" w:line="251" w:lineRule="auto"/>
        <w:rPr>
          <w:sz w:val="20"/>
          <w:szCs w:val="20"/>
          <w:color w:val="auto"/>
        </w:rPr>
      </w:pPr>
      <w:r>
        <w:rPr>
          <w:rFonts w:ascii="Times New Roman" w:cs="Times New Roman" w:eastAsia="Times New Roman" w:hAnsi="Times New Roman"/>
          <w:sz w:val="14"/>
          <w:szCs w:val="14"/>
          <w:color w:val="auto"/>
        </w:rPr>
        <w:t>0.18-micron process technology we licensed from Toshiba. We have also licensed 0.13-micron process technology from Motorola, which we are developing and expect to offer in the future. The overall clean room area in Fab 2 is approximately 100,000 square feet. We began volume production at Fab 2 during the third quarter of 2003, and production capacity as of November 30, 2003 was 7,000 wafer starts per month. By year end we anticipate that Fab 2 will have production capacity of 8,500 wafer starts per month, and we currently expect to have production capacity ranging between 13,000 and 15,000 wafer starts per month by the end of 2004. We expect the production ramp to be completed by the end of 2006, at which time Fab 2 is expected to have the capacity to produce 33,000 wafer starts per month. We currently expect that the total cost of the construction, equipping of the facility and ramp-up of the manufacturing line will be approximately $1.5 billion, of which approximately $824 million has been expended through September 30, 2003. The land on which Fab 2 is located is subject to a long-term lease from the Israel Lands Authority that expires in 2049.</w:t>
      </w:r>
    </w:p>
    <w:p>
      <w:pPr>
        <w:spacing w:after="0" w:line="63" w:lineRule="exact"/>
        <w:rPr>
          <w:sz w:val="20"/>
          <w:szCs w:val="20"/>
          <w:color w:val="auto"/>
        </w:rPr>
      </w:pPr>
    </w:p>
    <w:p>
      <w:pPr>
        <w:ind w:right="3959"/>
        <w:spacing w:after="0" w:line="254" w:lineRule="auto"/>
        <w:rPr>
          <w:sz w:val="20"/>
          <w:szCs w:val="20"/>
          <w:color w:val="auto"/>
        </w:rPr>
      </w:pPr>
      <w:r>
        <w:rPr>
          <w:rFonts w:ascii="Times New Roman" w:cs="Times New Roman" w:eastAsia="Times New Roman" w:hAnsi="Times New Roman"/>
          <w:sz w:val="14"/>
          <w:szCs w:val="14"/>
          <w:color w:val="auto"/>
        </w:rPr>
        <w:t>Since 2000, we have invested significantly in the purchase of fixed assets, primarily in connection with the construction of Fab 2, technology advancement and capacity expansion. For the nine-month period ended September 30, 2003, capital expenditures for the purchase of plant and equipment were approximately $135 million before related Investment Center grants of $24 million. Capital expenditures in fiscal 2002, 2001 and 2000 were approximately $209 million, $336 million and $64 million, before related Investment Center grants of $37 million, $67 million and $21 million,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Procurement and Sourcing</w:t>
      </w:r>
    </w:p>
    <w:p>
      <w:pPr>
        <w:spacing w:after="0" w:line="91" w:lineRule="exact"/>
        <w:rPr>
          <w:sz w:val="20"/>
          <w:szCs w:val="20"/>
          <w:color w:val="auto"/>
        </w:rPr>
      </w:pPr>
    </w:p>
    <w:p>
      <w:pPr>
        <w:ind w:right="4059"/>
        <w:spacing w:after="0" w:line="258" w:lineRule="auto"/>
        <w:rPr>
          <w:sz w:val="20"/>
          <w:szCs w:val="20"/>
          <w:color w:val="auto"/>
        </w:rPr>
      </w:pPr>
      <w:r>
        <w:rPr>
          <w:rFonts w:ascii="Times New Roman" w:cs="Times New Roman" w:eastAsia="Times New Roman" w:hAnsi="Times New Roman"/>
          <w:sz w:val="14"/>
          <w:szCs w:val="14"/>
          <w:color w:val="auto"/>
        </w:rPr>
        <w:t>Our manufacturing processes use many raw materials, including silicon wafers, chemicals, gases and various metals. These raw materials generally are available from several suppliers. In many instances, we purchase raw materials from a single source. In connection with our technology advancement plans, including our Fab 2 business plan, we expect to continue to make purchases of semiconductor manufacturing equipment.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91" w:lineRule="exact"/>
        <w:rPr>
          <w:sz w:val="20"/>
          <w:szCs w:val="20"/>
          <w:color w:val="auto"/>
        </w:rPr>
      </w:pPr>
    </w:p>
    <w:p>
      <w:pPr>
        <w:ind w:right="3979"/>
        <w:spacing w:after="0" w:line="256" w:lineRule="auto"/>
        <w:rPr>
          <w:sz w:val="20"/>
          <w:szCs w:val="20"/>
          <w:color w:val="auto"/>
        </w:rPr>
      </w:pPr>
      <w:r>
        <w:rPr>
          <w:rFonts w:ascii="Times New Roman" w:cs="Times New Roman" w:eastAsia="Times New Roman" w:hAnsi="Times New Roman"/>
          <w:sz w:val="14"/>
          <w:szCs w:val="14"/>
          <w:color w:val="auto"/>
        </w:rPr>
        <w:t>Our future success, depends to a large degree, on our ability to continue to successfully develop and introduce to production, advanced process technologies that meet our customers' needs. Our process development strategy relies on process technologies that we primarily license from third parties (See "— Material Licensing Arrangements"); develop at our customers' request or in cooperation with our customers; and internally develop utilizing intellectual property licensed from third parties.</w:t>
      </w:r>
    </w:p>
    <w:p>
      <w:pPr>
        <w:spacing w:after="0" w:line="57" w:lineRule="exact"/>
        <w:rPr>
          <w:sz w:val="20"/>
          <w:szCs w:val="20"/>
          <w:color w:val="auto"/>
        </w:rPr>
      </w:pPr>
    </w:p>
    <w:p>
      <w:pPr>
        <w:ind w:right="3919"/>
        <w:spacing w:after="0" w:line="252" w:lineRule="auto"/>
        <w:rPr>
          <w:sz w:val="20"/>
          <w:szCs w:val="20"/>
          <w:color w:val="auto"/>
        </w:rPr>
      </w:pPr>
      <w:r>
        <w:rPr>
          <w:rFonts w:ascii="Times New Roman" w:cs="Times New Roman" w:eastAsia="Times New Roman" w:hAnsi="Times New Roman"/>
          <w:sz w:val="14"/>
          <w:szCs w:val="14"/>
          <w:color w:val="auto"/>
        </w:rPr>
        <w:t xml:space="preserve">The completion of the construction of Fab 2 and qualification of advanced CMOS process technologies in geometries of 0.18 microns have enabled us to focus on development of process technologies in the specialized CMOS image sensor, embedded flash and mixed-signal markets. Our technology alliances with leading semiconductor suppliers contribute to our development of new process technologies in Fab 2. For example, our joint development alliance with Matsushita in May 2002 has accelerated the development of our 0.18-micron </w:t>
      </w:r>
      <w:r>
        <w:rPr>
          <w:rFonts w:ascii="Times New Roman" w:cs="Times New Roman" w:eastAsia="Times New Roman" w:hAnsi="Times New Roman"/>
          <w:sz w:val="14"/>
          <w:szCs w:val="14"/>
          <w:i w:val="1"/>
          <w:iCs w:val="1"/>
          <w:color w:val="auto"/>
        </w:rPr>
        <w:t>micro</w:t>
      </w:r>
      <w:r>
        <w:rPr>
          <w:rFonts w:ascii="Times New Roman" w:cs="Times New Roman" w:eastAsia="Times New Roman" w:hAnsi="Times New Roman"/>
          <w:sz w:val="14"/>
          <w:szCs w:val="14"/>
          <w:color w:val="auto"/>
        </w:rPr>
        <w:t>FLASH technology, which is expected to begin prototyping in the middle of 2004 and be offered in Fab 2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2005. In addition, our technology transfer and licensing agreement entered into in January 2002 with IMEC enables us to offer certain advanced analog and mixed-signal technologies for use in Fab 2 in geometries of 0.18 microns for the manufacture of components used in products such as cell phones.</w:t>
      </w:r>
    </w:p>
    <w:p>
      <w:pPr>
        <w:spacing w:after="0" w:line="61" w:lineRule="exact"/>
        <w:rPr>
          <w:sz w:val="20"/>
          <w:szCs w:val="20"/>
          <w:color w:val="auto"/>
        </w:rPr>
      </w:pPr>
    </w:p>
    <w:p>
      <w:pPr>
        <w:ind w:right="3979"/>
        <w:spacing w:after="0" w:line="256" w:lineRule="auto"/>
        <w:rPr>
          <w:sz w:val="20"/>
          <w:szCs w:val="20"/>
          <w:color w:val="auto"/>
        </w:rPr>
      </w:pPr>
      <w:r>
        <w:rPr>
          <w:rFonts w:ascii="Times New Roman" w:cs="Times New Roman" w:eastAsia="Times New Roman" w:hAnsi="Times New Roman"/>
          <w:sz w:val="14"/>
          <w:szCs w:val="14"/>
          <w:color w:val="auto"/>
        </w:rPr>
        <w:t>From time to time, at a customer's request, we develop a specialty process module, which we use for such customer on an exclusive basis, and, if permitted under our agreements with our customers, we then add it to our process offering. In 2001 and 2002, in cooperation with a customer, and using its know-how and IP, we developed an enhanced 0.35-micron CMOS image sensor process to be used exclusively for this customer. Production ramp on this process is currently expected to start by the end of 2003.</w:t>
      </w:r>
    </w:p>
    <w:p>
      <w:pPr>
        <w:spacing w:after="0" w:line="57" w:lineRule="exact"/>
        <w:rPr>
          <w:sz w:val="20"/>
          <w:szCs w:val="20"/>
          <w:color w:val="auto"/>
        </w:rPr>
      </w:pPr>
    </w:p>
    <w:p>
      <w:pPr>
        <w:ind w:right="3959"/>
        <w:spacing w:after="0" w:line="279" w:lineRule="auto"/>
        <w:rPr>
          <w:sz w:val="20"/>
          <w:szCs w:val="20"/>
          <w:color w:val="auto"/>
        </w:rPr>
      </w:pPr>
      <w:r>
        <w:rPr>
          <w:rFonts w:ascii="Times New Roman" w:cs="Times New Roman" w:eastAsia="Times New Roman" w:hAnsi="Times New Roman"/>
          <w:sz w:val="14"/>
          <w:szCs w:val="14"/>
          <w:color w:val="auto"/>
        </w:rPr>
        <w:t>Our research and development activities have related primarily to our process development efforts and have been sponsored and funded by us with some participation by the Israeli government.</w:t>
      </w:r>
    </w:p>
    <w:p>
      <w:pPr>
        <w:sectPr>
          <w:pgSz w:w="11900" w:h="16838" w:orient="portrait"/>
          <w:cols w:equalWidth="0" w:num="1">
            <w:col w:w="10239"/>
          </w:cols>
          <w:pgMar w:left="220" w:top="206" w:right="1440" w:bottom="19" w:gutter="0" w:footer="0" w:header="0"/>
        </w:sectPr>
      </w:pPr>
    </w:p>
    <w:p>
      <w:pPr>
        <w:spacing w:after="0" w:line="17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2413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062220" cy="24130"/>
                    </a:xfrm>
                    <a:prstGeom prst="rect">
                      <a:avLst/>
                    </a:prstGeom>
                    <a:noFill/>
                  </pic:spPr>
                </pic:pic>
              </a:graphicData>
            </a:graphic>
          </wp:anchor>
        </w:drawing>
      </w:r>
    </w:p>
    <w:p>
      <w:pPr>
        <w:sectPr>
          <w:pgSz w:w="11900" w:h="16838" w:orient="portrait"/>
          <w:cols w:equalWidth="0" w:num="1">
            <w:col w:w="10239"/>
          </w:cols>
          <w:pgMar w:left="220" w:top="206" w:right="1440" w:bottom="19" w:gutter="0" w:footer="0" w:header="0"/>
          <w:type w:val="continuous"/>
        </w:sectPr>
      </w:pPr>
    </w:p>
    <w:bookmarkStart w:id="27" w:name="page28"/>
    <w:bookmarkEnd w:id="27"/>
    <w:p>
      <w:pPr>
        <w:ind w:right="3919"/>
        <w:spacing w:after="0" w:line="256" w:lineRule="auto"/>
        <w:rPr>
          <w:sz w:val="20"/>
          <w:szCs w:val="20"/>
          <w:color w:val="auto"/>
        </w:rPr>
      </w:pPr>
      <w:r>
        <w:rPr>
          <w:rFonts w:ascii="Times New Roman" w:cs="Times New Roman" w:eastAsia="Times New Roman" w:hAnsi="Times New Roman"/>
          <w:sz w:val="14"/>
          <w:szCs w:val="14"/>
          <w:color w:val="auto"/>
        </w:rPr>
        <w:t>Research and development expenses for the years ended December 31, 2000, 2001, 2002 and the nine months ended September 30, 2003 were $9.0 million, $9.6 million, $17.0 million and $12.6 million, net of government participation of $0.9 million, $1.3 million, $1.4 million and $0.9 million, respectively. In addition, we have paid a total of $37.0 million to Toshiba and Motorola in connection with the transfer of process technologies for use in Fab 2.</w:t>
      </w:r>
    </w:p>
    <w:p>
      <w:pPr>
        <w:spacing w:after="0" w:line="57" w:lineRule="exact"/>
        <w:rPr>
          <w:sz w:val="20"/>
          <w:szCs w:val="20"/>
          <w:color w:val="auto"/>
        </w:rPr>
      </w:pPr>
    </w:p>
    <w:p>
      <w:pPr>
        <w:jc w:val="both"/>
        <w:ind w:right="4099"/>
        <w:spacing w:after="0" w:line="263" w:lineRule="auto"/>
        <w:rPr>
          <w:sz w:val="20"/>
          <w:szCs w:val="20"/>
          <w:color w:val="auto"/>
        </w:rPr>
      </w:pPr>
      <w:r>
        <w:rPr>
          <w:rFonts w:ascii="Times New Roman" w:cs="Times New Roman" w:eastAsia="Times New Roman" w:hAnsi="Times New Roman"/>
          <w:sz w:val="14"/>
          <w:szCs w:val="14"/>
          <w:color w:val="auto"/>
        </w:rPr>
        <w:t>As of September 30, 2003, we employed 160 professionals in our research and development department, 27 of whom have PhDs. In addition to our research and development department, located at our facilities in Migdal Haemek, we maintain a design center in Netanya, Israel.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 and Licensing Agreements</w:t>
      </w:r>
    </w:p>
    <w:p>
      <w:pPr>
        <w:spacing w:after="0" w:line="91" w:lineRule="exact"/>
        <w:rPr>
          <w:sz w:val="20"/>
          <w:szCs w:val="20"/>
          <w:color w:val="auto"/>
        </w:rPr>
      </w:pPr>
    </w:p>
    <w:p>
      <w:pPr>
        <w:ind w:right="3919"/>
        <w:spacing w:after="0" w:line="263" w:lineRule="auto"/>
        <w:rPr>
          <w:sz w:val="20"/>
          <w:szCs w:val="20"/>
          <w:color w:val="auto"/>
        </w:rPr>
      </w:pPr>
      <w:r>
        <w:rPr>
          <w:rFonts w:ascii="Times New Roman" w:cs="Times New Roman" w:eastAsia="Times New Roman" w:hAnsi="Times New Roman"/>
          <w:sz w:val="14"/>
          <w:szCs w:val="14"/>
          <w:color w:val="auto"/>
        </w:rPr>
        <w:t>Our success depends in part on our ability to obtain patents, licenses and other intellectual property rights covering our production processes. To that end, we have acquired certain patents and patent licenses and intend to continue to seek patents on our production processes. As of November 30, 2003, we held 48 patents.</w:t>
      </w:r>
    </w:p>
    <w:p>
      <w:pPr>
        <w:spacing w:after="0" w:line="54" w:lineRule="exact"/>
        <w:rPr>
          <w:sz w:val="20"/>
          <w:szCs w:val="20"/>
          <w:color w:val="auto"/>
        </w:rPr>
      </w:pPr>
    </w:p>
    <w:p>
      <w:pPr>
        <w:ind w:right="3939"/>
        <w:spacing w:after="0" w:line="254" w:lineRule="auto"/>
        <w:rPr>
          <w:sz w:val="20"/>
          <w:szCs w:val="20"/>
          <w:color w:val="auto"/>
        </w:rPr>
      </w:pPr>
      <w:r>
        <w:rPr>
          <w:rFonts w:ascii="Times New Roman" w:cs="Times New Roman" w:eastAsia="Times New Roman" w:hAnsi="Times New Roman"/>
          <w:sz w:val="14"/>
          <w:szCs w:val="14"/>
          <w:color w:val="auto"/>
        </w:rPr>
        <w:t>We have also entered into various patent licenses and cross-licenses with other technology companies including Toshiba, Motorola, Synopsys, Artisan Components, ARM, Ceva, IMEC, Cadence Design Systems, Chipidea Microelectronics, Matsushita and Virage Logic. We may choose to renew our present licenses or to obtain additional technology licenses in the future. There can be no assurance that any such licenses could be obtained on commercially reasonable terms. In addition, we cannot assure you that other countries in which we market our services will protect our intellectual property rights to the same extent as the United States or Israel.</w:t>
      </w:r>
    </w:p>
    <w:p>
      <w:pPr>
        <w:spacing w:after="0" w:line="60" w:lineRule="exact"/>
        <w:rPr>
          <w:sz w:val="20"/>
          <w:szCs w:val="20"/>
          <w:color w:val="auto"/>
        </w:rPr>
      </w:pPr>
    </w:p>
    <w:p>
      <w:pPr>
        <w:ind w:right="3959"/>
        <w:spacing w:after="0" w:line="253" w:lineRule="auto"/>
        <w:rPr>
          <w:sz w:val="20"/>
          <w:szCs w:val="20"/>
          <w:color w:val="auto"/>
        </w:rPr>
      </w:pPr>
      <w:r>
        <w:rPr>
          <w:rFonts w:ascii="Times New Roman" w:cs="Times New Roman" w:eastAsia="Times New Roman" w:hAnsi="Times New Roman"/>
          <w:sz w:val="14"/>
          <w:szCs w:val="14"/>
          <w:color w:val="auto"/>
        </w:rPr>
        <w:t>We constantly seek to strengthen our technological expertise through relationships with technology companies and silicon suppliers. We seek to expand our core strengths in CMOS image sensors, embedded flash and mixed-signal technologies by combining our proprietary technology with those of other technology companies. A main component of our process development strategy is to acquire licenses to standard CMOS technologies and cell libraries from leading designers, such as Motorola and Toshiba, and further develop specialized process through our internal design teams. The licensing of these technologies has enormously reduced our internal development costs.</w:t>
      </w:r>
    </w:p>
    <w:p>
      <w:pPr>
        <w:spacing w:after="0" w:line="4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CMOS Process Technology Platform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licensed an array of process technologies through the following arrangements:</w:t>
      </w:r>
    </w:p>
    <w:p>
      <w:pPr>
        <w:spacing w:after="0" w:line="170" w:lineRule="exact"/>
        <w:rPr>
          <w:sz w:val="20"/>
          <w:szCs w:val="20"/>
          <w:color w:val="auto"/>
        </w:rPr>
      </w:pPr>
    </w:p>
    <w:p>
      <w:pPr>
        <w:ind w:left="400" w:right="4339" w:hanging="261"/>
        <w:spacing w:after="0" w:line="276" w:lineRule="auto"/>
        <w:tabs>
          <w:tab w:leader="none" w:pos="4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Toshiba</w:t>
      </w:r>
      <w:r>
        <w:rPr>
          <w:rFonts w:ascii="Times New Roman" w:cs="Times New Roman" w:eastAsia="Times New Roman" w:hAnsi="Times New Roman"/>
          <w:sz w:val="13"/>
          <w:szCs w:val="13"/>
          <w:color w:val="auto"/>
        </w:rPr>
        <w:t>. In April 2000, we entered into a technology transfer agreement with Toshiba, pursuant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which Toshiba has and will transfer to us certain advanced CMOS technologies for use in Fab 2. In exchange for certain license and technology transfer fees and royalties, Toshiba has and will provide us with recipes, know-how and patent licenses and has trained a group of our engineers and managers. Subject to prior termination for cause by Toshiba, our licenses under the agreement with Toshiba are perpetual. Based on Toshiba's 0.18-micron CMOS process technology, we have internally developed an enhanced industry compatible version of the process technology.</w:t>
      </w:r>
    </w:p>
    <w:p>
      <w:pPr>
        <w:spacing w:after="0" w:line="129" w:lineRule="exact"/>
        <w:rPr>
          <w:rFonts w:ascii="Times New Roman" w:cs="Times New Roman" w:eastAsia="Times New Roman" w:hAnsi="Times New Roman"/>
          <w:sz w:val="13"/>
          <w:szCs w:val="13"/>
          <w:color w:val="auto"/>
        </w:rPr>
      </w:pPr>
    </w:p>
    <w:p>
      <w:pPr>
        <w:ind w:left="400" w:right="4339" w:hanging="261"/>
        <w:spacing w:after="0" w:line="256" w:lineRule="auto"/>
        <w:tabs>
          <w:tab w:leader="none" w:pos="4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Motorola</w:t>
      </w:r>
      <w:r>
        <w:rPr>
          <w:rFonts w:ascii="Times New Roman" w:cs="Times New Roman" w:eastAsia="Times New Roman" w:hAnsi="Times New Roman"/>
          <w:sz w:val="14"/>
          <w:szCs w:val="14"/>
          <w:color w:val="auto"/>
        </w:rPr>
        <w:t>. In September 2002, we entered into a technology transfer and development agreement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Motorola, pursuant to which Motorola has and will transfer to us its 0.13-micron HiPerMOS7 CMOS process technology for Fab 2 as well as co-develop with us an industry-standard compatible version of the process technology. Subject to prior termination for cause by Motorola, our licenses under the technology transfer agreement with Motorola are perpetual.</w:t>
      </w:r>
    </w:p>
    <w:p>
      <w:pPr>
        <w:spacing w:after="0" w:line="1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Foundation IP (Libraries)</w:t>
      </w:r>
    </w:p>
    <w:p>
      <w:pPr>
        <w:spacing w:after="0" w:line="80" w:lineRule="exact"/>
        <w:rPr>
          <w:sz w:val="20"/>
          <w:szCs w:val="20"/>
          <w:color w:val="auto"/>
        </w:rPr>
      </w:pPr>
    </w:p>
    <w:p>
      <w:pPr>
        <w:ind w:right="4059"/>
        <w:spacing w:after="0" w:line="256" w:lineRule="auto"/>
        <w:rPr>
          <w:sz w:val="20"/>
          <w:szCs w:val="20"/>
          <w:color w:val="auto"/>
        </w:rPr>
      </w:pPr>
      <w:r>
        <w:rPr>
          <w:rFonts w:ascii="Times New Roman" w:cs="Times New Roman" w:eastAsia="Times New Roman" w:hAnsi="Times New Roman"/>
          <w:sz w:val="14"/>
          <w:szCs w:val="14"/>
          <w:color w:val="auto"/>
        </w:rPr>
        <w:t>To better serve our customers design needs in advanced CMOS processes, we have entered into a series of agreements with leading providers of physical design libraries. These libraries are basic design building blocks, such as standard cells, interface input-output (I/O) cells and software compilers for the generation of on-chip embedded memories arrays. To achieve optimal performance, these libraries must be customized to work with our manufacturing process and are used in virtually every digital chip design of our customers.</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right="4499" w:hanging="261"/>
        <w:spacing w:after="0" w:line="259" w:lineRule="auto"/>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Synopsys</w:t>
      </w:r>
      <w:r>
        <w:rPr>
          <w:rFonts w:ascii="Times New Roman" w:cs="Times New Roman" w:eastAsia="Times New Roman" w:hAnsi="Times New Roman"/>
          <w:sz w:val="14"/>
          <w:szCs w:val="14"/>
          <w:color w:val="auto"/>
        </w:rPr>
        <w:t>. In June 2001, we entered into an agreement with Synopsys (formerly, Avant!)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Synopsys has developed libraries for our 0.18-micron process technology. The Synopsys libraries are available to our customers free of charge, and multiple customers use them in producing their ICs at Tower.</w:t>
      </w:r>
    </w:p>
    <w:p>
      <w:pPr>
        <w:spacing w:after="0" w:line="137" w:lineRule="exact"/>
        <w:rPr>
          <w:rFonts w:ascii="Times New Roman" w:cs="Times New Roman" w:eastAsia="Times New Roman" w:hAnsi="Times New Roman"/>
          <w:sz w:val="14"/>
          <w:szCs w:val="14"/>
          <w:color w:val="auto"/>
        </w:rPr>
      </w:pPr>
    </w:p>
    <w:p>
      <w:pPr>
        <w:ind w:left="400" w:right="4339" w:hanging="261"/>
        <w:spacing w:after="0" w:line="256" w:lineRule="auto"/>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Artisan Components</w:t>
      </w:r>
      <w:r>
        <w:rPr>
          <w:rFonts w:ascii="Times New Roman" w:cs="Times New Roman" w:eastAsia="Times New Roman" w:hAnsi="Times New Roman"/>
          <w:sz w:val="14"/>
          <w:szCs w:val="14"/>
          <w:color w:val="auto"/>
        </w:rPr>
        <w:t>. In June 2002, we entered into a master services and license agreement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Artisan Components. Under this agreement, Artisan Components has developed a suite of library products for our 0.18-micron process technology. Artisan Components is licensing its libraries to our customers free of charge and multiple customers are using the Artisan Components libraries in their chip design for manufacturing at Tower.</w:t>
      </w:r>
    </w:p>
    <w:p>
      <w:pPr>
        <w:spacing w:after="0" w:line="1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Embedded Processors</w:t>
      </w:r>
    </w:p>
    <w:p>
      <w:pPr>
        <w:spacing w:after="0" w:line="80" w:lineRule="exact"/>
        <w:rPr>
          <w:sz w:val="20"/>
          <w:szCs w:val="20"/>
          <w:color w:val="auto"/>
        </w:rPr>
      </w:pPr>
    </w:p>
    <w:p>
      <w:pPr>
        <w:ind w:right="4019"/>
        <w:spacing w:after="0" w:line="263" w:lineRule="auto"/>
        <w:rPr>
          <w:sz w:val="20"/>
          <w:szCs w:val="20"/>
          <w:color w:val="auto"/>
        </w:rPr>
      </w:pPr>
      <w:r>
        <w:rPr>
          <w:rFonts w:ascii="Times New Roman" w:cs="Times New Roman" w:eastAsia="Times New Roman" w:hAnsi="Times New Roman"/>
          <w:sz w:val="14"/>
          <w:szCs w:val="14"/>
          <w:color w:val="auto"/>
        </w:rPr>
        <w:t>To give our customers a low-risk, low-cost, fast time-to-market solution for their system-on-chip, or SoC, designs, we offer them process-optimized silicon-proven embedded processors from world leaders in embedded processors.</w:t>
      </w:r>
    </w:p>
    <w:p>
      <w:pPr>
        <w:spacing w:after="0" w:line="135" w:lineRule="exact"/>
        <w:rPr>
          <w:sz w:val="20"/>
          <w:szCs w:val="20"/>
          <w:color w:val="auto"/>
        </w:rPr>
      </w:pPr>
    </w:p>
    <w:p>
      <w:pPr>
        <w:ind w:left="400" w:right="4459" w:hanging="261"/>
        <w:spacing w:after="0" w:line="255" w:lineRule="auto"/>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ARM</w:t>
      </w:r>
      <w:r>
        <w:rPr>
          <w:rFonts w:ascii="Times New Roman" w:cs="Times New Roman" w:eastAsia="Times New Roman" w:hAnsi="Times New Roman"/>
          <w:sz w:val="14"/>
          <w:szCs w:val="14"/>
          <w:color w:val="auto"/>
        </w:rPr>
        <w:t>. In November 2002, we joined ARM's Foundry License Program. Through the ARM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Program, our customers have gained access to two of ARM's most widely used 32-bit embedded microprocessor cores, or elements, which have been optimized and tested to work on our 0.18-micron manufacturing process. As ARM cores are the most widely used embedded microprocessors today, our agreement with ARM provides our customers a low-risk, low-cost solution for designing and manufacturing advanced ARM-based SoCs at Tower.</w:t>
      </w:r>
    </w:p>
    <w:p>
      <w:pPr>
        <w:spacing w:after="0" w:line="139" w:lineRule="exact"/>
        <w:rPr>
          <w:rFonts w:ascii="Times New Roman" w:cs="Times New Roman" w:eastAsia="Times New Roman" w:hAnsi="Times New Roman"/>
          <w:sz w:val="14"/>
          <w:szCs w:val="14"/>
          <w:color w:val="auto"/>
        </w:rPr>
      </w:pPr>
    </w:p>
    <w:p>
      <w:pPr>
        <w:ind w:left="400" w:right="4379" w:hanging="261"/>
        <w:spacing w:after="0" w:line="259" w:lineRule="auto"/>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Ceva</w:t>
      </w:r>
      <w:r>
        <w:rPr>
          <w:rFonts w:ascii="Times New Roman" w:cs="Times New Roman" w:eastAsia="Times New Roman" w:hAnsi="Times New Roman"/>
          <w:sz w:val="14"/>
          <w:szCs w:val="14"/>
          <w:color w:val="auto"/>
        </w:rPr>
        <w:t>. In December 2001, we signed an agreement with Ceva for the customization of their Teak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XperTeak DSP-core for Tower's 0.18-micron manufacturing process. Under this agreement, Ceva has developed DSP macrocells, which are available for the use of our customers' SoCs from Ceva.</w:t>
      </w:r>
    </w:p>
    <w:p>
      <w:pPr>
        <w:spacing w:after="0" w:line="1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Mixed-signal Technologies</w:t>
      </w:r>
    </w:p>
    <w:p>
      <w:pPr>
        <w:spacing w:after="0" w:line="80" w:lineRule="exact"/>
        <w:rPr>
          <w:sz w:val="20"/>
          <w:szCs w:val="20"/>
          <w:color w:val="auto"/>
        </w:rPr>
      </w:pPr>
    </w:p>
    <w:p>
      <w:pPr>
        <w:ind w:right="4079"/>
        <w:spacing w:after="0" w:line="279" w:lineRule="auto"/>
        <w:rPr>
          <w:sz w:val="20"/>
          <w:szCs w:val="20"/>
          <w:color w:val="auto"/>
        </w:rPr>
      </w:pPr>
      <w:r>
        <w:rPr>
          <w:rFonts w:ascii="Times New Roman" w:cs="Times New Roman" w:eastAsia="Times New Roman" w:hAnsi="Times New Roman"/>
          <w:sz w:val="14"/>
          <w:szCs w:val="14"/>
          <w:color w:val="auto"/>
        </w:rPr>
        <w:t>To address a variety of applications for mixed-signal ICs, such as use in cell phones, we have developed strong mixed-signal process capabilities as well as proven mixed-signal IP components.</w:t>
      </w:r>
    </w:p>
    <w:p>
      <w:pPr>
        <w:spacing w:after="0" w:line="123" w:lineRule="exact"/>
        <w:rPr>
          <w:sz w:val="20"/>
          <w:szCs w:val="20"/>
          <w:color w:val="auto"/>
        </w:rPr>
      </w:pPr>
    </w:p>
    <w:p>
      <w:pPr>
        <w:ind w:left="400" w:right="4539" w:hanging="261"/>
        <w:spacing w:after="0" w:line="285" w:lineRule="auto"/>
        <w:tabs>
          <w:tab w:leader="none" w:pos="4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IMEC</w:t>
      </w:r>
      <w:r>
        <w:rPr>
          <w:rFonts w:ascii="Times New Roman" w:cs="Times New Roman" w:eastAsia="Times New Roman" w:hAnsi="Times New Roman"/>
          <w:sz w:val="13"/>
          <w:szCs w:val="13"/>
          <w:color w:val="auto"/>
        </w:rPr>
        <w:t>. In January 2002, we entered into a technology transfer and licensing agreement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IMEC pursuant to which we acquired certain advanced analog and mixed-signal process technologies to complement our CMOS process technology capabilities in the 0.18-micron geometry. Pursuant to this agreement, we received a non-exclusive, non-transferrable license to</w:t>
      </w:r>
    </w:p>
    <w:p>
      <w:pPr>
        <w:sectPr>
          <w:pgSz w:w="11900" w:h="16838" w:orient="portrait"/>
          <w:cols w:equalWidth="0" w:num="1">
            <w:col w:w="10239"/>
          </w:cols>
          <w:pgMar w:left="220" w:top="395" w:right="1440" w:bottom="0" w:gutter="0" w:footer="0" w:header="0"/>
        </w:sectPr>
      </w:pPr>
    </w:p>
    <w:bookmarkStart w:id="28" w:name="page29"/>
    <w:bookmarkEnd w:id="28"/>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manufacture or have manufactured integrated circuits utilizing the technology licensed by IMEC.</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The mixed-signal offering developed pursuant to this agreement is available to our customers.</w:t>
      </w:r>
    </w:p>
    <w:p>
      <w:pPr>
        <w:spacing w:after="0" w:line="155" w:lineRule="exact"/>
        <w:rPr>
          <w:sz w:val="20"/>
          <w:szCs w:val="20"/>
          <w:color w:val="auto"/>
        </w:rPr>
      </w:pPr>
    </w:p>
    <w:p>
      <w:pPr>
        <w:ind w:left="400" w:right="4359" w:hanging="261"/>
        <w:spacing w:after="0" w:line="255" w:lineRule="auto"/>
        <w:tabs>
          <w:tab w:leader="none" w:pos="4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Cadence Design Systems</w:t>
      </w:r>
      <w:r>
        <w:rPr>
          <w:rFonts w:ascii="Times New Roman" w:cs="Times New Roman" w:eastAsia="Times New Roman" w:hAnsi="Times New Roman"/>
          <w:sz w:val="14"/>
          <w:szCs w:val="14"/>
          <w:color w:val="auto"/>
        </w:rPr>
        <w:t>. In order to help our customers meet time-to-market constraints, we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providing them with a seamless transition from design to silicon using Cadence Design Systems Process Design Kit, or PDK. Under our agreement with Cadence Design Systems signed in 2001, Cadence Design Systems has developed a mixed-signal PDK for the use of our mixed-signal customers. PDK is a process specific analog-mixed signal library designed to work with the Cadence Design Systems custom IC tools and can be used to create analog mixed-signal ICs.</w:t>
      </w:r>
    </w:p>
    <w:p>
      <w:pPr>
        <w:spacing w:after="0" w:line="1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Embedded Non-Volatile Memories</w:t>
      </w:r>
    </w:p>
    <w:p>
      <w:pPr>
        <w:spacing w:after="0" w:line="80" w:lineRule="exact"/>
        <w:rPr>
          <w:sz w:val="20"/>
          <w:szCs w:val="20"/>
          <w:color w:val="auto"/>
        </w:rPr>
      </w:pPr>
    </w:p>
    <w:p>
      <w:pPr>
        <w:ind w:right="3919"/>
        <w:spacing w:after="0" w:line="263" w:lineRule="auto"/>
        <w:rPr>
          <w:sz w:val="20"/>
          <w:szCs w:val="20"/>
          <w:color w:val="auto"/>
        </w:rPr>
      </w:pPr>
      <w:r>
        <w:rPr>
          <w:rFonts w:ascii="Times New Roman" w:cs="Times New Roman" w:eastAsia="Times New Roman" w:hAnsi="Times New Roman"/>
          <w:sz w:val="14"/>
          <w:szCs w:val="14"/>
          <w:color w:val="auto"/>
        </w:rPr>
        <w:t>To enhance our strength in embedded non-volatile memories in the 0.18-micron process node, we are collaborating with leaders in embedded non-volatile memory technologies to address the market needs in both the high-end and the low-end of the spectrum.</w:t>
      </w:r>
    </w:p>
    <w:p>
      <w:pPr>
        <w:spacing w:after="0" w:line="135" w:lineRule="exact"/>
        <w:rPr>
          <w:sz w:val="20"/>
          <w:szCs w:val="20"/>
          <w:color w:val="auto"/>
        </w:rPr>
      </w:pPr>
    </w:p>
    <w:p>
      <w:pPr>
        <w:ind w:left="400" w:right="4359" w:hanging="261"/>
        <w:spacing w:after="0" w:line="259" w:lineRule="auto"/>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Chipidea Microelectronics</w:t>
      </w:r>
      <w:r>
        <w:rPr>
          <w:rFonts w:ascii="Times New Roman" w:cs="Times New Roman" w:eastAsia="Times New Roman" w:hAnsi="Times New Roman"/>
          <w:sz w:val="14"/>
          <w:szCs w:val="14"/>
          <w:color w:val="auto"/>
        </w:rPr>
        <w:t>. In January 2003, we entered into a non-exclusive, perpetual, royalty-free license and design agreement with Chipidea Microelectronics, a Portuguese corporation that designs and sells various types of analog and mixed-signal semiconductor intellectual property cores or elements.</w:t>
      </w:r>
    </w:p>
    <w:p>
      <w:pPr>
        <w:spacing w:after="0" w:line="137" w:lineRule="exact"/>
        <w:rPr>
          <w:rFonts w:ascii="Times New Roman" w:cs="Times New Roman" w:eastAsia="Times New Roman" w:hAnsi="Times New Roman"/>
          <w:sz w:val="14"/>
          <w:szCs w:val="14"/>
          <w:color w:val="auto"/>
        </w:rPr>
      </w:pPr>
    </w:p>
    <w:p>
      <w:pPr>
        <w:ind w:left="400" w:right="4799" w:hanging="261"/>
        <w:spacing w:after="0" w:line="322" w:lineRule="auto"/>
        <w:tabs>
          <w:tab w:leader="none" w:pos="4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Matsushita</w:t>
      </w:r>
      <w:r>
        <w:rPr>
          <w:rFonts w:ascii="Times New Roman" w:cs="Times New Roman" w:eastAsia="Times New Roman" w:hAnsi="Times New Roman"/>
          <w:sz w:val="13"/>
          <w:szCs w:val="13"/>
          <w:color w:val="auto"/>
        </w:rPr>
        <w:t>. In June 2002, we entered into an agreement with our development partner,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Matsushita, for the joint development of 0.18-micron embedded </w:t>
      </w:r>
      <w:r>
        <w:rPr>
          <w:rFonts w:ascii="Times New Roman" w:cs="Times New Roman" w:eastAsia="Times New Roman" w:hAnsi="Times New Roman"/>
          <w:sz w:val="13"/>
          <w:szCs w:val="13"/>
          <w:i w:val="1"/>
          <w:iCs w:val="1"/>
          <w:color w:val="auto"/>
        </w:rPr>
        <w:t>micro</w:t>
      </w:r>
      <w:r>
        <w:rPr>
          <w:rFonts w:ascii="Times New Roman" w:cs="Times New Roman" w:eastAsia="Times New Roman" w:hAnsi="Times New Roman"/>
          <w:sz w:val="13"/>
          <w:szCs w:val="13"/>
          <w:color w:val="auto"/>
        </w:rPr>
        <w:t>FLASH technology.</w:t>
      </w:r>
    </w:p>
    <w:p>
      <w:pPr>
        <w:spacing w:after="0" w:line="15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0" w:right="4319" w:hanging="261"/>
        <w:spacing w:after="0" w:line="256" w:lineRule="auto"/>
        <w:tabs>
          <w:tab w:leader="none" w:pos="4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Virage Logic</w:t>
      </w:r>
      <w:r>
        <w:rPr>
          <w:rFonts w:ascii="Times New Roman" w:cs="Times New Roman" w:eastAsia="Times New Roman" w:hAnsi="Times New Roman"/>
          <w:sz w:val="14"/>
          <w:szCs w:val="14"/>
          <w:color w:val="auto"/>
        </w:rPr>
        <w:t>. In March 2002, we entered into a development agreement with Virage Logic,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 specializing in embedded memory technology. Under this agreement, Virage Logic has successfully developed a suite of SRAM and ROM memory compilers for our 0.18-micron process technology, which are available for licensing by our customers. Presently, multiple customers' products that use Virage Logic's memory products are in production at Fab 2.</w:t>
      </w:r>
    </w:p>
    <w:p>
      <w:pPr>
        <w:spacing w:after="0" w:line="143" w:lineRule="exact"/>
        <w:rPr>
          <w:sz w:val="20"/>
          <w:szCs w:val="20"/>
          <w:color w:val="auto"/>
        </w:rPr>
      </w:pPr>
    </w:p>
    <w:p>
      <w:pPr>
        <w:ind w:right="3959"/>
        <w:spacing w:after="0" w:line="272" w:lineRule="auto"/>
        <w:rPr>
          <w:sz w:val="20"/>
          <w:szCs w:val="20"/>
          <w:color w:val="auto"/>
        </w:rPr>
      </w:pPr>
      <w:r>
        <w:rPr>
          <w:rFonts w:ascii="Times New Roman" w:cs="Times New Roman" w:eastAsia="Times New Roman" w:hAnsi="Times New Roman"/>
          <w:sz w:val="13"/>
          <w:szCs w:val="13"/>
          <w:color w:val="auto"/>
        </w:rPr>
        <w:t>Our ability to compete also depends on our ability to operate without infringing the proprietary rights of others. The semiconductor industry is characterized by frequent litigation regarding patent, trade secret and other intellectual property rights. There are no lawsuits currently pending against us regarding the infringement of patents or intellectual property rights of others. However, we have been a party to such claims in the past and because of the nature of the industry, we may continue to receive such communications in the future. We have recently received a notice from a technology company claiming that we and our customers are infringing its patent rights. This notice was followed by an offer to license the technology company's patents for an immaterial one-time license payment, and we have currently concluded a license agreement with this technology company. All other prior claims against us have been resolved through license agreements, the terms of which have not had a material effect on our business. One of these agreements expires at the end of 2005, and we may be unable to extend or renew it on similar terms. In the event any third party were to assert infringement claims against us or our customers, we may have to consider alternatives including, but not limited to:</w:t>
      </w:r>
    </w:p>
    <w:p>
      <w:pPr>
        <w:spacing w:after="0" w:line="132" w:lineRule="exact"/>
        <w:rPr>
          <w:sz w:val="20"/>
          <w:szCs w:val="20"/>
          <w:color w:val="auto"/>
        </w:rPr>
      </w:pPr>
    </w:p>
    <w:p>
      <w:pPr>
        <w:ind w:left="400" w:hanging="261"/>
        <w:spacing w:after="0"/>
        <w:tabs>
          <w:tab w:leader="none" w:pos="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cross-license agreements;</w:t>
      </w:r>
    </w:p>
    <w:p>
      <w:pPr>
        <w:spacing w:after="0" w:line="172" w:lineRule="exact"/>
        <w:rPr>
          <w:rFonts w:ascii="Times New Roman" w:cs="Times New Roman" w:eastAsia="Times New Roman" w:hAnsi="Times New Roman"/>
          <w:sz w:val="14"/>
          <w:szCs w:val="14"/>
          <w:color w:val="auto"/>
        </w:rPr>
      </w:pPr>
    </w:p>
    <w:p>
      <w:pPr>
        <w:ind w:left="400" w:right="4899" w:hanging="261"/>
        <w:spacing w:after="0" w:line="279" w:lineRule="auto"/>
        <w:tabs>
          <w:tab w:leader="none" w:pos="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to acquire licenses to the allegedly infringed patents, which may not be available on commercially reasonable terms, if at all;</w:t>
      </w:r>
    </w:p>
    <w:p>
      <w:pPr>
        <w:spacing w:after="0" w:line="125" w:lineRule="exact"/>
        <w:rPr>
          <w:rFonts w:ascii="Times New Roman" w:cs="Times New Roman" w:eastAsia="Times New Roman" w:hAnsi="Times New Roman"/>
          <w:sz w:val="14"/>
          <w:szCs w:val="14"/>
          <w:color w:val="auto"/>
        </w:rPr>
      </w:pPr>
    </w:p>
    <w:p>
      <w:pPr>
        <w:ind w:left="400" w:right="4479" w:hanging="261"/>
        <w:spacing w:after="0" w:line="263" w:lineRule="auto"/>
        <w:tabs>
          <w:tab w:leader="none" w:pos="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discontinuing using certain process technologies, architectures, or designs, which could cause us to stop manufacturing certain semiconductors if we were unable to design around the allegedly infringed patents;</w:t>
      </w:r>
    </w:p>
    <w:p>
      <w:pPr>
        <w:spacing w:after="0" w:line="137" w:lineRule="exact"/>
        <w:rPr>
          <w:rFonts w:ascii="Times New Roman" w:cs="Times New Roman" w:eastAsia="Times New Roman" w:hAnsi="Times New Roman"/>
          <w:sz w:val="14"/>
          <w:szCs w:val="14"/>
          <w:color w:val="auto"/>
        </w:rPr>
      </w:pPr>
    </w:p>
    <w:p>
      <w:pPr>
        <w:ind w:left="400" w:right="4659" w:hanging="261"/>
        <w:spacing w:after="0" w:line="279" w:lineRule="auto"/>
        <w:tabs>
          <w:tab w:leader="none" w:pos="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fighting the matter in court and paying substantial monetary damages in the event we were to lose; or</w:t>
      </w:r>
    </w:p>
    <w:p>
      <w:pPr>
        <w:spacing w:after="0" w:line="125"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seeking to develop non-infringing technologies, which may not be feasible.</w:t>
      </w:r>
    </w:p>
    <w:p>
      <w:pPr>
        <w:spacing w:after="0" w:line="172" w:lineRule="exact"/>
        <w:rPr>
          <w:sz w:val="20"/>
          <w:szCs w:val="20"/>
          <w:color w:val="auto"/>
        </w:rPr>
      </w:pPr>
    </w:p>
    <w:p>
      <w:pPr>
        <w:ind w:right="4199"/>
        <w:spacing w:after="0" w:line="263" w:lineRule="auto"/>
        <w:rPr>
          <w:sz w:val="20"/>
          <w:szCs w:val="20"/>
          <w:color w:val="auto"/>
        </w:rPr>
      </w:pPr>
      <w:r>
        <w:rPr>
          <w:rFonts w:ascii="Times New Roman" w:cs="Times New Roman" w:eastAsia="Times New Roman" w:hAnsi="Times New Roman"/>
          <w:sz w:val="14"/>
          <w:szCs w:val="14"/>
          <w:color w:val="auto"/>
        </w:rPr>
        <w:t>In the event that any third party causes us or any of our customers to discontinue using certain process technologies, we believe that such an outcome would not have a long term material and adverse effect, as we could design around such technologies.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91" w:lineRule="exact"/>
        <w:rPr>
          <w:sz w:val="20"/>
          <w:szCs w:val="20"/>
          <w:color w:val="auto"/>
        </w:rPr>
      </w:pPr>
    </w:p>
    <w:p>
      <w:pPr>
        <w:ind w:right="3999"/>
        <w:spacing w:after="0" w:line="258" w:lineRule="auto"/>
        <w:rPr>
          <w:sz w:val="20"/>
          <w:szCs w:val="20"/>
          <w:color w:val="auto"/>
        </w:rPr>
      </w:pPr>
      <w:r>
        <w:rPr>
          <w:rFonts w:ascii="Times New Roman" w:cs="Times New Roman" w:eastAsia="Times New Roman" w:hAnsi="Times New Roman"/>
          <w:sz w:val="14"/>
          <w:szCs w:val="14"/>
          <w:color w:val="auto"/>
        </w:rPr>
        <w:t>Our operations are subject to a variety of laws and governmental regulations in Israel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w:t>
      </w:r>
    </w:p>
    <w:p>
      <w:pPr>
        <w:spacing w:after="0" w:line="57" w:lineRule="exact"/>
        <w:rPr>
          <w:sz w:val="20"/>
          <w:szCs w:val="20"/>
          <w:color w:val="auto"/>
        </w:rPr>
      </w:pPr>
    </w:p>
    <w:p>
      <w:pPr>
        <w:ind w:right="3959"/>
        <w:spacing w:after="0" w:line="250" w:lineRule="auto"/>
        <w:rPr>
          <w:sz w:val="20"/>
          <w:szCs w:val="20"/>
          <w:color w:val="auto"/>
        </w:rPr>
      </w:pPr>
      <w:r>
        <w:rPr>
          <w:rFonts w:ascii="Times New Roman" w:cs="Times New Roman" w:eastAsia="Times New Roman" w:hAnsi="Times New Roman"/>
          <w:sz w:val="14"/>
          <w:szCs w:val="14"/>
          <w:color w:val="auto"/>
        </w:rPr>
        <w:t>We are currently operating under a conditional permit from the Israeli Ministry of Environmental Affairs concerning the concentration of fluoride in our wastewater. We believe that we are currently in compliance with the terms of our permit with one exception: we are monitoring the levels of fluoride in accordance with an oral understanding with the Israeli Ministry of Environmental Affairs concerning how often we monitor the levels of fluoride, resulting in our monitoring the levels of fluoride less frequently than required by the written terms of our permit. There have been instances in the past where we were not in compliance with these restrictions, and, despite our best efforts, there may be future instances of non-compliance. We are also in discussions with the Israeli Ministry of Environmental Affairs regarding the possibility of easing of conditions set forth in our permit. If we cannot maintain our compliance with the conditions set forth in our permit or in our other understandings with the Ministry, we may be required to allocate financial resources for the installation of a waste treatment system in order to be in compliance with all the conditions. We estimate that such a waste treatment system would cost approximately $100,000. We believe that we are currently in compliance in all other material respects with applicable environmental laws and regulations.</w:t>
      </w:r>
    </w:p>
    <w:p>
      <w:pPr>
        <w:spacing w:after="0" w:line="21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91" w:lineRule="exact"/>
        <w:rPr>
          <w:sz w:val="20"/>
          <w:szCs w:val="20"/>
          <w:color w:val="auto"/>
        </w:rPr>
      </w:pPr>
    </w:p>
    <w:p>
      <w:pPr>
        <w:ind w:right="3919"/>
        <w:spacing w:after="0" w:line="279" w:lineRule="auto"/>
        <w:rPr>
          <w:sz w:val="20"/>
          <w:szCs w:val="20"/>
          <w:color w:val="auto"/>
        </w:rPr>
      </w:pPr>
      <w:r>
        <w:rPr>
          <w:rFonts w:ascii="Times New Roman" w:cs="Times New Roman" w:eastAsia="Times New Roman" w:hAnsi="Times New Roman"/>
          <w:sz w:val="14"/>
          <w:szCs w:val="14"/>
          <w:color w:val="auto"/>
        </w:rPr>
        <w:t>The following table sets forth for the last three fiscal years, the number of our employees engaged in the specified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6350" cy="7302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ectPr>
          <w:pgSz w:w="11900" w:h="16840" w:orient="portrait"/>
          <w:cols w:equalWidth="0" w:num="1">
            <w:col w:w="10239"/>
          </w:cols>
          <w:pgMar w:left="220" w:top="125" w:right="1440" w:bottom="0" w:gutter="0" w:footer="0" w:header="0"/>
        </w:sectPr>
      </w:pPr>
    </w:p>
    <w:p>
      <w:pPr>
        <w:spacing w:after="0" w:line="140" w:lineRule="exact"/>
        <w:rPr>
          <w:sz w:val="20"/>
          <w:szCs w:val="20"/>
          <w:color w:val="auto"/>
        </w:rPr>
      </w:pPr>
    </w:p>
    <w:tbl>
      <w:tblPr>
        <w:tblLayout w:type="fixed"/>
        <w:tblInd w:w="3560" w:type="dxa"/>
        <w:tblCellMar>
          <w:top w:w="0" w:type="dxa"/>
          <w:left w:w="0" w:type="dxa"/>
          <w:bottom w:w="0" w:type="dxa"/>
          <w:right w:w="0" w:type="dxa"/>
        </w:tblCellMar>
      </w:tblPr>
      <w:tr>
        <w:trPr>
          <w:trHeight w:val="126"/>
        </w:trPr>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As of</w:t>
            </w:r>
          </w:p>
        </w:tc>
        <w:tc>
          <w:tcPr>
            <w:tcW w:w="80" w:type="dxa"/>
            <w:vAlign w:val="bottom"/>
          </w:tcPr>
          <w:p>
            <w:pPr>
              <w:spacing w:after="0"/>
              <w:rPr>
                <w:sz w:val="11"/>
                <w:szCs w:val="11"/>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 of</w:t>
            </w:r>
          </w:p>
        </w:tc>
      </w:tr>
      <w:tr>
        <w:trPr>
          <w:trHeight w:val="134"/>
        </w:trPr>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-158115</wp:posOffset>
            </wp:positionV>
            <wp:extent cx="3768090" cy="63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3768090"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-78740</wp:posOffset>
            </wp:positionV>
            <wp:extent cx="13335" cy="6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-78740</wp:posOffset>
            </wp:positionV>
            <wp:extent cx="13335" cy="63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0</wp:posOffset>
            </wp:positionV>
            <wp:extent cx="13335" cy="6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0</wp:posOffset>
            </wp:positionV>
            <wp:extent cx="13335"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0</wp:posOffset>
            </wp:positionV>
            <wp:extent cx="13335"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0</wp:posOffset>
            </wp:positionV>
            <wp:extent cx="13335" cy="63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40" w:orient="portrait"/>
          <w:cols w:equalWidth="0" w:num="1">
            <w:col w:w="10239"/>
          </w:cols>
          <w:pgMar w:left="220" w:top="125" w:right="1440"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46"/>
        </w:trPr>
        <w:tc>
          <w:tcPr>
            <w:tcW w:w="3560" w:type="dxa"/>
            <w:vAlign w:val="bottom"/>
          </w:tcPr>
          <w:p>
            <w:pPr>
              <w:spacing w:after="0"/>
              <w:rPr>
                <w:sz w:val="12"/>
                <w:szCs w:val="12"/>
                <w:color w:val="auto"/>
              </w:rPr>
            </w:pPr>
          </w:p>
        </w:tc>
        <w:tc>
          <w:tcPr>
            <w:tcW w:w="72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2003</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2002</w:t>
            </w:r>
          </w:p>
        </w:tc>
        <w:tc>
          <w:tcPr>
            <w:tcW w:w="160" w:type="dxa"/>
            <w:vAlign w:val="bottom"/>
          </w:tcPr>
          <w:p>
            <w:pPr>
              <w:spacing w:after="0"/>
              <w:rPr>
                <w:sz w:val="12"/>
                <w:szCs w:val="12"/>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2001</w:t>
            </w:r>
          </w:p>
        </w:tc>
        <w:tc>
          <w:tcPr>
            <w:tcW w:w="180" w:type="dxa"/>
            <w:vAlign w:val="bottom"/>
          </w:tcPr>
          <w:p>
            <w:pPr>
              <w:spacing w:after="0"/>
              <w:rPr>
                <w:sz w:val="12"/>
                <w:szCs w:val="12"/>
                <w:color w:val="auto"/>
              </w:rPr>
            </w:pPr>
          </w:p>
        </w:tc>
        <w:tc>
          <w:tcPr>
            <w:tcW w:w="56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2000</w:t>
            </w:r>
          </w:p>
        </w:tc>
        <w:tc>
          <w:tcPr>
            <w:tcW w:w="0" w:type="dxa"/>
            <w:vAlign w:val="bottom"/>
          </w:tcPr>
          <w:p>
            <w:pPr>
              <w:spacing w:after="0"/>
              <w:rPr>
                <w:sz w:val="1"/>
                <w:szCs w:val="1"/>
                <w:color w:val="auto"/>
              </w:rPr>
            </w:pPr>
          </w:p>
        </w:tc>
      </w:tr>
      <w:tr>
        <w:trPr>
          <w:trHeight w:val="30"/>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Process and Product Engineering, R&amp;D, Design</w:t>
            </w:r>
          </w:p>
        </w:tc>
        <w:tc>
          <w:tcPr>
            <w:tcW w:w="26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highlight w:val="white"/>
                <w:w w:val="85"/>
              </w:rPr>
              <w:t>375</w:t>
            </w: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highlight w:val="white"/>
                <w:w w:val="85"/>
              </w:rPr>
              <w:t>375</w:t>
            </w:r>
          </w:p>
        </w:tc>
        <w:tc>
          <w:tcPr>
            <w:tcW w:w="16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highlight w:val="white"/>
                <w:w w:val="85"/>
              </w:rPr>
              <w:t>299</w:t>
            </w:r>
          </w:p>
        </w:tc>
        <w:tc>
          <w:tcPr>
            <w:tcW w:w="1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highlight w:val="white"/>
                <w:w w:val="85"/>
              </w:rPr>
              <w:t>183</w:t>
            </w: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35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 Operations (*)</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619</w:t>
            </w:r>
          </w:p>
        </w:tc>
        <w:tc>
          <w:tcPr>
            <w:tcW w:w="24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Pr>
          <w:p>
            <w:pPr>
              <w:spacing w:after="0"/>
              <w:rPr>
                <w:sz w:val="17"/>
                <w:szCs w:val="17"/>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78</w:t>
            </w:r>
          </w:p>
        </w:tc>
        <w:tc>
          <w:tcPr>
            <w:tcW w:w="5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Manufacturing Support</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124</w:t>
            </w:r>
          </w:p>
        </w:tc>
        <w:tc>
          <w:tcPr>
            <w:tcW w:w="240" w:type="dxa"/>
            <w:vAlign w:val="bottom"/>
          </w:tcPr>
          <w:p>
            <w:pPr>
              <w:spacing w:after="0"/>
              <w:rPr>
                <w:sz w:val="17"/>
                <w:szCs w:val="17"/>
                <w:color w:val="auto"/>
              </w:rPr>
            </w:pPr>
          </w:p>
        </w:tc>
        <w:tc>
          <w:tcPr>
            <w:tcW w:w="6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189</w:t>
            </w: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154</w:t>
            </w:r>
          </w:p>
        </w:tc>
        <w:tc>
          <w:tcPr>
            <w:tcW w:w="5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8"/>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Administration, Marketing, Finance</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84</w:t>
            </w:r>
          </w:p>
        </w:tc>
        <w:tc>
          <w:tcPr>
            <w:tcW w:w="24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60" w:type="dxa"/>
            <w:vAlign w:val="bottom"/>
          </w:tcPr>
          <w:p>
            <w:pPr>
              <w:spacing w:after="0"/>
              <w:rPr>
                <w:sz w:val="17"/>
                <w:szCs w:val="17"/>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108</w:t>
            </w:r>
          </w:p>
        </w:tc>
        <w:tc>
          <w:tcPr>
            <w:tcW w:w="5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8"/>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Fab 2 Construction and Technology Transfer (*)</w:t>
            </w: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49</w:t>
            </w:r>
          </w:p>
        </w:tc>
        <w:tc>
          <w:tcPr>
            <w:tcW w:w="240" w:type="dxa"/>
            <w:vAlign w:val="bottom"/>
          </w:tcPr>
          <w:p>
            <w:pPr>
              <w:spacing w:after="0"/>
              <w:rPr>
                <w:sz w:val="18"/>
                <w:szCs w:val="18"/>
                <w:color w:val="auto"/>
              </w:rPr>
            </w:pPr>
          </w:p>
        </w:tc>
        <w:tc>
          <w:tcPr>
            <w:tcW w:w="6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color w:val="auto"/>
              </w:rPr>
              <w:t>438</w:t>
            </w: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409</w:t>
            </w:r>
          </w:p>
        </w:tc>
        <w:tc>
          <w:tcPr>
            <w:tcW w:w="56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57"/>
        </w:trPr>
        <w:tc>
          <w:tcPr>
            <w:tcW w:w="35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top w:val="single" w:sz="8" w:color="auto"/>
              <w:bottom w:val="single" w:sz="8" w:color="auto"/>
            </w:tcBorders>
            <w:gridSpan w:val="3"/>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rPr>
              <w:t>1,251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top w:val="single" w:sz="8" w:color="auto"/>
              <w:bottom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1,195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rPr>
              <w:t>1,048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ind w:left="100"/>
              <w:spacing w:after="0" w:line="157" w:lineRule="exact"/>
              <w:rPr>
                <w:sz w:val="20"/>
                <w:szCs w:val="20"/>
                <w:color w:val="auto"/>
              </w:rPr>
            </w:pPr>
            <w:r>
              <w:rPr>
                <w:rFonts w:ascii="Times New Roman" w:cs="Times New Roman" w:eastAsia="Times New Roman" w:hAnsi="Times New Roman"/>
                <w:sz w:val="14"/>
                <w:szCs w:val="14"/>
                <w:color w:val="auto"/>
                <w:w w:val="85"/>
              </w:rPr>
              <w:t>931</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-693420</wp:posOffset>
            </wp:positionV>
            <wp:extent cx="13335" cy="63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-693420</wp:posOffset>
            </wp:positionV>
            <wp:extent cx="13335" cy="63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-693420</wp:posOffset>
            </wp:positionV>
            <wp:extent cx="13335"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-693420</wp:posOffset>
            </wp:positionV>
            <wp:extent cx="13335" cy="6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-567690</wp:posOffset>
            </wp:positionV>
            <wp:extent cx="13335" cy="6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-567690</wp:posOffset>
            </wp:positionV>
            <wp:extent cx="13335" cy="63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-567690</wp:posOffset>
            </wp:positionV>
            <wp:extent cx="13335" cy="63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-567690</wp:posOffset>
            </wp:positionV>
            <wp:extent cx="13335" cy="63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-441960</wp:posOffset>
            </wp:positionV>
            <wp:extent cx="13335" cy="63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-441960</wp:posOffset>
            </wp:positionV>
            <wp:extent cx="13335" cy="63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-441960</wp:posOffset>
            </wp:positionV>
            <wp:extent cx="13335" cy="63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-441960</wp:posOffset>
            </wp:positionV>
            <wp:extent cx="13335" cy="6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-316865</wp:posOffset>
            </wp:positionV>
            <wp:extent cx="13335" cy="63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-316865</wp:posOffset>
            </wp:positionV>
            <wp:extent cx="13335" cy="635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-316865</wp:posOffset>
            </wp:positionV>
            <wp:extent cx="13335" cy="63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-316865</wp:posOffset>
            </wp:positionV>
            <wp:extent cx="13335" cy="63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-191135</wp:posOffset>
            </wp:positionV>
            <wp:extent cx="13335" cy="63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-191135</wp:posOffset>
            </wp:positionV>
            <wp:extent cx="13335" cy="63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-191135</wp:posOffset>
            </wp:positionV>
            <wp:extent cx="13335" cy="63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-191135</wp:posOffset>
            </wp:positionV>
            <wp:extent cx="13335" cy="63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2203450</wp:posOffset>
            </wp:positionH>
            <wp:positionV relativeFrom="paragraph">
              <wp:posOffset>-65405</wp:posOffset>
            </wp:positionV>
            <wp:extent cx="13335" cy="63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-65405</wp:posOffset>
            </wp:positionV>
            <wp:extent cx="13335" cy="63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-65405</wp:posOffset>
            </wp:positionV>
            <wp:extent cx="13335" cy="63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3564890</wp:posOffset>
            </wp:positionH>
            <wp:positionV relativeFrom="paragraph">
              <wp:posOffset>-65405</wp:posOffset>
            </wp:positionV>
            <wp:extent cx="13335" cy="63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69" w:lineRule="exact"/>
        <w:rPr>
          <w:sz w:val="20"/>
          <w:szCs w:val="20"/>
          <w:color w:val="auto"/>
        </w:rPr>
      </w:pPr>
    </w:p>
    <w:p>
      <w:pPr>
        <w:jc w:val="both"/>
        <w:ind w:left="260" w:right="4539" w:hanging="257"/>
        <w:spacing w:after="0" w:line="263" w:lineRule="auto"/>
        <w:tabs>
          <w:tab w:leader="none" w:pos="2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commencement of operations of Fab 2 during the third quarter of 2003, most of the employees that prior to that date were classified under Fab 2 construction and technology transfer activities are classified under manufacturing operations activities.</w:t>
      </w:r>
    </w:p>
    <w:p>
      <w:pPr>
        <w:spacing w:after="0" w:line="220" w:lineRule="exact"/>
        <w:rPr>
          <w:sz w:val="20"/>
          <w:szCs w:val="20"/>
          <w:color w:val="auto"/>
        </w:rPr>
      </w:pPr>
    </w:p>
    <w:p>
      <w:pPr>
        <w:ind w:right="3959"/>
        <w:spacing w:after="0" w:line="279" w:lineRule="auto"/>
        <w:rPr>
          <w:sz w:val="20"/>
          <w:szCs w:val="20"/>
          <w:color w:val="auto"/>
        </w:rPr>
      </w:pPr>
      <w:r>
        <w:rPr>
          <w:rFonts w:ascii="Times New Roman" w:cs="Times New Roman" w:eastAsia="Times New Roman" w:hAnsi="Times New Roman"/>
          <w:sz w:val="14"/>
          <w:szCs w:val="14"/>
          <w:color w:val="auto"/>
        </w:rPr>
        <w:t>We also use temporary employees as necessary. As of September 30, 2003, we had approximately 100 temporary employees.</w:t>
      </w:r>
    </w:p>
    <w:p>
      <w:pPr>
        <w:spacing w:after="0" w:line="42" w:lineRule="exact"/>
        <w:rPr>
          <w:sz w:val="20"/>
          <w:szCs w:val="20"/>
          <w:color w:val="auto"/>
        </w:rPr>
      </w:pPr>
    </w:p>
    <w:p>
      <w:pPr>
        <w:ind w:right="4039"/>
        <w:spacing w:after="0" w:line="252" w:lineRule="auto"/>
        <w:rPr>
          <w:sz w:val="20"/>
          <w:szCs w:val="20"/>
          <w:color w:val="auto"/>
        </w:rPr>
      </w:pPr>
      <w:r>
        <w:rPr>
          <w:rFonts w:ascii="Times New Roman" w:cs="Times New Roman" w:eastAsia="Times New Roman" w:hAnsi="Times New Roman"/>
          <w:sz w:val="14"/>
          <w:szCs w:val="14"/>
          <w:color w:val="auto"/>
        </w:rPr>
        <w:t>Except for an arrangement regarding pension contributions, we have no collective bargaining agreements with any of our employees. However, by administrative order, certain provisions of the collective bargaining agreements between the Histadrut (General Federation of Labor in Israel) and the Coordination Bureau of Economic Organizations, relating primarily to the length of the work day, minimum wages, pension contributions, insurance for work-related accidents, procedures for dismissing employees, determination of severance pay and other conditions of employment, are applicable to our employees. In accordance with these provisions, the salaries of our employees are partially indexed to the Consumer Price Index in Israel, depending on the rate of increase of the Consumer Price Index.</w:t>
      </w:r>
    </w:p>
    <w:p>
      <w:pPr>
        <w:spacing w:after="0" w:line="63" w:lineRule="exact"/>
        <w:rPr>
          <w:sz w:val="20"/>
          <w:szCs w:val="20"/>
          <w:color w:val="auto"/>
        </w:rPr>
      </w:pPr>
    </w:p>
    <w:p>
      <w:pPr>
        <w:ind w:right="4079"/>
        <w:spacing w:after="0" w:line="263" w:lineRule="auto"/>
        <w:rPr>
          <w:sz w:val="20"/>
          <w:szCs w:val="20"/>
          <w:color w:val="auto"/>
        </w:rPr>
      </w:pPr>
      <w:r>
        <w:rPr>
          <w:rFonts w:ascii="Times New Roman" w:cs="Times New Roman" w:eastAsia="Times New Roman" w:hAnsi="Times New Roman"/>
          <w:sz w:val="14"/>
          <w:szCs w:val="14"/>
          <w:color w:val="auto"/>
        </w:rPr>
        <w:t>We generally provide our employees with benefits and working conditions beyond the minimum requirements. We consider our relationship with our employees to be good, and we have never experienced a labor dispute, strike or work stoppage.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1" w:lineRule="exact"/>
        <w:rPr>
          <w:sz w:val="20"/>
          <w:szCs w:val="20"/>
          <w:color w:val="auto"/>
        </w:rPr>
      </w:pPr>
    </w:p>
    <w:p>
      <w:pPr>
        <w:ind w:right="3959"/>
        <w:spacing w:after="0" w:line="252" w:lineRule="auto"/>
        <w:rPr>
          <w:sz w:val="20"/>
          <w:szCs w:val="20"/>
          <w:color w:val="auto"/>
        </w:rPr>
      </w:pPr>
      <w:r>
        <w:rPr>
          <w:rFonts w:ascii="Times New Roman" w:cs="Times New Roman" w:eastAsia="Times New Roman" w:hAnsi="Times New Roman"/>
          <w:sz w:val="14"/>
          <w:szCs w:val="14"/>
          <w:color w:val="auto"/>
        </w:rPr>
        <w:t>In July 2003, we and several of our directors and shareholders were named as defendants in a securities class action complaint filed in the United States District Court for the Southern District of New York. The plaintiffs have asserted claims arising under the Securities Exchange Act of 1934, alleging misstatements and omissions made by the defendants in materials sent to our shareholders with respect to the approval of an amendment to the investment agreements with our Fab 2 investors. The plaintiffs seek damages in unspecified amounts, which could be substantial, and unspecified rescissory relief. We believe the complaint is without merit and intend to defend ourselves vigorously. Any liability we incur in connection with this complaint could materially harm our business and financial position and, even if we defend ourselves successfully, there is a risk that management distraction in dealing with this complaint could harm our results.</w:t>
      </w:r>
    </w:p>
    <w:p>
      <w:pPr>
        <w:spacing w:after="0" w:line="61" w:lineRule="exact"/>
        <w:rPr>
          <w:sz w:val="20"/>
          <w:szCs w:val="20"/>
          <w:color w:val="auto"/>
        </w:rPr>
      </w:pPr>
    </w:p>
    <w:p>
      <w:pPr>
        <w:ind w:right="3899"/>
        <w:spacing w:after="0" w:line="263" w:lineRule="auto"/>
        <w:rPr>
          <w:sz w:val="20"/>
          <w:szCs w:val="20"/>
          <w:color w:val="auto"/>
        </w:rPr>
      </w:pPr>
      <w:r>
        <w:rPr>
          <w:rFonts w:ascii="Times New Roman" w:cs="Times New Roman" w:eastAsia="Times New Roman" w:hAnsi="Times New Roman"/>
          <w:sz w:val="14"/>
          <w:szCs w:val="14"/>
          <w:color w:val="auto"/>
        </w:rPr>
        <w:t>From time to time we are a party to various litigation matters incidental to the conduct of our business. There is no pending or threatened legal proceeding to which we are a party, that, in the opinion of management, is likely to have a material adverse effect on our future financial results or financial condition.</w:t>
      </w:r>
    </w:p>
    <w:p>
      <w:pPr>
        <w:spacing w:after="0" w:line="18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 and Senior Management</w:t>
      </w:r>
    </w:p>
    <w:p>
      <w:pPr>
        <w:spacing w:after="0" w:line="91" w:lineRule="exact"/>
        <w:rPr>
          <w:sz w:val="20"/>
          <w:szCs w:val="20"/>
          <w:color w:val="auto"/>
        </w:rPr>
      </w:pPr>
    </w:p>
    <w:p>
      <w:pPr>
        <w:ind w:right="4259"/>
        <w:spacing w:after="0" w:line="279" w:lineRule="auto"/>
        <w:rPr>
          <w:sz w:val="20"/>
          <w:szCs w:val="20"/>
          <w:color w:val="auto"/>
        </w:rPr>
      </w:pPr>
      <w:r>
        <w:rPr>
          <w:rFonts w:ascii="Times New Roman" w:cs="Times New Roman" w:eastAsia="Times New Roman" w:hAnsi="Times New Roman"/>
          <w:sz w:val="14"/>
          <w:szCs w:val="14"/>
          <w:color w:val="auto"/>
        </w:rPr>
        <w:t>The following table sets forth certain information with respect to our executive officers and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6350" cy="7302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1"/>
                <w:szCs w:val="1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Age</w:t>
            </w:r>
          </w:p>
        </w:tc>
        <w:tc>
          <w:tcPr>
            <w:tcW w:w="100" w:type="dxa"/>
            <w:vAlign w:val="bottom"/>
          </w:tcPr>
          <w:p>
            <w:pPr>
              <w:spacing w:after="0"/>
              <w:rPr>
                <w:sz w:val="11"/>
                <w:szCs w:val="11"/>
                <w:color w:val="auto"/>
              </w:rPr>
            </w:pPr>
          </w:p>
        </w:tc>
        <w:tc>
          <w:tcPr>
            <w:tcW w:w="16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156"/>
        </w:trPr>
        <w:tc>
          <w:tcPr>
            <w:tcW w:w="2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Executive Officers</w:t>
            </w: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75"/>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Carmel Vernia</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51</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80"/>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Amir Harel</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41</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Vice President and Chief</w:t>
            </w:r>
          </w:p>
        </w:tc>
      </w:tr>
      <w:tr>
        <w:trPr>
          <w:trHeight w:val="163"/>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Financial Officer</w:t>
            </w:r>
          </w:p>
        </w:tc>
      </w:tr>
      <w:tr>
        <w:trPr>
          <w:trHeight w:val="180"/>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Doron Simon</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38</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President, Tower Semiconductor</w:t>
            </w:r>
          </w:p>
        </w:tc>
      </w:tr>
      <w:tr>
        <w:trPr>
          <w:trHeight w:val="163"/>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USA</w:t>
            </w:r>
          </w:p>
        </w:tc>
      </w:tr>
      <w:tr>
        <w:trPr>
          <w:trHeight w:val="180"/>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Dr. Itzhak Edrei</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44</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Vice President of Research and</w:t>
            </w:r>
          </w:p>
        </w:tc>
      </w:tr>
      <w:tr>
        <w:trPr>
          <w:trHeight w:val="163"/>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Development</w:t>
            </w:r>
          </w:p>
        </w:tc>
      </w:tr>
      <w:tr>
        <w:trPr>
          <w:trHeight w:val="180"/>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Rafi Nave.</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53</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Vice President of Customer</w:t>
            </w:r>
          </w:p>
        </w:tc>
      </w:tr>
      <w:tr>
        <w:trPr>
          <w:trHeight w:val="163"/>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Services</w:t>
            </w:r>
          </w:p>
        </w:tc>
      </w:tr>
      <w:tr>
        <w:trPr>
          <w:trHeight w:val="180"/>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Erez Taoz</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49</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Vice President, Fab 2 General</w:t>
            </w:r>
          </w:p>
        </w:tc>
      </w:tr>
      <w:tr>
        <w:trPr>
          <w:trHeight w:val="163"/>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Manager</w:t>
            </w:r>
          </w:p>
        </w:tc>
      </w:tr>
      <w:tr>
        <w:trPr>
          <w:trHeight w:val="180"/>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Eli Lazar</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52</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Vice President of Human</w:t>
            </w:r>
          </w:p>
        </w:tc>
      </w:tr>
      <w:tr>
        <w:trPr>
          <w:trHeight w:val="156"/>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Resources, Logistics and</w:t>
            </w:r>
          </w:p>
        </w:tc>
      </w:tr>
      <w:tr>
        <w:trPr>
          <w:trHeight w:val="163"/>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Information Systems</w:t>
            </w: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Rafi Mor</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39</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Vice President, Fab 1 Manager</w:t>
            </w:r>
          </w:p>
        </w:tc>
      </w:tr>
      <w:tr>
        <w:trPr>
          <w:trHeight w:val="375"/>
        </w:trPr>
        <w:tc>
          <w:tcPr>
            <w:tcW w:w="26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Directors</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Carmel Vernia</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51</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Chairman of the Board</w:t>
            </w: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Idan Ofer</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49</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Ehud Hillman</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50</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Vice Chairman</w:t>
            </w: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Dr. Eli Harari</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58</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Miin Wu</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55</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N.D. Reddy</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64</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Hans Rohrer</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53</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Independent Director</w:t>
            </w:r>
          </w:p>
        </w:tc>
      </w:tr>
      <w:tr>
        <w:trPr>
          <w:trHeight w:val="187"/>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Zehava Simon</w:t>
            </w:r>
          </w:p>
        </w:tc>
        <w:tc>
          <w:tcPr>
            <w:tcW w:w="1780" w:type="dxa"/>
            <w:vAlign w:val="bottom"/>
            <w:gridSpan w:val="2"/>
          </w:tcPr>
          <w:p>
            <w:pPr>
              <w:jc w:val="center"/>
              <w:ind w:left="38"/>
              <w:spacing w:after="0"/>
              <w:rPr>
                <w:sz w:val="20"/>
                <w:szCs w:val="20"/>
                <w:color w:val="auto"/>
              </w:rPr>
            </w:pPr>
            <w:r>
              <w:rPr>
                <w:rFonts w:ascii="Times New Roman" w:cs="Times New Roman" w:eastAsia="Times New Roman" w:hAnsi="Times New Roman"/>
                <w:sz w:val="12"/>
                <w:szCs w:val="12"/>
                <w:color w:val="auto"/>
                <w:w w:val="99"/>
              </w:rPr>
              <w:t>45</w:t>
            </w:r>
          </w:p>
        </w:tc>
        <w:tc>
          <w:tcPr>
            <w:tcW w:w="17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-3018155</wp:posOffset>
            </wp:positionV>
            <wp:extent cx="3919855" cy="63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-2978150</wp:posOffset>
            </wp:positionV>
            <wp:extent cx="13335" cy="63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-2978150</wp:posOffset>
            </wp:positionV>
            <wp:extent cx="13335" cy="63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-2879090</wp:posOffset>
            </wp:positionV>
            <wp:extent cx="13335" cy="63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-2879090</wp:posOffset>
            </wp:positionV>
            <wp:extent cx="13335" cy="63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-2760345</wp:posOffset>
            </wp:positionV>
            <wp:extent cx="13335" cy="635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-2760345</wp:posOffset>
            </wp:positionV>
            <wp:extent cx="13335" cy="63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-2588260</wp:posOffset>
            </wp:positionV>
            <wp:extent cx="13335" cy="635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-2588260</wp:posOffset>
            </wp:positionV>
            <wp:extent cx="13335" cy="635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-2370455</wp:posOffset>
            </wp:positionV>
            <wp:extent cx="13335" cy="63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-2370455</wp:posOffset>
            </wp:positionV>
            <wp:extent cx="13335" cy="63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-2152015</wp:posOffset>
            </wp:positionV>
            <wp:extent cx="13335" cy="63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-2152015</wp:posOffset>
            </wp:positionV>
            <wp:extent cx="13335" cy="63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-1933575</wp:posOffset>
            </wp:positionV>
            <wp:extent cx="13335" cy="63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-1933575</wp:posOffset>
            </wp:positionV>
            <wp:extent cx="13335" cy="63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-1715770</wp:posOffset>
            </wp:positionV>
            <wp:extent cx="13335" cy="63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-1715770</wp:posOffset>
            </wp:positionV>
            <wp:extent cx="13335" cy="63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-1451610</wp:posOffset>
            </wp:positionV>
            <wp:extent cx="13335" cy="63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-1451610</wp:posOffset>
            </wp:positionV>
            <wp:extent cx="13335" cy="63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-1233170</wp:posOffset>
            </wp:positionV>
            <wp:extent cx="13335" cy="635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-1233170</wp:posOffset>
            </wp:positionV>
            <wp:extent cx="13335" cy="63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-1114425</wp:posOffset>
            </wp:positionV>
            <wp:extent cx="13335" cy="635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-1114425</wp:posOffset>
            </wp:positionV>
            <wp:extent cx="13335" cy="63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-995045</wp:posOffset>
            </wp:positionV>
            <wp:extent cx="13335" cy="63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-995045</wp:posOffset>
            </wp:positionV>
            <wp:extent cx="13335" cy="63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-876300</wp:posOffset>
            </wp:positionV>
            <wp:extent cx="13335" cy="63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-876300</wp:posOffset>
            </wp:positionV>
            <wp:extent cx="13335" cy="63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-757555</wp:posOffset>
            </wp:positionV>
            <wp:extent cx="13335" cy="63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-757555</wp:posOffset>
            </wp:positionV>
            <wp:extent cx="13335" cy="63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-638175</wp:posOffset>
            </wp:positionV>
            <wp:extent cx="13335" cy="63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-638175</wp:posOffset>
            </wp:positionV>
            <wp:extent cx="13335" cy="63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-519430</wp:posOffset>
            </wp:positionV>
            <wp:extent cx="13335" cy="63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-519430</wp:posOffset>
            </wp:positionV>
            <wp:extent cx="13335" cy="635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-400050</wp:posOffset>
            </wp:positionV>
            <wp:extent cx="13335" cy="63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-400050</wp:posOffset>
            </wp:positionV>
            <wp:extent cx="13335" cy="635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-281305</wp:posOffset>
            </wp:positionV>
            <wp:extent cx="13335" cy="63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-281305</wp:posOffset>
            </wp:positionV>
            <wp:extent cx="13335" cy="63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-162560</wp:posOffset>
            </wp:positionV>
            <wp:extent cx="13335" cy="63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-162560</wp:posOffset>
            </wp:positionV>
            <wp:extent cx="13335" cy="63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-43180</wp:posOffset>
            </wp:positionV>
            <wp:extent cx="13335" cy="63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-43180</wp:posOffset>
            </wp:positionV>
            <wp:extent cx="13335" cy="635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22225</wp:posOffset>
            </wp:positionV>
            <wp:extent cx="6350" cy="660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6"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Carmel Vernia </w:t>
      </w:r>
      <w:r>
        <w:rPr>
          <w:rFonts w:ascii="Times New Roman" w:cs="Times New Roman" w:eastAsia="Times New Roman" w:hAnsi="Times New Roman"/>
          <w:sz w:val="14"/>
          <w:szCs w:val="14"/>
          <w:color w:val="auto"/>
        </w:rPr>
        <w:t>has served as the Chairman of our Board of Directors and Chief Executive Officer since June 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2003. From 2000 to 2002, Mr. Vernia served as the Chief Scientist in the Government of Israel's Ministry of Industry and Trade. Following his service as Chief Scientist, Mr. Vernia was subject to a mandatory cooling period under Israeli law. Prior to that, he spent 16 years with Comverse Technology in various positions, culminating with his appointment to the dual positions of Chief Operating Officer of Comverse (Nasdaq: CMVT) and Chief Executive Officer of Verint Systems (Nasdaq: VRNT). Mr. Vernia earned an MS in electrical and computer engineering from the University of California, Davis and a BS in electrical engineering from the Technion – Israel Institute of Technology. Mr. Vernia also serves as a director of Saifun Semiconductors and Persay.</w:t>
      </w:r>
    </w:p>
    <w:p>
      <w:pPr>
        <w:spacing w:after="0" w:line="61" w:lineRule="exact"/>
        <w:rPr>
          <w:sz w:val="20"/>
          <w:szCs w:val="20"/>
          <w:color w:val="auto"/>
        </w:rPr>
      </w:pPr>
    </w:p>
    <w:p>
      <w:pPr>
        <w:ind w:right="3919"/>
        <w:spacing w:after="0" w:line="322" w:lineRule="auto"/>
        <w:rPr>
          <w:sz w:val="20"/>
          <w:szCs w:val="20"/>
          <w:color w:val="auto"/>
        </w:rPr>
      </w:pPr>
      <w:r>
        <w:rPr>
          <w:rFonts w:ascii="Times New Roman" w:cs="Times New Roman" w:eastAsia="Times New Roman" w:hAnsi="Times New Roman"/>
          <w:sz w:val="13"/>
          <w:szCs w:val="13"/>
          <w:i w:val="1"/>
          <w:iCs w:val="1"/>
          <w:color w:val="auto"/>
        </w:rPr>
        <w:t xml:space="preserve">Amir Harel </w:t>
      </w:r>
      <w:r>
        <w:rPr>
          <w:rFonts w:ascii="Times New Roman" w:cs="Times New Roman" w:eastAsia="Times New Roman" w:hAnsi="Times New Roman"/>
          <w:sz w:val="13"/>
          <w:szCs w:val="13"/>
          <w:color w:val="auto"/>
        </w:rPr>
        <w:t>joined Tower in December 1998 and assumed the office of Vice President and Chief Financial Officer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January 1999. From July 1994 through November 1998, Mr. Harel was Secretary and Chief Financial Officer</w:t>
      </w:r>
    </w:p>
    <w:p>
      <w:pPr>
        <w:sectPr>
          <w:pgSz w:w="11900" w:h="16838" w:orient="portrait"/>
          <w:cols w:equalWidth="0" w:num="1">
            <w:col w:w="10239"/>
          </w:cols>
          <w:pgMar w:left="220" w:top="120" w:right="1440" w:bottom="0" w:gutter="0" w:footer="0" w:header="0"/>
        </w:sectPr>
      </w:pPr>
    </w:p>
    <w:bookmarkStart w:id="30" w:name="page31"/>
    <w:bookmarkEnd w:id="30"/>
    <w:p>
      <w:pPr>
        <w:ind w:right="4579"/>
        <w:spacing w:after="0" w:line="279" w:lineRule="auto"/>
        <w:rPr>
          <w:sz w:val="20"/>
          <w:szCs w:val="20"/>
          <w:color w:val="auto"/>
        </w:rPr>
      </w:pPr>
      <w:r>
        <w:rPr>
          <w:rFonts w:ascii="Times New Roman" w:cs="Times New Roman" w:eastAsia="Times New Roman" w:hAnsi="Times New Roman"/>
          <w:sz w:val="14"/>
          <w:szCs w:val="14"/>
          <w:color w:val="auto"/>
        </w:rPr>
        <w:t>of Elbit Vision Systems Ltd. From December 1988 through June 1994, Mr. Harel held various finance management positions at Elbit Ltd.</w:t>
      </w:r>
    </w:p>
    <w:p>
      <w:pPr>
        <w:spacing w:after="0" w:line="40" w:lineRule="exact"/>
        <w:rPr>
          <w:sz w:val="20"/>
          <w:szCs w:val="20"/>
          <w:color w:val="auto"/>
        </w:rPr>
      </w:pPr>
    </w:p>
    <w:p>
      <w:pPr>
        <w:ind w:right="391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Doron Simon </w:t>
      </w:r>
      <w:r>
        <w:rPr>
          <w:rFonts w:ascii="Times New Roman" w:cs="Times New Roman" w:eastAsia="Times New Roman" w:hAnsi="Times New Roman"/>
          <w:sz w:val="14"/>
          <w:szCs w:val="14"/>
          <w:color w:val="auto"/>
        </w:rPr>
        <w:t>has been President of Tower Semiconductor USA since April 2001. Since 1993, Mr. Simon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served in various capacities, including Director of our Customer Service, Director of our Planning and Turnkey Operations and Director of our Worldwide Sales Operations. Prior to 1993, Mr. Simon was employed by National Semiconductor in Migdal Haemek as their Production Control Manager.</w:t>
      </w:r>
    </w:p>
    <w:p>
      <w:pPr>
        <w:spacing w:after="0" w:line="55" w:lineRule="exact"/>
        <w:rPr>
          <w:sz w:val="20"/>
          <w:szCs w:val="20"/>
          <w:color w:val="auto"/>
        </w:rPr>
      </w:pPr>
    </w:p>
    <w:p>
      <w:pPr>
        <w:ind w:right="395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Dr. Itzhak Edrei </w:t>
      </w:r>
      <w:r>
        <w:rPr>
          <w:rFonts w:ascii="Times New Roman" w:cs="Times New Roman" w:eastAsia="Times New Roman" w:hAnsi="Times New Roman"/>
          <w:sz w:val="14"/>
          <w:szCs w:val="14"/>
          <w:color w:val="auto"/>
        </w:rPr>
        <w:t>was appointed Vice President of Research and Development in August 2001, having served 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 of Research and Development since 1996. From 1994 to 1996, Dr. Edrei served as our Device and Yield Department Manager. Prior to joining Tower, Dr. Edrei was employed by National Semiconductor as Device Section Head.</w:t>
      </w:r>
    </w:p>
    <w:p>
      <w:pPr>
        <w:spacing w:after="0" w:line="55" w:lineRule="exact"/>
        <w:rPr>
          <w:sz w:val="20"/>
          <w:szCs w:val="20"/>
          <w:color w:val="auto"/>
        </w:rPr>
      </w:pPr>
    </w:p>
    <w:p>
      <w:pPr>
        <w:ind w:right="4159"/>
        <w:spacing w:after="0" w:line="282" w:lineRule="auto"/>
        <w:rPr>
          <w:sz w:val="20"/>
          <w:szCs w:val="20"/>
          <w:color w:val="auto"/>
        </w:rPr>
      </w:pPr>
      <w:r>
        <w:rPr>
          <w:rFonts w:ascii="Times New Roman" w:cs="Times New Roman" w:eastAsia="Times New Roman" w:hAnsi="Times New Roman"/>
          <w:sz w:val="14"/>
          <w:szCs w:val="14"/>
          <w:i w:val="1"/>
          <w:iCs w:val="1"/>
          <w:color w:val="auto"/>
        </w:rPr>
        <w:t xml:space="preserve">Rafi Nave </w:t>
      </w:r>
      <w:r>
        <w:rPr>
          <w:rFonts w:ascii="Times New Roman" w:cs="Times New Roman" w:eastAsia="Times New Roman" w:hAnsi="Times New Roman"/>
          <w:sz w:val="14"/>
          <w:szCs w:val="14"/>
          <w:color w:val="auto"/>
        </w:rPr>
        <w:t>was appointed Vice President of Customer Services in August 2003. From 1996 to 2003, Mr. Nave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served as Vice President of Research and Development for NDS Group. From 1974 to 1995,</w:t>
      </w:r>
    </w:p>
    <w:p>
      <w:pPr>
        <w:spacing w:after="0" w:line="17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19"/>
        <w:spacing w:after="0" w:line="263" w:lineRule="auto"/>
        <w:rPr>
          <w:sz w:val="20"/>
          <w:szCs w:val="20"/>
          <w:color w:val="auto"/>
        </w:rPr>
      </w:pPr>
      <w:r>
        <w:rPr>
          <w:rFonts w:ascii="Times New Roman" w:cs="Times New Roman" w:eastAsia="Times New Roman" w:hAnsi="Times New Roman"/>
          <w:sz w:val="14"/>
          <w:szCs w:val="14"/>
          <w:color w:val="auto"/>
        </w:rPr>
        <w:t>Mr. Nave was employed by Intel Corporation in a variety of positions of increasing responsibility, among them chip design engineer and General Manager of Intel's design center in Israel. Mr. Nave earned master and bachelor degrees in electrical engineering from the Technion.</w:t>
      </w:r>
    </w:p>
    <w:p>
      <w:pPr>
        <w:spacing w:after="0" w:line="52" w:lineRule="exact"/>
        <w:rPr>
          <w:sz w:val="20"/>
          <w:szCs w:val="20"/>
          <w:color w:val="auto"/>
        </w:rPr>
      </w:pPr>
    </w:p>
    <w:p>
      <w:pPr>
        <w:ind w:right="405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Erez Taoz </w:t>
      </w:r>
      <w:r>
        <w:rPr>
          <w:rFonts w:ascii="Times New Roman" w:cs="Times New Roman" w:eastAsia="Times New Roman" w:hAnsi="Times New Roman"/>
          <w:sz w:val="14"/>
          <w:szCs w:val="14"/>
          <w:color w:val="auto"/>
        </w:rPr>
        <w:t>was appointed Vice President and Fab 2 General Manager in March 2003, having served as VP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Fab 1 General Manager since August 2001 and as Director of Fab 1 since 1999. Mr. Taoz joined Tower in 1996 as our Director of Manufacturing. Prior to that time, Mr. Taoz served as Director of Manufacturing at Cyclone Aviation Products.</w:t>
      </w:r>
    </w:p>
    <w:p>
      <w:pPr>
        <w:spacing w:after="0" w:line="55" w:lineRule="exact"/>
        <w:rPr>
          <w:sz w:val="20"/>
          <w:szCs w:val="20"/>
          <w:color w:val="auto"/>
        </w:rPr>
      </w:pPr>
    </w:p>
    <w:p>
      <w:pPr>
        <w:ind w:right="399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Eli Lazar </w:t>
      </w:r>
      <w:r>
        <w:rPr>
          <w:rFonts w:ascii="Times New Roman" w:cs="Times New Roman" w:eastAsia="Times New Roman" w:hAnsi="Times New Roman"/>
          <w:sz w:val="14"/>
          <w:szCs w:val="14"/>
          <w:color w:val="auto"/>
        </w:rPr>
        <w:t>was appointed Vice President of Human Resources, Logistics and Information Systems, having served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Director of that department since 1996. Prior to that time, Mr. Lazar had over 15 years of experience as Vice General Manager at the College of Management and as Human Resources Manager at the National Semiconductor Design Center at Hertzliya.</w:t>
      </w:r>
    </w:p>
    <w:p>
      <w:pPr>
        <w:spacing w:after="0" w:line="55" w:lineRule="exact"/>
        <w:rPr>
          <w:sz w:val="20"/>
          <w:szCs w:val="20"/>
          <w:color w:val="auto"/>
        </w:rPr>
      </w:pPr>
    </w:p>
    <w:p>
      <w:pPr>
        <w:ind w:right="393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Rafi Mor </w:t>
      </w:r>
      <w:r>
        <w:rPr>
          <w:rFonts w:ascii="Times New Roman" w:cs="Times New Roman" w:eastAsia="Times New Roman" w:hAnsi="Times New Roman"/>
          <w:sz w:val="14"/>
          <w:szCs w:val="14"/>
          <w:color w:val="auto"/>
        </w:rPr>
        <w:t>was appointed Vice President and Fab 1 Manager in August 2003, having served as Senior Director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Fab 1 Manager since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w:t>
      </w:r>
    </w:p>
    <w:p>
      <w:pPr>
        <w:spacing w:after="0" w:line="57" w:lineRule="exact"/>
        <w:rPr>
          <w:sz w:val="20"/>
          <w:szCs w:val="20"/>
          <w:color w:val="auto"/>
        </w:rPr>
      </w:pPr>
    </w:p>
    <w:p>
      <w:pPr>
        <w:ind w:right="4059"/>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Idan Ofer </w:t>
      </w:r>
      <w:r>
        <w:rPr>
          <w:rFonts w:ascii="Times New Roman" w:cs="Times New Roman" w:eastAsia="Times New Roman" w:hAnsi="Times New Roman"/>
          <w:sz w:val="14"/>
          <w:szCs w:val="14"/>
          <w:color w:val="auto"/>
        </w:rPr>
        <w:t>joined our Board of Directors in June 1999 and served as Chairman of the Board from January 2000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until May 2003. Mr. Ofer serves on the Stock Option and Compensation Committee. Mr. Ofer has served as Chairman of the Board of Directors of Israel Corp., which wholly owns our current principal shareholder, since April 1999. Mr. Ofer also serves as a director of several public subsidiaries of Israel Corp. In addition to his positions within Israel Corp., Mr. Ofer currently serves as a director of several companies engaged in venture capital and energy projects.</w:t>
      </w:r>
    </w:p>
    <w:p>
      <w:pPr>
        <w:spacing w:after="0" w:line="56"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Ehud Hillman </w:t>
      </w:r>
      <w:r>
        <w:rPr>
          <w:rFonts w:ascii="Times New Roman" w:cs="Times New Roman" w:eastAsia="Times New Roman" w:hAnsi="Times New Roman"/>
          <w:sz w:val="14"/>
          <w:szCs w:val="14"/>
          <w:color w:val="auto"/>
        </w:rPr>
        <w:t>served on our Board from October 1996 through August 1999 and was reappointed to the Board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January 2000. In January 2001, Mr. Hillman was appointed Vice Chairman of the Board. Mr. Hillman serves on the Tender Committee. Since March 2001, Mr. Hillman has served as President and Chief Executive Officer of ICTech, the technology subsidiaries holding company of Israel Corp., which is our current principal shareholder.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Israel Navigation Company and others. Prior to that time, Mr. Hillman was Vice President and Controller of Clal Industries Ltd. and a director of several companies in the Clal Group.</w:t>
      </w:r>
    </w:p>
    <w:p>
      <w:pPr>
        <w:spacing w:after="0" w:line="61" w:lineRule="exact"/>
        <w:rPr>
          <w:sz w:val="20"/>
          <w:szCs w:val="20"/>
          <w:color w:val="auto"/>
        </w:rPr>
      </w:pPr>
    </w:p>
    <w:p>
      <w:pPr>
        <w:ind w:right="3919"/>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Dr. Eli Harari </w:t>
      </w:r>
      <w:r>
        <w:rPr>
          <w:rFonts w:ascii="Times New Roman" w:cs="Times New Roman" w:eastAsia="Times New Roman" w:hAnsi="Times New Roman"/>
          <w:sz w:val="14"/>
          <w:szCs w:val="14"/>
          <w:color w:val="auto"/>
        </w:rPr>
        <w:t>joined our Board in January 2001. Dr. Harari serves on the Stock Option and Compensation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Committee. Dr. Harari, the founder of SanDisk Corporation, has served as President and Chief Executive Officer and as a director of SanDisk since 1988. In 1983, Dr. Harari founded Wafer Scale Integration, or WSI, a semiconductor company acquired by ST Microlectronics in 2000, serving as WSI's President and Chief Executive Officer from 1983 to 1986 and as Chairman and Chief Technical Officer from 1986 to 1988.</w:t>
      </w:r>
    </w:p>
    <w:p>
      <w:pPr>
        <w:spacing w:after="0" w:line="57" w:lineRule="exact"/>
        <w:rPr>
          <w:sz w:val="20"/>
          <w:szCs w:val="20"/>
          <w:color w:val="auto"/>
        </w:rPr>
      </w:pPr>
    </w:p>
    <w:p>
      <w:pPr>
        <w:ind w:right="3919"/>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Miin Wu </w:t>
      </w:r>
      <w:r>
        <w:rPr>
          <w:rFonts w:ascii="Times New Roman" w:cs="Times New Roman" w:eastAsia="Times New Roman" w:hAnsi="Times New Roman"/>
          <w:sz w:val="14"/>
          <w:szCs w:val="14"/>
          <w:color w:val="auto"/>
        </w:rPr>
        <w:t>joined our Board in January 2001. Mr. Wu serves as President and Chief Executive Officer of Macronix</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55" w:lineRule="exact"/>
        <w:rPr>
          <w:sz w:val="20"/>
          <w:szCs w:val="20"/>
          <w:color w:val="auto"/>
        </w:rPr>
      </w:pPr>
    </w:p>
    <w:p>
      <w:pPr>
        <w:ind w:right="3999"/>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N. Damodary Reddy </w:t>
      </w:r>
      <w:r>
        <w:rPr>
          <w:rFonts w:ascii="Times New Roman" w:cs="Times New Roman" w:eastAsia="Times New Roman" w:hAnsi="Times New Roman"/>
          <w:sz w:val="14"/>
          <w:szCs w:val="14"/>
          <w:color w:val="auto"/>
        </w:rPr>
        <w:t>joined our Board in January 2001. Mr. Reddy serves on the Audit Committee. Mr. Reddy 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co-founder of Alliance Semiconductor Corporation and has served as its Chairman, President and Chief Executive Officer since its inception in February 1985. Mr. Reddy also served as Chief Financial Officer of Alliance Semiconductor from June 1998 to January 1999 and from May 2001 until April 2002. From September 1983 to February 1985, Mr. Reddy served as President and Chief Executive Officer of Modular Semiconductor, Inc., and from 1980 to 1983, he served as manager of Advanced CMOS Technology Development at Synertek, Inc., a subsidiary of Honeywell, Inc. Prior to that time, Mr. Reddy held various research and development and management positions at Four</w:t>
      </w:r>
    </w:p>
    <w:p>
      <w:pPr>
        <w:spacing w:after="0" w:line="19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39"/>
        <w:spacing w:after="0" w:line="263" w:lineRule="auto"/>
        <w:rPr>
          <w:sz w:val="20"/>
          <w:szCs w:val="20"/>
          <w:color w:val="auto"/>
        </w:rPr>
      </w:pPr>
      <w:r>
        <w:rPr>
          <w:rFonts w:ascii="Times New Roman" w:cs="Times New Roman" w:eastAsia="Times New Roman" w:hAnsi="Times New Roman"/>
          <w:sz w:val="14"/>
          <w:szCs w:val="14"/>
          <w:color w:val="auto"/>
        </w:rPr>
        <w:t>Phase Systems, a subsidiary of Motorola, Inc., Fairchild Semiconductor and RCA Technology Center. He holds an MS degree in Electrical Engineering from North Dakota State University and an MBA from Santa Clara University.</w:t>
      </w:r>
    </w:p>
    <w:p>
      <w:pPr>
        <w:spacing w:after="0" w:line="52" w:lineRule="exact"/>
        <w:rPr>
          <w:sz w:val="20"/>
          <w:szCs w:val="20"/>
          <w:color w:val="auto"/>
        </w:rPr>
      </w:pPr>
    </w:p>
    <w:p>
      <w:pPr>
        <w:ind w:right="3979"/>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Hans Rohrer </w:t>
      </w:r>
      <w:r>
        <w:rPr>
          <w:rFonts w:ascii="Times New Roman" w:cs="Times New Roman" w:eastAsia="Times New Roman" w:hAnsi="Times New Roman"/>
          <w:sz w:val="14"/>
          <w:szCs w:val="14"/>
          <w:color w:val="auto"/>
        </w:rPr>
        <w:t>joined our Board in April 2002 as an independent director. Mr. Rohrer serves as a member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Audit Committee. From 1999 to 2002, Mr. Rohrer served as President of Taiwan Semiconductor Manufacturing Company — Europe. Mr. Rohrer has held various engineering, marketing, sales and general management positions, including Vice President and General Manager, Europe, with National Semiconductor between 1980 and 1998. Mr. Rohrer started his career in the semiconductor industry with Texas Instruments. Mr. Rohrer serves as an independent director on our Board for a fixed term which expires in 2005 and can be extended for an additional 3 years fixed term.</w:t>
      </w:r>
    </w:p>
    <w:p>
      <w:pPr>
        <w:spacing w:after="0" w:line="61" w:lineRule="exact"/>
        <w:rPr>
          <w:sz w:val="20"/>
          <w:szCs w:val="20"/>
          <w:color w:val="auto"/>
        </w:rPr>
      </w:pPr>
    </w:p>
    <w:p>
      <w:pPr>
        <w:ind w:right="4019"/>
        <w:spacing w:after="0" w:line="278" w:lineRule="auto"/>
        <w:rPr>
          <w:sz w:val="20"/>
          <w:szCs w:val="20"/>
          <w:color w:val="auto"/>
        </w:rPr>
      </w:pPr>
      <w:r>
        <w:rPr>
          <w:rFonts w:ascii="Times New Roman" w:cs="Times New Roman" w:eastAsia="Times New Roman" w:hAnsi="Times New Roman"/>
          <w:sz w:val="13"/>
          <w:szCs w:val="13"/>
          <w:i w:val="1"/>
          <w:iCs w:val="1"/>
          <w:color w:val="auto"/>
        </w:rPr>
        <w:t xml:space="preserve">Zehava Simon </w:t>
      </w:r>
      <w:r>
        <w:rPr>
          <w:rFonts w:ascii="Times New Roman" w:cs="Times New Roman" w:eastAsia="Times New Roman" w:hAnsi="Times New Roman"/>
          <w:sz w:val="13"/>
          <w:szCs w:val="13"/>
          <w:color w:val="auto"/>
        </w:rPr>
        <w:t>joined our Board in September 1999. Ms. Simon serves as Chairperson of our Audit Committee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serves as a member of our Stock Option and Compensation Committee and Tender Committee. Since 2002, Ms. Simon has served as Chief Executive Officer for BMC Software Israel after having served in various positions at BMC from 2000 to 2002. From 1998 to 2000, Ms. Simon was the Israel Business Development Manager for Intel. From 1993 to 1998, Ms. Simon served as Intel's Finance and Administration Manager for Israel. Ms. Simon serves as an independent director on our Board for a fixed term which expires in 2004.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w:t>
      </w:r>
    </w:p>
    <w:p>
      <w:pPr>
        <w:sectPr>
          <w:pgSz w:w="11900" w:h="16838" w:orient="portrait"/>
          <w:cols w:equalWidth="0" w:num="1">
            <w:col w:w="10239"/>
          </w:cols>
          <w:pgMar w:left="220" w:top="125" w:right="1440" w:bottom="0" w:gutter="0" w:footer="0" w:header="0"/>
        </w:sectPr>
      </w:pPr>
    </w:p>
    <w:bookmarkStart w:id="31" w:name="page32"/>
    <w:bookmarkEnd w:id="31"/>
    <w:p>
      <w:pPr>
        <w:ind w:right="3959"/>
        <w:spacing w:after="0" w:line="251" w:lineRule="auto"/>
        <w:rPr>
          <w:sz w:val="20"/>
          <w:szCs w:val="20"/>
          <w:color w:val="auto"/>
        </w:rPr>
      </w:pPr>
      <w:r>
        <w:rPr>
          <w:rFonts w:ascii="Times New Roman" w:cs="Times New Roman" w:eastAsia="Times New Roman" w:hAnsi="Times New Roman"/>
          <w:sz w:val="14"/>
          <w:szCs w:val="14"/>
          <w:color w:val="auto"/>
        </w:rPr>
        <w:t>For 2002 and the nine months ended September 30, 2003, we paid to all our directors and senior management as a group an aggregate of $1.4 million and $0.5 million, respectively, in salaries, fees and bonuses, excluding management fees paid to a subsidiary of TIC (see "Certain Transactions"). The total amount set aside or accrued in the nine months ended September 30, 2003 to provide for severance, retirement and similar benefits for such persons was $0.1 million. No directors received cash compensation other than the annual and meeting fees described below. Mr. Vernia receives annual compensation at a total cost to us of approximately $225,000, including customary benefits provided to our officers. As of September 30, 2003, our directors were granted options to purchase an aggregate of 280,000 ordinary shares at a weighted average exercise price of $8.48. These options will become exercisable according to various vesting schedules over four years and generally remain exercisable for five years following the vesting date.</w:t>
      </w:r>
    </w:p>
    <w:p>
      <w:pPr>
        <w:spacing w:after="0" w:line="65" w:lineRule="exact"/>
        <w:rPr>
          <w:sz w:val="20"/>
          <w:szCs w:val="20"/>
          <w:color w:val="auto"/>
        </w:rPr>
      </w:pPr>
    </w:p>
    <w:p>
      <w:pPr>
        <w:ind w:right="3999"/>
        <w:spacing w:after="0" w:line="256" w:lineRule="auto"/>
        <w:rPr>
          <w:sz w:val="20"/>
          <w:szCs w:val="20"/>
          <w:color w:val="auto"/>
        </w:rPr>
      </w:pPr>
      <w:r>
        <w:rPr>
          <w:rFonts w:ascii="Times New Roman" w:cs="Times New Roman" w:eastAsia="Times New Roman" w:hAnsi="Times New Roman"/>
          <w:sz w:val="14"/>
          <w:szCs w:val="14"/>
          <w:color w:val="auto"/>
        </w:rPr>
        <w:t>During the nine months ended September 30, 2003, we granted a total of 366,000 options to purchase ordinary shares to our senior managers as a group. These options have a weighted average exercise price of $3.98 per share with vesting periods over four years and expire in 2013. For options granted to the Chairman of our Board of Directors and Chief Executive Officer, see "Certain Transactions — Grant of Options to Chairman and Chief Executive Officer."</w:t>
      </w:r>
    </w:p>
    <w:p>
      <w:pPr>
        <w:spacing w:after="0" w:line="57" w:lineRule="exact"/>
        <w:rPr>
          <w:sz w:val="20"/>
          <w:szCs w:val="20"/>
          <w:color w:val="auto"/>
        </w:rPr>
      </w:pPr>
    </w:p>
    <w:p>
      <w:pPr>
        <w:ind w:right="3999"/>
        <w:spacing w:after="0" w:line="319" w:lineRule="auto"/>
        <w:rPr>
          <w:sz w:val="20"/>
          <w:szCs w:val="20"/>
          <w:color w:val="auto"/>
        </w:rPr>
      </w:pPr>
      <w:r>
        <w:rPr>
          <w:rFonts w:ascii="Times New Roman" w:cs="Times New Roman" w:eastAsia="Times New Roman" w:hAnsi="Times New Roman"/>
          <w:sz w:val="13"/>
          <w:szCs w:val="13"/>
          <w:color w:val="auto"/>
        </w:rPr>
        <w:t>On December 11, 2003, our senior managers were granted an aggregate of 216,000 options to purchase ordinary shares at an exercise price of $6.30 per share with vesting periods over four years. The options expire in 2013.</w:t>
      </w:r>
    </w:p>
    <w:p>
      <w:pPr>
        <w:spacing w:after="0" w:line="19" w:lineRule="exact"/>
        <w:rPr>
          <w:sz w:val="20"/>
          <w:szCs w:val="20"/>
          <w:color w:val="auto"/>
        </w:rPr>
      </w:pPr>
    </w:p>
    <w:p>
      <w:pPr>
        <w:ind w:right="3919"/>
        <w:spacing w:after="0" w:line="254" w:lineRule="auto"/>
        <w:rPr>
          <w:sz w:val="20"/>
          <w:szCs w:val="20"/>
          <w:color w:val="auto"/>
        </w:rPr>
      </w:pPr>
      <w:r>
        <w:rPr>
          <w:rFonts w:ascii="Times New Roman" w:cs="Times New Roman" w:eastAsia="Times New Roman" w:hAnsi="Times New Roman"/>
          <w:sz w:val="14"/>
          <w:szCs w:val="14"/>
          <w:color w:val="auto"/>
        </w:rPr>
        <w:t>Since October 2001, the directors have foregone their directors' fees, except for fees required by law to be paid to our independent directors, consisting of NIS 26,000 (approximately $5,840) annual fee plus NIS 915 (approximately $205) per meeting. The aggregate amount payable to our independent directors with respect to the nine months ended September 30, 2003 was approximately $12,000. The annual and per meeting fees paid to our independent directors are adjusted semiannually to reflect changes to the published guidelines in Israel for independent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Option Plans</w:t>
      </w:r>
    </w:p>
    <w:p>
      <w:pPr>
        <w:spacing w:after="0" w:line="89" w:lineRule="exact"/>
        <w:rPr>
          <w:sz w:val="20"/>
          <w:szCs w:val="20"/>
          <w:color w:val="auto"/>
        </w:rPr>
      </w:pPr>
    </w:p>
    <w:p>
      <w:pPr>
        <w:ind w:right="3939"/>
        <w:spacing w:after="0" w:line="281" w:lineRule="auto"/>
        <w:rPr>
          <w:sz w:val="20"/>
          <w:szCs w:val="20"/>
          <w:color w:val="auto"/>
        </w:rPr>
      </w:pPr>
      <w:r>
        <w:rPr>
          <w:rFonts w:ascii="Times New Roman" w:cs="Times New Roman" w:eastAsia="Times New Roman" w:hAnsi="Times New Roman"/>
          <w:sz w:val="13"/>
          <w:szCs w:val="13"/>
          <w:i w:val="1"/>
          <w:iCs w:val="1"/>
          <w:color w:val="auto"/>
        </w:rPr>
        <w:t xml:space="preserve">General. </w:t>
      </w:r>
      <w:r>
        <w:rPr>
          <w:rFonts w:ascii="Times New Roman" w:cs="Times New Roman" w:eastAsia="Times New Roman" w:hAnsi="Times New Roman"/>
          <w:sz w:val="13"/>
          <w:szCs w:val="13"/>
          <w:color w:val="auto"/>
        </w:rPr>
        <w:t>We currently maintain 15 share option plans. As of September 30, 2003, there were 6,777,520 options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outstanding to acquire our ordinary shares pursuant to our share option plans at a weighted average exercise price of $7.90, exercisable at various dates through September 2013. Options to be granted by us to our directors and employees will only be made pursuant to the 2001 Non-Employee Director Share Option Plan, the 2003/1 Employee Share Option Plan, the 2004 Employee Share Option Plan and the 2005 Employee Share Option Plan.</w:t>
      </w:r>
    </w:p>
    <w:p>
      <w:pPr>
        <w:spacing w:after="0" w:line="17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099"/>
        <w:spacing w:after="0" w:line="263" w:lineRule="auto"/>
        <w:rPr>
          <w:sz w:val="20"/>
          <w:szCs w:val="20"/>
          <w:color w:val="auto"/>
        </w:rPr>
      </w:pPr>
      <w:r>
        <w:rPr>
          <w:rFonts w:ascii="Times New Roman" w:cs="Times New Roman" w:eastAsia="Times New Roman" w:hAnsi="Times New Roman"/>
          <w:sz w:val="14"/>
          <w:szCs w:val="14"/>
          <w:color w:val="auto"/>
        </w:rPr>
        <w:t>The purpose of the option plans is to afford an incentive to our officers, directors and employees or of our subsidiary, to acquire a proprietary interest in us, to continue as officers, directors, employees, to increase their efforts on behalf of us and to promote the success of our business.</w:t>
      </w:r>
    </w:p>
    <w:p>
      <w:pPr>
        <w:spacing w:after="0" w:line="52" w:lineRule="exact"/>
        <w:rPr>
          <w:sz w:val="20"/>
          <w:szCs w:val="20"/>
          <w:color w:val="auto"/>
        </w:rPr>
      </w:pPr>
    </w:p>
    <w:p>
      <w:pPr>
        <w:ind w:right="3939"/>
        <w:spacing w:after="0" w:line="253" w:lineRule="auto"/>
        <w:rPr>
          <w:sz w:val="20"/>
          <w:szCs w:val="20"/>
          <w:color w:val="auto"/>
        </w:rPr>
      </w:pPr>
      <w:r>
        <w:rPr>
          <w:rFonts w:ascii="Times New Roman" w:cs="Times New Roman" w:eastAsia="Times New Roman" w:hAnsi="Times New Roman"/>
          <w:sz w:val="14"/>
          <w:szCs w:val="14"/>
          <w:i w:val="1"/>
          <w:iCs w:val="1"/>
          <w:color w:val="auto"/>
        </w:rPr>
        <w:t>Administration of Our Share Option Plans</w:t>
      </w:r>
      <w:r>
        <w:rPr>
          <w:rFonts w:ascii="Times New Roman" w:cs="Times New Roman" w:eastAsia="Times New Roman" w:hAnsi="Times New Roman"/>
          <w:sz w:val="14"/>
          <w:szCs w:val="14"/>
          <w:color w:val="auto"/>
        </w:rPr>
        <w:t>. Our option plans are administered by the Board of Directors.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option plans, options to purchase our ordinary shares may be granted to our officers, directors, employees or consultants or our subsidiaries. Under the share option plans, the exercise price of options shall be determined by our Board of Directors, and generally ranges between 85% of market price and market price. The vesting schedule of the options is also determined by the Board of Directors but generally the options vest over a four-year period. Each option granted under the option plans is exercisable until 10 years from the date of the grant of the option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2001 Non-Employee Director Share Option Plan</w:t>
      </w:r>
    </w:p>
    <w:p>
      <w:pPr>
        <w:spacing w:after="0" w:line="91" w:lineRule="exact"/>
        <w:rPr>
          <w:sz w:val="20"/>
          <w:szCs w:val="20"/>
          <w:color w:val="auto"/>
        </w:rPr>
      </w:pPr>
    </w:p>
    <w:p>
      <w:pPr>
        <w:ind w:right="3919"/>
        <w:spacing w:after="0" w:line="254" w:lineRule="auto"/>
        <w:rPr>
          <w:sz w:val="20"/>
          <w:szCs w:val="20"/>
          <w:color w:val="auto"/>
        </w:rPr>
      </w:pPr>
      <w:r>
        <w:rPr>
          <w:rFonts w:ascii="Times New Roman" w:cs="Times New Roman" w:eastAsia="Times New Roman" w:hAnsi="Times New Roman"/>
          <w:sz w:val="14"/>
          <w:szCs w:val="14"/>
          <w:color w:val="auto"/>
        </w:rPr>
        <w:t>During 2001, the Audit Committee, Board of Directors and shareholders approved a share option plan pursuant to which our Board members will be granted options to purchase up to 400,000 ordinary shares. As of September 30, 2003, 280,000 options to purchase ordinary shares, of which 240,000 options were exercisable at an exercise price of $8.88 per share, and 40,000 options were exercisable at an exercise price of $6.08 per share, were outstanding under the plan. These options vest over a four-year period, according to various vesting schedules and are generally not exercisable following the fifth anniversary of their vesting date.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2003/1 Employee Share Option Plan</w:t>
      </w:r>
    </w:p>
    <w:p>
      <w:pPr>
        <w:spacing w:after="0" w:line="91"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color w:val="auto"/>
        </w:rPr>
        <w:t>In 2003, we adopted the 2003/1 share option plan and reserved 1,737,420 ordinary shares for issuance to employees (excluding the options issued to our Chairman and Chief Executive Officer under this plan). As of September 30, 2003, options to purchase 1,608,850 ordinary shares were outstanding under the 2003/1 Share Option Plan. This plan also provides for the granting of incentive stock options to those employees qualifying under Section 422 of the Income Tax Code. Options under this share option plan vest in four yearly tranches, instead of three tranches over a period of four years, as in our prior option plans. The exercise prices of the options will generally be the closing sales price of our ordinary shares as reported by Nasdaq. The exercise prices of options granted under the 2003/1 share option plan range from $4.42 to $5.00.</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2004 and 2005 Employee Share Option Plans</w:t>
      </w:r>
    </w:p>
    <w:p>
      <w:pPr>
        <w:spacing w:after="0" w:line="91" w:lineRule="exact"/>
        <w:rPr>
          <w:sz w:val="20"/>
          <w:szCs w:val="20"/>
          <w:color w:val="auto"/>
        </w:rPr>
      </w:pPr>
    </w:p>
    <w:p>
      <w:pPr>
        <w:ind w:right="3939"/>
        <w:spacing w:after="0" w:line="263" w:lineRule="auto"/>
        <w:rPr>
          <w:sz w:val="20"/>
          <w:szCs w:val="20"/>
          <w:color w:val="auto"/>
        </w:rPr>
      </w:pPr>
      <w:r>
        <w:rPr>
          <w:rFonts w:ascii="Times New Roman" w:cs="Times New Roman" w:eastAsia="Times New Roman" w:hAnsi="Times New Roman"/>
          <w:sz w:val="14"/>
          <w:szCs w:val="14"/>
          <w:color w:val="auto"/>
        </w:rPr>
        <w:t>In December 2003, our shareholders approved three new option plans that will reserve 3.6% of the Company's outstanding share capital, as of November 1 of the year prior to the fiscal year covered by these option plans. The terms of these plans will be materially similar to the terms of the 2003/1 employee share option.</w:t>
      </w:r>
    </w:p>
    <w:p>
      <w:pPr>
        <w:spacing w:after="0" w:line="54" w:lineRule="exact"/>
        <w:rPr>
          <w:sz w:val="20"/>
          <w:szCs w:val="20"/>
          <w:color w:val="auto"/>
        </w:rPr>
      </w:pPr>
    </w:p>
    <w:p>
      <w:pPr>
        <w:ind w:right="4199"/>
        <w:spacing w:after="0" w:line="279" w:lineRule="auto"/>
        <w:rPr>
          <w:sz w:val="20"/>
          <w:szCs w:val="20"/>
          <w:color w:val="auto"/>
        </w:rPr>
      </w:pPr>
      <w:r>
        <w:rPr>
          <w:rFonts w:ascii="Times New Roman" w:cs="Times New Roman" w:eastAsia="Times New Roman" w:hAnsi="Times New Roman"/>
          <w:sz w:val="14"/>
          <w:szCs w:val="14"/>
          <w:color w:val="auto"/>
        </w:rPr>
        <w:t>The table below provides information, as of September 30, 2003, concerning options authorized for issuance under our share option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3761105" cy="7302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3761105" cy="73025"/>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ordinary</w:t>
            </w:r>
          </w:p>
        </w:tc>
        <w:tc>
          <w:tcPr>
            <w:tcW w:w="0" w:type="dxa"/>
            <w:vAlign w:val="bottom"/>
          </w:tcPr>
          <w:p>
            <w:pPr>
              <w:spacing w:after="0"/>
              <w:rPr>
                <w:sz w:val="1"/>
                <w:szCs w:val="1"/>
                <w:color w:val="auto"/>
              </w:rPr>
            </w:pPr>
          </w:p>
        </w:tc>
      </w:tr>
      <w:tr>
        <w:trPr>
          <w:trHeight w:val="115"/>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shares remaining</w:t>
            </w:r>
          </w:p>
        </w:tc>
        <w:tc>
          <w:tcPr>
            <w:tcW w:w="0" w:type="dxa"/>
            <w:vAlign w:val="bottom"/>
          </w:tcPr>
          <w:p>
            <w:pPr>
              <w:spacing w:after="0"/>
              <w:rPr>
                <w:sz w:val="1"/>
                <w:szCs w:val="1"/>
                <w:color w:val="auto"/>
              </w:rPr>
            </w:pPr>
          </w:p>
        </w:tc>
      </w:tr>
      <w:tr>
        <w:trPr>
          <w:trHeight w:val="115"/>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ordinary</w:t>
            </w:r>
          </w:p>
        </w:tc>
        <w:tc>
          <w:tcPr>
            <w:tcW w:w="120" w:type="dxa"/>
            <w:vAlign w:val="bottom"/>
          </w:tcPr>
          <w:p>
            <w:pPr>
              <w:spacing w:after="0"/>
              <w:rPr>
                <w:sz w:val="9"/>
                <w:szCs w:val="9"/>
                <w:color w:val="auto"/>
              </w:rPr>
            </w:pPr>
          </w:p>
        </w:tc>
        <w:tc>
          <w:tcPr>
            <w:tcW w:w="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120" w:type="dxa"/>
            <w:vAlign w:val="bottom"/>
          </w:tcPr>
          <w:p>
            <w:pPr>
              <w:spacing w:after="0"/>
              <w:rPr>
                <w:sz w:val="9"/>
                <w:szCs w:val="9"/>
                <w:color w:val="auto"/>
              </w:rPr>
            </w:pPr>
          </w:p>
        </w:tc>
        <w:tc>
          <w:tcPr>
            <w:tcW w:w="13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available for future</w:t>
            </w:r>
          </w:p>
        </w:tc>
        <w:tc>
          <w:tcPr>
            <w:tcW w:w="0" w:type="dxa"/>
            <w:vAlign w:val="bottom"/>
          </w:tcPr>
          <w:p>
            <w:pPr>
              <w:spacing w:after="0"/>
              <w:rPr>
                <w:sz w:val="1"/>
                <w:szCs w:val="1"/>
                <w:color w:val="auto"/>
              </w:rPr>
            </w:pPr>
          </w:p>
        </w:tc>
      </w:tr>
      <w:tr>
        <w:trPr>
          <w:trHeight w:val="115"/>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grants under</w:t>
            </w:r>
          </w:p>
        </w:tc>
        <w:tc>
          <w:tcPr>
            <w:tcW w:w="0" w:type="dxa"/>
            <w:vAlign w:val="bottom"/>
          </w:tcPr>
          <w:p>
            <w:pPr>
              <w:spacing w:after="0"/>
              <w:rPr>
                <w:sz w:val="1"/>
                <w:szCs w:val="1"/>
                <w:color w:val="auto"/>
              </w:rPr>
            </w:pPr>
          </w:p>
        </w:tc>
      </w:tr>
      <w:tr>
        <w:trPr>
          <w:trHeight w:val="115"/>
        </w:trPr>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shares to be issued</w:t>
            </w:r>
          </w:p>
        </w:tc>
        <w:tc>
          <w:tcPr>
            <w:tcW w:w="120" w:type="dxa"/>
            <w:vAlign w:val="bottom"/>
          </w:tcPr>
          <w:p>
            <w:pPr>
              <w:spacing w:after="0"/>
              <w:rPr>
                <w:sz w:val="9"/>
                <w:szCs w:val="9"/>
                <w:color w:val="auto"/>
              </w:rPr>
            </w:pPr>
          </w:p>
        </w:tc>
        <w:tc>
          <w:tcPr>
            <w:tcW w:w="92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exercise prices of</w:t>
            </w:r>
          </w:p>
        </w:tc>
        <w:tc>
          <w:tcPr>
            <w:tcW w:w="120" w:type="dxa"/>
            <w:vAlign w:val="bottom"/>
          </w:tcPr>
          <w:p>
            <w:pPr>
              <w:spacing w:after="0"/>
              <w:rPr>
                <w:sz w:val="9"/>
                <w:szCs w:val="9"/>
                <w:color w:val="auto"/>
              </w:rPr>
            </w:pPr>
          </w:p>
        </w:tc>
        <w:tc>
          <w:tcPr>
            <w:tcW w:w="13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share option plans</w:t>
            </w:r>
          </w:p>
        </w:tc>
        <w:tc>
          <w:tcPr>
            <w:tcW w:w="0" w:type="dxa"/>
            <w:vAlign w:val="bottom"/>
          </w:tcPr>
          <w:p>
            <w:pPr>
              <w:spacing w:after="0"/>
              <w:rPr>
                <w:sz w:val="1"/>
                <w:szCs w:val="1"/>
                <w:color w:val="auto"/>
              </w:rPr>
            </w:pPr>
          </w:p>
        </w:tc>
      </w:tr>
      <w:tr>
        <w:trPr>
          <w:trHeight w:val="115"/>
        </w:trPr>
        <w:tc>
          <w:tcPr>
            <w:tcW w:w="2280" w:type="dxa"/>
            <w:vAlign w:val="bottom"/>
            <w:vMerge w:val="restart"/>
          </w:tcPr>
          <w:p>
            <w:pPr>
              <w:ind w:left="80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120" w:type="dxa"/>
            <w:vAlign w:val="bottom"/>
          </w:tcPr>
          <w:p>
            <w:pPr>
              <w:spacing w:after="0"/>
              <w:rPr>
                <w:sz w:val="9"/>
                <w:szCs w:val="9"/>
                <w:color w:val="auto"/>
              </w:rPr>
            </w:pPr>
          </w:p>
        </w:tc>
        <w:tc>
          <w:tcPr>
            <w:tcW w:w="12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upon exercise of</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outstanding</w:t>
            </w:r>
          </w:p>
        </w:tc>
        <w:tc>
          <w:tcPr>
            <w:tcW w:w="120" w:type="dxa"/>
            <w:vAlign w:val="bottom"/>
          </w:tcPr>
          <w:p>
            <w:pPr>
              <w:spacing w:after="0"/>
              <w:rPr>
                <w:sz w:val="9"/>
                <w:szCs w:val="9"/>
                <w:color w:val="auto"/>
              </w:rPr>
            </w:pPr>
          </w:p>
        </w:tc>
        <w:tc>
          <w:tcPr>
            <w:tcW w:w="13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(excluding Options</w:t>
            </w:r>
          </w:p>
        </w:tc>
        <w:tc>
          <w:tcPr>
            <w:tcW w:w="0" w:type="dxa"/>
            <w:vAlign w:val="bottom"/>
          </w:tcPr>
          <w:p>
            <w:pPr>
              <w:spacing w:after="0"/>
              <w:rPr>
                <w:sz w:val="1"/>
                <w:szCs w:val="1"/>
                <w:color w:val="auto"/>
              </w:rPr>
            </w:pPr>
          </w:p>
        </w:tc>
      </w:tr>
      <w:tr>
        <w:trPr>
          <w:trHeight w:val="134"/>
        </w:trPr>
        <w:tc>
          <w:tcPr>
            <w:tcW w:w="22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outstanding options</w:t>
            </w: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options</w:t>
            </w:r>
          </w:p>
        </w:tc>
        <w:tc>
          <w:tcPr>
            <w:tcW w:w="120" w:type="dxa"/>
            <w:vAlign w:val="bottom"/>
          </w:tcPr>
          <w:p>
            <w:pPr>
              <w:spacing w:after="0"/>
              <w:rPr>
                <w:sz w:val="11"/>
                <w:szCs w:val="11"/>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reflected in column (a))</w:t>
            </w:r>
          </w:p>
        </w:tc>
        <w:tc>
          <w:tcPr>
            <w:tcW w:w="0" w:type="dxa"/>
            <w:vAlign w:val="bottom"/>
          </w:tcPr>
          <w:p>
            <w:pPr>
              <w:spacing w:after="0"/>
              <w:rPr>
                <w:sz w:val="1"/>
                <w:szCs w:val="1"/>
                <w:color w:val="auto"/>
              </w:rPr>
            </w:pPr>
          </w:p>
        </w:tc>
      </w:tr>
      <w:tr>
        <w:trPr>
          <w:trHeight w:val="220"/>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(a)</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(b)</w:t>
            </w:r>
          </w:p>
        </w:tc>
        <w:tc>
          <w:tcPr>
            <w:tcW w:w="120" w:type="dxa"/>
            <w:vAlign w:val="bottom"/>
          </w:tcPr>
          <w:p>
            <w:pPr>
              <w:spacing w:after="0"/>
              <w:rPr>
                <w:sz w:val="19"/>
                <w:szCs w:val="19"/>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(c)</w:t>
            </w:r>
          </w:p>
        </w:tc>
        <w:tc>
          <w:tcPr>
            <w:tcW w:w="0" w:type="dxa"/>
            <w:vAlign w:val="bottom"/>
          </w:tcPr>
          <w:p>
            <w:pPr>
              <w:spacing w:after="0"/>
              <w:rPr>
                <w:sz w:val="1"/>
                <w:szCs w:val="1"/>
                <w:color w:val="auto"/>
              </w:rPr>
            </w:pPr>
          </w:p>
        </w:tc>
      </w:tr>
      <w:tr>
        <w:trPr>
          <w:trHeight w:val="29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Employee Share Option Plan</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5,383,020</w:t>
            </w:r>
          </w:p>
        </w:tc>
        <w:tc>
          <w:tcPr>
            <w:tcW w:w="2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8.70</w:t>
            </w: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2,200,000(1)</w:t>
            </w:r>
          </w:p>
        </w:tc>
        <w:tc>
          <w:tcPr>
            <w:tcW w:w="0" w:type="dxa"/>
            <w:vAlign w:val="bottom"/>
          </w:tcPr>
          <w:p>
            <w:pPr>
              <w:spacing w:after="0"/>
              <w:rPr>
                <w:sz w:val="1"/>
                <w:szCs w:val="1"/>
                <w:color w:val="auto"/>
              </w:rPr>
            </w:pPr>
          </w:p>
        </w:tc>
      </w:tr>
      <w:tr>
        <w:trPr>
          <w:trHeight w:val="322"/>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Directors Share Option Plan</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1,394,500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4.82</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120,000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6,777,520</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7.90</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2,320,000</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1449705</wp:posOffset>
            </wp:positionH>
            <wp:positionV relativeFrom="paragraph">
              <wp:posOffset>-997585</wp:posOffset>
            </wp:positionV>
            <wp:extent cx="13335" cy="635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-997585</wp:posOffset>
            </wp:positionV>
            <wp:extent cx="13335" cy="635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-997585</wp:posOffset>
            </wp:positionV>
            <wp:extent cx="13335" cy="635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-627380</wp:posOffset>
            </wp:positionV>
            <wp:extent cx="13335" cy="63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-627380</wp:posOffset>
            </wp:positionV>
            <wp:extent cx="13335" cy="635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-627380</wp:posOffset>
            </wp:positionV>
            <wp:extent cx="13335" cy="635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-448945</wp:posOffset>
            </wp:positionV>
            <wp:extent cx="13335" cy="63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-448945</wp:posOffset>
            </wp:positionV>
            <wp:extent cx="13335" cy="635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-448945</wp:posOffset>
            </wp:positionV>
            <wp:extent cx="13335" cy="63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-257175</wp:posOffset>
            </wp:positionV>
            <wp:extent cx="13335" cy="63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-257175</wp:posOffset>
            </wp:positionV>
            <wp:extent cx="13335" cy="63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-257175</wp:posOffset>
            </wp:positionV>
            <wp:extent cx="13335" cy="635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-65405</wp:posOffset>
            </wp:positionV>
            <wp:extent cx="13335" cy="63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-65405</wp:posOffset>
            </wp:positionV>
            <wp:extent cx="13335" cy="635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-65405</wp:posOffset>
            </wp:positionV>
            <wp:extent cx="13335" cy="63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6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1"/>
          <w:szCs w:val="11"/>
          <w:color w:val="auto"/>
        </w:rPr>
        <w:t>(1)</w:t>
        <w:tab/>
        <w:t>This number represents the number of options issuable under the 2003/1 and 2004 Employee Share Option Plans.</w:t>
      </w:r>
    </w:p>
    <w:p>
      <w:pPr>
        <w:sectPr>
          <w:pgSz w:w="11900" w:h="16838" w:orient="portrait"/>
          <w:cols w:equalWidth="0" w:num="1">
            <w:col w:w="10239"/>
          </w:cols>
          <w:pgMar w:left="220" w:top="208" w:right="1440" w:bottom="445" w:gutter="0" w:footer="0" w:header="0"/>
        </w:sectPr>
      </w:pPr>
    </w:p>
    <w:p>
      <w:pPr>
        <w:spacing w:after="0" w:line="20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208" w:right="1440" w:bottom="445"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Board Practices</w:t>
      </w:r>
    </w:p>
    <w:p>
      <w:pPr>
        <w:spacing w:after="0" w:line="91" w:lineRule="exact"/>
        <w:rPr>
          <w:sz w:val="20"/>
          <w:szCs w:val="20"/>
          <w:color w:val="auto"/>
        </w:rPr>
      </w:pPr>
    </w:p>
    <w:p>
      <w:pPr>
        <w:ind w:right="3959"/>
        <w:spacing w:after="0" w:line="253" w:lineRule="auto"/>
        <w:rPr>
          <w:sz w:val="20"/>
          <w:szCs w:val="20"/>
          <w:color w:val="auto"/>
        </w:rPr>
      </w:pPr>
      <w:r>
        <w:rPr>
          <w:rFonts w:ascii="Times New Roman" w:cs="Times New Roman" w:eastAsia="Times New Roman" w:hAnsi="Times New Roman"/>
          <w:sz w:val="14"/>
          <w:szCs w:val="14"/>
          <w:color w:val="auto"/>
        </w:rPr>
        <w:t>Our Articles of Association provide that the Board of Directors shall consist of at least five and no more than 11 members. All directors hold office until their successors are elected at the next annual general meeting of shareholders. Pursuant to a shareholders agreement described in "Certain Transactions," Israel Corp., SanDisk, Alliance Semiconductor and Macronix have agreed to vote all their respective shares for nominees designated by each shareholder and for the election of a nominee of Israel Corp. as Chairman of the Board. Our officers are appointed by the Board of Directors and (subject, in certain cases, to employment agreement provisions that require 270 days notice of termination) continue to serve at the discretion of the Board of Directors.</w:t>
      </w:r>
    </w:p>
    <w:p>
      <w:pPr>
        <w:spacing w:after="0" w:line="61" w:lineRule="exact"/>
        <w:rPr>
          <w:sz w:val="20"/>
          <w:szCs w:val="20"/>
          <w:color w:val="auto"/>
        </w:rPr>
      </w:pPr>
    </w:p>
    <w:p>
      <w:pPr>
        <w:ind w:right="3919"/>
        <w:spacing w:after="0" w:line="256" w:lineRule="auto"/>
        <w:rPr>
          <w:sz w:val="20"/>
          <w:szCs w:val="20"/>
          <w:color w:val="auto"/>
        </w:rPr>
      </w:pPr>
      <w:r>
        <w:rPr>
          <w:rFonts w:ascii="Times New Roman" w:cs="Times New Roman" w:eastAsia="Times New Roman" w:hAnsi="Times New Roman"/>
          <w:sz w:val="14"/>
          <w:szCs w:val="14"/>
          <w:color w:val="auto"/>
        </w:rPr>
        <w:t>Our Articles of Association provide that any director may, by written notice to us, appoint another person to serve as an alternate director, and may cancel such appointment. Any person, whether or not already a director, may act as an alternate, and the same person may act as the alternate for several directors. The term of appointment of an alternate director may be for one meeting of the Board of Directors or for a specified period or until notice is given of the cancellation of the appointment.</w:t>
      </w:r>
    </w:p>
    <w:p>
      <w:pPr>
        <w:spacing w:after="0" w:line="57" w:lineRule="exact"/>
        <w:rPr>
          <w:sz w:val="20"/>
          <w:szCs w:val="20"/>
          <w:color w:val="auto"/>
        </w:rPr>
      </w:pPr>
    </w:p>
    <w:p>
      <w:pPr>
        <w:ind w:right="3959"/>
        <w:spacing w:after="0" w:line="263" w:lineRule="auto"/>
        <w:rPr>
          <w:sz w:val="20"/>
          <w:szCs w:val="20"/>
          <w:color w:val="auto"/>
        </w:rPr>
      </w:pPr>
      <w:r>
        <w:rPr>
          <w:rFonts w:ascii="Times New Roman" w:cs="Times New Roman" w:eastAsia="Times New Roman" w:hAnsi="Times New Roman"/>
          <w:sz w:val="14"/>
          <w:szCs w:val="14"/>
          <w:color w:val="auto"/>
        </w:rPr>
        <w:t>None of the members of the Board is entitled to receive any severance or similar benefits upon termination of his service with the Board of Directors, other than Mr. Vernia, who is entitled to severance as an employee under Israeli law.</w:t>
      </w:r>
    </w:p>
    <w:p>
      <w:pPr>
        <w:spacing w:after="0" w:line="54" w:lineRule="exact"/>
        <w:rPr>
          <w:sz w:val="20"/>
          <w:szCs w:val="20"/>
          <w:color w:val="auto"/>
        </w:rPr>
      </w:pPr>
    </w:p>
    <w:p>
      <w:pPr>
        <w:jc w:val="both"/>
        <w:ind w:right="3939"/>
        <w:spacing w:after="0" w:line="263" w:lineRule="auto"/>
        <w:rPr>
          <w:sz w:val="20"/>
          <w:szCs w:val="20"/>
          <w:color w:val="auto"/>
        </w:rPr>
      </w:pPr>
      <w:r>
        <w:rPr>
          <w:rFonts w:ascii="Times New Roman" w:cs="Times New Roman" w:eastAsia="Times New Roman" w:hAnsi="Times New Roman"/>
          <w:sz w:val="14"/>
          <w:szCs w:val="14"/>
          <w:color w:val="auto"/>
        </w:rPr>
        <w:t>Pursuant to Israeli law, we are required to appoint two independent directors. These directors must be unaffiliated with us and our principals. Any committee of the Board of Directors which is authorized to exercise any function of the board must include at least one independent director.</w:t>
      </w:r>
    </w:p>
    <w:p>
      <w:pPr>
        <w:spacing w:after="0" w:line="54" w:lineRule="exact"/>
        <w:rPr>
          <w:sz w:val="20"/>
          <w:szCs w:val="20"/>
          <w:color w:val="auto"/>
        </w:rPr>
      </w:pPr>
    </w:p>
    <w:p>
      <w:pPr>
        <w:ind w:right="3979"/>
        <w:spacing w:after="0" w:line="258" w:lineRule="auto"/>
        <w:rPr>
          <w:sz w:val="20"/>
          <w:szCs w:val="20"/>
          <w:color w:val="auto"/>
        </w:rPr>
      </w:pPr>
      <w:r>
        <w:rPr>
          <w:rFonts w:ascii="Times New Roman" w:cs="Times New Roman" w:eastAsia="Times New Roman" w:hAnsi="Times New Roman"/>
          <w:sz w:val="14"/>
          <w:szCs w:val="14"/>
          <w:color w:val="auto"/>
        </w:rPr>
        <w:t>Independent directors are to be elected by a majority vote at a shareholders' meeting, provided that such majority includes at least one-third of the shares held by non-controlling shareholders voted at the meeting or the total number of shares held by non-controlling shareholders voted against the election of the director does not exceed one percent of the aggregate voting rights in the company.</w:t>
      </w:r>
    </w:p>
    <w:p>
      <w:pPr>
        <w:spacing w:after="0" w:line="57" w:lineRule="exact"/>
        <w:rPr>
          <w:sz w:val="20"/>
          <w:szCs w:val="20"/>
          <w:color w:val="auto"/>
        </w:rPr>
      </w:pPr>
    </w:p>
    <w:p>
      <w:pPr>
        <w:ind w:right="4139"/>
        <w:spacing w:after="0" w:line="258" w:lineRule="auto"/>
        <w:rPr>
          <w:sz w:val="20"/>
          <w:szCs w:val="20"/>
          <w:color w:val="auto"/>
        </w:rPr>
      </w:pPr>
      <w:r>
        <w:rPr>
          <w:rFonts w:ascii="Times New Roman" w:cs="Times New Roman" w:eastAsia="Times New Roman" w:hAnsi="Times New Roman"/>
          <w:sz w:val="14"/>
          <w:szCs w:val="14"/>
          <w:color w:val="auto"/>
        </w:rPr>
        <w:t>The initial term of an independent director is three years and may be extended for an additional three years. Independent directors may be removed only by the same percentage of shareholders as is required for their election, or by a court, and then only if the independent directors cease to meet the statutory qualifications for their appointment or if they violate their duty of loyalty to the company.</w:t>
      </w:r>
    </w:p>
    <w:p>
      <w:pPr>
        <w:spacing w:after="0" w:line="57" w:lineRule="exact"/>
        <w:rPr>
          <w:sz w:val="20"/>
          <w:szCs w:val="20"/>
          <w:color w:val="auto"/>
        </w:rPr>
      </w:pPr>
    </w:p>
    <w:p>
      <w:pPr>
        <w:ind w:right="4179"/>
        <w:spacing w:after="0" w:line="263" w:lineRule="auto"/>
        <w:rPr>
          <w:sz w:val="20"/>
          <w:szCs w:val="20"/>
          <w:color w:val="auto"/>
        </w:rPr>
      </w:pPr>
      <w:r>
        <w:rPr>
          <w:rFonts w:ascii="Times New Roman" w:cs="Times New Roman" w:eastAsia="Times New Roman" w:hAnsi="Times New Roman"/>
          <w:sz w:val="14"/>
          <w:szCs w:val="14"/>
          <w:color w:val="auto"/>
        </w:rPr>
        <w:t>An independent director is entitled to compensation, as provided in regulations adopted under the new Companies Law, and is otherwise prohibited from receiving any other compensation, directly or indirectly, in connection with service provided as an independent director.</w:t>
      </w:r>
    </w:p>
    <w:p>
      <w:pPr>
        <w:spacing w:after="0" w:line="54" w:lineRule="exact"/>
        <w:rPr>
          <w:sz w:val="20"/>
          <w:szCs w:val="20"/>
          <w:color w:val="auto"/>
        </w:rPr>
      </w:pPr>
    </w:p>
    <w:p>
      <w:pPr>
        <w:ind w:right="3999"/>
        <w:spacing w:after="0" w:line="254" w:lineRule="auto"/>
        <w:rPr>
          <w:sz w:val="20"/>
          <w:szCs w:val="20"/>
          <w:color w:val="auto"/>
        </w:rPr>
      </w:pPr>
      <w:r>
        <w:rPr>
          <w:rFonts w:ascii="Times New Roman" w:cs="Times New Roman" w:eastAsia="Times New Roman" w:hAnsi="Times New Roman"/>
          <w:sz w:val="14"/>
          <w:szCs w:val="14"/>
          <w:color w:val="auto"/>
        </w:rPr>
        <w:t>The Companies Law requires public companies to appoint an audit committee. The responsibilities of the audit committee include identifying irregularities in the management of the company's business and approving related party transactions as required by law. An audit committee must consist of at least three directors, including the independent directors of the company. The chairman of the board of directors, any director employed by or otherwise providing services to the company, and a controlling shareholder or any relative of a controlling shareholder, may not be a member of the audit committee.</w:t>
      </w:r>
    </w:p>
    <w:p>
      <w:pPr>
        <w:spacing w:after="0" w:line="60" w:lineRule="exact"/>
        <w:rPr>
          <w:sz w:val="20"/>
          <w:szCs w:val="20"/>
          <w:color w:val="auto"/>
        </w:rPr>
      </w:pPr>
    </w:p>
    <w:p>
      <w:pPr>
        <w:ind w:right="3959"/>
        <w:spacing w:after="0" w:line="256" w:lineRule="auto"/>
        <w:rPr>
          <w:sz w:val="20"/>
          <w:szCs w:val="20"/>
          <w:color w:val="auto"/>
        </w:rPr>
      </w:pPr>
      <w:r>
        <w:rPr>
          <w:rFonts w:ascii="Times New Roman" w:cs="Times New Roman" w:eastAsia="Times New Roman" w:hAnsi="Times New Roman"/>
          <w:sz w:val="14"/>
          <w:szCs w:val="14"/>
          <w:color w:val="auto"/>
        </w:rPr>
        <w:t>Under the Companies Law, the board of directors must appoint an internal auditor, who is recommended by the audit committee. The role of the internal auditor is to examine, among other matters, whether the company's actions comply with the law and orderly business procedure. Under the new Companies Law, the internal auditor may be an employee of the company but not an office holder, or an affiliate, or a relative of an office holder or affiliate, and he may not be the company's independent accountant or its representative.</w:t>
      </w:r>
    </w:p>
    <w:p>
      <w:pPr>
        <w:spacing w:after="0" w:line="57" w:lineRule="exact"/>
        <w:rPr>
          <w:sz w:val="20"/>
          <w:szCs w:val="20"/>
          <w:color w:val="auto"/>
        </w:rPr>
      </w:pPr>
    </w:p>
    <w:p>
      <w:pPr>
        <w:ind w:right="3939"/>
        <w:spacing w:after="0" w:line="256" w:lineRule="auto"/>
        <w:rPr>
          <w:sz w:val="20"/>
          <w:szCs w:val="20"/>
          <w:color w:val="auto"/>
        </w:rPr>
      </w:pPr>
      <w:r>
        <w:rPr>
          <w:rFonts w:ascii="Times New Roman" w:cs="Times New Roman" w:eastAsia="Times New Roman" w:hAnsi="Times New Roman"/>
          <w:sz w:val="14"/>
          <w:szCs w:val="14"/>
          <w:color w:val="auto"/>
        </w:rPr>
        <w:t>Ms. Simon, who currently serves as an independent director, was appointed under a predecessor law to a fixed five-year term, which expires in September 2004. Mr. Rohrer, who currently serves as an independent director, was appointed under the current Companies Law, with an initial three-year term expiring in April 2005. Both Ms. Simon and Mr. Rohrer serve on our Audit Committee, and Ms. Simon is deemed to be a financial expert as required under the Sarbanes-Oxley Act.</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59"/>
        <w:spacing w:after="0" w:line="284" w:lineRule="auto"/>
        <w:rPr>
          <w:sz w:val="20"/>
          <w:szCs w:val="20"/>
          <w:color w:val="auto"/>
        </w:rPr>
      </w:pPr>
      <w:r>
        <w:rPr>
          <w:rFonts w:ascii="Times New Roman" w:cs="Times New Roman" w:eastAsia="Times New Roman" w:hAnsi="Times New Roman"/>
          <w:sz w:val="13"/>
          <w:szCs w:val="13"/>
          <w:color w:val="auto"/>
        </w:rPr>
        <w:t>Mr. Ofer, Dr. Harari and Ms. Simon serve on the Stock Option and Compensation Committee. The committee meets at least once a year. The primary function of our Stock Option and Compensation Committee is to approve our employee compensation policy and determine remuneration and other terms of employment for our officers and senior employee. In setting our remuneration policy, the committee considers a number of factors including:</w:t>
      </w:r>
    </w:p>
    <w:p>
      <w:pPr>
        <w:spacing w:after="0" w:line="125" w:lineRule="exact"/>
        <w:rPr>
          <w:sz w:val="20"/>
          <w:szCs w:val="20"/>
          <w:color w:val="auto"/>
        </w:rPr>
      </w:pPr>
    </w:p>
    <w:p>
      <w:pPr>
        <w:ind w:left="400" w:hanging="261"/>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employment market environment;</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basic salaries and benefits available to comparable officers at comparable companies;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attract and retain officers of an appropriate caliber;</w:t>
      </w:r>
    </w:p>
    <w:p>
      <w:pPr>
        <w:spacing w:after="0" w:line="172" w:lineRule="exact"/>
        <w:rPr>
          <w:rFonts w:ascii="Times New Roman" w:cs="Times New Roman" w:eastAsia="Times New Roman" w:hAnsi="Times New Roman"/>
          <w:sz w:val="14"/>
          <w:szCs w:val="14"/>
          <w:color w:val="auto"/>
        </w:rPr>
      </w:pPr>
    </w:p>
    <w:p>
      <w:pPr>
        <w:ind w:left="400" w:right="4679" w:hanging="261"/>
        <w:spacing w:after="0" w:line="279" w:lineRule="auto"/>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ensure such executives' commitment to the continued success of our company by means of incentive schemes;</w:t>
      </w:r>
    </w:p>
    <w:p>
      <w:pPr>
        <w:spacing w:after="0" w:line="125"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the employee; and</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and operating results of our company.</w:t>
      </w:r>
    </w:p>
    <w:p>
      <w:pPr>
        <w:spacing w:after="0" w:line="22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b w:val="1"/>
          <w:bCs w:val="1"/>
          <w:color w:val="auto"/>
        </w:rPr>
        <w:t>Principal Shareholders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regarding beneficial ownership of our ordinary shares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15, 2003 by:</w:t>
      </w:r>
    </w:p>
    <w:p>
      <w:pPr>
        <w:spacing w:after="0" w:line="157" w:lineRule="exact"/>
        <w:rPr>
          <w:sz w:val="20"/>
          <w:szCs w:val="20"/>
          <w:color w:val="auto"/>
        </w:rPr>
      </w:pPr>
    </w:p>
    <w:p>
      <w:pPr>
        <w:ind w:left="400" w:right="4579" w:hanging="261"/>
        <w:spacing w:after="0" w:line="279" w:lineRule="auto"/>
        <w:tabs>
          <w:tab w:leader="none" w:pos="4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who is known by us to own beneficially more than five percent of our outstanding ordinary shares; and</w:t>
      </w:r>
    </w:p>
    <w:p>
      <w:pPr>
        <w:spacing w:after="0" w:line="125"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current officers and directors as a group.</w:t>
      </w:r>
    </w:p>
    <w:p>
      <w:pPr>
        <w:spacing w:after="0" w:line="172" w:lineRule="exact"/>
        <w:rPr>
          <w:sz w:val="20"/>
          <w:szCs w:val="20"/>
          <w:color w:val="auto"/>
        </w:rPr>
      </w:pPr>
    </w:p>
    <w:p>
      <w:pPr>
        <w:ind w:right="3979"/>
        <w:spacing w:after="0" w:line="258" w:lineRule="auto"/>
        <w:rPr>
          <w:sz w:val="20"/>
          <w:szCs w:val="20"/>
          <w:color w:val="auto"/>
        </w:rPr>
      </w:pPr>
      <w:r>
        <w:rPr>
          <w:rFonts w:ascii="Times New Roman" w:cs="Times New Roman" w:eastAsia="Times New Roman" w:hAnsi="Times New Roman"/>
          <w:sz w:val="14"/>
          <w:szCs w:val="14"/>
          <w:color w:val="auto"/>
        </w:rPr>
        <w:t>The table has been prepared on a pro forma basis assuming the exercise of all options that, by their terms, are exercisable within 60 days of December 15, 2003; shares subject to these options are deemed outstanding for the purpose of computing the ownership percentage of the person holding these options, but are not deemed outstanding for purposes of computing the ownership percentage of any other person.</w:t>
      </w:r>
    </w:p>
    <w:p>
      <w:pPr>
        <w:sectPr>
          <w:pgSz w:w="11900" w:h="16838" w:orient="portrait"/>
          <w:cols w:equalWidth="0" w:num="1">
            <w:col w:w="10239"/>
          </w:cols>
          <w:pgMar w:left="220" w:top="289" w:right="1440" w:bottom="0" w:gutter="0" w:footer="0" w:header="0"/>
        </w:sectPr>
      </w:pPr>
    </w:p>
    <w:bookmarkStart w:id="33" w:name="page34"/>
    <w:bookmarkEnd w:id="33"/>
    <w:p>
      <w:pPr>
        <w:spacing w:after="0" w:line="17" w:lineRule="exact"/>
        <w:rPr>
          <w:sz w:val="20"/>
          <w:szCs w:val="20"/>
          <w:color w:val="auto"/>
        </w:rPr>
      </w:pPr>
    </w:p>
    <w:p>
      <w:pPr>
        <w:ind w:right="4039"/>
        <w:spacing w:after="0" w:line="258" w:lineRule="auto"/>
        <w:rPr>
          <w:sz w:val="20"/>
          <w:szCs w:val="20"/>
          <w:color w:val="auto"/>
        </w:rPr>
      </w:pPr>
      <w:r>
        <w:rPr>
          <w:rFonts w:ascii="Times New Roman" w:cs="Times New Roman" w:eastAsia="Times New Roman" w:hAnsi="Times New Roman"/>
          <w:sz w:val="14"/>
          <w:szCs w:val="14"/>
          <w:color w:val="auto"/>
        </w:rPr>
        <w:t>As used in this table, "beneficial ownership" means the sole or shared power to vote or direct the voting or to dispose or direct the disposition of any ordinary shares. The address of each of our officers and directors is c/o Tower Semiconductor Ltd., Ramat Gavriel Industrial Park, Post Office Box 619, Migdal Haemek, 23105 Israel, our principal place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6350" cy="660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rPr>
                <w:sz w:val="11"/>
                <w:szCs w:val="11"/>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15"/>
        </w:trPr>
        <w:tc>
          <w:tcPr>
            <w:tcW w:w="4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60" w:type="dxa"/>
            <w:vAlign w:val="bottom"/>
          </w:tcPr>
          <w:p>
            <w:pPr>
              <w:spacing w:after="0"/>
              <w:rPr>
                <w:sz w:val="9"/>
                <w:szCs w:val="9"/>
                <w:color w:val="auto"/>
              </w:rPr>
            </w:pPr>
          </w:p>
        </w:tc>
        <w:tc>
          <w:tcPr>
            <w:tcW w:w="1320" w:type="dxa"/>
            <w:vAlign w:val="bottom"/>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Ordinary Shares</w:t>
            </w:r>
          </w:p>
        </w:tc>
        <w:tc>
          <w:tcPr>
            <w:tcW w:w="0" w:type="dxa"/>
            <w:vAlign w:val="bottom"/>
          </w:tcPr>
          <w:p>
            <w:pPr>
              <w:spacing w:after="0"/>
              <w:rPr>
                <w:sz w:val="1"/>
                <w:szCs w:val="1"/>
                <w:color w:val="auto"/>
              </w:rPr>
            </w:pPr>
          </w:p>
        </w:tc>
      </w:tr>
      <w:tr>
        <w:trPr>
          <w:trHeight w:val="134"/>
        </w:trPr>
        <w:tc>
          <w:tcPr>
            <w:tcW w:w="4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Owned</w:t>
            </w:r>
          </w:p>
        </w:tc>
        <w:tc>
          <w:tcPr>
            <w:tcW w:w="60" w:type="dxa"/>
            <w:vAlign w:val="bottom"/>
          </w:tcPr>
          <w:p>
            <w:pPr>
              <w:spacing w:after="0"/>
              <w:rPr>
                <w:sz w:val="11"/>
                <w:szCs w:val="11"/>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Beneficially Owned</w:t>
            </w:r>
          </w:p>
        </w:tc>
        <w:tc>
          <w:tcPr>
            <w:tcW w:w="0" w:type="dxa"/>
            <w:vAlign w:val="bottom"/>
          </w:tcPr>
          <w:p>
            <w:pPr>
              <w:spacing w:after="0"/>
              <w:rPr>
                <w:sz w:val="1"/>
                <w:szCs w:val="1"/>
                <w:color w:val="auto"/>
              </w:rPr>
            </w:pPr>
          </w:p>
        </w:tc>
      </w:tr>
      <w:tr>
        <w:trPr>
          <w:trHeight w:val="86"/>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Beneficial Owner</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Number(1)</w:t>
            </w:r>
          </w:p>
        </w:tc>
        <w:tc>
          <w:tcPr>
            <w:tcW w:w="60" w:type="dxa"/>
            <w:vAlign w:val="bottom"/>
          </w:tcPr>
          <w:p>
            <w:pPr>
              <w:spacing w:after="0"/>
              <w:rPr>
                <w:sz w:val="7"/>
                <w:szCs w:val="7"/>
                <w:color w:val="auto"/>
              </w:rPr>
            </w:pPr>
          </w:p>
        </w:tc>
        <w:tc>
          <w:tcPr>
            <w:tcW w:w="520" w:type="dxa"/>
            <w:vAlign w:val="bottom"/>
          </w:tcPr>
          <w:p>
            <w:pPr>
              <w:jc w:val="right"/>
              <w:ind w:right="44"/>
              <w:spacing w:after="0" w:line="86" w:lineRule="exact"/>
              <w:rPr>
                <w:sz w:val="20"/>
                <w:szCs w:val="20"/>
                <w:color w:val="auto"/>
              </w:rPr>
            </w:pPr>
            <w:r>
              <w:rPr>
                <w:rFonts w:ascii="Times New Roman" w:cs="Times New Roman" w:eastAsia="Times New Roman" w:hAnsi="Times New Roman"/>
                <w:sz w:val="9"/>
                <w:szCs w:val="9"/>
                <w:b w:val="1"/>
                <w:bCs w:val="1"/>
                <w:color w:val="auto"/>
              </w:rPr>
              <w:t>Before</w:t>
            </w:r>
          </w:p>
        </w:tc>
        <w:tc>
          <w:tcPr>
            <w:tcW w:w="60" w:type="dxa"/>
            <w:vAlign w:val="bottom"/>
          </w:tcPr>
          <w:p>
            <w:pPr>
              <w:spacing w:after="0"/>
              <w:rPr>
                <w:sz w:val="7"/>
                <w:szCs w:val="7"/>
                <w:color w:val="auto"/>
              </w:rPr>
            </w:pPr>
          </w:p>
        </w:tc>
        <w:tc>
          <w:tcPr>
            <w:tcW w:w="740" w:type="dxa"/>
            <w:vAlign w:val="bottom"/>
          </w:tcPr>
          <w:p>
            <w:pPr>
              <w:jc w:val="right"/>
              <w:ind w:right="184"/>
              <w:spacing w:after="0" w:line="86" w:lineRule="exact"/>
              <w:rPr>
                <w:sz w:val="20"/>
                <w:szCs w:val="20"/>
                <w:color w:val="auto"/>
              </w:rPr>
            </w:pPr>
            <w:r>
              <w:rPr>
                <w:rFonts w:ascii="Times New Roman" w:cs="Times New Roman" w:eastAsia="Times New Roman" w:hAnsi="Times New Roman"/>
                <w:sz w:val="9"/>
                <w:szCs w:val="9"/>
                <w:b w:val="1"/>
                <w:bCs w:val="1"/>
                <w:color w:val="auto"/>
              </w:rPr>
              <w:t>After</w:t>
            </w:r>
          </w:p>
        </w:tc>
        <w:tc>
          <w:tcPr>
            <w:tcW w:w="0" w:type="dxa"/>
            <w:vAlign w:val="bottom"/>
          </w:tcPr>
          <w:p>
            <w:pPr>
              <w:spacing w:after="0"/>
              <w:rPr>
                <w:sz w:val="1"/>
                <w:szCs w:val="1"/>
                <w:color w:val="auto"/>
              </w:rPr>
            </w:pPr>
          </w:p>
        </w:tc>
      </w:tr>
      <w:tr>
        <w:trPr>
          <w:trHeight w:val="134"/>
        </w:trPr>
        <w:tc>
          <w:tcPr>
            <w:tcW w:w="406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60" w:type="dxa"/>
            <w:vAlign w:val="bottom"/>
          </w:tcPr>
          <w:p>
            <w:pPr>
              <w:spacing w:after="0"/>
              <w:rPr>
                <w:sz w:val="11"/>
                <w:szCs w:val="11"/>
                <w:color w:val="auto"/>
              </w:rPr>
            </w:pPr>
          </w:p>
        </w:tc>
        <w:tc>
          <w:tcPr>
            <w:tcW w:w="740" w:type="dxa"/>
            <w:vAlign w:val="bottom"/>
          </w:tcPr>
          <w:p>
            <w:pPr>
              <w:jc w:val="right"/>
              <w:ind w:right="44"/>
              <w:spacing w:after="0"/>
              <w:rPr>
                <w:sz w:val="20"/>
                <w:szCs w:val="20"/>
                <w:color w:val="auto"/>
              </w:rPr>
            </w:pPr>
            <w:r>
              <w:rPr>
                <w:rFonts w:ascii="Times New Roman" w:cs="Times New Roman" w:eastAsia="Times New Roman" w:hAnsi="Times New Roman"/>
                <w:sz w:val="11"/>
                <w:szCs w:val="11"/>
                <w:b w:val="1"/>
                <w:bCs w:val="1"/>
                <w:color w:val="auto"/>
              </w:rPr>
              <w:t>Offering(2)</w:t>
            </w:r>
          </w:p>
        </w:tc>
        <w:tc>
          <w:tcPr>
            <w:tcW w:w="0" w:type="dxa"/>
            <w:vAlign w:val="bottom"/>
          </w:tcPr>
          <w:p>
            <w:pPr>
              <w:spacing w:after="0"/>
              <w:rPr>
                <w:sz w:val="1"/>
                <w:szCs w:val="1"/>
                <w:color w:val="auto"/>
              </w:rPr>
            </w:pPr>
          </w:p>
        </w:tc>
      </w:tr>
      <w:tr>
        <w:trPr>
          <w:trHeight w:val="172"/>
        </w:trPr>
        <w:tc>
          <w:tcPr>
            <w:tcW w:w="4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Israel Corporation Technologies (ICTech) Ltd. (3)</w:t>
            </w:r>
          </w:p>
        </w:tc>
        <w:tc>
          <w:tcPr>
            <w:tcW w:w="60" w:type="dxa"/>
            <w:vAlign w:val="bottom"/>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15,110,492(4)</w:t>
            </w:r>
          </w:p>
        </w:tc>
        <w:tc>
          <w:tcPr>
            <w:tcW w:w="60" w:type="dxa"/>
            <w:vAlign w:val="bottom"/>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60" w:type="dxa"/>
            <w:vAlign w:val="bottom"/>
          </w:tcPr>
          <w:p>
            <w:pPr>
              <w:spacing w:after="0"/>
              <w:rPr>
                <w:sz w:val="14"/>
                <w:szCs w:val="14"/>
                <w:color w:val="auto"/>
              </w:rPr>
            </w:pPr>
          </w:p>
        </w:tc>
        <w:tc>
          <w:tcPr>
            <w:tcW w:w="740" w:type="dxa"/>
            <w:vAlign w:val="bottom"/>
            <w:tcBorders>
              <w:top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color w:val="auto"/>
              </w:rPr>
              <w:t>23.26%</w:t>
            </w:r>
          </w:p>
        </w:tc>
        <w:tc>
          <w:tcPr>
            <w:tcW w:w="0" w:type="dxa"/>
            <w:vAlign w:val="bottom"/>
          </w:tcPr>
          <w:p>
            <w:pPr>
              <w:spacing w:after="0"/>
              <w:rPr>
                <w:sz w:val="1"/>
                <w:szCs w:val="1"/>
                <w:color w:val="auto"/>
              </w:rPr>
            </w:pPr>
          </w:p>
        </w:tc>
      </w:tr>
      <w:tr>
        <w:trPr>
          <w:trHeight w:val="183"/>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SanDisk Corporation (3)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9,253,697(5)</w:t>
            </w:r>
          </w:p>
        </w:tc>
        <w:tc>
          <w:tcPr>
            <w:tcW w:w="5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17.58</w:t>
            </w:r>
          </w:p>
        </w:tc>
        <w:tc>
          <w:tcPr>
            <w:tcW w:w="800" w:type="dxa"/>
            <w:vAlign w:val="bottom"/>
            <w:gridSpan w:val="2"/>
          </w:tcPr>
          <w:p>
            <w:pPr>
              <w:jc w:val="right"/>
              <w:ind w:right="204"/>
              <w:spacing w:after="0"/>
              <w:rPr>
                <w:sz w:val="20"/>
                <w:szCs w:val="20"/>
                <w:color w:val="auto"/>
              </w:rPr>
            </w:pPr>
            <w:r>
              <w:rPr>
                <w:rFonts w:ascii="Times New Roman" w:cs="Times New Roman" w:eastAsia="Times New Roman" w:hAnsi="Times New Roman"/>
                <w:sz w:val="14"/>
                <w:szCs w:val="14"/>
                <w:color w:val="auto"/>
              </w:rPr>
              <w:t>14.32</w:t>
            </w:r>
          </w:p>
        </w:tc>
        <w:tc>
          <w:tcPr>
            <w:tcW w:w="0" w:type="dxa"/>
            <w:vAlign w:val="bottom"/>
          </w:tcPr>
          <w:p>
            <w:pPr>
              <w:spacing w:after="0"/>
              <w:rPr>
                <w:sz w:val="1"/>
                <w:szCs w:val="1"/>
                <w:color w:val="auto"/>
              </w:rPr>
            </w:pPr>
          </w:p>
        </w:tc>
      </w:tr>
      <w:tr>
        <w:trPr>
          <w:trHeight w:val="19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Alliance Semiconductor Corporation (3)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9,217,273(6)</w:t>
            </w:r>
          </w:p>
        </w:tc>
        <w:tc>
          <w:tcPr>
            <w:tcW w:w="5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17.51</w:t>
            </w:r>
          </w:p>
        </w:tc>
        <w:tc>
          <w:tcPr>
            <w:tcW w:w="800" w:type="dxa"/>
            <w:vAlign w:val="bottom"/>
            <w:gridSpan w:val="2"/>
          </w:tcPr>
          <w:p>
            <w:pPr>
              <w:jc w:val="right"/>
              <w:ind w:right="204"/>
              <w:spacing w:after="0"/>
              <w:rPr>
                <w:sz w:val="20"/>
                <w:szCs w:val="20"/>
                <w:color w:val="auto"/>
              </w:rPr>
            </w:pPr>
            <w:r>
              <w:rPr>
                <w:rFonts w:ascii="Times New Roman" w:cs="Times New Roman" w:eastAsia="Times New Roman" w:hAnsi="Times New Roman"/>
                <w:sz w:val="14"/>
                <w:szCs w:val="14"/>
                <w:color w:val="auto"/>
              </w:rPr>
              <w:t>14.26</w:t>
            </w:r>
          </w:p>
        </w:tc>
        <w:tc>
          <w:tcPr>
            <w:tcW w:w="0" w:type="dxa"/>
            <w:vAlign w:val="bottom"/>
          </w:tcPr>
          <w:p>
            <w:pPr>
              <w:spacing w:after="0"/>
              <w:rPr>
                <w:sz w:val="1"/>
                <w:szCs w:val="1"/>
                <w:color w:val="auto"/>
              </w:rPr>
            </w:pPr>
          </w:p>
        </w:tc>
      </w:tr>
      <w:tr>
        <w:trPr>
          <w:trHeight w:val="19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Macronix International Co. Ltd. (3)</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9,021,531(7)</w:t>
            </w:r>
          </w:p>
        </w:tc>
        <w:tc>
          <w:tcPr>
            <w:tcW w:w="5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17.16</w:t>
            </w:r>
          </w:p>
        </w:tc>
        <w:tc>
          <w:tcPr>
            <w:tcW w:w="800" w:type="dxa"/>
            <w:vAlign w:val="bottom"/>
            <w:gridSpan w:val="2"/>
          </w:tcPr>
          <w:p>
            <w:pPr>
              <w:jc w:val="right"/>
              <w:ind w:right="204"/>
              <w:spacing w:after="0"/>
              <w:rPr>
                <w:sz w:val="20"/>
                <w:szCs w:val="20"/>
                <w:color w:val="auto"/>
              </w:rPr>
            </w:pPr>
            <w:r>
              <w:rPr>
                <w:rFonts w:ascii="Times New Roman" w:cs="Times New Roman" w:eastAsia="Times New Roman" w:hAnsi="Times New Roman"/>
                <w:sz w:val="14"/>
                <w:szCs w:val="14"/>
                <w:color w:val="auto"/>
              </w:rPr>
              <w:t>13.97</w:t>
            </w:r>
          </w:p>
        </w:tc>
        <w:tc>
          <w:tcPr>
            <w:tcW w:w="0" w:type="dxa"/>
            <w:vAlign w:val="bottom"/>
          </w:tcPr>
          <w:p>
            <w:pPr>
              <w:spacing w:after="0"/>
              <w:rPr>
                <w:sz w:val="1"/>
                <w:szCs w:val="1"/>
                <w:color w:val="auto"/>
              </w:rPr>
            </w:pPr>
          </w:p>
        </w:tc>
      </w:tr>
      <w:tr>
        <w:trPr>
          <w:trHeight w:val="198"/>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Ontario Teachers' Pension Plan Board ("OTPP")</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4,350,000(8)</w:t>
            </w:r>
          </w:p>
        </w:tc>
        <w:tc>
          <w:tcPr>
            <w:tcW w:w="580" w:type="dxa"/>
            <w:vAlign w:val="bottom"/>
            <w:gridSpan w:val="2"/>
          </w:tcPr>
          <w:p>
            <w:pPr>
              <w:jc w:val="right"/>
              <w:ind w:right="104"/>
              <w:spacing w:after="0"/>
              <w:rPr>
                <w:sz w:val="20"/>
                <w:szCs w:val="20"/>
                <w:color w:val="auto"/>
              </w:rPr>
            </w:pPr>
            <w:r>
              <w:rPr>
                <w:rFonts w:ascii="Times New Roman" w:cs="Times New Roman" w:eastAsia="Times New Roman" w:hAnsi="Times New Roman"/>
                <w:sz w:val="14"/>
                <w:szCs w:val="14"/>
                <w:color w:val="auto"/>
              </w:rPr>
              <w:t>8.20</w:t>
            </w:r>
          </w:p>
        </w:tc>
        <w:tc>
          <w:tcPr>
            <w:tcW w:w="800" w:type="dxa"/>
            <w:vAlign w:val="bottom"/>
            <w:gridSpan w:val="2"/>
          </w:tcPr>
          <w:p>
            <w:pPr>
              <w:jc w:val="right"/>
              <w:ind w:right="204"/>
              <w:spacing w:after="0"/>
              <w:rPr>
                <w:sz w:val="20"/>
                <w:szCs w:val="20"/>
                <w:color w:val="auto"/>
              </w:rPr>
            </w:pPr>
            <w:r>
              <w:rPr>
                <w:rFonts w:ascii="Times New Roman" w:cs="Times New Roman" w:eastAsia="Times New Roman" w:hAnsi="Times New Roman"/>
                <w:sz w:val="14"/>
                <w:szCs w:val="14"/>
                <w:color w:val="auto"/>
              </w:rPr>
              <w:t>6.69</w:t>
            </w:r>
          </w:p>
        </w:tc>
        <w:tc>
          <w:tcPr>
            <w:tcW w:w="0" w:type="dxa"/>
            <w:vAlign w:val="bottom"/>
          </w:tcPr>
          <w:p>
            <w:pPr>
              <w:spacing w:after="0"/>
              <w:rPr>
                <w:sz w:val="1"/>
                <w:szCs w:val="1"/>
                <w:color w:val="auto"/>
              </w:rPr>
            </w:pPr>
          </w:p>
        </w:tc>
      </w:tr>
      <w:tr>
        <w:trPr>
          <w:trHeight w:val="219"/>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 officers and directors as a group (15 persons)</w:t>
            </w:r>
          </w:p>
        </w:tc>
        <w:tc>
          <w:tcPr>
            <w:tcW w:w="860" w:type="dxa"/>
            <w:vAlign w:val="bottom"/>
          </w:tcPr>
          <w:p>
            <w:pPr>
              <w:jc w:val="right"/>
              <w:ind w:right="136"/>
              <w:spacing w:after="0"/>
              <w:rPr>
                <w:sz w:val="20"/>
                <w:szCs w:val="20"/>
                <w:color w:val="auto"/>
              </w:rPr>
            </w:pPr>
            <w:r>
              <w:rPr>
                <w:rFonts w:ascii="Times New Roman" w:cs="Times New Roman" w:eastAsia="Times New Roman" w:hAnsi="Times New Roman"/>
                <w:sz w:val="14"/>
                <w:szCs w:val="14"/>
                <w:color w:val="auto"/>
              </w:rPr>
              <w:t>539,149</w:t>
            </w:r>
          </w:p>
        </w:tc>
        <w:tc>
          <w:tcPr>
            <w:tcW w:w="580" w:type="dxa"/>
            <w:vAlign w:val="bottom"/>
            <w:gridSpan w:val="2"/>
          </w:tcPr>
          <w:p>
            <w:pPr>
              <w:jc w:val="right"/>
              <w:ind w:right="24"/>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-1129665</wp:posOffset>
            </wp:positionV>
            <wp:extent cx="3834130" cy="635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834130"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-1017905</wp:posOffset>
            </wp:positionV>
            <wp:extent cx="13335" cy="635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-1017905</wp:posOffset>
            </wp:positionV>
            <wp:extent cx="13335" cy="635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-826135</wp:posOffset>
            </wp:positionV>
            <wp:extent cx="13335" cy="635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-826135</wp:posOffset>
            </wp:positionV>
            <wp:extent cx="13335" cy="635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-826135</wp:posOffset>
            </wp:positionV>
            <wp:extent cx="13335" cy="635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-687070</wp:posOffset>
            </wp:positionV>
            <wp:extent cx="13335" cy="635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-687070</wp:posOffset>
            </wp:positionV>
            <wp:extent cx="13335" cy="635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-687070</wp:posOffset>
            </wp:positionV>
            <wp:extent cx="13335" cy="635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-561340</wp:posOffset>
            </wp:positionV>
            <wp:extent cx="13335" cy="635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-561340</wp:posOffset>
            </wp:positionV>
            <wp:extent cx="13335" cy="635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-561340</wp:posOffset>
            </wp:positionV>
            <wp:extent cx="13335" cy="635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-435610</wp:posOffset>
            </wp:positionV>
            <wp:extent cx="13335" cy="635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-435610</wp:posOffset>
            </wp:positionV>
            <wp:extent cx="13335" cy="635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-435610</wp:posOffset>
            </wp:positionV>
            <wp:extent cx="13335" cy="63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-310515</wp:posOffset>
            </wp:positionV>
            <wp:extent cx="13335" cy="635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-310515</wp:posOffset>
            </wp:positionV>
            <wp:extent cx="13335" cy="635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-310515</wp:posOffset>
            </wp:positionV>
            <wp:extent cx="13335" cy="635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-184785</wp:posOffset>
            </wp:positionV>
            <wp:extent cx="13335" cy="635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-184785</wp:posOffset>
            </wp:positionV>
            <wp:extent cx="13335" cy="63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-184785</wp:posOffset>
            </wp:positionV>
            <wp:extent cx="13335" cy="635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-59055</wp:posOffset>
            </wp:positionV>
            <wp:extent cx="13335" cy="635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-59055</wp:posOffset>
            </wp:positionV>
            <wp:extent cx="13335" cy="635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-59055</wp:posOffset>
            </wp:positionV>
            <wp:extent cx="13335" cy="635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3926840" cy="13208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3926840" cy="132080"/>
                    </a:xfrm>
                    <a:prstGeom prst="rect">
                      <a:avLst/>
                    </a:prstGeom>
                    <a:noFill/>
                  </pic:spPr>
                </pic:pic>
              </a:graphicData>
            </a:graphic>
          </wp:anchor>
        </w:drawing>
      </w:r>
    </w:p>
    <w:p>
      <w:pPr>
        <w:spacing w:after="0" w:line="181" w:lineRule="exact"/>
        <w:rPr>
          <w:sz w:val="20"/>
          <w:szCs w:val="20"/>
          <w:color w:val="auto"/>
        </w:rPr>
      </w:pPr>
    </w:p>
    <w:p>
      <w:pPr>
        <w:ind w:left="240" w:hanging="237"/>
        <w:spacing w:after="0"/>
        <w:tabs>
          <w:tab w:leader="none" w:pos="240"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one percent.</w:t>
      </w:r>
    </w:p>
    <w:p>
      <w:pPr>
        <w:spacing w:after="0" w:line="155" w:lineRule="exact"/>
        <w:rPr>
          <w:sz w:val="20"/>
          <w:szCs w:val="20"/>
          <w:color w:val="auto"/>
        </w:rPr>
      </w:pPr>
    </w:p>
    <w:p>
      <w:pPr>
        <w:ind w:left="260" w:hanging="257"/>
        <w:spacing w:after="0"/>
        <w:tabs>
          <w:tab w:leader="none" w:pos="2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Percentage of ownership is based on 51,696,097 ordinary shares outstanding as of December 15, 2003.</w:t>
      </w:r>
    </w:p>
    <w:p>
      <w:pPr>
        <w:spacing w:after="0" w:line="154" w:lineRule="exact"/>
        <w:rPr>
          <w:rFonts w:ascii="Times New Roman" w:cs="Times New Roman" w:eastAsia="Times New Roman" w:hAnsi="Times New Roman"/>
          <w:sz w:val="11"/>
          <w:szCs w:val="11"/>
          <w:color w:val="auto"/>
        </w:rPr>
      </w:pPr>
    </w:p>
    <w:p>
      <w:pPr>
        <w:ind w:left="260" w:right="4359" w:hanging="257"/>
        <w:spacing w:after="0" w:line="248" w:lineRule="auto"/>
        <w:tabs>
          <w:tab w:leader="none" w:pos="2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Percentage of ownership is based on the number of shares described in footnote 1 and the sale of 12,000,000 shares offered by us in this offering.</w:t>
      </w:r>
    </w:p>
    <w:p>
      <w:pPr>
        <w:spacing w:after="0" w:line="134" w:lineRule="exact"/>
        <w:rPr>
          <w:rFonts w:ascii="Times New Roman" w:cs="Times New Roman" w:eastAsia="Times New Roman" w:hAnsi="Times New Roman"/>
          <w:sz w:val="11"/>
          <w:szCs w:val="11"/>
          <w:color w:val="auto"/>
        </w:rPr>
      </w:pPr>
    </w:p>
    <w:p>
      <w:pPr>
        <w:ind w:left="260" w:right="4339" w:hanging="257"/>
        <w:spacing w:after="0" w:line="235" w:lineRule="auto"/>
        <w:tabs>
          <w:tab w:leader="none" w:pos="2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Pursuant to a shareholders agreement among Israel Corp., Alliance Semiconductor Corporation, SanDisk Corporation and Macronix Co. Ltd., each of ICTech, Alliance Semiconductor Corporation, SanDisk Corporation and Macronix Co. Ltd. may be said to have shared voting and dispositive control over 76.46% of the outstanding shares in us.</w:t>
      </w:r>
    </w:p>
    <w:p>
      <w:pPr>
        <w:spacing w:after="0" w:line="138" w:lineRule="exact"/>
        <w:rPr>
          <w:rFonts w:ascii="Times New Roman" w:cs="Times New Roman" w:eastAsia="Times New Roman" w:hAnsi="Times New Roman"/>
          <w:sz w:val="11"/>
          <w:szCs w:val="11"/>
          <w:color w:val="auto"/>
        </w:rPr>
      </w:pPr>
    </w:p>
    <w:p>
      <w:pPr>
        <w:ind w:left="260" w:right="4419" w:hanging="257"/>
        <w:spacing w:after="0" w:line="228" w:lineRule="auto"/>
        <w:tabs>
          <w:tab w:leader="none" w:pos="2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by ICTech, represents 13,841,456 shares currently owned by ICTech, 386,474 shares issuable in connection with the second installment of the Fifth Milestone Payment, assuming a purchase price of $7.59 per share, and 823,656 shares issuable upon the exercise of currently exercisable warrants and 58,906 shares issuable upon the exercise of a warrant granted in December 2003. ICTech has recently granted Mr. Ehud Hilman, one of our directors and an employee of ICTech, an option to purchase up to 150,000 shares held by ICTech.</w:t>
      </w:r>
    </w:p>
    <w:p>
      <w:pPr>
        <w:spacing w:after="0" w:line="138" w:lineRule="exact"/>
        <w:rPr>
          <w:rFonts w:ascii="Times New Roman" w:cs="Times New Roman" w:eastAsia="Times New Roman" w:hAnsi="Times New Roman"/>
          <w:sz w:val="11"/>
          <w:szCs w:val="11"/>
          <w:color w:val="auto"/>
        </w:rPr>
      </w:pPr>
    </w:p>
    <w:p>
      <w:pPr>
        <w:ind w:left="260" w:right="4359" w:hanging="257"/>
        <w:spacing w:after="0" w:line="235" w:lineRule="auto"/>
        <w:tabs>
          <w:tab w:leader="none" w:pos="2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by SanDisk, represents 8,313,638 shares currently owned by SanDisk, 579,747 shares issuable in connection with the second installment of the Fifth Milestone Payment assuming a purchase price of $7.59 per share and 360,312 shares issuable upon the exercise of currently exercisable warrants.</w:t>
      </w:r>
    </w:p>
    <w:p>
      <w:pPr>
        <w:spacing w:after="0" w:line="138" w:lineRule="exact"/>
        <w:rPr>
          <w:rFonts w:ascii="Times New Roman" w:cs="Times New Roman" w:eastAsia="Times New Roman" w:hAnsi="Times New Roman"/>
          <w:sz w:val="11"/>
          <w:szCs w:val="11"/>
          <w:color w:val="auto"/>
        </w:rPr>
      </w:pPr>
    </w:p>
    <w:p>
      <w:pPr>
        <w:ind w:left="260" w:right="4399" w:hanging="257"/>
        <w:spacing w:after="0" w:line="235" w:lineRule="auto"/>
        <w:tabs>
          <w:tab w:leader="none" w:pos="2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upon information provided by Alliance Semiconductor, represents 8,279,779 shares currently owned by Alliance Semiconductor, 579,747 shares issuable in connection with the second installment of the Fifth Milestone Payment assuming a purchase price of $7.59 per share, and 357,747 shares issuable upon the exercise of currently exercisable warrants.</w:t>
      </w:r>
    </w:p>
    <w:p>
      <w:pPr>
        <w:spacing w:after="0" w:line="138" w:lineRule="exact"/>
        <w:rPr>
          <w:rFonts w:ascii="Times New Roman" w:cs="Times New Roman" w:eastAsia="Times New Roman" w:hAnsi="Times New Roman"/>
          <w:sz w:val="11"/>
          <w:szCs w:val="11"/>
          <w:color w:val="auto"/>
        </w:rPr>
      </w:pPr>
    </w:p>
    <w:p>
      <w:pPr>
        <w:ind w:left="260" w:right="4539" w:hanging="257"/>
        <w:spacing w:after="0" w:line="235" w:lineRule="auto"/>
        <w:tabs>
          <w:tab w:leader="none" w:pos="2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by Macronix, represents 8,144,784 shares currently owned by Macronix, 579,747 shares issuable in connection with the second installment of the Fifth Milestone Payment, assuming a purchase price of $7.59 per share, and 297,000 shares issuable upon the exercise of currently exercisable warrants.</w:t>
      </w:r>
    </w:p>
    <w:p>
      <w:pPr>
        <w:spacing w:after="0" w:line="138" w:lineRule="exact"/>
        <w:rPr>
          <w:rFonts w:ascii="Times New Roman" w:cs="Times New Roman" w:eastAsia="Times New Roman" w:hAnsi="Times New Roman"/>
          <w:sz w:val="11"/>
          <w:szCs w:val="11"/>
          <w:color w:val="auto"/>
        </w:rPr>
      </w:pPr>
    </w:p>
    <w:p>
      <w:pPr>
        <w:ind w:left="260" w:right="4339" w:hanging="257"/>
        <w:spacing w:after="0" w:line="248" w:lineRule="auto"/>
        <w:tabs>
          <w:tab w:leader="none" w:pos="260"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Based on information provided by OTPP, represents 3,000,000 shares currently owned by OTPP and 1,350,000 shares issuable upon the exercise of currently exercisable warrants.</w:t>
      </w:r>
    </w:p>
    <w:p>
      <w:pPr>
        <w:spacing w:after="0" w:line="18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919"/>
        <w:spacing w:after="0" w:line="255" w:lineRule="auto"/>
        <w:rPr>
          <w:sz w:val="20"/>
          <w:szCs w:val="20"/>
          <w:color w:val="auto"/>
        </w:rPr>
      </w:pPr>
      <w:r>
        <w:rPr>
          <w:rFonts w:ascii="Times New Roman" w:cs="Times New Roman" w:eastAsia="Times New Roman" w:hAnsi="Times New Roman"/>
          <w:sz w:val="14"/>
          <w:szCs w:val="14"/>
          <w:i w:val="1"/>
          <w:iCs w:val="1"/>
          <w:color w:val="auto"/>
        </w:rPr>
        <w:t>Share Transfer Restrictions</w:t>
      </w:r>
      <w:r>
        <w:rPr>
          <w:rFonts w:ascii="Times New Roman" w:cs="Times New Roman" w:eastAsia="Times New Roman" w:hAnsi="Times New Roman"/>
          <w:sz w:val="14"/>
          <w:szCs w:val="14"/>
          <w:color w:val="auto"/>
        </w:rPr>
        <w:t>. Pursuant to a shareholders agreement dated January 18, 2001, as amended, by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among, ICTech, SanDisk, Alliance Semiconductor and Macronix, each of the parties to this shareholders agreement has agreed to restrictions through January 29, 2006 on the transfer of all of our ordinary shares held by them in connection with their investments in Fab 2, subject to the right to sell up to 30% of the number of our ordinary shares held by each respective party beginning on January 29, 2004 through January 29, 2006, during this two-year period. These restrictions are thereafter gradually lifted through January 29, 2008.</w:t>
      </w:r>
    </w:p>
    <w:p>
      <w:pPr>
        <w:spacing w:after="0" w:line="58" w:lineRule="exact"/>
        <w:rPr>
          <w:sz w:val="20"/>
          <w:szCs w:val="20"/>
          <w:color w:val="auto"/>
        </w:rPr>
      </w:pPr>
    </w:p>
    <w:p>
      <w:pPr>
        <w:ind w:right="4019"/>
        <w:spacing w:after="0" w:line="258" w:lineRule="auto"/>
        <w:rPr>
          <w:sz w:val="20"/>
          <w:szCs w:val="20"/>
          <w:color w:val="auto"/>
        </w:rPr>
      </w:pPr>
      <w:r>
        <w:rPr>
          <w:rFonts w:ascii="Times New Roman" w:cs="Times New Roman" w:eastAsia="Times New Roman" w:hAnsi="Times New Roman"/>
          <w:sz w:val="14"/>
          <w:szCs w:val="14"/>
          <w:color w:val="auto"/>
        </w:rPr>
        <w:t>Our Fab 2 credit facility also limits the number of ordinary shares which SanDisk, Alliance, Macronix and ICTech may sell while loans under our credit facility are outstanding. The following events are each considered to be a change of our ownership (as such term is defined in the credit facility), any of which would constitute an event of default under the facility agreement: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respect to ICTech:</w:t>
      </w:r>
    </w:p>
    <w:p>
      <w:pPr>
        <w:spacing w:after="0" w:line="172" w:lineRule="exact"/>
        <w:rPr>
          <w:sz w:val="20"/>
          <w:szCs w:val="20"/>
          <w:color w:val="auto"/>
        </w:rPr>
      </w:pPr>
    </w:p>
    <w:p>
      <w:pPr>
        <w:ind w:left="400" w:right="4339" w:hanging="261"/>
        <w:spacing w:after="0" w:line="263" w:lineRule="auto"/>
        <w:tabs>
          <w:tab w:leader="none" w:pos="4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closing of the amendment in November 2003 through January 29, 2006, ICTech does not hold at least the higher of (i) eight million of our ordinary shares or (ii) 16.5% of our issued share capital less two million ordinary shares;</w:t>
      </w:r>
    </w:p>
    <w:p>
      <w:pPr>
        <w:spacing w:after="0" w:line="137" w:lineRule="exact"/>
        <w:rPr>
          <w:rFonts w:ascii="Times New Roman" w:cs="Times New Roman" w:eastAsia="Times New Roman" w:hAnsi="Times New Roman"/>
          <w:sz w:val="14"/>
          <w:szCs w:val="14"/>
          <w:color w:val="auto"/>
        </w:rPr>
      </w:pPr>
    </w:p>
    <w:p>
      <w:pPr>
        <w:ind w:left="400" w:right="4319" w:hanging="261"/>
        <w:spacing w:after="0" w:line="263" w:lineRule="auto"/>
        <w:tabs>
          <w:tab w:leader="none" w:pos="4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the three-year period beginning January 29, 2006 to January 30, 2009, ICTech may gradually sell between 25% to 100% of the shares held by it at the closing of the amendment in November 2003 less the amount of shares it was entitled to sell through January 29, 2006.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respect to the wafer partners:</w:t>
      </w:r>
    </w:p>
    <w:p>
      <w:pPr>
        <w:spacing w:after="0" w:line="172" w:lineRule="exact"/>
        <w:rPr>
          <w:sz w:val="20"/>
          <w:szCs w:val="20"/>
          <w:color w:val="auto"/>
        </w:rPr>
      </w:pPr>
    </w:p>
    <w:p>
      <w:pPr>
        <w:ind w:left="400" w:right="4379" w:hanging="261"/>
        <w:spacing w:after="0" w:line="256" w:lineRule="auto"/>
        <w:tabs>
          <w:tab w:leader="none" w:pos="4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during the period between January 30, 2006, and at least 12 months from January 29, 2006, the aggregate shareholdings of SanDisk, Alliance Semiconductor and Macronix is reduced in excess of 40% of the amount of such aggregate shareholdings on January 29, 2006 (in the event certain conditions are met greater reductions in shareholdings are permitted) less the sale of 30% of the number of the ordinary shares held by them on January 29, 2004.</w:t>
      </w:r>
    </w:p>
    <w:p>
      <w:pPr>
        <w:spacing w:after="0" w:line="141" w:lineRule="exact"/>
        <w:rPr>
          <w:sz w:val="20"/>
          <w:szCs w:val="20"/>
          <w:color w:val="auto"/>
        </w:rPr>
      </w:pPr>
    </w:p>
    <w:p>
      <w:pPr>
        <w:jc w:val="both"/>
        <w:ind w:right="4119"/>
        <w:spacing w:after="0" w:line="263" w:lineRule="auto"/>
        <w:rPr>
          <w:sz w:val="20"/>
          <w:szCs w:val="20"/>
          <w:color w:val="auto"/>
        </w:rPr>
      </w:pPr>
      <w:r>
        <w:rPr>
          <w:rFonts w:ascii="Times New Roman" w:cs="Times New Roman" w:eastAsia="Times New Roman" w:hAnsi="Times New Roman"/>
          <w:sz w:val="14"/>
          <w:szCs w:val="14"/>
          <w:color w:val="auto"/>
        </w:rPr>
        <w:t>As of December 16, 2003, there were a total of 34 holders of record of our ordinary shares, of which 24 were registered with addresses in the United States. Such United States holders were, as of such date, the holders of record of approximately 34.49% of the outstanding ordinary shares.</w:t>
      </w:r>
    </w:p>
    <w:p>
      <w:pPr>
        <w:spacing w:after="0" w:line="18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Certain Transactions</w:t>
      </w:r>
    </w:p>
    <w:p>
      <w:pPr>
        <w:spacing w:after="0" w:line="91" w:lineRule="exact"/>
        <w:rPr>
          <w:sz w:val="20"/>
          <w:szCs w:val="20"/>
          <w:color w:val="auto"/>
        </w:rPr>
      </w:pPr>
    </w:p>
    <w:p>
      <w:pPr>
        <w:jc w:val="both"/>
        <w:ind w:right="4139"/>
        <w:spacing w:after="0" w:line="258" w:lineRule="auto"/>
        <w:rPr>
          <w:sz w:val="20"/>
          <w:szCs w:val="20"/>
          <w:color w:val="auto"/>
        </w:rPr>
      </w:pPr>
      <w:r>
        <w:rPr>
          <w:rFonts w:ascii="Times New Roman" w:cs="Times New Roman" w:eastAsia="Times New Roman" w:hAnsi="Times New Roman"/>
          <w:sz w:val="14"/>
          <w:szCs w:val="14"/>
          <w:color w:val="auto"/>
        </w:rPr>
        <w:t>It is our policy to enter into transactions with related parties on terms that, on the whole, are no less favorable than those that would be available from unaffiliated parties. Based on our experience in the areas in which we operate and the terms of our transactions with unaffiliated third parties, we believe that all of the transactions described below met our policy standards at the time they occurred.</w:t>
      </w:r>
    </w:p>
    <w:p>
      <w:pPr>
        <w:spacing w:after="0" w:line="55" w:lineRule="exact"/>
        <w:rPr>
          <w:sz w:val="20"/>
          <w:szCs w:val="20"/>
          <w:color w:val="auto"/>
        </w:rPr>
      </w:pPr>
    </w:p>
    <w:p>
      <w:pPr>
        <w:ind w:right="3979"/>
        <w:spacing w:after="0" w:line="281" w:lineRule="auto"/>
        <w:rPr>
          <w:sz w:val="20"/>
          <w:szCs w:val="20"/>
          <w:color w:val="auto"/>
        </w:rPr>
      </w:pPr>
      <w:r>
        <w:rPr>
          <w:rFonts w:ascii="Times New Roman" w:cs="Times New Roman" w:eastAsia="Times New Roman" w:hAnsi="Times New Roman"/>
          <w:sz w:val="13"/>
          <w:szCs w:val="13"/>
          <w:i w:val="1"/>
          <w:iCs w:val="1"/>
          <w:color w:val="auto"/>
        </w:rPr>
        <w:t>Wafer Partner Agreements</w:t>
      </w:r>
      <w:r>
        <w:rPr>
          <w:rFonts w:ascii="Times New Roman" w:cs="Times New Roman" w:eastAsia="Times New Roman" w:hAnsi="Times New Roman"/>
          <w:sz w:val="13"/>
          <w:szCs w:val="13"/>
          <w:color w:val="auto"/>
        </w:rPr>
        <w:t>. During 2000, we entered into a series of agreements with four wafer partners: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SanDisk, Alliance Semiconductor, Macronix and QuickLogic. The wafer partners agreed to invest $250 million in us; SanDisk, Alliance Semiconductor and Macronix each committed to invest $75 million, and QuickLogic committed to invest $25 million in exchange for our ordinary shares and credits towards the purchase of wafers from Fab 2 under the terms set forth in the agreements. We also agreed to reserve approximately 50% of our Fab</w:t>
      </w:r>
    </w:p>
    <w:p>
      <w:pPr>
        <w:sectPr>
          <w:pgSz w:w="11900" w:h="16855" w:orient="portrait"/>
          <w:cols w:equalWidth="0" w:num="1">
            <w:col w:w="10239"/>
          </w:cols>
          <w:pgMar w:left="220" w:top="208" w:right="1440" w:bottom="0" w:gutter="0" w:footer="0" w:header="0"/>
        </w:sectPr>
      </w:pPr>
    </w:p>
    <w:bookmarkStart w:id="34" w:name="page35"/>
    <w:bookmarkEnd w:id="34"/>
    <w:p>
      <w:pPr>
        <w:ind w:right="4039"/>
        <w:spacing w:after="0" w:line="263" w:lineRule="auto"/>
        <w:rPr>
          <w:sz w:val="20"/>
          <w:szCs w:val="20"/>
          <w:color w:val="auto"/>
        </w:rPr>
      </w:pPr>
      <w:r>
        <w:rPr>
          <w:rFonts w:ascii="Times New Roman" w:cs="Times New Roman" w:eastAsia="Times New Roman" w:hAnsi="Times New Roman"/>
          <w:sz w:val="14"/>
          <w:szCs w:val="14"/>
          <w:color w:val="auto"/>
        </w:rPr>
        <w:t>2 capacity for our wafer partners for a 10-year period. In addition, these agreements generally provide for a five percent discount on wafer purchases made by the wafer partners of up to 80% of the Fab 2 wafer fabrication capacity committed to the wafer partners, subject to minimum holdings of our ordinary shares.</w:t>
      </w:r>
    </w:p>
    <w:p>
      <w:pPr>
        <w:spacing w:after="0" w:line="54" w:lineRule="exact"/>
        <w:rPr>
          <w:sz w:val="20"/>
          <w:szCs w:val="20"/>
          <w:color w:val="auto"/>
        </w:rPr>
      </w:pPr>
    </w:p>
    <w:p>
      <w:pPr>
        <w:ind w:right="4079"/>
        <w:spacing w:after="0" w:line="284" w:lineRule="auto"/>
        <w:rPr>
          <w:sz w:val="20"/>
          <w:szCs w:val="20"/>
          <w:color w:val="auto"/>
        </w:rPr>
      </w:pPr>
      <w:r>
        <w:rPr>
          <w:rFonts w:ascii="Times New Roman" w:cs="Times New Roman" w:eastAsia="Times New Roman" w:hAnsi="Times New Roman"/>
          <w:sz w:val="13"/>
          <w:szCs w:val="13"/>
          <w:color w:val="auto"/>
        </w:rPr>
        <w:t>In April 2002, our shareholders approved amendments to our agreements with our wafer partners and financial investors relating to their third and fourth milestone payments, and in May 2003, our shareholders approved an amendment to our agreements with our wafer partners relating to their fifth milestone payments, which was approved by our shareholders in December 2003 (see — "Amendment to Fifth Milestone Payment Schedule").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date, we have received an aggregate of $246.8 million from our wafer partners.</w:t>
      </w:r>
    </w:p>
    <w:p>
      <w:pPr>
        <w:spacing w:after="0" w:line="87" w:lineRule="exact"/>
        <w:rPr>
          <w:sz w:val="20"/>
          <w:szCs w:val="20"/>
          <w:color w:val="auto"/>
        </w:rPr>
      </w:pPr>
    </w:p>
    <w:p>
      <w:pPr>
        <w:ind w:right="3919"/>
        <w:spacing w:after="0" w:line="255" w:lineRule="auto"/>
        <w:rPr>
          <w:sz w:val="20"/>
          <w:szCs w:val="20"/>
          <w:color w:val="auto"/>
        </w:rPr>
      </w:pPr>
      <w:r>
        <w:rPr>
          <w:rFonts w:ascii="Times New Roman" w:cs="Times New Roman" w:eastAsia="Times New Roman" w:hAnsi="Times New Roman"/>
          <w:sz w:val="14"/>
          <w:szCs w:val="14"/>
          <w:i w:val="1"/>
          <w:iCs w:val="1"/>
          <w:color w:val="auto"/>
        </w:rPr>
        <w:t>Investment by Israel Corporation Technologies (ICTech) Ltd. and other Financial Investors</w:t>
      </w:r>
      <w:r>
        <w:rPr>
          <w:rFonts w:ascii="Times New Roman" w:cs="Times New Roman" w:eastAsia="Times New Roman" w:hAnsi="Times New Roman"/>
          <w:sz w:val="14"/>
          <w:szCs w:val="14"/>
          <w:color w:val="auto"/>
        </w:rPr>
        <w:t>. In December 2000,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Israel Corporation Technologies (ICTech) Ltd., our current principal shareholder and one of Israel's major holding companies, agreed to invest $50.0 million contemporaneous with the investments by the wafer partners. To date, we have received an aggregate of $47.1 million from ICTech, which has been applied to the purchase of 6,330,621 of our ordinary shares and $2.9 million on account of a future issuance of shares in accordance with the amendment to the fifth milestone described below.</w:t>
      </w:r>
    </w:p>
    <w:p>
      <w:pPr>
        <w:spacing w:after="0" w:line="58" w:lineRule="exact"/>
        <w:rPr>
          <w:sz w:val="20"/>
          <w:szCs w:val="20"/>
          <w:color w:val="auto"/>
        </w:rPr>
      </w:pPr>
    </w:p>
    <w:p>
      <w:pPr>
        <w:ind w:right="3999"/>
        <w:spacing w:after="0" w:line="258" w:lineRule="auto"/>
        <w:rPr>
          <w:sz w:val="20"/>
          <w:szCs w:val="20"/>
          <w:color w:val="auto"/>
        </w:rPr>
      </w:pPr>
      <w:r>
        <w:rPr>
          <w:rFonts w:ascii="Times New Roman" w:cs="Times New Roman" w:eastAsia="Times New Roman" w:hAnsi="Times New Roman"/>
          <w:sz w:val="14"/>
          <w:szCs w:val="14"/>
          <w:color w:val="auto"/>
        </w:rPr>
        <w:t>In February 2001, the Challenge Fund-Etgar II agreed to invest $5.0 million in our company on substantially the same terms as ICTech. To date, we have received an aggregate of $4.7 million from Challenge, which has been applied to the purchase of 628,261 of our ordinary shares and $0.3 million on account of a future issuance of shares in accordance with the amendment to the fifth milestone described below.</w:t>
      </w:r>
    </w:p>
    <w:p>
      <w:pPr>
        <w:spacing w:after="0" w:line="55" w:lineRule="exact"/>
        <w:rPr>
          <w:sz w:val="20"/>
          <w:szCs w:val="20"/>
          <w:color w:val="auto"/>
        </w:rPr>
      </w:pPr>
    </w:p>
    <w:p>
      <w:pPr>
        <w:ind w:right="3939"/>
        <w:spacing w:after="0" w:line="253" w:lineRule="auto"/>
        <w:rPr>
          <w:sz w:val="20"/>
          <w:szCs w:val="20"/>
          <w:color w:val="auto"/>
        </w:rPr>
      </w:pPr>
      <w:r>
        <w:rPr>
          <w:rFonts w:ascii="Times New Roman" w:cs="Times New Roman" w:eastAsia="Times New Roman" w:hAnsi="Times New Roman"/>
          <w:sz w:val="14"/>
          <w:szCs w:val="14"/>
          <w:i w:val="1"/>
          <w:iCs w:val="1"/>
          <w:color w:val="auto"/>
        </w:rPr>
        <w:t>Investment by Ontario Teachers' Pension Plan Board</w:t>
      </w:r>
      <w:r>
        <w:rPr>
          <w:rFonts w:ascii="Times New Roman" w:cs="Times New Roman" w:eastAsia="Times New Roman" w:hAnsi="Times New Roman"/>
          <w:sz w:val="14"/>
          <w:szCs w:val="14"/>
          <w:color w:val="auto"/>
        </w:rPr>
        <w:t>. In July 2002, Ontario Teachers' Pension Plan Board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(OTPP), agreed to purchase from us for $15.0 million, 3,000,000 ordinary shares and 1,350,000 warrants with an exercise price of $7.50, exercisable for four years from the date of issuance. The investment of OTPP was conditioned upon our raising at least an additional $15.0 million by October 31, 2002, which we satisfied through our sale of ordinary shares and warrants pursuant to a distribution of rights to our shareholders and certain employee option holders in September 2002. Pursuant to the share purchase agreement with OTPP, we filed in September 2003 a registration statement with the SEC to register the resale of the shares and warrants issued to OTPP, which was declared effective on September 30, 2003.</w:t>
      </w:r>
    </w:p>
    <w:p>
      <w:pPr>
        <w:spacing w:after="0" w:line="58" w:lineRule="exact"/>
        <w:rPr>
          <w:sz w:val="20"/>
          <w:szCs w:val="20"/>
          <w:color w:val="auto"/>
        </w:rPr>
      </w:pPr>
    </w:p>
    <w:p>
      <w:pPr>
        <w:ind w:right="4039"/>
        <w:spacing w:after="0" w:line="259" w:lineRule="auto"/>
        <w:rPr>
          <w:sz w:val="20"/>
          <w:szCs w:val="20"/>
          <w:color w:val="auto"/>
        </w:rPr>
      </w:pPr>
      <w:r>
        <w:rPr>
          <w:rFonts w:ascii="Times New Roman" w:cs="Times New Roman" w:eastAsia="Times New Roman" w:hAnsi="Times New Roman"/>
          <w:sz w:val="14"/>
          <w:szCs w:val="14"/>
          <w:i w:val="1"/>
          <w:iCs w:val="1"/>
          <w:color w:val="auto"/>
        </w:rPr>
        <w:t>Amendment to Fifth Milestone Payment Schedule</w:t>
      </w:r>
      <w:r>
        <w:rPr>
          <w:rFonts w:ascii="Times New Roman" w:cs="Times New Roman" w:eastAsia="Times New Roman" w:hAnsi="Times New Roman"/>
          <w:sz w:val="14"/>
          <w:szCs w:val="14"/>
          <w:color w:val="auto"/>
        </w:rPr>
        <w:t>. In February 2003, we reached an agreement with our Fab 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investors to advance the fifth and final Fab 2 milestone payment in two installments. A portion of the first installment amounting to $15.9 million was invested by the Fab 2 investors in May 2003, and they were issued ordinary shares at a purchase price of $2.983 per share.</w:t>
      </w:r>
    </w:p>
    <w:p>
      <w:pPr>
        <w:spacing w:after="0" w:line="57" w:lineRule="exact"/>
        <w:rPr>
          <w:sz w:val="20"/>
          <w:szCs w:val="20"/>
          <w:color w:val="auto"/>
        </w:rPr>
      </w:pPr>
    </w:p>
    <w:p>
      <w:pPr>
        <w:ind w:right="3919"/>
        <w:spacing w:after="0" w:line="256" w:lineRule="auto"/>
        <w:rPr>
          <w:sz w:val="20"/>
          <w:szCs w:val="20"/>
          <w:color w:val="auto"/>
        </w:rPr>
      </w:pPr>
      <w:r>
        <w:rPr>
          <w:rFonts w:ascii="Times New Roman" w:cs="Times New Roman" w:eastAsia="Times New Roman" w:hAnsi="Times New Roman"/>
          <w:sz w:val="14"/>
          <w:szCs w:val="14"/>
          <w:color w:val="auto"/>
        </w:rPr>
        <w:t>SanDisk, Alliance Semiconductor, Macronix, ICTech and Challenge invested their remaining $25.1 million due in connection with the fifth milestone payment in December 2003. These parties were issued ordinary shares with respect to the remainder of the first installment ($8.7 million) at the purchase price per share agreed to in the first quarter of 2003 ($2.983 per share) and, with respect to the second installment ($16.4 million), will be issued ordinary shares at the offering price to the public</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179"/>
        <w:spacing w:after="0" w:line="319" w:lineRule="auto"/>
        <w:rPr>
          <w:sz w:val="20"/>
          <w:szCs w:val="20"/>
          <w:color w:val="auto"/>
        </w:rPr>
      </w:pPr>
      <w:r>
        <w:rPr>
          <w:rFonts w:ascii="Times New Roman" w:cs="Times New Roman" w:eastAsia="Times New Roman" w:hAnsi="Times New Roman"/>
          <w:sz w:val="13"/>
          <w:szCs w:val="13"/>
          <w:color w:val="auto"/>
        </w:rPr>
        <w:t>in this offering. In addition, they undertook to perform all actions necessary to bring about the rights offering and/or the rescue offer, which may be initiated by our banks (see "Material Agreements — Credit Facility").</w:t>
      </w:r>
    </w:p>
    <w:p>
      <w:pPr>
        <w:spacing w:after="0" w:line="17" w:lineRule="exact"/>
        <w:rPr>
          <w:sz w:val="20"/>
          <w:szCs w:val="20"/>
          <w:color w:val="auto"/>
        </w:rPr>
      </w:pPr>
    </w:p>
    <w:p>
      <w:pPr>
        <w:ind w:right="3919"/>
        <w:spacing w:after="0" w:line="249" w:lineRule="auto"/>
        <w:rPr>
          <w:sz w:val="20"/>
          <w:szCs w:val="20"/>
          <w:color w:val="auto"/>
        </w:rPr>
      </w:pPr>
      <w:r>
        <w:rPr>
          <w:rFonts w:ascii="Times New Roman" w:cs="Times New Roman" w:eastAsia="Times New Roman" w:hAnsi="Times New Roman"/>
          <w:sz w:val="14"/>
          <w:szCs w:val="14"/>
          <w:i w:val="1"/>
          <w:iCs w:val="1"/>
          <w:color w:val="auto"/>
        </w:rPr>
        <w:t>Wafer Credits</w:t>
      </w:r>
      <w:r>
        <w:rPr>
          <w:rFonts w:ascii="Times New Roman" w:cs="Times New Roman" w:eastAsia="Times New Roman" w:hAnsi="Times New Roman"/>
          <w:sz w:val="14"/>
          <w:szCs w:val="14"/>
          <w:color w:val="auto"/>
        </w:rPr>
        <w:t>. In connection with their investments in our Fab 2 project, we issued to our wafer partners non-transferable credits which may be used to reduce the cash amounts to be paid by them when paying for wafers manufactured in Fab 2. These credits could generally be used at a rate of 7.5% for purchases made through June 2005 and 15% for purchases made thereafter. Our wafer partners have recently agreed that they will not utilize any of their credits, which amount to $46.6 million as of November 30, 2003, for purchase orders of our wafer products from November 11, 2003 until December 31, 2006. From January 1, 2004 to December 31, 2006, each wafer partner is entitled, every quarter, to convert into our ordinary shares those wafer credits that could have been utilized by such wafer partner against the actual payment of wafers manufactured at Fab 2 during such quarter; otherwise, these credits will bear interest payable every quarter at three-month LIBOR plus 2.5% through December 31, 2007. On December 31, 2007, the remaining wafer credits that could have been utilized during this period and that were not converted into shares will be paid to all of the wafer partners who are parties to this amendment. Should the wafer partners elect to convert their wafer credits into our ordinary shares, they will be issued ordinary shares at the average trading price of our ordinary shares during the 15 consecutive trading days preceding the last relevant quarter. For example, if our wafer partners purchase an amount of wafers which would otherwise result in their using the full amount of credits available to them and they elect to convert all of these credits into ordinary shares, we will issue them an aggregrate of 9.3 million shares, assuming the average trading price of our ordinary shares during the 15 consecutive trading days preceding the last relevant quarter is $5.00; if the average trading price of our ordinary shares is $10.00, we will issue an aggregate of 4.7 million shares. We have also agreed to allow our wafer partners to convert, during January 2006, their remaining wafer credits issued in connection with their fourth milestone payment up to an aggregate of $13.2 million, which they may have as of December 31, 2005, into our ordinary shares, at the average trading price of our ordinary shares during the 15 consecutive trading days preceeding December 31, 2005. If the wafer partners exercise this right and are issued more than 5%, in the aggregate, of our shares on January 31, 2006, we have agreed to offer all of our other shareholders rights to purchase our shares at the same price per share.</w:t>
      </w:r>
    </w:p>
    <w:p>
      <w:pPr>
        <w:spacing w:after="0" w:line="74" w:lineRule="exact"/>
        <w:rPr>
          <w:sz w:val="20"/>
          <w:szCs w:val="20"/>
          <w:color w:val="auto"/>
        </w:rPr>
      </w:pPr>
    </w:p>
    <w:p>
      <w:pPr>
        <w:ind w:right="3939"/>
        <w:spacing w:after="0" w:line="253" w:lineRule="auto"/>
        <w:rPr>
          <w:sz w:val="20"/>
          <w:szCs w:val="20"/>
          <w:color w:val="auto"/>
        </w:rPr>
      </w:pPr>
      <w:r>
        <w:rPr>
          <w:rFonts w:ascii="Times New Roman" w:cs="Times New Roman" w:eastAsia="Times New Roman" w:hAnsi="Times New Roman"/>
          <w:sz w:val="14"/>
          <w:szCs w:val="14"/>
          <w:color w:val="auto"/>
        </w:rPr>
        <w:t>Our ordinary shares to be issued with respect to the fifth milestone payment will be subject to (i) the restrictions on transfer applicable to the investors' other holdings of our ordinary shares in connection with their committed investments, and (ii) registration rights. The transfer restrictions applicable to each of the investors' holdings in our ordinary shares in connection with its committed investments shall be extended by two years to January 2006 with respect to ordinary shares that represent 70% of its holdings in our ordinary shares in connection with (a) its committed investments which are held in January 2004, (b) our September 2002 rights offering, and (c) ordinary shares issued upon the conversion of its wafer credits as described above.</w:t>
      </w:r>
    </w:p>
    <w:p>
      <w:pPr>
        <w:spacing w:after="0" w:line="59" w:lineRule="exact"/>
        <w:rPr>
          <w:sz w:val="20"/>
          <w:szCs w:val="20"/>
          <w:color w:val="auto"/>
        </w:rPr>
      </w:pPr>
    </w:p>
    <w:p>
      <w:pPr>
        <w:ind w:right="3959"/>
        <w:spacing w:after="0" w:line="255" w:lineRule="auto"/>
        <w:rPr>
          <w:sz w:val="20"/>
          <w:szCs w:val="20"/>
          <w:color w:val="auto"/>
        </w:rPr>
      </w:pPr>
      <w:r>
        <w:rPr>
          <w:rFonts w:ascii="Times New Roman" w:cs="Times New Roman" w:eastAsia="Times New Roman" w:hAnsi="Times New Roman"/>
          <w:sz w:val="14"/>
          <w:szCs w:val="14"/>
          <w:i w:val="1"/>
          <w:iCs w:val="1"/>
          <w:color w:val="auto"/>
        </w:rPr>
        <w:t>Expense Reimbursement Agreement with Israel Corp</w:t>
      </w:r>
      <w:r>
        <w:rPr>
          <w:rFonts w:ascii="Times New Roman" w:cs="Times New Roman" w:eastAsia="Times New Roman" w:hAnsi="Times New Roman"/>
          <w:sz w:val="14"/>
          <w:szCs w:val="14"/>
          <w:color w:val="auto"/>
        </w:rPr>
        <w:t>. In March 2002, we entered into an agreement with Israel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Corp., the parent company of Israel Corporation Technologies (ICTech), pursuant to which, Mr. Ehud Hillman, a director of our company, provides management services in consideration of an annual fee of $240,000. The term of this agreement is for one year, with automatic renewal for successive one-year periods thereafter, unless prior terminated by one of the parties. Our Audit Committee, Board of Directors and shareholders approved this agreement.</w:t>
      </w:r>
    </w:p>
    <w:p>
      <w:pPr>
        <w:spacing w:after="0" w:line="56" w:lineRule="exact"/>
        <w:rPr>
          <w:sz w:val="20"/>
          <w:szCs w:val="20"/>
          <w:color w:val="auto"/>
        </w:rPr>
      </w:pPr>
    </w:p>
    <w:p>
      <w:pPr>
        <w:ind w:right="3899"/>
        <w:spacing w:after="0" w:line="259" w:lineRule="auto"/>
        <w:rPr>
          <w:sz w:val="20"/>
          <w:szCs w:val="20"/>
          <w:color w:val="auto"/>
        </w:rPr>
      </w:pPr>
      <w:r>
        <w:rPr>
          <w:rFonts w:ascii="Times New Roman" w:cs="Times New Roman" w:eastAsia="Times New Roman" w:hAnsi="Times New Roman"/>
          <w:sz w:val="14"/>
          <w:szCs w:val="14"/>
          <w:i w:val="1"/>
          <w:iCs w:val="1"/>
          <w:color w:val="auto"/>
        </w:rPr>
        <w:t>Grant of Options to Ehud Hillman</w:t>
      </w:r>
      <w:r>
        <w:rPr>
          <w:rFonts w:ascii="Times New Roman" w:cs="Times New Roman" w:eastAsia="Times New Roman" w:hAnsi="Times New Roman"/>
          <w:sz w:val="14"/>
          <w:szCs w:val="14"/>
          <w:color w:val="auto"/>
        </w:rPr>
        <w:t>. In November 2000 and September 2001, we granted to Mr. Hillman, options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purchase up to 50,000 and 21,500 ordinary shares, respectively, at an exercise price of $20.00 and $10.75 per share, respectively, which have all vested. All options granted will remain exercisable for a period of three years from the date of vesting.</w:t>
      </w:r>
    </w:p>
    <w:p>
      <w:pPr>
        <w:spacing w:after="0" w:line="55" w:lineRule="exact"/>
        <w:rPr>
          <w:sz w:val="20"/>
          <w:szCs w:val="20"/>
          <w:color w:val="auto"/>
        </w:rPr>
      </w:pPr>
    </w:p>
    <w:p>
      <w:pPr>
        <w:ind w:right="3919"/>
        <w:spacing w:after="0" w:line="259" w:lineRule="auto"/>
        <w:rPr>
          <w:sz w:val="20"/>
          <w:szCs w:val="20"/>
          <w:color w:val="auto"/>
        </w:rPr>
      </w:pPr>
      <w:r>
        <w:rPr>
          <w:rFonts w:ascii="Times New Roman" w:cs="Times New Roman" w:eastAsia="Times New Roman" w:hAnsi="Times New Roman"/>
          <w:sz w:val="14"/>
          <w:szCs w:val="14"/>
          <w:i w:val="1"/>
          <w:iCs w:val="1"/>
          <w:color w:val="auto"/>
        </w:rPr>
        <w:t>Grant of Options to Chairman and Chief Executive Officer</w:t>
      </w:r>
      <w:r>
        <w:rPr>
          <w:rFonts w:ascii="Times New Roman" w:cs="Times New Roman" w:eastAsia="Times New Roman" w:hAnsi="Times New Roman"/>
          <w:sz w:val="14"/>
          <w:szCs w:val="14"/>
          <w:color w:val="auto"/>
        </w:rPr>
        <w:t>. In May 2003, our shareholders approved the grant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options to Mr. Carmel Vernia, the Chairman of our Board of Directors and Chief Executive Officer to purchase up to 1,043,000 ordinary shares of the Company at an exercise price of $2.983. The options vest over five years, with 417,200 options (40%) vesting on May 31, 2005 and an</w:t>
      </w:r>
    </w:p>
    <w:p>
      <w:pPr>
        <w:sectPr>
          <w:pgSz w:w="11900" w:h="16838" w:orient="portrait"/>
          <w:cols w:equalWidth="0" w:num="1">
            <w:col w:w="10239"/>
          </w:cols>
          <w:pgMar w:left="220" w:top="125" w:right="1440" w:bottom="0" w:gutter="0" w:footer="0" w:header="0"/>
        </w:sectPr>
      </w:pPr>
    </w:p>
    <w:p>
      <w:pPr>
        <w:spacing w:after="0" w:line="19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239"/>
          </w:cols>
          <w:pgMar w:left="220" w:top="125" w:right="1440" w:bottom="0" w:gutter="0" w:footer="0" w:header="0"/>
          <w:type w:val="continuous"/>
        </w:sectPr>
      </w:pPr>
    </w:p>
    <w:bookmarkStart w:id="35" w:name="page36"/>
    <w:bookmarkEnd w:id="35"/>
    <w:p>
      <w:pPr>
        <w:ind w:right="403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128905</wp:posOffset>
            </wp:positionH>
            <wp:positionV relativeFrom="page">
              <wp:posOffset>88900</wp:posOffset>
            </wp:positionV>
            <wp:extent cx="5062220" cy="260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5062220" cy="26035"/>
                    </a:xfrm>
                    <a:prstGeom prst="rect">
                      <a:avLst/>
                    </a:prstGeom>
                    <a:noFill/>
                  </pic:spPr>
                </pic:pic>
              </a:graphicData>
            </a:graphic>
          </wp:anchor>
        </w:drawing>
        <w:t>additional 208,600 options (20%) vesting on May 31st of each of 2006, 2007 and 2008. The vesting of the options is subject to Mr. Vernia's serving as the Chairman of our Board of Directors, Chief Executive Officer or President on the relevant vesting date. Other than as set forth below, the options will be exercisable for a period of 5 years from the date on which the options vest.</w:t>
      </w:r>
    </w:p>
    <w:p>
      <w:pPr>
        <w:spacing w:after="0" w:line="55" w:lineRule="exact"/>
        <w:rPr>
          <w:sz w:val="20"/>
          <w:szCs w:val="20"/>
          <w:color w:val="auto"/>
        </w:rPr>
      </w:pPr>
    </w:p>
    <w:p>
      <w:pPr>
        <w:ind w:right="3959"/>
        <w:spacing w:after="0" w:line="253" w:lineRule="auto"/>
        <w:rPr>
          <w:sz w:val="20"/>
          <w:szCs w:val="20"/>
          <w:color w:val="auto"/>
        </w:rPr>
      </w:pPr>
      <w:r>
        <w:rPr>
          <w:rFonts w:ascii="Times New Roman" w:cs="Times New Roman" w:eastAsia="Times New Roman" w:hAnsi="Times New Roman"/>
          <w:sz w:val="14"/>
          <w:szCs w:val="14"/>
          <w:i w:val="1"/>
          <w:iCs w:val="1"/>
          <w:color w:val="auto"/>
        </w:rPr>
        <w:t>Grant of Options to Directors</w:t>
      </w:r>
      <w:r>
        <w:rPr>
          <w:rFonts w:ascii="Times New Roman" w:cs="Times New Roman" w:eastAsia="Times New Roman" w:hAnsi="Times New Roman"/>
          <w:sz w:val="14"/>
          <w:szCs w:val="14"/>
          <w:color w:val="auto"/>
        </w:rPr>
        <w:t>. During 2001, the Audit Committee, Board of Directors and shareholders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approved a stock option plan pursuant to which our Board members will be granted options to purchase up to 400,000 ordinary shares. As of September 30, 2003, 280,000 options to purchase ordinary shares, of which 240,000 options were exercisable at an exercise price of $8.88 per share, and 40,000 options were exercisable at an exercise price of $6.08 per share, were outstanding under the plan. These options vest over a four-year period, according to various vesting schedules and are generally not exercisable following the fifth anniversary of their vesting date.</w:t>
      </w:r>
    </w:p>
    <w:p>
      <w:pPr>
        <w:spacing w:after="0" w:line="61" w:lineRule="exact"/>
        <w:rPr>
          <w:sz w:val="20"/>
          <w:szCs w:val="20"/>
          <w:color w:val="auto"/>
        </w:rPr>
      </w:pPr>
    </w:p>
    <w:p>
      <w:pPr>
        <w:ind w:right="3979"/>
        <w:spacing w:after="0" w:line="251" w:lineRule="auto"/>
        <w:rPr>
          <w:sz w:val="20"/>
          <w:szCs w:val="20"/>
          <w:color w:val="auto"/>
        </w:rPr>
      </w:pPr>
      <w:r>
        <w:rPr>
          <w:rFonts w:ascii="Times New Roman" w:cs="Times New Roman" w:eastAsia="Times New Roman" w:hAnsi="Times New Roman"/>
          <w:sz w:val="14"/>
          <w:szCs w:val="14"/>
          <w:i w:val="1"/>
          <w:iCs w:val="1"/>
          <w:color w:val="auto"/>
        </w:rPr>
        <w:t>Indemnification Agreements with Directors</w:t>
      </w:r>
      <w:r>
        <w:rPr>
          <w:rFonts w:ascii="Times New Roman" w:cs="Times New Roman" w:eastAsia="Times New Roman" w:hAnsi="Times New Roman"/>
          <w:sz w:val="14"/>
          <w:szCs w:val="14"/>
          <w:color w:val="auto"/>
        </w:rPr>
        <w:t>. In December 2001, we entered into indemnification agreements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members of our Board of Directors, pursuant to which, subject to the limitations set forth in the Israel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 Such indemnification will be limited to up to 25% of the then current fully paid-in-equity of the Company (in addition to any amounts paid under insurance), with respect to specified events, in each case of indemnification (including all matters connected therewith). The agreements were approved by our shareholders at the general meeting of the shareholders in November 2001 after approval of our Audit Committee and our Board of Directors. In May 2003, our shareholders approved the execution of an exemption and indemnification agreement with Mr. Vernia, under the same terms as the above agreements.</w:t>
      </w:r>
    </w:p>
    <w:p>
      <w:pPr>
        <w:spacing w:after="0" w:line="20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91" w:lineRule="exact"/>
        <w:rPr>
          <w:sz w:val="20"/>
          <w:szCs w:val="20"/>
          <w:color w:val="auto"/>
        </w:rPr>
      </w:pPr>
    </w:p>
    <w:p>
      <w:pPr>
        <w:ind w:right="3959"/>
        <w:spacing w:after="0"/>
        <w:rPr>
          <w:sz w:val="20"/>
          <w:szCs w:val="20"/>
          <w:color w:val="auto"/>
        </w:rPr>
      </w:pPr>
      <w:r>
        <w:rPr>
          <w:rFonts w:ascii="Times New Roman" w:cs="Times New Roman" w:eastAsia="Times New Roman" w:hAnsi="Times New Roman"/>
          <w:sz w:val="14"/>
          <w:szCs w:val="14"/>
          <w:color w:val="auto"/>
        </w:rPr>
        <w:t>Our authorized share capital consists of 150,000,000 ordinary shares, par value NIS 1.00 per share. Under our articles of association, the ordinary shares do not have preemptive rights, however, we have granted preemptive rights to a number of our Fab 2 investors which have been waived in connection with this offering. We may from time to time, by approval of a majority of our shareholders, increase our authorized share capital. All ordinary shares are registered shares, rather than bearer shares.</w:t>
      </w:r>
    </w:p>
    <w:p>
      <w:pPr>
        <w:spacing w:after="0" w:line="59" w:lineRule="exact"/>
        <w:rPr>
          <w:sz w:val="20"/>
          <w:szCs w:val="20"/>
          <w:color w:val="auto"/>
        </w:rPr>
      </w:pPr>
    </w:p>
    <w:p>
      <w:pPr>
        <w:ind w:right="3939"/>
        <w:spacing w:after="0" w:line="238" w:lineRule="auto"/>
        <w:rPr>
          <w:sz w:val="20"/>
          <w:szCs w:val="20"/>
          <w:color w:val="auto"/>
        </w:rPr>
      </w:pPr>
      <w:r>
        <w:rPr>
          <w:rFonts w:ascii="Times New Roman" w:cs="Times New Roman" w:eastAsia="Times New Roman" w:hAnsi="Times New Roman"/>
          <w:sz w:val="14"/>
          <w:szCs w:val="14"/>
          <w:color w:val="auto"/>
        </w:rPr>
        <w:t>The ownership or voting of our ordinary shares by non-residents of Israel is not restricted in any way by our memorandum of association or articles of association. The State of Israel does not restrict in any way the ownership or voting of ordinary shares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59" w:lineRule="exact"/>
        <w:rPr>
          <w:sz w:val="20"/>
          <w:szCs w:val="20"/>
          <w:color w:val="auto"/>
        </w:rPr>
      </w:pPr>
    </w:p>
    <w:p>
      <w:pPr>
        <w:ind w:right="3919"/>
        <w:spacing w:after="0" w:line="238" w:lineRule="auto"/>
        <w:rPr>
          <w:sz w:val="20"/>
          <w:szCs w:val="20"/>
          <w:color w:val="auto"/>
        </w:rPr>
      </w:pPr>
      <w:r>
        <w:rPr>
          <w:rFonts w:ascii="Times New Roman" w:cs="Times New Roman" w:eastAsia="Times New Roman" w:hAnsi="Times New Roman"/>
          <w:sz w:val="14"/>
          <w:szCs w:val="14"/>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Companies Law. Our Board of Directors is authorized to declare dividends, although our bank covenants currently in effect prohibit the payment of dividends on our ordinary shares, unless such payments are approved by the banks.</w:t>
      </w:r>
    </w:p>
    <w:p>
      <w:pPr>
        <w:spacing w:after="0" w:line="59" w:lineRule="exact"/>
        <w:rPr>
          <w:sz w:val="20"/>
          <w:szCs w:val="20"/>
          <w:color w:val="auto"/>
        </w:rPr>
      </w:pPr>
    </w:p>
    <w:p>
      <w:pPr>
        <w:ind w:right="3999"/>
        <w:spacing w:after="0"/>
        <w:rPr>
          <w:sz w:val="20"/>
          <w:szCs w:val="20"/>
          <w:color w:val="auto"/>
        </w:rPr>
      </w:pPr>
      <w:r>
        <w:rPr>
          <w:rFonts w:ascii="Times New Roman" w:cs="Times New Roman" w:eastAsia="Times New Roman" w:hAnsi="Times New Roman"/>
          <w:sz w:val="14"/>
          <w:szCs w:val="14"/>
          <w:color w:val="auto"/>
        </w:rPr>
        <w:t>Holders of ordinary shares have one vote for each ordinary share held on all matters submitted to a vote of shareholders. Subject to the provisions set forth in Section 46B of the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59" w:lineRule="exact"/>
        <w:rPr>
          <w:sz w:val="20"/>
          <w:szCs w:val="20"/>
          <w:color w:val="auto"/>
        </w:rPr>
      </w:pPr>
    </w:p>
    <w:p>
      <w:pPr>
        <w:ind w:right="3959"/>
        <w:spacing w:after="0"/>
        <w:rPr>
          <w:sz w:val="20"/>
          <w:szCs w:val="20"/>
          <w:color w:val="auto"/>
        </w:rPr>
      </w:pPr>
      <w:r>
        <w:rPr>
          <w:rFonts w:ascii="Times New Roman" w:cs="Times New Roman" w:eastAsia="Times New Roman" w:hAnsi="Times New Roman"/>
          <w:sz w:val="14"/>
          <w:szCs w:val="14"/>
          <w:color w:val="auto"/>
        </w:rPr>
        <w:t>Resolutions of shareholders (e.g. resolutions amending our articles of association, electing or removing directors, appointing auditors, authorizing changes in capitalization or the rights attached to our shares or approving a wind-up or merger) require the affirmative vote (at a meeting convened upon advance notice of twenty one days) of shareholders present in person or by proxy and holding shares conferring, in the aggregate, at least a majority of the votes actually cast on such resolutions.</w:t>
      </w:r>
    </w:p>
    <w:p>
      <w:pPr>
        <w:spacing w:after="0" w:line="59" w:lineRule="exact"/>
        <w:rPr>
          <w:sz w:val="20"/>
          <w:szCs w:val="20"/>
          <w:color w:val="auto"/>
        </w:rPr>
      </w:pPr>
    </w:p>
    <w:p>
      <w:pPr>
        <w:ind w:right="3999"/>
        <w:spacing w:after="0" w:line="239" w:lineRule="auto"/>
        <w:rPr>
          <w:sz w:val="20"/>
          <w:szCs w:val="20"/>
          <w:color w:val="auto"/>
        </w:rPr>
      </w:pPr>
      <w:r>
        <w:rPr>
          <w:rFonts w:ascii="Times New Roman" w:cs="Times New Roman" w:eastAsia="Times New Roman" w:hAnsi="Times New Roman"/>
          <w:sz w:val="14"/>
          <w:szCs w:val="14"/>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58" w:lineRule="exact"/>
        <w:rPr>
          <w:sz w:val="20"/>
          <w:szCs w:val="20"/>
          <w:color w:val="auto"/>
        </w:rPr>
      </w:pPr>
    </w:p>
    <w:p>
      <w:pPr>
        <w:ind w:right="4039"/>
        <w:spacing w:after="0" w:line="263" w:lineRule="auto"/>
        <w:rPr>
          <w:sz w:val="20"/>
          <w:szCs w:val="20"/>
          <w:color w:val="auto"/>
        </w:rPr>
      </w:pPr>
      <w:r>
        <w:rPr>
          <w:rFonts w:ascii="Times New Roman" w:cs="Times New Roman" w:eastAsia="Times New Roman" w:hAnsi="Times New Roman"/>
          <w:sz w:val="14"/>
          <w:szCs w:val="14"/>
          <w:color w:val="auto"/>
        </w:rPr>
        <w:t>Our registration number at the Israeli registrar of companies is 52-004199-7. The objective stated in our articles of association is to engage in any lawful activity.</w:t>
      </w:r>
    </w:p>
    <w:p>
      <w:pPr>
        <w:spacing w:after="0" w:line="43" w:lineRule="exact"/>
        <w:rPr>
          <w:sz w:val="20"/>
          <w:szCs w:val="20"/>
          <w:color w:val="auto"/>
        </w:rPr>
      </w:pPr>
    </w:p>
    <w:p>
      <w:pPr>
        <w:ind w:right="3919"/>
        <w:spacing w:after="0" w:line="259" w:lineRule="auto"/>
        <w:rPr>
          <w:sz w:val="20"/>
          <w:szCs w:val="20"/>
          <w:color w:val="auto"/>
        </w:rPr>
      </w:pPr>
      <w:r>
        <w:rPr>
          <w:rFonts w:ascii="Times New Roman" w:cs="Times New Roman" w:eastAsia="Times New Roman" w:hAnsi="Times New Roman"/>
          <w:sz w:val="13"/>
          <w:szCs w:val="13"/>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47" w:lineRule="exact"/>
        <w:rPr>
          <w:sz w:val="20"/>
          <w:szCs w:val="20"/>
          <w:color w:val="auto"/>
        </w:rPr>
      </w:pPr>
    </w:p>
    <w:p>
      <w:pPr>
        <w:ind w:right="3919"/>
        <w:spacing w:after="0" w:line="302" w:lineRule="auto"/>
        <w:rPr>
          <w:sz w:val="20"/>
          <w:szCs w:val="20"/>
          <w:color w:val="auto"/>
        </w:rPr>
      </w:pPr>
      <w:r>
        <w:rPr>
          <w:rFonts w:ascii="Times New Roman" w:cs="Times New Roman" w:eastAsia="Times New Roman" w:hAnsi="Times New Roman"/>
          <w:sz w:val="13"/>
          <w:szCs w:val="13"/>
          <w:color w:val="auto"/>
        </w:rPr>
        <w:t>As of December 15, 2003, 51,696,097 of our ordinary shares were outstanding. The above number of outstanding ordinary shares does not include 1,300,000 treasury shares held by us in an account with Bear Stearns &amp; Co.</w:t>
      </w:r>
    </w:p>
    <w:p>
      <w:pPr>
        <w:spacing w:after="0" w:line="19" w:lineRule="exact"/>
        <w:rPr>
          <w:sz w:val="20"/>
          <w:szCs w:val="20"/>
          <w:color w:val="auto"/>
        </w:rPr>
      </w:pPr>
    </w:p>
    <w:p>
      <w:pPr>
        <w:ind w:right="3939"/>
        <w:spacing w:after="0" w:line="263" w:lineRule="auto"/>
        <w:rPr>
          <w:sz w:val="20"/>
          <w:szCs w:val="20"/>
          <w:color w:val="auto"/>
        </w:rPr>
      </w:pPr>
      <w:r>
        <w:rPr>
          <w:rFonts w:ascii="Times New Roman" w:cs="Times New Roman" w:eastAsia="Times New Roman" w:hAnsi="Times New Roman"/>
          <w:sz w:val="14"/>
          <w:szCs w:val="14"/>
          <w:color w:val="auto"/>
        </w:rPr>
        <w:t>The transfer agent and registrar for our ordinary shares is American Stock Transfer &amp; Trust Company, 59 Maiden Lane, New York, New York 10007.</w:t>
      </w:r>
    </w:p>
    <w:p>
      <w:pPr>
        <w:spacing w:after="0" w:line="17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Taxation and Government Programs</w:t>
      </w:r>
    </w:p>
    <w:p>
      <w:pPr>
        <w:spacing w:after="0" w:line="91" w:lineRule="exact"/>
        <w:rPr>
          <w:sz w:val="20"/>
          <w:szCs w:val="20"/>
          <w:color w:val="auto"/>
        </w:rPr>
      </w:pPr>
    </w:p>
    <w:p>
      <w:pPr>
        <w:ind w:right="3959"/>
        <w:spacing w:after="0" w:line="280" w:lineRule="auto"/>
        <w:rPr>
          <w:sz w:val="20"/>
          <w:szCs w:val="20"/>
          <w:color w:val="auto"/>
        </w:rPr>
      </w:pPr>
      <w:r>
        <w:rPr>
          <w:rFonts w:ascii="Times New Roman" w:cs="Times New Roman" w:eastAsia="Times New Roman" w:hAnsi="Times New Roman"/>
          <w:sz w:val="13"/>
          <w:szCs w:val="13"/>
          <w:color w:val="auto"/>
        </w:rPr>
        <w:t>The following is a summary of the material current tax structure applicable to companies in Israel, with special reference to its effect on us. The following also contains a discussion of the material Israeli and United States tax consequences to persons purchasing our ordinary shares offered by this prospectus and of Israeli government programs benefiting us. To the extent that the discussion is based on new tax legislation that has not been subject to judicial or administrative interpretation, we cannot assure you that the tax authorities will accept the views</w:t>
      </w:r>
    </w:p>
    <w:p>
      <w:pPr>
        <w:sectPr>
          <w:pgSz w:w="11900" w:h="16838" w:orient="portrait"/>
          <w:cols w:equalWidth="0" w:num="1">
            <w:col w:w="10239"/>
          </w:cols>
          <w:pgMar w:left="220" w:top="499" w:right="1440" w:bottom="0" w:gutter="0" w:footer="0" w:header="0"/>
        </w:sectPr>
      </w:pPr>
    </w:p>
    <w:bookmarkStart w:id="36" w:name="page37"/>
    <w:bookmarkEnd w:id="36"/>
    <w:p>
      <w:pPr>
        <w:ind w:right="4299"/>
        <w:spacing w:after="0" w:line="279" w:lineRule="auto"/>
        <w:rPr>
          <w:sz w:val="20"/>
          <w:szCs w:val="20"/>
          <w:color w:val="auto"/>
        </w:rPr>
      </w:pPr>
      <w:r>
        <w:rPr>
          <w:rFonts w:ascii="Times New Roman" w:cs="Times New Roman" w:eastAsia="Times New Roman" w:hAnsi="Times New Roman"/>
          <w:sz w:val="14"/>
          <w:szCs w:val="14"/>
          <w:color w:val="auto"/>
        </w:rPr>
        <w:t>expressed in the discussion in question. The discussion is not intended, and should not be taken, as legal or professional tax advice and is not exhaustive of all possible tax considerations.</w:t>
      </w:r>
    </w:p>
    <w:p>
      <w:pPr>
        <w:spacing w:after="0" w:line="40" w:lineRule="exact"/>
        <w:rPr>
          <w:sz w:val="20"/>
          <w:szCs w:val="20"/>
          <w:color w:val="auto"/>
        </w:rPr>
      </w:pPr>
    </w:p>
    <w:p>
      <w:pPr>
        <w:ind w:right="3919"/>
        <w:spacing w:after="0" w:line="255" w:lineRule="auto"/>
        <w:rPr>
          <w:sz w:val="20"/>
          <w:szCs w:val="20"/>
          <w:color w:val="auto"/>
        </w:rPr>
      </w:pPr>
      <w:r>
        <w:rPr>
          <w:rFonts w:ascii="Times New Roman" w:cs="Times New Roman" w:eastAsia="Times New Roman" w:hAnsi="Times New Roman"/>
          <w:sz w:val="14"/>
          <w:szCs w:val="14"/>
          <w:b w:val="1"/>
          <w:bCs w:val="1"/>
          <w:color w:val="auto"/>
        </w:rPr>
        <w:t>WE RECOMMEND THAT IN ADDITION TO REVIEWING THE DISCUSSION BELOW, PROSPECTIVE PURCHASERS OF OUR ORDINARY SHARES CONSULT THEIR OWN TAX ADVISORS CONCERNING THE UNITED STATES, ISRAELI OR OTHER TAX CONSEQUENCES TO THEM, BASED UPON THEIR PARTICULAR CIRCUMSTANCES OF THE PURCHASE, OWNERSHIP AND DISPOSITION OF ORDINARY SHARES, INCLUDING, IN PARTICULAR, THE EFFECT OF ANY FOREIGN, STATE OR LOCAL TAXES.</w:t>
      </w:r>
    </w:p>
    <w:p>
      <w:pPr>
        <w:spacing w:after="0" w:line="4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General Corporate Tax Structure</w:t>
      </w:r>
    </w:p>
    <w:p>
      <w:pPr>
        <w:spacing w:after="0" w:line="80" w:lineRule="exact"/>
        <w:rPr>
          <w:sz w:val="20"/>
          <w:szCs w:val="20"/>
          <w:color w:val="auto"/>
        </w:rPr>
      </w:pPr>
    </w:p>
    <w:p>
      <w:pPr>
        <w:ind w:right="4119"/>
        <w:spacing w:after="0" w:line="263" w:lineRule="auto"/>
        <w:rPr>
          <w:sz w:val="20"/>
          <w:szCs w:val="20"/>
          <w:color w:val="auto"/>
        </w:rPr>
      </w:pPr>
      <w:r>
        <w:rPr>
          <w:rFonts w:ascii="Times New Roman" w:cs="Times New Roman" w:eastAsia="Times New Roman" w:hAnsi="Times New Roman"/>
          <w:sz w:val="14"/>
          <w:szCs w:val="14"/>
          <w:color w:val="auto"/>
        </w:rPr>
        <w:t>In general, Israeli companies are currently subject to Company Tax at the rate of 36% of taxable income. However, the effective tax rate payable by a company, which derives income from an Approved Enterprise (as further discussed below), may be considerably lower.</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Law for the Encouragement of Capital Investments, 1959</w:t>
      </w:r>
    </w:p>
    <w:p>
      <w:pPr>
        <w:spacing w:after="0" w:line="80"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color w:val="auto"/>
        </w:rPr>
        <w:t xml:space="preserve">Our facilities, including Fab 2, have been granted "Approved Enterprise" status under the Law for the Encouragement of Capital Investments, 1959, as amended (the "Investment Law"). The Investment Law provides that a capital investment in eligible facilities may, upon application to the Israel Investment Center, be designated as an Approved Enterprise. Each certificate of approval for an Approved Enterprise relates to a specific investment program delineated both by its financial scope, including its capital sources and its physical characteristics,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the equipment to be purchased and utilized pursuant to the program. The tax benefits derived from any such certificate of approval relate only to taxable income attributable to the specific Approved Enterprise.</w:t>
      </w:r>
    </w:p>
    <w:p>
      <w:pPr>
        <w:spacing w:after="0" w:line="63" w:lineRule="exact"/>
        <w:rPr>
          <w:sz w:val="20"/>
          <w:szCs w:val="20"/>
          <w:color w:val="auto"/>
        </w:rPr>
      </w:pPr>
    </w:p>
    <w:p>
      <w:pPr>
        <w:ind w:right="3919"/>
        <w:spacing w:after="0" w:line="272" w:lineRule="auto"/>
        <w:rPr>
          <w:sz w:val="20"/>
          <w:szCs w:val="20"/>
          <w:color w:val="auto"/>
        </w:rPr>
      </w:pPr>
      <w:r>
        <w:rPr>
          <w:rFonts w:ascii="Times New Roman" w:cs="Times New Roman" w:eastAsia="Times New Roman" w:hAnsi="Times New Roman"/>
          <w:sz w:val="13"/>
          <w:szCs w:val="13"/>
          <w:color w:val="auto"/>
        </w:rPr>
        <w:t>Taxable income of a company derived from an Approved Enterprise is subject to Company Tax at the rate of 25% (rather than 36% as stated above) for the "Benefit Period": a period of seven years commencing with the year in which the Approved Enterprise first generated taxable income (limited to twelve years from commencement of production or fourteen years from the date of approval, whichever is earlier) and, under certain circumstances (as further detailed below and applicable to us), extending to a maximum of ten years from the commencement year. Notwithstanding the foregoing, taxable income of a company located in certain geographic locations in Israel, derived from an Approved Enterprise approved after January 1, 1997, which is the case with respect to Fab 2, which is not distributed to its shareholders, is tax exempt for the first two years of the Benefit Period and is taxed at a rate of 25% for the remainder of the Benefit Period. In the event that a company is operating under more than one approval or that only part of its capital investments are approved (a "Mixed Enterprise"), its effective Company Tax rate is the result of a weighted combination of the various applicable rates.</w:t>
      </w:r>
    </w:p>
    <w:p>
      <w:pPr>
        <w:spacing w:after="0" w:line="52" w:lineRule="exact"/>
        <w:rPr>
          <w:sz w:val="20"/>
          <w:szCs w:val="20"/>
          <w:color w:val="auto"/>
        </w:rPr>
      </w:pPr>
    </w:p>
    <w:p>
      <w:pPr>
        <w:ind w:right="4019"/>
        <w:spacing w:after="0" w:line="273" w:lineRule="auto"/>
        <w:rPr>
          <w:sz w:val="20"/>
          <w:szCs w:val="20"/>
          <w:color w:val="auto"/>
        </w:rPr>
      </w:pPr>
      <w:r>
        <w:rPr>
          <w:rFonts w:ascii="Times New Roman" w:cs="Times New Roman" w:eastAsia="Times New Roman" w:hAnsi="Times New Roman"/>
          <w:sz w:val="13"/>
          <w:szCs w:val="13"/>
          <w:color w:val="auto"/>
        </w:rPr>
        <w:t>A company, which qualifies as a "Foreign Investors' Company," is entitled to further reductions in the tax rate normally applicable to Approved Enterprises. Such benefits will be granted only to enterprises seeking approval not later than December 31, 2002. Subject to certain conditions, a "Foreign Investors' Company" is a company which has more than 25% of its combined shareholders' investment in share capital (in terms of rights to profits, voting and the appointment of directors) and in long term shareholders' loans made by persons who are not residents of Israel. The percentage owned by nonresidents of Israel for any tax year will be determined by the lowest percentage of any of the above rights held by nonresidents during that year. Such a company will pay Company Tax at reduced rates for an extended ten-year (rather than the otherwise applicable seven-year) period and is exempt from any other tax on the undistributed income from its Approved Enterprise.</w:t>
      </w:r>
    </w:p>
    <w:p>
      <w:pPr>
        <w:spacing w:after="0" w:line="18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company with foreign investment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1"/>
                <w:szCs w:val="11"/>
                <w:b w:val="1"/>
                <w:bCs w:val="1"/>
                <w:color w:val="auto"/>
              </w:rPr>
              <w:t>Company</w:t>
            </w:r>
          </w:p>
        </w:tc>
        <w:tc>
          <w:tcPr>
            <w:tcW w:w="0" w:type="dxa"/>
            <w:vAlign w:val="bottom"/>
          </w:tcPr>
          <w:p>
            <w:pPr>
              <w:spacing w:after="0"/>
              <w:rPr>
                <w:sz w:val="1"/>
                <w:szCs w:val="1"/>
                <w:color w:val="auto"/>
              </w:rPr>
            </w:pPr>
          </w:p>
        </w:tc>
      </w:tr>
      <w:tr>
        <w:trPr>
          <w:trHeight w:val="134"/>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Over 25% but less than 49%</w:t>
            </w:r>
          </w:p>
        </w:tc>
        <w:tc>
          <w:tcPr>
            <w:tcW w:w="1640" w:type="dxa"/>
            <w:vAlign w:val="bottom"/>
            <w:gridSpan w:val="2"/>
          </w:tcPr>
          <w:p>
            <w:pPr>
              <w:ind w:left="1000"/>
              <w:spacing w:after="0"/>
              <w:rPr>
                <w:sz w:val="20"/>
                <w:szCs w:val="20"/>
                <w:color w:val="auto"/>
              </w:rPr>
            </w:pPr>
            <w:r>
              <w:rPr>
                <w:rFonts w:ascii="Times New Roman" w:cs="Times New Roman" w:eastAsia="Times New Roman" w:hAnsi="Times New Roman"/>
                <w:sz w:val="11"/>
                <w:szCs w:val="11"/>
                <w:b w:val="1"/>
                <w:bCs w:val="1"/>
                <w:color w:val="auto"/>
              </w:rPr>
              <w:t>Tax Rate</w:t>
            </w:r>
          </w:p>
        </w:tc>
        <w:tc>
          <w:tcPr>
            <w:tcW w:w="0" w:type="dxa"/>
            <w:vAlign w:val="bottom"/>
          </w:tcPr>
          <w:p>
            <w:pPr>
              <w:spacing w:after="0"/>
              <w:rPr>
                <w:sz w:val="1"/>
                <w:szCs w:val="1"/>
                <w:color w:val="auto"/>
              </w:rPr>
            </w:pPr>
          </w:p>
        </w:tc>
      </w:tr>
      <w:tr>
        <w:trPr>
          <w:trHeight w:val="172"/>
        </w:trPr>
        <w:tc>
          <w:tcPr>
            <w:tcW w:w="274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3"/>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49% or more but less than 74%</w:t>
            </w:r>
          </w:p>
        </w:tc>
        <w:tc>
          <w:tcPr>
            <w:tcW w:w="164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74% or more but less than 90%</w:t>
            </w:r>
          </w:p>
        </w:tc>
        <w:tc>
          <w:tcPr>
            <w:tcW w:w="164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8"/>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90% or more</w:t>
            </w:r>
          </w:p>
        </w:tc>
        <w:tc>
          <w:tcPr>
            <w:tcW w:w="164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-640715</wp:posOffset>
            </wp:positionV>
            <wp:extent cx="2624455" cy="635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624455" cy="635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-561340</wp:posOffset>
            </wp:positionV>
            <wp:extent cx="13335" cy="635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-422910</wp:posOffset>
            </wp:positionV>
            <wp:extent cx="13335" cy="635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-297180</wp:posOffset>
            </wp:positionV>
            <wp:extent cx="13335" cy="635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-171450</wp:posOffset>
            </wp:positionV>
            <wp:extent cx="13335" cy="635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2897505</wp:posOffset>
            </wp:positionH>
            <wp:positionV relativeFrom="paragraph">
              <wp:posOffset>-45720</wp:posOffset>
            </wp:positionV>
            <wp:extent cx="13335" cy="635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19685</wp:posOffset>
            </wp:positionV>
            <wp:extent cx="6350" cy="6604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4" w:lineRule="exact"/>
        <w:rPr>
          <w:sz w:val="20"/>
          <w:szCs w:val="20"/>
          <w:color w:val="auto"/>
        </w:rPr>
      </w:pPr>
    </w:p>
    <w:p>
      <w:pPr>
        <w:ind w:right="4059"/>
        <w:spacing w:after="0" w:line="254" w:lineRule="auto"/>
        <w:rPr>
          <w:sz w:val="20"/>
          <w:szCs w:val="20"/>
          <w:color w:val="auto"/>
        </w:rPr>
      </w:pPr>
      <w:r>
        <w:rPr>
          <w:rFonts w:ascii="Times New Roman" w:cs="Times New Roman" w:eastAsia="Times New Roman" w:hAnsi="Times New Roman"/>
          <w:sz w:val="14"/>
          <w:szCs w:val="14"/>
          <w:color w:val="auto"/>
        </w:rPr>
        <w:t>As of September 30, 2003 we qualify as a Foreign Investors' Company and our foreign shareholdings exceed 49% but are less than 74%. Should our future foreign shareholdings continue to exceed 25%, future Approved Enterprises would qualify for reduced tax rates for an additional three years, after the seven years mentioned above. However, there can be no assurance that we will attain approval for additional Approved Enterprises or that the provisions of the Investment Law will not change or that the above-mentioned shareholding proportion will be reached for each subsequent year.</w:t>
      </w:r>
    </w:p>
    <w:p>
      <w:pPr>
        <w:spacing w:after="0" w:line="60" w:lineRule="exact"/>
        <w:rPr>
          <w:sz w:val="20"/>
          <w:szCs w:val="20"/>
          <w:color w:val="auto"/>
        </w:rPr>
      </w:pPr>
    </w:p>
    <w:p>
      <w:pPr>
        <w:ind w:right="3999"/>
        <w:spacing w:after="0" w:line="256" w:lineRule="auto"/>
        <w:rPr>
          <w:sz w:val="20"/>
          <w:szCs w:val="20"/>
          <w:color w:val="auto"/>
        </w:rPr>
      </w:pPr>
      <w:r>
        <w:rPr>
          <w:rFonts w:ascii="Times New Roman" w:cs="Times New Roman" w:eastAsia="Times New Roman" w:hAnsi="Times New Roman"/>
          <w:sz w:val="14"/>
          <w:szCs w:val="14"/>
          <w:color w:val="auto"/>
        </w:rPr>
        <w:t>The Investment Law also provides that an Approved Enterprise is entitled to accelerated depreciation on its property and equipment that are included in an approved investment program. The tax incentives received by or to be received by the company in accordance with the Investment Law remain subject to final ratification by the Israel Investment Center and final determination by the Israel Tax Authority, such ratification and determination being conditional upon fulfillment of all terms of the approved program.</w:t>
      </w:r>
    </w:p>
    <w:p>
      <w:pPr>
        <w:spacing w:after="0" w:line="57" w:lineRule="exact"/>
        <w:rPr>
          <w:sz w:val="20"/>
          <w:szCs w:val="20"/>
          <w:color w:val="auto"/>
        </w:rPr>
      </w:pPr>
    </w:p>
    <w:p>
      <w:pPr>
        <w:ind w:right="4019"/>
        <w:spacing w:after="0" w:line="293" w:lineRule="auto"/>
        <w:rPr>
          <w:sz w:val="20"/>
          <w:szCs w:val="20"/>
          <w:color w:val="auto"/>
        </w:rPr>
      </w:pPr>
      <w:r>
        <w:rPr>
          <w:rFonts w:ascii="Times New Roman" w:cs="Times New Roman" w:eastAsia="Times New Roman" w:hAnsi="Times New Roman"/>
          <w:sz w:val="13"/>
          <w:szCs w:val="13"/>
          <w:color w:val="auto"/>
        </w:rPr>
        <w:t>As mentioned above, our facilities have been granted "Approved Enterprise" status. However, there can be no assurance that we will attain approval for additional Approved Enterprises, that the provisions of the Investment Law will not change or that the above-mentioned shareholding proportion will be reached and/or maintained.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Law for the Encouragement of Industry (Taxes), 1969</w:t>
      </w:r>
    </w:p>
    <w:p>
      <w:pPr>
        <w:spacing w:after="0" w:line="80" w:lineRule="exact"/>
        <w:rPr>
          <w:sz w:val="20"/>
          <w:szCs w:val="20"/>
          <w:color w:val="auto"/>
        </w:rPr>
      </w:pPr>
    </w:p>
    <w:p>
      <w:pPr>
        <w:ind w:right="3959"/>
        <w:spacing w:after="0" w:line="256" w:lineRule="auto"/>
        <w:rPr>
          <w:sz w:val="20"/>
          <w:szCs w:val="20"/>
          <w:color w:val="auto"/>
        </w:rPr>
      </w:pPr>
      <w:r>
        <w:rPr>
          <w:rFonts w:ascii="Times New Roman" w:cs="Times New Roman" w:eastAsia="Times New Roman" w:hAnsi="Times New Roman"/>
          <w:sz w:val="14"/>
          <w:szCs w:val="14"/>
          <w:color w:val="auto"/>
        </w:rPr>
        <w:t>According to the Law for the Encouragement of Industry (Taxes), 1969, generally referred to as the Industry Encouragement Law, an industrial company is a company resident in Israel, at least 90% of the income of which, in a given tax year (exclusive of income from specified government loans, capital gains, interest and dividends), is derived from an industrial enterprise owned by it. An industrial enterprise is defined as an enterprise whose major activity in a given tax year is industrial production activity.</w:t>
      </w:r>
    </w:p>
    <w:p>
      <w:pPr>
        <w:spacing w:after="0" w:line="57" w:lineRule="exact"/>
        <w:rPr>
          <w:sz w:val="20"/>
          <w:szCs w:val="20"/>
          <w:color w:val="auto"/>
        </w:rPr>
      </w:pPr>
    </w:p>
    <w:p>
      <w:pPr>
        <w:ind w:right="3899"/>
        <w:spacing w:after="0" w:line="279" w:lineRule="auto"/>
        <w:rPr>
          <w:sz w:val="20"/>
          <w:szCs w:val="20"/>
          <w:color w:val="auto"/>
        </w:rPr>
      </w:pPr>
      <w:r>
        <w:rPr>
          <w:rFonts w:ascii="Times New Roman" w:cs="Times New Roman" w:eastAsia="Times New Roman" w:hAnsi="Times New Roman"/>
          <w:sz w:val="14"/>
          <w:szCs w:val="14"/>
          <w:color w:val="auto"/>
        </w:rPr>
        <w:t>Under the Industry Encouragement Law, industrial companies are entitled to the following preferred corporate tax benefits:</w:t>
      </w:r>
    </w:p>
    <w:p>
      <w:pPr>
        <w:spacing w:after="0" w:line="125" w:lineRule="exact"/>
        <w:rPr>
          <w:sz w:val="20"/>
          <w:szCs w:val="20"/>
          <w:color w:val="auto"/>
        </w:rPr>
      </w:pPr>
    </w:p>
    <w:p>
      <w:pPr>
        <w:ind w:left="400" w:hanging="261"/>
        <w:spacing w:after="0"/>
        <w:tabs>
          <w:tab w:leader="none" w:pos="4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 of purchases of know-how and patents over an eight-year period for tax purposes;</w:t>
      </w:r>
    </w:p>
    <w:p>
      <w:pPr>
        <w:spacing w:after="0" w:line="172" w:lineRule="exact"/>
        <w:rPr>
          <w:rFonts w:ascii="Times New Roman" w:cs="Times New Roman" w:eastAsia="Times New Roman" w:hAnsi="Times New Roman"/>
          <w:sz w:val="14"/>
          <w:szCs w:val="14"/>
          <w:color w:val="auto"/>
        </w:rPr>
      </w:pPr>
    </w:p>
    <w:p>
      <w:pPr>
        <w:ind w:left="400" w:right="4459" w:hanging="261"/>
        <w:spacing w:after="0" w:line="279" w:lineRule="auto"/>
        <w:tabs>
          <w:tab w:leader="none" w:pos="4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 of specified expenses incurred for a public issuance of securities in Israel over a three-year period for tax purposes;</w:t>
      </w:r>
    </w:p>
    <w:p>
      <w:pPr>
        <w:spacing w:after="0" w:line="125" w:lineRule="exact"/>
        <w:rPr>
          <w:rFonts w:ascii="Times New Roman" w:cs="Times New Roman" w:eastAsia="Times New Roman" w:hAnsi="Times New Roman"/>
          <w:sz w:val="14"/>
          <w:szCs w:val="14"/>
          <w:color w:val="auto"/>
        </w:rPr>
      </w:pPr>
    </w:p>
    <w:p>
      <w:pPr>
        <w:ind w:left="400" w:right="4519" w:hanging="261"/>
        <w:spacing w:after="0" w:line="279" w:lineRule="auto"/>
        <w:tabs>
          <w:tab w:leader="none" w:pos="4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 to elect, under specified conditions, to file a consolidated tax return with additional related Israeli industrial companies; and</w:t>
      </w:r>
    </w:p>
    <w:p>
      <w:pPr>
        <w:spacing w:after="0" w:line="125"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accelerated depreciation rates on equipment and buildings.</w:t>
      </w:r>
    </w:p>
    <w:p>
      <w:pPr>
        <w:spacing w:after="0" w:line="172" w:lineRule="exact"/>
        <w:rPr>
          <w:sz w:val="20"/>
          <w:szCs w:val="20"/>
          <w:color w:val="auto"/>
        </w:rPr>
      </w:pPr>
    </w:p>
    <w:p>
      <w:pPr>
        <w:ind w:right="3919"/>
        <w:spacing w:after="0" w:line="279" w:lineRule="auto"/>
        <w:rPr>
          <w:sz w:val="20"/>
          <w:szCs w:val="20"/>
          <w:color w:val="auto"/>
        </w:rPr>
      </w:pPr>
      <w:r>
        <w:rPr>
          <w:rFonts w:ascii="Times New Roman" w:cs="Times New Roman" w:eastAsia="Times New Roman" w:hAnsi="Times New Roman"/>
          <w:sz w:val="14"/>
          <w:szCs w:val="14"/>
          <w:color w:val="auto"/>
        </w:rPr>
        <w:t>Eligibility for benefits under the Industry Encouragement Law is not subject to receipt of prior approval from any governmental authority.</w:t>
      </w:r>
    </w:p>
    <w:p>
      <w:pPr>
        <w:sectPr>
          <w:pgSz w:w="11900" w:h="16838" w:orient="portrait"/>
          <w:cols w:equalWidth="0" w:num="1">
            <w:col w:w="10239"/>
          </w:cols>
          <w:pgMar w:left="220" w:top="125" w:right="1440" w:bottom="0" w:gutter="0" w:footer="0" w:header="0"/>
        </w:sectPr>
      </w:pPr>
    </w:p>
    <w:bookmarkStart w:id="37" w:name="page38"/>
    <w:bookmarkEnd w:id="37"/>
    <w:p>
      <w:pPr>
        <w:spacing w:after="0" w:line="2" w:lineRule="exact"/>
        <w:rPr>
          <w:sz w:val="20"/>
          <w:szCs w:val="20"/>
          <w:color w:val="auto"/>
        </w:rPr>
      </w:pPr>
    </w:p>
    <w:p>
      <w:pPr>
        <w:ind w:right="4019"/>
        <w:spacing w:after="0" w:line="263" w:lineRule="auto"/>
        <w:rPr>
          <w:sz w:val="20"/>
          <w:szCs w:val="20"/>
          <w:color w:val="auto"/>
        </w:rPr>
      </w:pPr>
      <w:r>
        <w:rPr>
          <w:rFonts w:ascii="Times New Roman" w:cs="Times New Roman" w:eastAsia="Times New Roman" w:hAnsi="Times New Roman"/>
          <w:sz w:val="14"/>
          <w:szCs w:val="14"/>
          <w:color w:val="auto"/>
        </w:rPr>
        <w:t>We believe that we currently qualify as an industrial company within the definition of the Industry Encouragement Law. We cannot assure you that we will continue to qualify as an industrial company or that the benefits described above will be available to us in the future.</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Net Operating Loss Carryforward and Final Tax Assessments</w:t>
      </w:r>
    </w:p>
    <w:p>
      <w:pPr>
        <w:spacing w:after="0" w:line="80" w:lineRule="exact"/>
        <w:rPr>
          <w:sz w:val="20"/>
          <w:szCs w:val="20"/>
          <w:color w:val="auto"/>
        </w:rPr>
      </w:pPr>
    </w:p>
    <w:p>
      <w:pPr>
        <w:ind w:right="3919"/>
        <w:spacing w:after="0" w:line="263" w:lineRule="auto"/>
        <w:rPr>
          <w:sz w:val="20"/>
          <w:szCs w:val="20"/>
          <w:color w:val="auto"/>
        </w:rPr>
      </w:pPr>
      <w:r>
        <w:rPr>
          <w:rFonts w:ascii="Times New Roman" w:cs="Times New Roman" w:eastAsia="Times New Roman" w:hAnsi="Times New Roman"/>
          <w:sz w:val="14"/>
          <w:szCs w:val="14"/>
          <w:color w:val="auto"/>
        </w:rPr>
        <w:t>As of September 30, 2003, we had net operating loss carryforwards for tax purposes of approximately $200 million, which may be carried forward for an unlimited period of time. We have final tax assessments through the year 1998.</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Israeli Capital Gains Tax</w:t>
      </w:r>
    </w:p>
    <w:p>
      <w:pPr>
        <w:spacing w:after="0" w:line="80" w:lineRule="exact"/>
        <w:rPr>
          <w:sz w:val="20"/>
          <w:szCs w:val="20"/>
          <w:color w:val="auto"/>
        </w:rPr>
      </w:pPr>
    </w:p>
    <w:p>
      <w:pPr>
        <w:ind w:right="4039"/>
        <w:spacing w:after="0" w:line="279" w:lineRule="auto"/>
        <w:rPr>
          <w:sz w:val="20"/>
          <w:szCs w:val="20"/>
          <w:color w:val="auto"/>
        </w:rPr>
      </w:pPr>
      <w:r>
        <w:rPr>
          <w:rFonts w:ascii="Times New Roman" w:cs="Times New Roman" w:eastAsia="Times New Roman" w:hAnsi="Times New Roman"/>
          <w:sz w:val="14"/>
          <w:szCs w:val="14"/>
          <w:color w:val="auto"/>
        </w:rPr>
        <w:t>Until the end of the year 2002, and provided we maintained our status as an industrial corporation, capital gains from the sale of our securities were generally exempt from Israeli Capital Gains Tax.</w:t>
      </w:r>
    </w:p>
    <w:p>
      <w:pPr>
        <w:spacing w:after="0" w:line="17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3939"/>
        <w:spacing w:after="0" w:line="263" w:lineRule="auto"/>
        <w:rPr>
          <w:sz w:val="20"/>
          <w:szCs w:val="20"/>
          <w:color w:val="auto"/>
        </w:rPr>
      </w:pPr>
      <w:r>
        <w:rPr>
          <w:rFonts w:ascii="Times New Roman" w:cs="Times New Roman" w:eastAsia="Times New Roman" w:hAnsi="Times New Roman"/>
          <w:sz w:val="14"/>
          <w:szCs w:val="14"/>
          <w:color w:val="auto"/>
        </w:rPr>
        <w:t>This exemption did not apply to a shareholder whose taxable income is determined pursuant to the Israeli Income Tax Law (Inflationary Adjustments), 1985, or to a person whose gains from selling or otherwise disposing of our securities are deemed to be business income.</w:t>
      </w:r>
    </w:p>
    <w:p>
      <w:pPr>
        <w:spacing w:after="0" w:line="54" w:lineRule="exact"/>
        <w:rPr>
          <w:sz w:val="20"/>
          <w:szCs w:val="20"/>
          <w:color w:val="auto"/>
        </w:rPr>
      </w:pPr>
    </w:p>
    <w:p>
      <w:pPr>
        <w:ind w:right="3919"/>
        <w:spacing w:after="0" w:line="251" w:lineRule="auto"/>
        <w:rPr>
          <w:sz w:val="20"/>
          <w:szCs w:val="20"/>
          <w:color w:val="auto"/>
        </w:rPr>
      </w:pPr>
      <w:r>
        <w:rPr>
          <w:rFonts w:ascii="Times New Roman" w:cs="Times New Roman" w:eastAsia="Times New Roman" w:hAnsi="Times New Roman"/>
          <w:sz w:val="14"/>
          <w:szCs w:val="14"/>
          <w:color w:val="auto"/>
        </w:rPr>
        <w:t>As a result of the recent tax reform legislation in Israel, gains from the sale of our securities derived from January 1, 2003 and on will, in general, be liable to capital gains tax of up to 15%. This will be the case so long as our securities remain listed for trading on the Tel Aviv Stock Exchange or Nasdaq. However, according to the tax reform legislation, non-residents of Israel will be exempt from any capital gains tax from the sale of our securities, so long as the gains are not derived through a permanent establishment that the non-resident maintains in Israel, and so long as our securities remain listed for trading as described above. These provisions dealing with capital gains are not applicable to a person whose gains from selling or otherwise disposing of our securities are deemed to be business income or whose taxable income is determined pursuant to the Israeli Income Tax Law (Inflation Adjustments), 1985; the latter law would not normally be applicable to non-resident shareholders who have no business activity in Israel.</w:t>
      </w:r>
    </w:p>
    <w:p>
      <w:pPr>
        <w:spacing w:after="0" w:line="65" w:lineRule="exact"/>
        <w:rPr>
          <w:sz w:val="20"/>
          <w:szCs w:val="20"/>
          <w:color w:val="auto"/>
        </w:rPr>
      </w:pPr>
    </w:p>
    <w:p>
      <w:pPr>
        <w:ind w:right="3999"/>
        <w:spacing w:after="0" w:line="263" w:lineRule="auto"/>
        <w:rPr>
          <w:sz w:val="20"/>
          <w:szCs w:val="20"/>
          <w:color w:val="auto"/>
        </w:rPr>
      </w:pPr>
      <w:r>
        <w:rPr>
          <w:rFonts w:ascii="Times New Roman" w:cs="Times New Roman" w:eastAsia="Times New Roman" w:hAnsi="Times New Roman"/>
          <w:sz w:val="14"/>
          <w:szCs w:val="14"/>
          <w:color w:val="auto"/>
        </w:rPr>
        <w:t>In any event, under the U.S.-Israel Tax Treaty, a U.S. treaty resident may in general only be liable to Israeli capital gains tax on the sale of our ordinary shares (subject to the provisions of Israeli domestic law as described above) if that U.S. treaty resident holds 10% or more of the voting power in our company.</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Israeli Tax on Dividend Income</w:t>
      </w:r>
    </w:p>
    <w:p>
      <w:pPr>
        <w:spacing w:after="0" w:line="80" w:lineRule="exact"/>
        <w:rPr>
          <w:sz w:val="20"/>
          <w:szCs w:val="20"/>
          <w:color w:val="auto"/>
        </w:rPr>
      </w:pPr>
    </w:p>
    <w:p>
      <w:pPr>
        <w:ind w:right="4179"/>
        <w:spacing w:after="0" w:line="258" w:lineRule="auto"/>
        <w:rPr>
          <w:sz w:val="20"/>
          <w:szCs w:val="20"/>
          <w:color w:val="auto"/>
        </w:rPr>
      </w:pPr>
      <w:r>
        <w:rPr>
          <w:rFonts w:ascii="Times New Roman" w:cs="Times New Roman" w:eastAsia="Times New Roman" w:hAnsi="Times New Roman"/>
          <w:sz w:val="14"/>
          <w:szCs w:val="14"/>
          <w:color w:val="auto"/>
        </w:rPr>
        <w:t>Israeli tax at a rate of 25% is generally withheld at source from dividends paid to Israeli individuals and non-residents; in general, no withholding tax is imposed on dividends paid to Israeli companies (subject to the provision of the Israeli Income Tax Ordinance). The applicable rate for dividends paid out of the profits of an Approved Enterprise is 15%. These rates are subject to the provisions of any applicable tax treaty.</w:t>
      </w:r>
    </w:p>
    <w:p>
      <w:pPr>
        <w:spacing w:after="0" w:line="57" w:lineRule="exact"/>
        <w:rPr>
          <w:sz w:val="20"/>
          <w:szCs w:val="20"/>
          <w:color w:val="auto"/>
        </w:rPr>
      </w:pPr>
    </w:p>
    <w:p>
      <w:pPr>
        <w:ind w:right="3919"/>
        <w:spacing w:after="0" w:line="256" w:lineRule="auto"/>
        <w:rPr>
          <w:sz w:val="20"/>
          <w:szCs w:val="20"/>
          <w:color w:val="auto"/>
        </w:rPr>
      </w:pPr>
      <w:r>
        <w:rPr>
          <w:rFonts w:ascii="Times New Roman" w:cs="Times New Roman" w:eastAsia="Times New Roman" w:hAnsi="Times New Roman"/>
          <w:sz w:val="14"/>
          <w:szCs w:val="14"/>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Material United States Federal Income Tax Considerations</w:t>
      </w:r>
    </w:p>
    <w:p>
      <w:pPr>
        <w:spacing w:after="0" w:line="91" w:lineRule="exact"/>
        <w:rPr>
          <w:sz w:val="20"/>
          <w:szCs w:val="20"/>
          <w:color w:val="auto"/>
        </w:rPr>
      </w:pPr>
    </w:p>
    <w:p>
      <w:pPr>
        <w:ind w:right="4019"/>
        <w:spacing w:after="0" w:line="256" w:lineRule="auto"/>
        <w:rPr>
          <w:sz w:val="20"/>
          <w:szCs w:val="20"/>
          <w:color w:val="auto"/>
        </w:rPr>
      </w:pPr>
      <w:r>
        <w:rPr>
          <w:rFonts w:ascii="Times New Roman" w:cs="Times New Roman" w:eastAsia="Times New Roman" w:hAnsi="Times New Roman"/>
          <w:sz w:val="14"/>
          <w:szCs w:val="14"/>
          <w:color w:val="auto"/>
        </w:rPr>
        <w:t>The discussion of material United States federal income tax considerations below is based on advice of U.S. tax counsel, Roberts &amp; Holland, LLP. Subject to the limitations described in the next paragraph, the following describes the material United States federal income tax consequences to a holder of our ordinary shares who purchases their shares in this offering and qualifies as a "U.S. Holder," that is to say, who is for United States federal income tax purposes:</w:t>
      </w:r>
    </w:p>
    <w:p>
      <w:pPr>
        <w:spacing w:after="0" w:line="141" w:lineRule="exact"/>
        <w:rPr>
          <w:sz w:val="20"/>
          <w:szCs w:val="20"/>
          <w:color w:val="auto"/>
        </w:rPr>
      </w:pPr>
    </w:p>
    <w:p>
      <w:pPr>
        <w:ind w:left="400" w:hanging="261"/>
        <w:spacing w:after="0"/>
        <w:tabs>
          <w:tab w:leader="none" w:pos="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individual resident of the United States;</w:t>
      </w:r>
    </w:p>
    <w:p>
      <w:pPr>
        <w:spacing w:after="0" w:line="172" w:lineRule="exact"/>
        <w:rPr>
          <w:rFonts w:ascii="Times New Roman" w:cs="Times New Roman" w:eastAsia="Times New Roman" w:hAnsi="Times New Roman"/>
          <w:sz w:val="14"/>
          <w:szCs w:val="14"/>
          <w:color w:val="auto"/>
        </w:rPr>
      </w:pPr>
    </w:p>
    <w:p>
      <w:pPr>
        <w:ind w:left="400" w:right="4339" w:hanging="261"/>
        <w:spacing w:after="0" w:line="279" w:lineRule="auto"/>
        <w:tabs>
          <w:tab w:leader="none" w:pos="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the District of Columbia, or any state;</w:t>
      </w:r>
    </w:p>
    <w:p>
      <w:pPr>
        <w:spacing w:after="0" w:line="125" w:lineRule="exact"/>
        <w:rPr>
          <w:rFonts w:ascii="Times New Roman" w:cs="Times New Roman" w:eastAsia="Times New Roman" w:hAnsi="Times New Roman"/>
          <w:sz w:val="14"/>
          <w:szCs w:val="14"/>
          <w:color w:val="auto"/>
        </w:rPr>
      </w:pPr>
    </w:p>
    <w:p>
      <w:pPr>
        <w:ind w:left="400" w:right="4479" w:hanging="261"/>
        <w:spacing w:after="0" w:line="279" w:lineRule="auto"/>
        <w:tabs>
          <w:tab w:leader="none" w:pos="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includable in gross income for United States federal income tax purposes regardless of its source; or</w:t>
      </w:r>
    </w:p>
    <w:p>
      <w:pPr>
        <w:spacing w:after="0" w:line="125" w:lineRule="exact"/>
        <w:rPr>
          <w:rFonts w:ascii="Times New Roman" w:cs="Times New Roman" w:eastAsia="Times New Roman" w:hAnsi="Times New Roman"/>
          <w:sz w:val="14"/>
          <w:szCs w:val="14"/>
          <w:color w:val="auto"/>
        </w:rPr>
      </w:pPr>
    </w:p>
    <w:p>
      <w:pPr>
        <w:ind w:left="400" w:right="4579" w:hanging="261"/>
        <w:spacing w:after="0" w:line="258" w:lineRule="auto"/>
        <w:tabs>
          <w:tab w:leader="none" w:pos="4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if a court within the United States is able to exercise primary supervision over the administration of the trust and one or more U.S. persons have the authority to control all substantial decisions of the trust or if the trust has validly elected to be treated as a U.S. person under applicable Treasury regulations.</w:t>
      </w:r>
    </w:p>
    <w:p>
      <w:pPr>
        <w:spacing w:after="0" w:line="141" w:lineRule="exact"/>
        <w:rPr>
          <w:sz w:val="20"/>
          <w:szCs w:val="20"/>
          <w:color w:val="auto"/>
        </w:rPr>
      </w:pPr>
    </w:p>
    <w:p>
      <w:pPr>
        <w:jc w:val="both"/>
        <w:ind w:right="4099"/>
        <w:spacing w:after="0" w:line="258" w:lineRule="auto"/>
        <w:rPr>
          <w:sz w:val="20"/>
          <w:szCs w:val="20"/>
          <w:color w:val="auto"/>
        </w:rPr>
      </w:pPr>
      <w:r>
        <w:rPr>
          <w:rFonts w:ascii="Times New Roman" w:cs="Times New Roman" w:eastAsia="Times New Roman" w:hAnsi="Times New Roman"/>
          <w:sz w:val="14"/>
          <w:szCs w:val="14"/>
          <w:color w:val="auto"/>
        </w:rPr>
        <w:t>This discussion is based on current provisions of the Internal Revenue Code of 1986, as amended,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19"/>
        <w:spacing w:after="0" w:line="258" w:lineRule="auto"/>
        <w:rPr>
          <w:sz w:val="20"/>
          <w:szCs w:val="20"/>
          <w:color w:val="auto"/>
        </w:rPr>
      </w:pPr>
      <w:r>
        <w:rPr>
          <w:rFonts w:ascii="Times New Roman" w:cs="Times New Roman" w:eastAsia="Times New Roman" w:hAnsi="Times New Roman"/>
          <w:sz w:val="14"/>
          <w:szCs w:val="14"/>
          <w:color w:val="auto"/>
        </w:rPr>
        <w:t>to any particular shareholder based upon such shareholder's individual circumstances. In particular, this discussion considers only U.S. Holders that will own ordinary shares as capital assets and does not address the potential application of the alternative minimum tax or the United States federal income tax consequences to U.S. Holders that are subject to special treatment, including U.S. Holders that:</w:t>
      </w:r>
    </w:p>
    <w:p>
      <w:pPr>
        <w:spacing w:after="0" w:line="141" w:lineRule="exact"/>
        <w:rPr>
          <w:sz w:val="20"/>
          <w:szCs w:val="20"/>
          <w:color w:val="auto"/>
        </w:rPr>
      </w:pPr>
    </w:p>
    <w:p>
      <w:pPr>
        <w:ind w:left="400" w:hanging="261"/>
        <w:spacing w:after="0"/>
        <w:tabs>
          <w:tab w:leader="none" w:pos="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broker-dealers or insurance companies;</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elected mark-to-market accounting;</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financial institutions or "financial services entities";</w:t>
      </w:r>
    </w:p>
    <w:p>
      <w:pPr>
        <w:spacing w:after="0" w:line="172" w:lineRule="exact"/>
        <w:rPr>
          <w:rFonts w:ascii="Times New Roman" w:cs="Times New Roman" w:eastAsia="Times New Roman" w:hAnsi="Times New Roman"/>
          <w:sz w:val="14"/>
          <w:szCs w:val="14"/>
          <w:color w:val="auto"/>
        </w:rPr>
      </w:pPr>
    </w:p>
    <w:p>
      <w:pPr>
        <w:ind w:left="400" w:right="4579" w:hanging="261"/>
        <w:spacing w:after="0" w:line="279" w:lineRule="auto"/>
        <w:tabs>
          <w:tab w:leader="none" w:pos="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our ordinary shares as part of a "straddle," "hedge" or "conversion transaction" with other investments;</w:t>
      </w:r>
    </w:p>
    <w:p>
      <w:pPr>
        <w:spacing w:after="0" w:line="125"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 directly, indirectly or by attribution at least 10% of our voting power; or</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a functional currency that is not the U.S. dollar.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this discussion does not address any aspect of state, local or non-U.S. tax laws.</w:t>
      </w:r>
    </w:p>
    <w:p>
      <w:pPr>
        <w:sectPr>
          <w:pgSz w:w="11900" w:h="16840" w:orient="portrait"/>
          <w:cols w:equalWidth="0" w:num="1">
            <w:col w:w="10239"/>
          </w:cols>
          <w:pgMar w:left="220" w:top="208" w:right="1440" w:bottom="0" w:gutter="0" w:footer="0" w:header="0"/>
        </w:sectPr>
      </w:pPr>
    </w:p>
    <w:bookmarkStart w:id="38" w:name="page39"/>
    <w:bookmarkEnd w:id="38"/>
    <w:p>
      <w:pPr>
        <w:ind w:right="4019"/>
        <w:spacing w:after="0" w:line="263" w:lineRule="auto"/>
        <w:rPr>
          <w:sz w:val="20"/>
          <w:szCs w:val="20"/>
          <w:color w:val="auto"/>
        </w:rPr>
      </w:pPr>
      <w:r>
        <w:rPr>
          <w:rFonts w:ascii="Times New Roman" w:cs="Times New Roman" w:eastAsia="Times New Roman" w:hAnsi="Times New Roman"/>
          <w:sz w:val="14"/>
          <w:szCs w:val="14"/>
          <w:color w:val="auto"/>
        </w:rPr>
        <w:t>Additionally, the discussion does not consider the tax treatment of partnerships or persons who hold ordinary shares through a partnership or other pass-through entity or the possible application of United States federal gift or estate taxes.</w:t>
      </w:r>
    </w:p>
    <w:p>
      <w:pPr>
        <w:spacing w:after="0" w:line="52" w:lineRule="exact"/>
        <w:rPr>
          <w:sz w:val="20"/>
          <w:szCs w:val="20"/>
          <w:color w:val="auto"/>
        </w:rPr>
      </w:pPr>
    </w:p>
    <w:p>
      <w:pPr>
        <w:ind w:right="4099"/>
        <w:spacing w:after="0" w:line="282" w:lineRule="auto"/>
        <w:rPr>
          <w:sz w:val="20"/>
          <w:szCs w:val="20"/>
          <w:color w:val="auto"/>
        </w:rPr>
      </w:pPr>
      <w:r>
        <w:rPr>
          <w:rFonts w:ascii="Times New Roman" w:cs="Times New Roman" w:eastAsia="Times New Roman" w:hAnsi="Times New Roman"/>
          <w:sz w:val="14"/>
          <w:szCs w:val="14"/>
          <w:b w:val="1"/>
          <w:bCs w:val="1"/>
          <w:color w:val="auto"/>
        </w:rPr>
        <w:t>Each prospective investor is advised to consult his or her own tax advisor with respect to the specific tax consequences of purchasing, holding or disposing of our ordinary shares.</w:t>
      </w:r>
    </w:p>
    <w:p>
      <w:pPr>
        <w:spacing w:after="0" w:line="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Taxation of Distributions</w:t>
      </w:r>
    </w:p>
    <w:p>
      <w:pPr>
        <w:spacing w:after="0" w:line="80" w:lineRule="exact"/>
        <w:rPr>
          <w:sz w:val="20"/>
          <w:szCs w:val="20"/>
          <w:color w:val="auto"/>
        </w:rPr>
      </w:pPr>
    </w:p>
    <w:p>
      <w:pPr>
        <w:ind w:right="3999"/>
        <w:spacing w:after="0" w:line="279" w:lineRule="auto"/>
        <w:rPr>
          <w:sz w:val="20"/>
          <w:szCs w:val="20"/>
          <w:color w:val="auto"/>
        </w:rPr>
      </w:pPr>
      <w:r>
        <w:rPr>
          <w:rFonts w:ascii="Times New Roman" w:cs="Times New Roman" w:eastAsia="Times New Roman" w:hAnsi="Times New Roman"/>
          <w:sz w:val="14"/>
          <w:szCs w:val="14"/>
          <w:color w:val="auto"/>
        </w:rPr>
        <w:t>This discussion of the U.S. tax treatment of distributions is qualified by the discussion below of special tax rules that will apply if we are a "PFIC," as defined below.</w:t>
      </w:r>
    </w:p>
    <w:p>
      <w:pPr>
        <w:spacing w:after="0" w:line="42" w:lineRule="exact"/>
        <w:rPr>
          <w:sz w:val="20"/>
          <w:szCs w:val="20"/>
          <w:color w:val="auto"/>
        </w:rPr>
      </w:pPr>
    </w:p>
    <w:p>
      <w:pPr>
        <w:ind w:right="3899"/>
        <w:spacing w:after="0" w:line="253" w:lineRule="auto"/>
        <w:rPr>
          <w:sz w:val="20"/>
          <w:szCs w:val="20"/>
          <w:color w:val="auto"/>
        </w:rPr>
      </w:pPr>
      <w:r>
        <w:rPr>
          <w:rFonts w:ascii="Times New Roman" w:cs="Times New Roman" w:eastAsia="Times New Roman" w:hAnsi="Times New Roman"/>
          <w:sz w:val="14"/>
          <w:szCs w:val="14"/>
          <w:color w:val="auto"/>
        </w:rPr>
        <w:t>Distributions on our ordinary shares (including the amount of any Israeli taxes withheld therefrom) will be treated as dividends to the extent paid out of our current or accumulated earnings and profits, as determined for U.S. federal income tax purposes. To the extent that the amount of any distribution on our ordinary shares (including the amount of any Israeli taxes withheld therefrom) exceeds the current and accumulated earnings and profits allocable to such share, the excess will be treated as (1) a tax-free return of capital to extent of the U.S. Holder's tax basis in such ordinary share, and (2) capital gain from the disposition of such share, to extent of any excess over such tax basis.</w:t>
      </w:r>
    </w:p>
    <w:p>
      <w:pPr>
        <w:spacing w:after="0" w:line="61" w:lineRule="exact"/>
        <w:rPr>
          <w:sz w:val="20"/>
          <w:szCs w:val="20"/>
          <w:color w:val="auto"/>
        </w:rPr>
      </w:pPr>
    </w:p>
    <w:p>
      <w:pPr>
        <w:ind w:right="3919"/>
        <w:spacing w:after="0" w:line="253" w:lineRule="auto"/>
        <w:rPr>
          <w:sz w:val="20"/>
          <w:szCs w:val="20"/>
          <w:color w:val="auto"/>
        </w:rPr>
      </w:pPr>
      <w:r>
        <w:rPr>
          <w:rFonts w:ascii="Times New Roman" w:cs="Times New Roman" w:eastAsia="Times New Roman" w:hAnsi="Times New Roman"/>
          <w:sz w:val="14"/>
          <w:szCs w:val="14"/>
          <w:color w:val="auto"/>
        </w:rPr>
        <w:t>Under current law, dividends received by a noncorporate U.S. Holder from a qualified foreign corporation on or prior to December 31, 2008, generally are taxed at a maximum U.S. federal income tax rate of 15% if the U.S. Holder satisfies a holding period requirement. In general, the holding period requirement will be satisfied if a U.S. Holder holds our ordinary shares for more than 60 days during the 120-day period beginning on the date that is 60 days before the date on which the shares become ex-dividend. For this purpose, a U.S. Holder's holding period will not include any period during which the U.S. Holder's risk of loss with respect to our ordinary shares is reduced (for example, because the U.S. Holder has an option to sell our ordinary shares).</w:t>
      </w:r>
    </w:p>
    <w:p>
      <w:pPr>
        <w:spacing w:after="0" w:line="61" w:lineRule="exact"/>
        <w:rPr>
          <w:sz w:val="20"/>
          <w:szCs w:val="20"/>
          <w:color w:val="auto"/>
        </w:rPr>
      </w:pPr>
    </w:p>
    <w:p>
      <w:pPr>
        <w:ind w:right="3899"/>
        <w:spacing w:after="0" w:line="252" w:lineRule="auto"/>
        <w:rPr>
          <w:sz w:val="20"/>
          <w:szCs w:val="20"/>
          <w:color w:val="auto"/>
        </w:rPr>
      </w:pPr>
      <w:r>
        <w:rPr>
          <w:rFonts w:ascii="Times New Roman" w:cs="Times New Roman" w:eastAsia="Times New Roman" w:hAnsi="Times New Roman"/>
          <w:sz w:val="14"/>
          <w:szCs w:val="14"/>
          <w:color w:val="auto"/>
        </w:rPr>
        <w:t>A foreign corporation generally is treated as a qualified foreign corporation (whose dividends may qualify for the 15% maximum rate discussed above) with respect to any dividend paid with respect to stock that is readily tradable on an established securities market in the United States. Stock that is listed on Nasdaq is considered to be readily tradable on such a market. Our ordinary shares are listed on Nasdaq and, therefore, subject to the discussion in the next paragraph, we presently are a qualified foreign corporation with respect to dividends paid on our ordinary shares. We anticipate that we will continue to be a qualified foreign corporation, because we anticipate that we will continue to be listed on Nasdaq, but no assurance can be given that we will continue to be so listed.</w:t>
      </w:r>
    </w:p>
    <w:p>
      <w:pPr>
        <w:spacing w:after="0" w:line="63" w:lineRule="exact"/>
        <w:rPr>
          <w:sz w:val="20"/>
          <w:szCs w:val="20"/>
          <w:color w:val="auto"/>
        </w:rPr>
      </w:pPr>
    </w:p>
    <w:p>
      <w:pPr>
        <w:ind w:right="4019"/>
        <w:spacing w:after="0" w:line="258" w:lineRule="auto"/>
        <w:rPr>
          <w:sz w:val="20"/>
          <w:szCs w:val="20"/>
          <w:color w:val="auto"/>
        </w:rPr>
      </w:pPr>
      <w:r>
        <w:rPr>
          <w:rFonts w:ascii="Times New Roman" w:cs="Times New Roman" w:eastAsia="Times New Roman" w:hAnsi="Times New Roman"/>
          <w:sz w:val="14"/>
          <w:szCs w:val="14"/>
          <w:color w:val="auto"/>
        </w:rPr>
        <w:t>A foreign corporation will not be considered a qualified foreign corporation, however, if it is a PFIC (as defined below) or a foreign personal holding company. As discussed below, we do not believe that we are a PFIC or a foreign personal holding company, but no assurance can be given that we are not, or that we will not become in the future, a PFIC or foreign personal holding company. If we are</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119"/>
        <w:spacing w:after="0" w:line="319" w:lineRule="auto"/>
        <w:rPr>
          <w:sz w:val="20"/>
          <w:szCs w:val="20"/>
          <w:color w:val="auto"/>
        </w:rPr>
      </w:pPr>
      <w:r>
        <w:rPr>
          <w:rFonts w:ascii="Times New Roman" w:cs="Times New Roman" w:eastAsia="Times New Roman" w:hAnsi="Times New Roman"/>
          <w:sz w:val="13"/>
          <w:szCs w:val="13"/>
          <w:color w:val="auto"/>
        </w:rPr>
        <w:t>determined to be a PFIC or foreign personal holding company, then, in addition to the consequences described below, dividends received with respect to our ordinary shares will not qualify for the 15% maximum rate.</w:t>
      </w:r>
    </w:p>
    <w:p>
      <w:pPr>
        <w:spacing w:after="0" w:line="19" w:lineRule="exact"/>
        <w:rPr>
          <w:sz w:val="20"/>
          <w:szCs w:val="20"/>
          <w:color w:val="auto"/>
        </w:rPr>
      </w:pPr>
    </w:p>
    <w:p>
      <w:pPr>
        <w:ind w:right="3919"/>
        <w:spacing w:after="0" w:line="263" w:lineRule="auto"/>
        <w:rPr>
          <w:sz w:val="20"/>
          <w:szCs w:val="20"/>
          <w:color w:val="auto"/>
        </w:rPr>
      </w:pPr>
      <w:r>
        <w:rPr>
          <w:rFonts w:ascii="Times New Roman" w:cs="Times New Roman" w:eastAsia="Times New Roman" w:hAnsi="Times New Roman"/>
          <w:sz w:val="14"/>
          <w:szCs w:val="14"/>
          <w:color w:val="auto"/>
        </w:rPr>
        <w:t>Under current law, after December 31, 2008, dividends received from a qualified foreign corporation will no longer be taxed at a maximum U.S. federal income tax rate of 15% and will be taxed at the regular rate applicable to ordinary income.</w:t>
      </w:r>
    </w:p>
    <w:p>
      <w:pPr>
        <w:spacing w:after="0" w:line="54" w:lineRule="exact"/>
        <w:rPr>
          <w:sz w:val="20"/>
          <w:szCs w:val="20"/>
          <w:color w:val="auto"/>
        </w:rPr>
      </w:pPr>
    </w:p>
    <w:p>
      <w:pPr>
        <w:ind w:right="4459"/>
        <w:spacing w:after="0" w:line="279" w:lineRule="auto"/>
        <w:rPr>
          <w:sz w:val="20"/>
          <w:szCs w:val="20"/>
          <w:color w:val="auto"/>
        </w:rPr>
      </w:pPr>
      <w:r>
        <w:rPr>
          <w:rFonts w:ascii="Times New Roman" w:cs="Times New Roman" w:eastAsia="Times New Roman" w:hAnsi="Times New Roman"/>
          <w:sz w:val="14"/>
          <w:szCs w:val="14"/>
          <w:color w:val="auto"/>
        </w:rPr>
        <w:t>Distributions on our ordinary shares that are received by a corporate U.S. Holder will not qualify for the "dividends received" deduction.</w:t>
      </w:r>
    </w:p>
    <w:p>
      <w:pPr>
        <w:spacing w:after="0" w:line="42" w:lineRule="exact"/>
        <w:rPr>
          <w:sz w:val="20"/>
          <w:szCs w:val="20"/>
          <w:color w:val="auto"/>
        </w:rPr>
      </w:pPr>
    </w:p>
    <w:p>
      <w:pPr>
        <w:ind w:right="3959"/>
        <w:spacing w:after="0" w:line="254" w:lineRule="auto"/>
        <w:rPr>
          <w:sz w:val="20"/>
          <w:szCs w:val="20"/>
          <w:color w:val="auto"/>
        </w:rPr>
      </w:pPr>
      <w:r>
        <w:rPr>
          <w:rFonts w:ascii="Times New Roman" w:cs="Times New Roman" w:eastAsia="Times New Roman" w:hAnsi="Times New Roman"/>
          <w:sz w:val="14"/>
          <w:szCs w:val="14"/>
          <w:color w:val="auto"/>
        </w:rPr>
        <w:t>Any Israeli taxes withheld from distributions on our ordinary shares generally should be creditable against a U.S. Holder's United States federal income tax liability, subject to complex limitations. Each prospective investor should consult his or her own tax advisor with respect to the operation of the applicable foreign tax credit limitations based upon his or her own particular circumstances. A U.S. Holder who does not elect to claim foreign tax credits generally may deduct foreign income taxes paid or accrued (in accordance with the U.S. Holder's method of accounting) in determining his or her taxable income.</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Taxation of the Disposition of Ordinary Shares</w:t>
      </w:r>
    </w:p>
    <w:p>
      <w:pPr>
        <w:spacing w:after="0" w:line="80" w:lineRule="exact"/>
        <w:rPr>
          <w:sz w:val="20"/>
          <w:szCs w:val="20"/>
          <w:color w:val="auto"/>
        </w:rPr>
      </w:pPr>
    </w:p>
    <w:p>
      <w:pPr>
        <w:ind w:right="3899"/>
        <w:spacing w:after="0" w:line="251" w:lineRule="auto"/>
        <w:rPr>
          <w:sz w:val="20"/>
          <w:szCs w:val="20"/>
          <w:color w:val="auto"/>
        </w:rPr>
      </w:pPr>
      <w:r>
        <w:rPr>
          <w:rFonts w:ascii="Times New Roman" w:cs="Times New Roman" w:eastAsia="Times New Roman" w:hAnsi="Times New Roman"/>
          <w:sz w:val="14"/>
          <w:szCs w:val="14"/>
          <w:color w:val="auto"/>
        </w:rPr>
        <w:t>Subject to the discussion of the passive foreign investment company rules below, upon the sale, exchange or other disposition of our ordinary shares, a U.S. Holder will recognize capital gain or loss in an amount equal to the difference between the U.S. Holder's basis in the ordinary shares, which is usually the U.S. Holder's cost of these shares, and the amount realized on the disposition. Capital gain from the sale, exchange or other disposition of ordinary shares held more than one year will be long-term capital gain. In the case of a U.S. Holder that is an individual, estate or trust, long-term capital gains are taxed at a maximum rate of 15% under current law. Under current law, after December 31, 2008, however, this maximum rate will be 20%. Gain or loss recognized by a U.S. Holder on a sale, exchange or other disposition of ordinary shares generally will be treated as U.S. source income or loss for U.S. foreign tax credit purposes. The U.S. foreign tax credit rules are complex and subject to limitations. U.S. Holders should consult their own tax advisors with respect to the amount of foreign taxes that may be claimed as a credit. The deductibility of capital losses is subject to limitations.</w:t>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Tax Consequences if We are a Passive Foreign Investment Company</w:t>
      </w:r>
    </w:p>
    <w:p>
      <w:pPr>
        <w:spacing w:after="0" w:line="80" w:lineRule="exact"/>
        <w:rPr>
          <w:sz w:val="20"/>
          <w:szCs w:val="20"/>
          <w:color w:val="auto"/>
        </w:rPr>
      </w:pPr>
    </w:p>
    <w:p>
      <w:pPr>
        <w:ind w:right="3939"/>
        <w:spacing w:after="0" w:line="273" w:lineRule="auto"/>
        <w:rPr>
          <w:sz w:val="20"/>
          <w:szCs w:val="20"/>
          <w:color w:val="auto"/>
        </w:rPr>
      </w:pPr>
      <w:r>
        <w:rPr>
          <w:rFonts w:ascii="Times New Roman" w:cs="Times New Roman" w:eastAsia="Times New Roman" w:hAnsi="Times New Roman"/>
          <w:sz w:val="13"/>
          <w:szCs w:val="13"/>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and including our pro rata share of the assets of any company in which we are considered to own, directly or indirectly, 25% or more of the shares by value, are held for the production of, or produce, passive income. Passive income includes amounts derived by reason of the temporary investment of funds raised in our public offering. If we were to be a PFIC, and a U.S. Holder does not make an election to treat us as a "qualified electing fund" (described below) or a "mark to market" election (described below):</w:t>
      </w:r>
    </w:p>
    <w:p>
      <w:pPr>
        <w:spacing w:after="0" w:line="135" w:lineRule="exact"/>
        <w:rPr>
          <w:sz w:val="20"/>
          <w:szCs w:val="20"/>
          <w:color w:val="auto"/>
        </w:rPr>
      </w:pPr>
    </w:p>
    <w:p>
      <w:pPr>
        <w:ind w:left="400" w:right="4339" w:hanging="261"/>
        <w:spacing w:after="0" w:line="251" w:lineRule="auto"/>
        <w:tabs>
          <w:tab w:leader="none" w:pos="4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Excess distributions by us to a U.S. Holder would be taxed in a special way. "Excess distributions" are amounts received by a U.S. Holder with respect to our stock in any taxable year that exceed 125% of the average distributions received by a U.S. Holder from us in the shorter of either the three previous years or the U.S. Holder's holding period for ordinary shares before the present taxable year. This amount may exceed our current or accumulated earnings and profits. Excess distributions must be allocated ratably to each day that a U.S. Holder has held our shares. A U.S. Holder must include amounts allocated to the current taxable year in its gross income as ordinary income for that year. A U.S. Holder must pay tax on amounts allocated to each prior taxable year (other than any year prior to the first year in which we were a PFIC) at the highest rate in effect for that year on ordinary income and the tax is subject to an interest charge at the rate applicable to deficiencies for income tax.</w:t>
      </w:r>
    </w:p>
    <w:p>
      <w:pPr>
        <w:sectPr>
          <w:pgSz w:w="11900" w:h="16838" w:orient="portrait"/>
          <w:cols w:equalWidth="0" w:num="1">
            <w:col w:w="10239"/>
          </w:cols>
          <w:pgMar w:left="220" w:top="208" w:right="1440" w:bottom="0" w:gutter="0" w:footer="0" w:header="0"/>
        </w:sectPr>
      </w:pPr>
    </w:p>
    <w:p>
      <w:pPr>
        <w:spacing w:after="0" w:line="19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239"/>
          </w:cols>
          <w:pgMar w:left="220" w:top="208" w:right="1440" w:bottom="0" w:gutter="0" w:footer="0" w:header="0"/>
          <w:type w:val="continuous"/>
        </w:sectPr>
      </w:pPr>
    </w:p>
    <w:bookmarkStart w:id="39" w:name="page40"/>
    <w:bookmarkEnd w:id="39"/>
    <w:p>
      <w:pPr>
        <w:ind w:left="400" w:right="4359" w:hanging="261"/>
        <w:spacing w:after="0" w:line="263" w:lineRule="auto"/>
        <w:tabs>
          <w:tab w:leader="none" w:pos="4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128905</wp:posOffset>
            </wp:positionH>
            <wp:positionV relativeFrom="page">
              <wp:posOffset>88900</wp:posOffset>
            </wp:positionV>
            <wp:extent cx="5062220" cy="260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5062220" cy="26035"/>
                    </a:xfrm>
                    <a:prstGeom prst="rect">
                      <a:avLst/>
                    </a:prstGeom>
                    <a:noFill/>
                  </pic:spPr>
                </pic:pic>
              </a:graphicData>
            </a:graphic>
          </wp:anchor>
        </w:drawing>
        <w:t>The entire amount of gain that realized by a U.S. Holder upon the sale or other disposition of ordinary shares will also be treated as an excess distribution and will be subject to tax as described above.</w:t>
      </w:r>
    </w:p>
    <w:p>
      <w:pPr>
        <w:spacing w:after="0" w:line="137" w:lineRule="exact"/>
        <w:rPr>
          <w:rFonts w:ascii="Times New Roman" w:cs="Times New Roman" w:eastAsia="Times New Roman" w:hAnsi="Times New Roman"/>
          <w:sz w:val="14"/>
          <w:szCs w:val="14"/>
          <w:color w:val="auto"/>
        </w:rPr>
      </w:pPr>
    </w:p>
    <w:p>
      <w:pPr>
        <w:ind w:left="400" w:right="4399" w:hanging="261"/>
        <w:spacing w:after="0" w:line="263" w:lineRule="auto"/>
        <w:tabs>
          <w:tab w:leader="none" w:pos="4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U.S. Holder's tax basis in shares of our stock that were acquired from a decedent who was a U.S. Holder would not receive a step-up to fair market value as of the date of the decedent's death but would instead be equal to the decedent's basis, if lower.</w:t>
      </w:r>
    </w:p>
    <w:p>
      <w:pPr>
        <w:spacing w:after="0" w:line="137" w:lineRule="exact"/>
        <w:rPr>
          <w:rFonts w:ascii="Times New Roman" w:cs="Times New Roman" w:eastAsia="Times New Roman" w:hAnsi="Times New Roman"/>
          <w:sz w:val="14"/>
          <w:szCs w:val="14"/>
          <w:color w:val="auto"/>
        </w:rPr>
      </w:pPr>
    </w:p>
    <w:p>
      <w:pPr>
        <w:ind w:left="400" w:right="4459" w:hanging="261"/>
        <w:spacing w:after="0" w:line="254" w:lineRule="auto"/>
        <w:tabs>
          <w:tab w:leader="none" w:pos="4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were a PFIC, and any foreign subsidiary or other foreign company in which we own shares were also a PFIC, then a U.S. Holder of our shares would also be treated as owning shares of the "lower-tier PFIC." For purposes of the above-described rules relating to dispositions of PFIC shares, certain proposed regulations generally would treat any transaction that reduces a U.S. Holder's proportionate interest in a lower-tier PFIC as a disposition of shares of such lower-tier PFIC.</w:t>
      </w:r>
    </w:p>
    <w:p>
      <w:pPr>
        <w:spacing w:after="0" w:line="144" w:lineRule="exact"/>
        <w:rPr>
          <w:sz w:val="20"/>
          <w:szCs w:val="20"/>
          <w:color w:val="auto"/>
        </w:rPr>
      </w:pPr>
    </w:p>
    <w:p>
      <w:pPr>
        <w:ind w:right="3919"/>
        <w:spacing w:after="0" w:line="250" w:lineRule="auto"/>
        <w:rPr>
          <w:sz w:val="20"/>
          <w:szCs w:val="20"/>
          <w:color w:val="auto"/>
        </w:rPr>
      </w:pPr>
      <w:r>
        <w:rPr>
          <w:rFonts w:ascii="Times New Roman" w:cs="Times New Roman" w:eastAsia="Times New Roman" w:hAnsi="Times New Roman"/>
          <w:sz w:val="14"/>
          <w:szCs w:val="14"/>
          <w:color w:val="auto"/>
        </w:rPr>
        <w:t>The special PFIC rules described above will not apply to a U.S. Holder if the U.S. Holder makes an election to treat us as a "qualified electing fund", or QEF, in the first taxable year in which the U.S. Holder owns (or is considered to own) ordinary shares and if we comply with applicable reporting requirements; a late (retroactive) election may be made in certain limited circumstances.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a QEF election in the event we are classified as PFIC. The QEF election is made on a shareholder-by-shareholder basis and can be revoked only with the consent of the Internal Revenue Service, or IRS. A shareholder makes a QEF election by attaching a completed IRS Form 8621, including the "PFIC annual information statement," to a timely filed United States federal income tax return, or, if no United States federal income tax return is required to be filed, by filing this form with the IRS Service Center in Philadelphia, Pennsylvania. Even if a QEF election is not made, a shareholder in a PFIC who is a U.S. person must file a completed IRS Form 8621 every year.</w:t>
      </w:r>
    </w:p>
    <w:p>
      <w:pPr>
        <w:spacing w:after="0" w:line="66" w:lineRule="exact"/>
        <w:rPr>
          <w:sz w:val="20"/>
          <w:szCs w:val="20"/>
          <w:color w:val="auto"/>
        </w:rPr>
      </w:pPr>
    </w:p>
    <w:p>
      <w:pPr>
        <w:ind w:right="3939"/>
        <w:spacing w:after="0" w:line="256" w:lineRule="auto"/>
        <w:rPr>
          <w:sz w:val="20"/>
          <w:szCs w:val="20"/>
          <w:color w:val="auto"/>
        </w:rPr>
      </w:pPr>
      <w:r>
        <w:rPr>
          <w:rFonts w:ascii="Times New Roman" w:cs="Times New Roman" w:eastAsia="Times New Roman" w:hAnsi="Times New Roman"/>
          <w:sz w:val="14"/>
          <w:szCs w:val="14"/>
          <w:color w:val="auto"/>
        </w:rPr>
        <w:t>A U.S. Holder of ordinary shares may avoid application of the PFIC rules to shares of a lower-tier PFIC by making a separate QEF election for shares of the lower-tier PFIC for the first taxable year in which the U.S. Holder is considered to own shares of the lower-tier PFIC; this election may only be made, however, if the lower-tier PFIC agrees to comply with certain reporting requirements. A QEF election with respect to our shares does not constitute an election with respect to any lower-tier PFIC.</w:t>
      </w:r>
    </w:p>
    <w:p>
      <w:pPr>
        <w:spacing w:after="0" w:line="57" w:lineRule="exact"/>
        <w:rPr>
          <w:sz w:val="20"/>
          <w:szCs w:val="20"/>
          <w:color w:val="auto"/>
        </w:rPr>
      </w:pPr>
    </w:p>
    <w:p>
      <w:pPr>
        <w:ind w:right="3919"/>
        <w:spacing w:after="0" w:line="254" w:lineRule="auto"/>
        <w:rPr>
          <w:sz w:val="20"/>
          <w:szCs w:val="20"/>
          <w:color w:val="auto"/>
        </w:rPr>
      </w:pPr>
      <w:r>
        <w:rPr>
          <w:rFonts w:ascii="Times New Roman" w:cs="Times New Roman" w:eastAsia="Times New Roman" w:hAnsi="Times New Roman"/>
          <w:sz w:val="14"/>
          <w:szCs w:val="14"/>
          <w:color w:val="auto"/>
        </w:rPr>
        <w:t>A U.S. Holder of PFIC stock which is publicly traded may elect to mark the stock to market annually, recognizing as ordinary income or loss each year an amount equal to the difference as of the close of the taxable year between the fair market value of the PFIC stock and the U.S. Holder's adjusted tax basis in the PFIC stock. Losses would be allowed only to the extent of net mark-to-market gain previously included by the U.S. Holder under the election for prior taxable years. If the mark-to-market election were made, then the rules set forth above would not apply for periods covered by the election.</w:t>
      </w:r>
    </w:p>
    <w:p>
      <w:pPr>
        <w:spacing w:after="0" w:line="60" w:lineRule="exact"/>
        <w:rPr>
          <w:sz w:val="20"/>
          <w:szCs w:val="20"/>
          <w:color w:val="auto"/>
        </w:rPr>
      </w:pPr>
    </w:p>
    <w:p>
      <w:pPr>
        <w:ind w:right="3959"/>
        <w:spacing w:after="0" w:line="251" w:lineRule="auto"/>
        <w:rPr>
          <w:sz w:val="20"/>
          <w:szCs w:val="20"/>
          <w:color w:val="auto"/>
        </w:rPr>
      </w:pPr>
      <w:r>
        <w:rPr>
          <w:rFonts w:ascii="Times New Roman" w:cs="Times New Roman" w:eastAsia="Times New Roman" w:hAnsi="Times New Roman"/>
          <w:sz w:val="14"/>
          <w:szCs w:val="14"/>
          <w:color w:val="auto"/>
        </w:rPr>
        <w:t>We do not believe that we currently are a PFIC. We have not obtained an opinion of counsel confirming this conclusion because it is unclear how the relevant regulations would apply in our circumstances. However, our belief that we are not a PFIC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 Accordingly, no assurance can be given that we are not a PFIC or that we will not become a PFIC in the future. If we determine that we have become a PFIC, we will notify our U.S. Holders and provide them with the information necessary to comply with the QEF rules. U.S. Holders who hold ordinary shares during a period when we are a PFIC will be subject to the foregoing rules, even if we cease to be a PFIC, subject to exceptions for U.S. Holders who made a timely QEF or mark-to-market election. U.S.</w:t>
      </w:r>
    </w:p>
    <w:p>
      <w:pPr>
        <w:spacing w:after="0" w:line="19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139"/>
        <w:spacing w:after="0" w:line="263" w:lineRule="auto"/>
        <w:rPr>
          <w:sz w:val="20"/>
          <w:szCs w:val="20"/>
          <w:color w:val="auto"/>
        </w:rPr>
      </w:pPr>
      <w:r>
        <w:rPr>
          <w:rFonts w:ascii="Times New Roman" w:cs="Times New Roman" w:eastAsia="Times New Roman" w:hAnsi="Times New Roman"/>
          <w:sz w:val="14"/>
          <w:szCs w:val="14"/>
          <w:color w:val="auto"/>
        </w:rPr>
        <w:t>Holders are urged to consult their tax advisors about the PFIC rules, including the consequences to them of making a mark-to-market or QEF election with respect to our ordinary shares in the event that we qualify as a PFIC.</w:t>
      </w:r>
    </w:p>
    <w:p>
      <w:pPr>
        <w:spacing w:after="0" w:line="54" w:lineRule="exact"/>
        <w:rPr>
          <w:sz w:val="20"/>
          <w:szCs w:val="20"/>
          <w:color w:val="auto"/>
        </w:rPr>
      </w:pPr>
    </w:p>
    <w:p>
      <w:pPr>
        <w:jc w:val="both"/>
        <w:ind w:right="4059"/>
        <w:spacing w:after="0" w:line="263" w:lineRule="auto"/>
        <w:rPr>
          <w:sz w:val="20"/>
          <w:szCs w:val="20"/>
          <w:color w:val="auto"/>
        </w:rPr>
      </w:pPr>
      <w:r>
        <w:rPr>
          <w:rFonts w:ascii="Times New Roman" w:cs="Times New Roman" w:eastAsia="Times New Roman" w:hAnsi="Times New Roman"/>
          <w:sz w:val="14"/>
          <w:szCs w:val="14"/>
          <w:color w:val="auto"/>
        </w:rPr>
        <w:t>Similarly, U.S. Holders of our shares would be subject to adverse tax consequences if we or any of our foreign corporate subsidiaries were classified as a foreign personal holding company. However, Tower does not believe that it or any of its subsidiaries currently is, or in the future is likely to be, so classified.</w:t>
      </w:r>
    </w:p>
    <w:p>
      <w:pPr>
        <w:spacing w:after="0" w:line="18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Conditions in Israel</w:t>
      </w:r>
    </w:p>
    <w:p>
      <w:pPr>
        <w:spacing w:after="0" w:line="91" w:lineRule="exact"/>
        <w:rPr>
          <w:sz w:val="20"/>
          <w:szCs w:val="20"/>
          <w:color w:val="auto"/>
        </w:rPr>
      </w:pPr>
    </w:p>
    <w:p>
      <w:pPr>
        <w:ind w:right="3999"/>
        <w:spacing w:after="0" w:line="258" w:lineRule="auto"/>
        <w:rPr>
          <w:sz w:val="20"/>
          <w:szCs w:val="20"/>
          <w:color w:val="auto"/>
        </w:rPr>
      </w:pPr>
      <w:r>
        <w:rPr>
          <w:rFonts w:ascii="Times New Roman" w:cs="Times New Roman" w:eastAsia="Times New Roman" w:hAnsi="Times New Roman"/>
          <w:sz w:val="14"/>
          <w:szCs w:val="14"/>
          <w:color w:val="auto"/>
        </w:rPr>
        <w:t>We are incorporated under the laws of, and our principal offices, manufacturing and research and development facilities are located in, the State of Israel. Accordingly, we are directly affected by economic, political and military conditions in Israel. Our operations would be materially adversely affected if major hostilities involving Israel arise or if trade between Israel and its present trading partners is curtailed.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Political Conditions</w:t>
      </w:r>
    </w:p>
    <w:p>
      <w:pPr>
        <w:spacing w:after="0" w:line="91" w:lineRule="exact"/>
        <w:rPr>
          <w:sz w:val="20"/>
          <w:szCs w:val="20"/>
          <w:color w:val="auto"/>
        </w:rPr>
      </w:pPr>
    </w:p>
    <w:p>
      <w:pPr>
        <w:ind w:right="3939"/>
        <w:spacing w:after="0" w:line="271" w:lineRule="auto"/>
        <w:rPr>
          <w:sz w:val="20"/>
          <w:szCs w:val="20"/>
          <w:color w:val="auto"/>
        </w:rPr>
      </w:pPr>
      <w:r>
        <w:rPr>
          <w:rFonts w:ascii="Times New Roman" w:cs="Times New Roman" w:eastAsia="Times New Roman" w:hAnsi="Times New Roman"/>
          <w:sz w:val="13"/>
          <w:szCs w:val="13"/>
          <w:color w:val="auto"/>
        </w:rPr>
        <w:t>Since the establishment of the State of Israel in 1948, a number of armed conflicts have taken place between Israel and its Arab neighbors, and a state of hostility, varying from time to time in intensity and degree, has led to security and economic problems for Israel. Additionally, from time to time since December 1987, Israel has experienced civil unrest, primarily in the West Bank and Gaza Strip territories administered by Israel since 1967. Although Israel has entered into various agreements with Egypt, Jordan and the Palestinian Authority, there has been an increase in unrest and terrorist activity which began in September 2000 and which has continued with varying levels of severity into 2003.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contracts claiming that they are not obligated to perform their commitments under those agreements pursuant to force majeure provisions. We do not believe that the political and security situation has had any material impact on our business to date; however, we can give no assurance that security and political conditions will have no such effect in the future. Any hostilities involving Israel or the interruption or curtailment of trade between Israel and its present trading partners could adversely affect our operations and could make it more difficult for us to</w:t>
      </w:r>
    </w:p>
    <w:p>
      <w:pPr>
        <w:sectPr>
          <w:pgSz w:w="11900" w:h="16838" w:orient="portrait"/>
          <w:cols w:equalWidth="0" w:num="1">
            <w:col w:w="10239"/>
          </w:cols>
          <w:pgMar w:left="220" w:top="500" w:right="1440" w:bottom="0" w:gutter="0" w:footer="0" w:header="0"/>
        </w:sectPr>
      </w:pPr>
    </w:p>
    <w:bookmarkStart w:id="40" w:name="page41"/>
    <w:bookmarkEnd w:id="40"/>
    <w:p>
      <w:pPr>
        <w:spacing w:after="0" w:line="87" w:lineRule="exact"/>
        <w:rPr>
          <w:sz w:val="20"/>
          <w:szCs w:val="20"/>
          <w:color w:val="auto"/>
        </w:rPr>
      </w:pPr>
    </w:p>
    <w:p>
      <w:pPr>
        <w:ind w:right="4019"/>
        <w:spacing w:after="0" w:line="254" w:lineRule="auto"/>
        <w:rPr>
          <w:sz w:val="20"/>
          <w:szCs w:val="20"/>
          <w:color w:val="auto"/>
        </w:rPr>
      </w:pPr>
      <w:r>
        <w:rPr>
          <w:rFonts w:ascii="Times New Roman" w:cs="Times New Roman" w:eastAsia="Times New Roman" w:hAnsi="Times New Roman"/>
          <w:sz w:val="14"/>
          <w:szCs w:val="14"/>
          <w:color w:val="auto"/>
        </w:rPr>
        <w:t>raise capital. Furthermore, our manufacturing facilities are located exclusively in Israel, which is currently experiencing civil unrest, terrorist activity and military action. Since we do not have a detailed disaster recovery plan that would allow us to quickly resume manufacturing, we could experience serious disruption of our business if acts associated with this conflict result in any serious damage to our manufacturing facility. Our business interruption insurance may not adequately compensate us for losses that may occur and any losses or damages incurred by us could have a material adverse effect on our business.</w:t>
      </w:r>
    </w:p>
    <w:p>
      <w:pPr>
        <w:spacing w:after="0" w:line="60" w:lineRule="exact"/>
        <w:rPr>
          <w:sz w:val="20"/>
          <w:szCs w:val="20"/>
          <w:color w:val="auto"/>
        </w:rPr>
      </w:pPr>
    </w:p>
    <w:p>
      <w:pPr>
        <w:ind w:right="3919"/>
        <w:spacing w:after="0" w:line="256" w:lineRule="auto"/>
        <w:rPr>
          <w:sz w:val="20"/>
          <w:szCs w:val="20"/>
          <w:color w:val="auto"/>
        </w:rPr>
      </w:pPr>
      <w:r>
        <w:rPr>
          <w:rFonts w:ascii="Times New Roman" w:cs="Times New Roman" w:eastAsia="Times New Roman" w:hAnsi="Times New Roman"/>
          <w:sz w:val="14"/>
          <w:szCs w:val="14"/>
          <w:color w:val="auto"/>
        </w:rPr>
        <w:t>Some countries, companies and organizations continue to participate in a boycott of Israeli firms and others doing business in Israel or with Israeli companies. Although we are precluded from marketing our products to these countries, we believe that in the past the boycott has not had a material adverse effect on us. There can be no assurance that restrictive laws, policies or practices directed towards Israel or Israeli businesses will not have an adverse impact on the expansion of our business.</w:t>
      </w:r>
    </w:p>
    <w:p>
      <w:pPr>
        <w:spacing w:after="0" w:line="57" w:lineRule="exact"/>
        <w:rPr>
          <w:sz w:val="20"/>
          <w:szCs w:val="20"/>
          <w:color w:val="auto"/>
        </w:rPr>
      </w:pPr>
    </w:p>
    <w:p>
      <w:pPr>
        <w:ind w:right="4019"/>
        <w:spacing w:after="0" w:line="253" w:lineRule="auto"/>
        <w:rPr>
          <w:sz w:val="20"/>
          <w:szCs w:val="20"/>
          <w:color w:val="auto"/>
        </w:rPr>
      </w:pPr>
      <w:r>
        <w:rPr>
          <w:rFonts w:ascii="Times New Roman" w:cs="Times New Roman" w:eastAsia="Times New Roman" w:hAnsi="Times New Roman"/>
          <w:sz w:val="14"/>
          <w:szCs w:val="14"/>
          <w:color w:val="auto"/>
        </w:rPr>
        <w:t>Generally, all male adult citizens and permanent residents of Israel under the age of 48 are, unless exempt, obligated to perform up to 35 days of military reserve duty annually. Additionally, all residents of this age are subject to being called to active duty at any time under emergency circumstances. Most of our male officers and employees are currently obligated to perform annual reserve duty. Although we have operated effectively under these requirements, we cannot assess the full impact of these requirements on our workforce or business if conditions should change, and no prediction can be made as to the effect on us of any expansion of these obligations.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Economic Conditions</w:t>
      </w:r>
    </w:p>
    <w:p>
      <w:pPr>
        <w:spacing w:after="0" w:line="91" w:lineRule="exact"/>
        <w:rPr>
          <w:sz w:val="20"/>
          <w:szCs w:val="20"/>
          <w:color w:val="auto"/>
        </w:rPr>
      </w:pPr>
    </w:p>
    <w:p>
      <w:pPr>
        <w:ind w:right="3919"/>
        <w:spacing w:after="0" w:line="254" w:lineRule="auto"/>
        <w:rPr>
          <w:sz w:val="20"/>
          <w:szCs w:val="20"/>
          <w:color w:val="auto"/>
        </w:rPr>
      </w:pPr>
      <w:r>
        <w:rPr>
          <w:rFonts w:ascii="Times New Roman" w:cs="Times New Roman" w:eastAsia="Times New Roman" w:hAnsi="Times New Roman"/>
          <w:sz w:val="14"/>
          <w:szCs w:val="14"/>
          <w:color w:val="auto"/>
        </w:rPr>
        <w:t>Israel's economy has been subject to numerous destabilizing factors, including a period of rampant inflation in the early to mid-1980s, low foreign exchange reserves, fluctuations in world commodity prices, military conflicts and civil unrest and employees strikes. The Israeli Government has, for these and other reasons, intervened in the economy by utilizing, among other things, fiscal and monetary policies, import duties, foreign currency restrictions and control of wages, prices and exchange rates. The Israeli Government has periodically changed its policies in all of these areas.</w:t>
      </w:r>
    </w:p>
    <w:p>
      <w:pPr>
        <w:spacing w:after="0" w:line="60" w:lineRule="exact"/>
        <w:rPr>
          <w:sz w:val="20"/>
          <w:szCs w:val="20"/>
          <w:color w:val="auto"/>
        </w:rPr>
      </w:pPr>
    </w:p>
    <w:p>
      <w:pPr>
        <w:ind w:right="4159"/>
        <w:spacing w:after="0" w:line="279" w:lineRule="auto"/>
        <w:rPr>
          <w:sz w:val="20"/>
          <w:szCs w:val="20"/>
          <w:color w:val="auto"/>
        </w:rPr>
      </w:pPr>
      <w:r>
        <w:rPr>
          <w:rFonts w:ascii="Times New Roman" w:cs="Times New Roman" w:eastAsia="Times New Roman" w:hAnsi="Times New Roman"/>
          <w:sz w:val="14"/>
          <w:szCs w:val="14"/>
          <w:color w:val="auto"/>
        </w:rPr>
        <w:t>Israeli law limits foreign currency transactions and transactions between Israeli and non-Israeli residents. The Controller of Foreign Exchange at the Bank of Israel, through "general" and "special"</w:t>
      </w:r>
    </w:p>
    <w:p>
      <w:pPr>
        <w:spacing w:after="0" w:line="17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39"/>
        <w:spacing w:after="0" w:line="251" w:lineRule="auto"/>
        <w:rPr>
          <w:sz w:val="20"/>
          <w:szCs w:val="20"/>
          <w:color w:val="auto"/>
        </w:rPr>
      </w:pPr>
      <w:r>
        <w:rPr>
          <w:rFonts w:ascii="Times New Roman" w:cs="Times New Roman" w:eastAsia="Times New Roman" w:hAnsi="Times New Roman"/>
          <w:sz w:val="14"/>
          <w:szCs w:val="14"/>
          <w:color w:val="auto"/>
        </w:rPr>
        <w:t>permits, may regulate or waive these limitations. Until recently, transactions in foreign currency were strictly regulated.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impact on the value of the NIS compared to the dollar and the corresponding effect on our financial statements.</w:t>
      </w:r>
    </w:p>
    <w:p>
      <w:pPr>
        <w:spacing w:after="0" w:line="63" w:lineRule="exact"/>
        <w:rPr>
          <w:sz w:val="20"/>
          <w:szCs w:val="20"/>
          <w:color w:val="auto"/>
        </w:rPr>
      </w:pPr>
    </w:p>
    <w:p>
      <w:pPr>
        <w:ind w:right="3919"/>
        <w:spacing w:after="0" w:line="258" w:lineRule="auto"/>
        <w:rPr>
          <w:sz w:val="20"/>
          <w:szCs w:val="20"/>
          <w:color w:val="auto"/>
        </w:rPr>
      </w:pPr>
      <w:r>
        <w:rPr>
          <w:rFonts w:ascii="Times New Roman" w:cs="Times New Roman" w:eastAsia="Times New Roman" w:hAnsi="Times New Roman"/>
          <w:sz w:val="14"/>
          <w:szCs w:val="14"/>
          <w:color w:val="auto"/>
        </w:rPr>
        <w:t>The Israeli Government's monetary policy contributed to relative price and exchange rate stability in recent years, despite fluctuating rates of economic growth and a high rate of unemployment. There can be no assurance that the Israeli Government will be successful in its attempts to keep prices and exchange rates stable. Price and exchange rate instability may have a material adverse effect on our business.</w:t>
      </w:r>
    </w:p>
    <w:p>
      <w:pPr>
        <w:spacing w:after="0" w:line="57" w:lineRule="exact"/>
        <w:rPr>
          <w:sz w:val="20"/>
          <w:szCs w:val="20"/>
          <w:color w:val="auto"/>
        </w:rPr>
      </w:pPr>
    </w:p>
    <w:p>
      <w:pPr>
        <w:ind w:right="3919"/>
        <w:spacing w:after="0" w:line="252" w:lineRule="auto"/>
        <w:rPr>
          <w:sz w:val="20"/>
          <w:szCs w:val="20"/>
          <w:color w:val="auto"/>
        </w:rPr>
      </w:pPr>
      <w:r>
        <w:rPr>
          <w:rFonts w:ascii="Times New Roman" w:cs="Times New Roman" w:eastAsia="Times New Roman" w:hAnsi="Times New Roman"/>
          <w:sz w:val="14"/>
          <w:szCs w:val="14"/>
          <w:color w:val="auto"/>
        </w:rPr>
        <w:t>The following table sets forth, for the periods indicated, information with respect to the Israeli CPI, the rate of inflation in Israel, the rate of devaluation of the NIS against the dollar and the rate of inflation adjusted for devaluation. For purposes of this table, the Israeli CPI figures use 1993 as a base equal to 100. These figures are based on reports of the Israel Central Statistics Bureau. Inflation is the percentage change in the Israeli CPI between the last month of the period indicated and December of the preceding year. Devaluation is the percentage increase in the value of the dollar in relation to Israeli currency during the period indicated. Inflation adjusted for devaluation is obtained by multiplying by 100 the results obtained from dividing the Israeli inflation rate plus 100 by the annual devaluation rate plus 100, and then subtracting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6350" cy="6604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Nine Months</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Israeli Consumer</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Israeli Inflation</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Devaluation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Inflation Adjusted</w:t>
            </w:r>
          </w:p>
        </w:tc>
        <w:tc>
          <w:tcPr>
            <w:tcW w:w="0" w:type="dxa"/>
            <w:vAlign w:val="bottom"/>
          </w:tcPr>
          <w:p>
            <w:pPr>
              <w:spacing w:after="0"/>
              <w:rPr>
                <w:sz w:val="1"/>
                <w:szCs w:val="1"/>
                <w:color w:val="auto"/>
              </w:rPr>
            </w:pPr>
          </w:p>
        </w:tc>
      </w:tr>
      <w:tr>
        <w:trPr>
          <w:trHeight w:val="115"/>
        </w:trPr>
        <w:tc>
          <w:tcPr>
            <w:tcW w:w="14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Ended</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Price Index</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Rate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Rate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for Devaluation %</w:t>
            </w:r>
          </w:p>
        </w:tc>
        <w:tc>
          <w:tcPr>
            <w:tcW w:w="0" w:type="dxa"/>
            <w:vAlign w:val="bottom"/>
          </w:tcPr>
          <w:p>
            <w:pPr>
              <w:spacing w:after="0"/>
              <w:rPr>
                <w:sz w:val="1"/>
                <w:szCs w:val="1"/>
                <w:color w:val="auto"/>
              </w:rPr>
            </w:pPr>
          </w:p>
        </w:tc>
      </w:tr>
      <w:tr>
        <w:trPr>
          <w:trHeight w:val="172"/>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2003</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right"/>
              <w:ind w:right="182"/>
              <w:spacing w:after="0"/>
              <w:rPr>
                <w:sz w:val="20"/>
                <w:szCs w:val="20"/>
                <w:color w:val="auto"/>
              </w:rPr>
            </w:pPr>
            <w:r>
              <w:rPr>
                <w:rFonts w:ascii="Times New Roman" w:cs="Times New Roman" w:eastAsia="Times New Roman" w:hAnsi="Times New Roman"/>
                <w:sz w:val="14"/>
                <w:szCs w:val="14"/>
                <w:color w:val="auto"/>
              </w:rPr>
              <w:t>179.3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right"/>
              <w:ind w:right="22"/>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202"/>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330"/>
        </w:trPr>
        <w:tc>
          <w:tcPr>
            <w:tcW w:w="1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Israeli Consumer</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Israeli Inflation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Devaluation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w w:val="99"/>
              </w:rPr>
              <w:t>Inflation Adjusted</w:t>
            </w:r>
          </w:p>
        </w:tc>
        <w:tc>
          <w:tcPr>
            <w:tcW w:w="0" w:type="dxa"/>
            <w:vAlign w:val="bottom"/>
          </w:tcPr>
          <w:p>
            <w:pPr>
              <w:spacing w:after="0"/>
              <w:rPr>
                <w:sz w:val="1"/>
                <w:szCs w:val="1"/>
                <w:color w:val="auto"/>
              </w:rPr>
            </w:pPr>
          </w:p>
        </w:tc>
      </w:tr>
      <w:tr>
        <w:trPr>
          <w:trHeight w:val="134"/>
        </w:trPr>
        <w:tc>
          <w:tcPr>
            <w:tcW w:w="1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Price Index</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Rate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Rate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for Devaluation %</w:t>
            </w:r>
          </w:p>
        </w:tc>
        <w:tc>
          <w:tcPr>
            <w:tcW w:w="0" w:type="dxa"/>
            <w:vAlign w:val="bottom"/>
          </w:tcPr>
          <w:p>
            <w:pPr>
              <w:spacing w:after="0"/>
              <w:rPr>
                <w:sz w:val="1"/>
                <w:szCs w:val="1"/>
                <w:color w:val="auto"/>
              </w:rPr>
            </w:pPr>
          </w:p>
        </w:tc>
      </w:tr>
      <w:tr>
        <w:trPr>
          <w:trHeight w:val="172"/>
        </w:trPr>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2002</w:t>
            </w:r>
          </w:p>
        </w:tc>
        <w:tc>
          <w:tcPr>
            <w:tcW w:w="160" w:type="dxa"/>
            <w:vAlign w:val="bottom"/>
          </w:tcPr>
          <w:p>
            <w:pPr>
              <w:spacing w:after="0"/>
              <w:rPr>
                <w:sz w:val="14"/>
                <w:szCs w:val="14"/>
                <w:color w:val="auto"/>
              </w:rPr>
            </w:pPr>
          </w:p>
        </w:tc>
        <w:tc>
          <w:tcPr>
            <w:tcW w:w="1180" w:type="dxa"/>
            <w:vAlign w:val="bottom"/>
            <w:tcBorders>
              <w:top w:val="single" w:sz="8" w:color="auto"/>
            </w:tcBorders>
            <w:gridSpan w:val="2"/>
          </w:tcPr>
          <w:p>
            <w:pPr>
              <w:jc w:val="right"/>
              <w:ind w:right="202"/>
              <w:spacing w:after="0"/>
              <w:rPr>
                <w:sz w:val="20"/>
                <w:szCs w:val="20"/>
                <w:color w:val="auto"/>
              </w:rPr>
            </w:pPr>
            <w:r>
              <w:rPr>
                <w:rFonts w:ascii="Times New Roman" w:cs="Times New Roman" w:eastAsia="Times New Roman" w:hAnsi="Times New Roman"/>
                <w:sz w:val="14"/>
                <w:szCs w:val="14"/>
                <w:color w:val="auto"/>
              </w:rPr>
              <w:t>182.0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gridSpan w:val="2"/>
          </w:tcPr>
          <w:p>
            <w:pPr>
              <w:jc w:val="right"/>
              <w:ind w:right="202"/>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top w:val="single" w:sz="8" w:color="auto"/>
            </w:tcBorders>
            <w:gridSpan w:val="2"/>
          </w:tcPr>
          <w:p>
            <w:pPr>
              <w:jc w:val="right"/>
              <w:ind w:right="202"/>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tcBorders>
            <w:gridSpan w:val="2"/>
          </w:tcPr>
          <w:p>
            <w:pPr>
              <w:jc w:val="right"/>
              <w:ind w:right="162"/>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3"/>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2001</w:t>
            </w:r>
          </w:p>
        </w:tc>
        <w:tc>
          <w:tcPr>
            <w:tcW w:w="134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170.9</w:t>
            </w:r>
          </w:p>
        </w:tc>
        <w:tc>
          <w:tcPr>
            <w:tcW w:w="20" w:type="dxa"/>
            <w:vAlign w:val="bottom"/>
          </w:tcPr>
          <w:p>
            <w:pPr>
              <w:spacing w:after="0"/>
              <w:rPr>
                <w:sz w:val="15"/>
                <w:szCs w:val="15"/>
                <w:color w:val="auto"/>
              </w:rPr>
            </w:pPr>
          </w:p>
        </w:tc>
        <w:tc>
          <w:tcPr>
            <w:tcW w:w="102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100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1180" w:type="dxa"/>
            <w:vAlign w:val="bottom"/>
            <w:gridSpan w:val="3"/>
          </w:tcPr>
          <w:p>
            <w:pPr>
              <w:jc w:val="right"/>
              <w:ind w:right="162"/>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98"/>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2000</w:t>
            </w:r>
          </w:p>
        </w:tc>
        <w:tc>
          <w:tcPr>
            <w:tcW w:w="134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168.5</w:t>
            </w:r>
          </w:p>
        </w:tc>
        <w:tc>
          <w:tcPr>
            <w:tcW w:w="20" w:type="dxa"/>
            <w:vAlign w:val="bottom"/>
          </w:tcPr>
          <w:p>
            <w:pPr>
              <w:spacing w:after="0"/>
              <w:rPr>
                <w:sz w:val="17"/>
                <w:szCs w:val="17"/>
                <w:color w:val="auto"/>
              </w:rPr>
            </w:pPr>
          </w:p>
        </w:tc>
        <w:tc>
          <w:tcPr>
            <w:tcW w:w="102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7"/>
                <w:szCs w:val="17"/>
                <w:color w:val="auto"/>
              </w:rPr>
            </w:pPr>
          </w:p>
        </w:tc>
        <w:tc>
          <w:tcPr>
            <w:tcW w:w="1000" w:type="dxa"/>
            <w:vAlign w:val="bottom"/>
            <w:gridSpan w:val="3"/>
          </w:tcPr>
          <w:p>
            <w:pPr>
              <w:jc w:val="right"/>
              <w:ind w:right="142"/>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118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8"/>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1999</w:t>
            </w:r>
          </w:p>
        </w:tc>
        <w:tc>
          <w:tcPr>
            <w:tcW w:w="134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168.5</w:t>
            </w:r>
          </w:p>
        </w:tc>
        <w:tc>
          <w:tcPr>
            <w:tcW w:w="20" w:type="dxa"/>
            <w:vAlign w:val="bottom"/>
          </w:tcPr>
          <w:p>
            <w:pPr>
              <w:spacing w:after="0"/>
              <w:rPr>
                <w:sz w:val="17"/>
                <w:szCs w:val="17"/>
                <w:color w:val="auto"/>
              </w:rPr>
            </w:pPr>
          </w:p>
        </w:tc>
        <w:tc>
          <w:tcPr>
            <w:tcW w:w="102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7"/>
                <w:szCs w:val="17"/>
                <w:color w:val="auto"/>
              </w:rPr>
            </w:pPr>
          </w:p>
        </w:tc>
        <w:tc>
          <w:tcPr>
            <w:tcW w:w="1000" w:type="dxa"/>
            <w:vAlign w:val="bottom"/>
            <w:gridSpan w:val="3"/>
          </w:tcPr>
          <w:p>
            <w:pPr>
              <w:jc w:val="right"/>
              <w:ind w:right="142"/>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7"/>
                <w:szCs w:val="17"/>
                <w:color w:val="auto"/>
              </w:rPr>
            </w:pPr>
          </w:p>
        </w:tc>
        <w:tc>
          <w:tcPr>
            <w:tcW w:w="118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8"/>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1998</w:t>
            </w:r>
          </w:p>
        </w:tc>
        <w:tc>
          <w:tcPr>
            <w:tcW w:w="134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166.3</w:t>
            </w:r>
          </w:p>
        </w:tc>
        <w:tc>
          <w:tcPr>
            <w:tcW w:w="20" w:type="dxa"/>
            <w:vAlign w:val="bottom"/>
          </w:tcPr>
          <w:p>
            <w:pPr>
              <w:spacing w:after="0"/>
              <w:rPr>
                <w:sz w:val="17"/>
                <w:szCs w:val="17"/>
                <w:color w:val="auto"/>
              </w:rPr>
            </w:pPr>
          </w:p>
        </w:tc>
        <w:tc>
          <w:tcPr>
            <w:tcW w:w="102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7"/>
                <w:szCs w:val="17"/>
                <w:color w:val="auto"/>
              </w:rPr>
            </w:pPr>
          </w:p>
        </w:tc>
        <w:tc>
          <w:tcPr>
            <w:tcW w:w="1000" w:type="dxa"/>
            <w:vAlign w:val="bottom"/>
            <w:gridSpan w:val="3"/>
          </w:tcPr>
          <w:p>
            <w:pPr>
              <w:jc w:val="right"/>
              <w:ind w:right="202"/>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7"/>
                <w:szCs w:val="17"/>
                <w:color w:val="auto"/>
              </w:rPr>
            </w:pPr>
          </w:p>
        </w:tc>
        <w:tc>
          <w:tcPr>
            <w:tcW w:w="1180" w:type="dxa"/>
            <w:vAlign w:val="bottom"/>
            <w:gridSpan w:val="3"/>
          </w:tcPr>
          <w:p>
            <w:pPr>
              <w:jc w:val="right"/>
              <w:ind w:right="162"/>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-1255395</wp:posOffset>
            </wp:positionV>
            <wp:extent cx="1103630" cy="635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103630" cy="6350"/>
                    </a:xfrm>
                    <a:prstGeom prst="rect">
                      <a:avLst/>
                    </a:prstGeom>
                    <a:noFill/>
                  </pic:spPr>
                </pic:pic>
              </a:graphicData>
            </a:graphic>
          </wp:anchor>
        </w:drawing>
        <w:drawing>
          <wp:anchor simplePos="0" relativeHeight="251657728" behindDoc="1" locked="0" layoutInCell="0" allowOverlap="1">
            <wp:simplePos x="0" y="0"/>
            <wp:positionH relativeFrom="column">
              <wp:posOffset>1581785</wp:posOffset>
            </wp:positionH>
            <wp:positionV relativeFrom="paragraph">
              <wp:posOffset>-1255395</wp:posOffset>
            </wp:positionV>
            <wp:extent cx="6350" cy="635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-1255395</wp:posOffset>
            </wp:positionV>
            <wp:extent cx="52705" cy="635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-1255395</wp:posOffset>
            </wp:positionV>
            <wp:extent cx="6350" cy="635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1958975</wp:posOffset>
            </wp:positionH>
            <wp:positionV relativeFrom="paragraph">
              <wp:posOffset>-1255395</wp:posOffset>
            </wp:positionV>
            <wp:extent cx="6350" cy="635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2315845</wp:posOffset>
            </wp:positionH>
            <wp:positionV relativeFrom="paragraph">
              <wp:posOffset>-1255395</wp:posOffset>
            </wp:positionV>
            <wp:extent cx="6350" cy="635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-1255395</wp:posOffset>
            </wp:positionV>
            <wp:extent cx="52705" cy="635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-1255395</wp:posOffset>
            </wp:positionV>
            <wp:extent cx="6350" cy="635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-1255395</wp:posOffset>
            </wp:positionV>
            <wp:extent cx="6350" cy="635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-1255395</wp:posOffset>
            </wp:positionV>
            <wp:extent cx="6350" cy="635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-1255395</wp:posOffset>
            </wp:positionV>
            <wp:extent cx="52705" cy="635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-1255395</wp:posOffset>
            </wp:positionV>
            <wp:extent cx="6350" cy="63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-1255395</wp:posOffset>
            </wp:positionV>
            <wp:extent cx="6350" cy="635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3756660</wp:posOffset>
            </wp:positionH>
            <wp:positionV relativeFrom="paragraph">
              <wp:posOffset>-1255395</wp:posOffset>
            </wp:positionV>
            <wp:extent cx="6350" cy="63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-1143000</wp:posOffset>
            </wp:positionV>
            <wp:extent cx="13335" cy="635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-1143000</wp:posOffset>
            </wp:positionV>
            <wp:extent cx="13335" cy="635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-1143000</wp:posOffset>
            </wp:positionV>
            <wp:extent cx="13335" cy="635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-1143000</wp:posOffset>
            </wp:positionV>
            <wp:extent cx="13335" cy="635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-964565</wp:posOffset>
            </wp:positionV>
            <wp:extent cx="13335" cy="635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1747520</wp:posOffset>
            </wp:positionH>
            <wp:positionV relativeFrom="paragraph">
              <wp:posOffset>-964565</wp:posOffset>
            </wp:positionV>
            <wp:extent cx="13335" cy="635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2480945</wp:posOffset>
            </wp:positionH>
            <wp:positionV relativeFrom="paragraph">
              <wp:posOffset>-964565</wp:posOffset>
            </wp:positionV>
            <wp:extent cx="13335" cy="635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3175000</wp:posOffset>
            </wp:positionH>
            <wp:positionV relativeFrom="paragraph">
              <wp:posOffset>-964565</wp:posOffset>
            </wp:positionV>
            <wp:extent cx="13335" cy="635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-898525</wp:posOffset>
            </wp:positionV>
            <wp:extent cx="1097280" cy="13906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097280" cy="139065"/>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-766445</wp:posOffset>
            </wp:positionV>
            <wp:extent cx="6350" cy="635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-766445</wp:posOffset>
            </wp:positionV>
            <wp:extent cx="52705" cy="635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-766445</wp:posOffset>
            </wp:positionV>
            <wp:extent cx="6350" cy="635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1945640</wp:posOffset>
            </wp:positionH>
            <wp:positionV relativeFrom="paragraph">
              <wp:posOffset>-766445</wp:posOffset>
            </wp:positionV>
            <wp:extent cx="6350" cy="635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-766445</wp:posOffset>
            </wp:positionV>
            <wp:extent cx="6350" cy="635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-766445</wp:posOffset>
            </wp:positionV>
            <wp:extent cx="52705" cy="63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-766445</wp:posOffset>
            </wp:positionV>
            <wp:extent cx="6350" cy="635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2613025</wp:posOffset>
            </wp:positionH>
            <wp:positionV relativeFrom="paragraph">
              <wp:posOffset>-766445</wp:posOffset>
            </wp:positionV>
            <wp:extent cx="6350" cy="635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-766445</wp:posOffset>
            </wp:positionV>
            <wp:extent cx="6350" cy="635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-766445</wp:posOffset>
            </wp:positionV>
            <wp:extent cx="52705" cy="635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2705" cy="635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-766445</wp:posOffset>
            </wp:positionV>
            <wp:extent cx="6350" cy="635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-766445</wp:posOffset>
            </wp:positionV>
            <wp:extent cx="6350" cy="635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3756660</wp:posOffset>
            </wp:positionH>
            <wp:positionV relativeFrom="paragraph">
              <wp:posOffset>-766445</wp:posOffset>
            </wp:positionV>
            <wp:extent cx="6350" cy="635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-687070</wp:posOffset>
            </wp:positionV>
            <wp:extent cx="13335" cy="635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-687070</wp:posOffset>
            </wp:positionV>
            <wp:extent cx="13335" cy="635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-687070</wp:posOffset>
            </wp:positionV>
            <wp:extent cx="13335" cy="635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-687070</wp:posOffset>
            </wp:positionV>
            <wp:extent cx="13335" cy="635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-548005</wp:posOffset>
            </wp:positionV>
            <wp:extent cx="13335" cy="635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-548005</wp:posOffset>
            </wp:positionV>
            <wp:extent cx="13335" cy="635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-548005</wp:posOffset>
            </wp:positionV>
            <wp:extent cx="13335" cy="635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-548005</wp:posOffset>
            </wp:positionV>
            <wp:extent cx="13335" cy="635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-422910</wp:posOffset>
            </wp:positionV>
            <wp:extent cx="13335" cy="635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-422910</wp:posOffset>
            </wp:positionV>
            <wp:extent cx="13335" cy="635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-422910</wp:posOffset>
            </wp:positionV>
            <wp:extent cx="13335" cy="635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-422910</wp:posOffset>
            </wp:positionV>
            <wp:extent cx="13335" cy="635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-297180</wp:posOffset>
            </wp:positionV>
            <wp:extent cx="13335" cy="635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-297180</wp:posOffset>
            </wp:positionV>
            <wp:extent cx="13335" cy="635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-297180</wp:posOffset>
            </wp:positionV>
            <wp:extent cx="13335" cy="635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-297180</wp:posOffset>
            </wp:positionV>
            <wp:extent cx="13335" cy="635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-171450</wp:posOffset>
            </wp:positionV>
            <wp:extent cx="13335" cy="635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-171450</wp:posOffset>
            </wp:positionV>
            <wp:extent cx="13335" cy="635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-171450</wp:posOffset>
            </wp:positionV>
            <wp:extent cx="13335" cy="635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-171450</wp:posOffset>
            </wp:positionV>
            <wp:extent cx="13335" cy="635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-45720</wp:posOffset>
            </wp:positionV>
            <wp:extent cx="13335" cy="635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-45720</wp:posOffset>
            </wp:positionV>
            <wp:extent cx="13335" cy="635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-45720</wp:posOffset>
            </wp:positionV>
            <wp:extent cx="13335" cy="635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-45720</wp:posOffset>
            </wp:positionV>
            <wp:extent cx="13335" cy="635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wp:posOffset>
            </wp:positionV>
            <wp:extent cx="6350" cy="660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Trade Relations</w:t>
      </w:r>
    </w:p>
    <w:p>
      <w:pPr>
        <w:spacing w:after="0" w:line="91" w:lineRule="exact"/>
        <w:rPr>
          <w:sz w:val="20"/>
          <w:szCs w:val="20"/>
          <w:color w:val="auto"/>
        </w:rPr>
      </w:pPr>
    </w:p>
    <w:p>
      <w:pPr>
        <w:ind w:right="3939"/>
        <w:spacing w:after="0" w:line="251" w:lineRule="auto"/>
        <w:rPr>
          <w:sz w:val="20"/>
          <w:szCs w:val="20"/>
          <w:color w:val="auto"/>
        </w:rPr>
      </w:pPr>
      <w:r>
        <w:rPr>
          <w:rFonts w:ascii="Times New Roman" w:cs="Times New Roman" w:eastAsia="Times New Roman" w:hAnsi="Times New Roman"/>
          <w:sz w:val="14"/>
          <w:szCs w:val="14"/>
          <w:color w:val="auto"/>
        </w:rPr>
        <w:t>Israel is a member of the United Nations, the International Monetary Fund, the International Bank for Reconstruction and Development and the International Finance Corporation. Israel is a signatory to the General Agreement on Tariffs and Trade, which provides for the reciprocal lowering of trade barriers among its members. In addition, Israel has been granted preferences under the Generalized System of Preferences from the United States, Australia, Canada and Japan. These preferences allow Israel to export the products covered by this program either duty-free or at reduced tariffs. Israel became associated with the European Economic Community, now known as the European Union, in a Free Trade Agreement concluded in 1975, which confers advantages with respect to Israeli exports, including electronic products, to most European countries, allows Israeli companies to participate in European research and development programs and tenders and obligates Israel to lower its tariffs with respect to imports from those countries over a number of years.</w:t>
      </w:r>
    </w:p>
    <w:p>
      <w:pPr>
        <w:spacing w:after="0" w:line="65" w:lineRule="exact"/>
        <w:rPr>
          <w:sz w:val="20"/>
          <w:szCs w:val="20"/>
          <w:color w:val="auto"/>
        </w:rPr>
      </w:pPr>
    </w:p>
    <w:p>
      <w:pPr>
        <w:ind w:right="4399"/>
        <w:spacing w:after="0" w:line="279" w:lineRule="auto"/>
        <w:rPr>
          <w:sz w:val="20"/>
          <w:szCs w:val="20"/>
          <w:color w:val="auto"/>
        </w:rPr>
      </w:pPr>
      <w:r>
        <w:rPr>
          <w:rFonts w:ascii="Times New Roman" w:cs="Times New Roman" w:eastAsia="Times New Roman" w:hAnsi="Times New Roman"/>
          <w:sz w:val="14"/>
          <w:szCs w:val="14"/>
          <w:color w:val="auto"/>
        </w:rPr>
        <w:t>Israel and the United States entered into a Free Trade Agreement in 1985. The Free Trade Agreement has eliminated all tariff and some non-tariff barriers on most trade between the two</w:t>
      </w:r>
    </w:p>
    <w:p>
      <w:pPr>
        <w:spacing w:after="0" w:line="17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959"/>
        <w:spacing w:after="0" w:line="293" w:lineRule="auto"/>
        <w:rPr>
          <w:sz w:val="20"/>
          <w:szCs w:val="20"/>
          <w:color w:val="auto"/>
        </w:rPr>
      </w:pPr>
      <w:r>
        <w:rPr>
          <w:rFonts w:ascii="Times New Roman" w:cs="Times New Roman" w:eastAsia="Times New Roman" w:hAnsi="Times New Roman"/>
          <w:sz w:val="13"/>
          <w:szCs w:val="13"/>
          <w:color w:val="auto"/>
        </w:rPr>
        <w:t>countries. In 1993, Israel entered into an agreement establishing a free trade zone with the European Free Trade Association, whose members include Austria, Finland, Iceland, Liechtenstein, Norway, Sweden and Switzerland. In recent years, Israel has established commercial and trade relations with a number of other nations, including</w:t>
      </w:r>
    </w:p>
    <w:p>
      <w:pPr>
        <w:sectPr>
          <w:pgSz w:w="11900" w:h="16925" w:orient="portrait"/>
          <w:cols w:equalWidth="0" w:num="1">
            <w:col w:w="10239"/>
          </w:cols>
          <w:pgMar w:left="220" w:top="125" w:right="1440" w:bottom="0" w:gutter="0" w:footer="0" w:header="0"/>
        </w:sectPr>
      </w:pPr>
    </w:p>
    <w:bookmarkStart w:id="41" w:name="page42"/>
    <w:bookmarkEnd w:id="41"/>
    <w:p>
      <w:pPr>
        <w:spacing w:after="0" w:line="64" w:lineRule="exact"/>
        <w:rPr>
          <w:sz w:val="20"/>
          <w:szCs w:val="20"/>
          <w:color w:val="auto"/>
        </w:rPr>
      </w:pPr>
    </w:p>
    <w:p>
      <w:pPr>
        <w:ind w:right="3919"/>
        <w:spacing w:after="0" w:line="279" w:lineRule="auto"/>
        <w:rPr>
          <w:sz w:val="20"/>
          <w:szCs w:val="20"/>
          <w:color w:val="auto"/>
        </w:rPr>
      </w:pPr>
      <w:r>
        <w:rPr>
          <w:rFonts w:ascii="Times New Roman" w:cs="Times New Roman" w:eastAsia="Times New Roman" w:hAnsi="Times New Roman"/>
          <w:sz w:val="14"/>
          <w:szCs w:val="14"/>
          <w:color w:val="auto"/>
        </w:rPr>
        <w:t>China, India, Russia and other nations in Asia and Eastern Europe, with which Israel had not previously had these relations.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Assistance from the United States</w:t>
      </w:r>
    </w:p>
    <w:p>
      <w:pPr>
        <w:spacing w:after="0" w:line="91" w:lineRule="exact"/>
        <w:rPr>
          <w:sz w:val="20"/>
          <w:szCs w:val="20"/>
          <w:color w:val="auto"/>
        </w:rPr>
      </w:pPr>
    </w:p>
    <w:p>
      <w:pPr>
        <w:ind w:right="4219"/>
        <w:spacing w:after="0" w:line="256" w:lineRule="auto"/>
        <w:rPr>
          <w:sz w:val="20"/>
          <w:szCs w:val="20"/>
          <w:color w:val="auto"/>
        </w:rPr>
      </w:pPr>
      <w:r>
        <w:rPr>
          <w:rFonts w:ascii="Times New Roman" w:cs="Times New Roman" w:eastAsia="Times New Roman" w:hAnsi="Times New Roman"/>
          <w:sz w:val="14"/>
          <w:szCs w:val="14"/>
          <w:color w:val="auto"/>
        </w:rPr>
        <w:t>Israel receives significant amounts of economic and military assistance from the United States, averaging approximately $3 billion annually over the last several years. We cannot assure you that foreign aid from the United States will continue at or near amounts received in the past. If the grants for economic and military assistance are eliminated or reduced significantly, the Israeli economy could suffer material adverse consequences.</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91" w:lineRule="exact"/>
        <w:rPr>
          <w:sz w:val="20"/>
          <w:szCs w:val="20"/>
          <w:color w:val="auto"/>
        </w:rPr>
      </w:pPr>
    </w:p>
    <w:p>
      <w:pPr>
        <w:ind w:right="3919"/>
        <w:spacing w:after="0" w:line="270" w:lineRule="auto"/>
        <w:rPr>
          <w:sz w:val="20"/>
          <w:szCs w:val="20"/>
          <w:color w:val="auto"/>
        </w:rPr>
      </w:pPr>
      <w:r>
        <w:rPr>
          <w:rFonts w:ascii="Times New Roman" w:cs="Times New Roman" w:eastAsia="Times New Roman" w:hAnsi="Times New Roman"/>
          <w:sz w:val="13"/>
          <w:szCs w:val="13"/>
          <w:color w:val="auto"/>
        </w:rPr>
        <w:t>When the offering is completed, assuming no exercise of the underwriters' over-allotment option we will have a total of 63,696,097 ordinary shares outstanding. The 12,000,000 shares offered by this prospectus will be freely tradeable unless they are purchased by our "affiliates," as defined in Rule 144 under the Securities Act of 1933. Of our 51,696,097 outstanding ordinary shares as of December 15, 2003, excluding treasury stock, 11,895,032 are freely tradable and held by non-affiliates and an additional 1,073,905 shares held by non-affiliates are eligible for sale pursuant to Rule 144 under the Securities Act of 1933, subject to the time, volume and manner of sale limitations of Rule 144. Of these shares, 476,213 and 597,692 shares will be freely tradable under Rule 144(k) by April 2004 and October 2004, respectively. An additional 80,456 shares and 67,046 held by non-affiliates will be eligible for sale under Rule 144(k) by May 2004 and December 2004, respectively. In addition, our affiliates (Israel Corporation Technologies (ICTech) Ltd., SanDisk Corporation, Alliance Semiconductor Corporation and Macronix (BVI) Co., Ltd.) hold 38,579,658 of our shares, of which 4,086,037 are freely tradable and 26,380,558 are currently eligible for sale subject to the time, volume and manner of sale limitations of Rule 144. An additional 4,425,076, 838,082 and 2,849,905 shares held by these affiliates will be eligible for sale under Rule 144 by May 2004, August 2004 and December 2004, respectively, subject to the share transfer restrictions set forth in the shareholders agreement to which they are a party and which remain in effect through January 2008. In addition, 18,882,041 ordinary shares are issuable as of December 15, 2003, upon the exercise of options, warrants, conversion of our convertible debentures and shares issuable to our partners upon completion of this offering, assuming an offering price of $7.56 per share. ICTech and our large wafer partners, as well as our directors and officers, holding an aggregate of 38,579,658 ordinary shares, have agreed under written "lock-up" agreements that, for a period of 180 days from the date of this prospectus, they will not sell their shares.</w:t>
      </w:r>
    </w:p>
    <w:p>
      <w:pPr>
        <w:spacing w:after="0" w:line="219" w:lineRule="exact"/>
        <w:rPr>
          <w:sz w:val="20"/>
          <w:szCs w:val="20"/>
          <w:color w:val="auto"/>
        </w:rPr>
      </w:pPr>
    </w:p>
    <w:p>
      <w:pPr>
        <w:ind w:right="3959"/>
        <w:spacing w:after="0" w:line="251" w:lineRule="auto"/>
        <w:rPr>
          <w:sz w:val="20"/>
          <w:szCs w:val="20"/>
          <w:color w:val="auto"/>
        </w:rPr>
      </w:pPr>
      <w:r>
        <w:rPr>
          <w:rFonts w:ascii="Times New Roman" w:cs="Times New Roman" w:eastAsia="Times New Roman" w:hAnsi="Times New Roman"/>
          <w:sz w:val="14"/>
          <w:szCs w:val="14"/>
          <w:color w:val="auto"/>
        </w:rPr>
        <w:t>Pursuant to the registration rights agreement we entered into in January 2001, SanDisk, Alliance Semiconductor, Macronix and ICTech have the right to demand up to six registrations of their shares under the Securities Act of 1933, and these shareholders, together with Quicklogic as a group, may demand one additional registration of their shares. These shareholders are also entitled to unlimited incidental registrations. In addition, The Challenge Fund-Etgar II is entitled to unlimited incidental registrations in connection with the exercise of a demand registration right by any of these shareholders. If our major wafer partners and ICTech invest in our securities in the framework of a rights offering or private placement required by our banks (see "Material Agreements-Credit Facility"), we have committed to register such securities for resale. We have also agreed with these shareholders that they will not exercise their registration rights, until the earlier of December 31, 2005 or such time that we will have fulfilled our fundraising obligations under the credit facility, other than with respect to securities issued in the investments described in the prior sentence.</w:t>
      </w:r>
    </w:p>
    <w:p>
      <w:pPr>
        <w:spacing w:after="0" w:line="63" w:lineRule="exact"/>
        <w:rPr>
          <w:sz w:val="20"/>
          <w:szCs w:val="20"/>
          <w:color w:val="auto"/>
        </w:rPr>
      </w:pPr>
    </w:p>
    <w:p>
      <w:pPr>
        <w:ind w:right="4599"/>
        <w:spacing w:after="0" w:line="279" w:lineRule="auto"/>
        <w:rPr>
          <w:sz w:val="20"/>
          <w:szCs w:val="20"/>
          <w:color w:val="auto"/>
        </w:rPr>
      </w:pPr>
      <w:r>
        <w:rPr>
          <w:rFonts w:ascii="Times New Roman" w:cs="Times New Roman" w:eastAsia="Times New Roman" w:hAnsi="Times New Roman"/>
          <w:sz w:val="14"/>
          <w:szCs w:val="14"/>
          <w:color w:val="auto"/>
        </w:rPr>
        <w:t>Pursuant to the Registration Rights Agreement with Ontario Teachers' Pension Plan Board, we filed a Registration Statement on Form F-3 in September 2003.</w:t>
      </w:r>
    </w:p>
    <w:p>
      <w:pPr>
        <w:spacing w:after="0" w:line="42" w:lineRule="exact"/>
        <w:rPr>
          <w:sz w:val="20"/>
          <w:szCs w:val="20"/>
          <w:color w:val="auto"/>
        </w:rPr>
      </w:pPr>
    </w:p>
    <w:p>
      <w:pPr>
        <w:ind w:right="4019"/>
        <w:spacing w:after="0" w:line="263" w:lineRule="auto"/>
        <w:rPr>
          <w:sz w:val="20"/>
          <w:szCs w:val="20"/>
          <w:color w:val="auto"/>
        </w:rPr>
      </w:pPr>
      <w:r>
        <w:rPr>
          <w:rFonts w:ascii="Times New Roman" w:cs="Times New Roman" w:eastAsia="Times New Roman" w:hAnsi="Times New Roman"/>
          <w:sz w:val="14"/>
          <w:szCs w:val="14"/>
          <w:color w:val="auto"/>
        </w:rPr>
        <w:t>Our banks and the Fab 2 construction contactor are also entitled to unlimited incidental registrations pursuant to the warrants issued to them exercisable into our ordinary shares, which have been waived with respect to this offering.</w:t>
      </w:r>
    </w:p>
    <w:p>
      <w:pPr>
        <w:spacing w:after="0" w:line="54" w:lineRule="exact"/>
        <w:rPr>
          <w:sz w:val="20"/>
          <w:szCs w:val="20"/>
          <w:color w:val="auto"/>
        </w:rPr>
      </w:pPr>
    </w:p>
    <w:p>
      <w:pPr>
        <w:ind w:right="3899"/>
        <w:spacing w:after="0" w:line="258" w:lineRule="auto"/>
        <w:rPr>
          <w:sz w:val="20"/>
          <w:szCs w:val="20"/>
          <w:color w:val="auto"/>
        </w:rPr>
      </w:pPr>
      <w:r>
        <w:rPr>
          <w:rFonts w:ascii="Times New Roman" w:cs="Times New Roman" w:eastAsia="Times New Roman" w:hAnsi="Times New Roman"/>
          <w:sz w:val="14"/>
          <w:szCs w:val="14"/>
          <w:color w:val="auto"/>
        </w:rPr>
        <w:t>We have filed registration statements on Form S-8 under the Securities Act to register the ordinary shares issuable under all of our share option plans. Shares issued pursuant to these share option plans are eligible for resale in the public market without restriction, subject to Rule 144 limitations applicable to affiliates and the lock-up agreements described above.</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91" w:lineRule="exact"/>
        <w:rPr>
          <w:sz w:val="20"/>
          <w:szCs w:val="20"/>
          <w:color w:val="auto"/>
        </w:rPr>
      </w:pPr>
    </w:p>
    <w:p>
      <w:pPr>
        <w:ind w:right="4279"/>
        <w:spacing w:after="0" w:line="263" w:lineRule="auto"/>
        <w:rPr>
          <w:sz w:val="20"/>
          <w:szCs w:val="20"/>
          <w:color w:val="auto"/>
        </w:rPr>
      </w:pPr>
      <w:r>
        <w:rPr>
          <w:rFonts w:ascii="Times New Roman" w:cs="Times New Roman" w:eastAsia="Times New Roman" w:hAnsi="Times New Roman"/>
          <w:sz w:val="14"/>
          <w:szCs w:val="14"/>
          <w:color w:val="auto"/>
        </w:rPr>
        <w:t>We have entered into an underwriting agreement with the underwriters named below. CIBC World Markets Corp., U.S. Bancorp Piper Jaffray Inc. and C.E. Unterberg, Towbin are acting as representatives of the underwriters.</w:t>
      </w:r>
    </w:p>
    <w:p>
      <w:pPr>
        <w:spacing w:after="0" w:line="54" w:lineRule="exact"/>
        <w:rPr>
          <w:sz w:val="20"/>
          <w:szCs w:val="20"/>
          <w:color w:val="auto"/>
        </w:rPr>
      </w:pPr>
    </w:p>
    <w:p>
      <w:pPr>
        <w:ind w:right="3959"/>
        <w:spacing w:after="0" w:line="280" w:lineRule="auto"/>
        <w:rPr>
          <w:sz w:val="20"/>
          <w:szCs w:val="20"/>
          <w:color w:val="auto"/>
        </w:rPr>
      </w:pPr>
      <w:r>
        <w:rPr>
          <w:rFonts w:ascii="Times New Roman" w:cs="Times New Roman" w:eastAsia="Times New Roman" w:hAnsi="Times New Roman"/>
          <w:sz w:val="13"/>
          <w:szCs w:val="13"/>
          <w:color w:val="auto"/>
        </w:rPr>
        <w:t>The underwriting agreement provides for the purchase of a specific number of ordinary shares by each of the underwriters. The underwriters' obligations are several, which means that each underwriter is required to purchase a specified number of ordinary shares, but is not responsible for the commitment of any other underwriter to purchase ordinary shares. Subject to the terms and conditions of the underwriting agreement, each underwriter has severally agreed to purchase the number of ordinary shares set forth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6350" cy="6604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34" w:lineRule="exact"/>
        <w:rPr>
          <w:sz w:val="20"/>
          <w:szCs w:val="20"/>
          <w:color w:val="auto"/>
        </w:rPr>
      </w:pPr>
    </w:p>
    <w:tbl>
      <w:tblPr>
        <w:tblLayout w:type="fixed"/>
        <w:tblInd w:w="900" w:type="dxa"/>
        <w:tblCellMar>
          <w:top w:w="0" w:type="dxa"/>
          <w:left w:w="0" w:type="dxa"/>
          <w:bottom w:w="0" w:type="dxa"/>
          <w:right w:w="0" w:type="dxa"/>
        </w:tblCellMar>
      </w:tblPr>
      <w:tr>
        <w:trPr>
          <w:trHeight w:val="134"/>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Underwriter</w:t>
            </w:r>
          </w:p>
        </w:tc>
        <w:tc>
          <w:tcPr>
            <w:tcW w:w="80" w:type="dxa"/>
            <w:vAlign w:val="bottom"/>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Number of Shares</w:t>
            </w:r>
          </w:p>
        </w:tc>
      </w:tr>
      <w:tr>
        <w:trPr>
          <w:trHeight w:val="172"/>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CIBC World Markets Corp.</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3"/>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U.S. Bancorp Piper Jaffray Inc.</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8"/>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C.E. Unterberg, Towbin</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8"/>
        </w:trPr>
        <w:tc>
          <w:tcPr>
            <w:tcW w:w="34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12,000,000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-568325</wp:posOffset>
            </wp:positionV>
            <wp:extent cx="2696845" cy="635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696845" cy="635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-528320</wp:posOffset>
            </wp:positionV>
            <wp:extent cx="13335" cy="635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-422910</wp:posOffset>
            </wp:positionV>
            <wp:extent cx="13335" cy="635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-297180</wp:posOffset>
            </wp:positionV>
            <wp:extent cx="13335" cy="635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-171450</wp:posOffset>
            </wp:positionV>
            <wp:extent cx="13335" cy="635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2752090</wp:posOffset>
            </wp:positionH>
            <wp:positionV relativeFrom="paragraph">
              <wp:posOffset>-45720</wp:posOffset>
            </wp:positionV>
            <wp:extent cx="13335" cy="635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19685</wp:posOffset>
            </wp:positionV>
            <wp:extent cx="6350" cy="6604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4" w:lineRule="exact"/>
        <w:rPr>
          <w:sz w:val="20"/>
          <w:szCs w:val="20"/>
          <w:color w:val="auto"/>
        </w:rPr>
      </w:pPr>
    </w:p>
    <w:p>
      <w:pPr>
        <w:ind w:right="4019"/>
        <w:spacing w:after="0" w:line="256" w:lineRule="auto"/>
        <w:rPr>
          <w:sz w:val="20"/>
          <w:szCs w:val="20"/>
          <w:color w:val="auto"/>
        </w:rPr>
      </w:pPr>
      <w:r>
        <w:rPr>
          <w:rFonts w:ascii="Times New Roman" w:cs="Times New Roman" w:eastAsia="Times New Roman" w:hAnsi="Times New Roman"/>
          <w:sz w:val="14"/>
          <w:szCs w:val="14"/>
          <w:color w:val="auto"/>
        </w:rPr>
        <w:t>The underwriters have agreed to purchase all of the ordinary shares offered by this prospectus (other than those covered by the over-allotment option described below) if any are purchased. Under the underwriting agreement, if an underwriter defaults in its commitment to purchase ordinary shares, the commitments of non-defaulting underwriters may be increased or the underwriting agreement may be terminated, depending on the circumstances.</w:t>
      </w:r>
    </w:p>
    <w:p>
      <w:pPr>
        <w:spacing w:after="0" w:line="57" w:lineRule="exact"/>
        <w:rPr>
          <w:sz w:val="20"/>
          <w:szCs w:val="20"/>
          <w:color w:val="auto"/>
        </w:rPr>
      </w:pPr>
    </w:p>
    <w:p>
      <w:pPr>
        <w:ind w:right="3899"/>
        <w:spacing w:after="0" w:line="272" w:lineRule="auto"/>
        <w:rPr>
          <w:sz w:val="20"/>
          <w:szCs w:val="20"/>
          <w:color w:val="auto"/>
        </w:rPr>
      </w:pPr>
      <w:r>
        <w:rPr>
          <w:rFonts w:ascii="Times New Roman" w:cs="Times New Roman" w:eastAsia="Times New Roman" w:hAnsi="Times New Roman"/>
          <w:sz w:val="13"/>
          <w:szCs w:val="13"/>
          <w:color w:val="auto"/>
        </w:rPr>
        <w:t>The ordinary shares should be ready for delivery on or about , 2003 against payment in immediately available funds. The underwriters are offering the ordinary shares subject to various conditions and may reject all or part of any order. The representatives have advised us that the underwriters propose to offer the ordinary shares directly to the public at the public offering price that appears on the cover page of this prospectus. In addition, the representatives may offer some of the ordinary shares to other securities dealers at such price less a concession of</w:t>
      </w:r>
    </w:p>
    <w:p>
      <w:pPr>
        <w:spacing w:after="0" w:line="1" w:lineRule="exact"/>
        <w:rPr>
          <w:sz w:val="20"/>
          <w:szCs w:val="20"/>
          <w:color w:val="auto"/>
        </w:rPr>
      </w:pPr>
    </w:p>
    <w:p>
      <w:pPr>
        <w:ind w:left="560" w:hanging="557"/>
        <w:spacing w:after="0"/>
        <w:tabs>
          <w:tab w:leader="none" w:pos="56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 ordinary share. The underwriters may also allow, and such dealers may reallow, a concession not in</w:t>
      </w:r>
    </w:p>
    <w:p>
      <w:pPr>
        <w:spacing w:after="0" w:line="17" w:lineRule="exact"/>
        <w:rPr>
          <w:sz w:val="20"/>
          <w:szCs w:val="20"/>
          <w:color w:val="auto"/>
        </w:rPr>
      </w:pPr>
    </w:p>
    <w:p>
      <w:pPr>
        <w:ind w:right="4299"/>
        <w:spacing w:after="0" w:line="256" w:lineRule="auto"/>
        <w:rPr>
          <w:sz w:val="20"/>
          <w:szCs w:val="20"/>
          <w:color w:val="auto"/>
        </w:rPr>
      </w:pPr>
      <w:r>
        <w:rPr>
          <w:rFonts w:ascii="Times New Roman" w:cs="Times New Roman" w:eastAsia="Times New Roman" w:hAnsi="Times New Roman"/>
          <w:sz w:val="14"/>
          <w:szCs w:val="14"/>
          <w:color w:val="auto"/>
        </w:rPr>
        <w:t>excess of $ per ordinary share to other dealers. After the ordinary shares are released for sale to the public, the representatives may change the offering price and other selling terms at various times.</w:t>
      </w:r>
    </w:p>
    <w:p>
      <w:pPr>
        <w:sectPr>
          <w:pgSz w:w="11900" w:h="16903" w:orient="portrait"/>
          <w:cols w:equalWidth="0" w:num="1">
            <w:col w:w="10239"/>
          </w:cols>
          <w:pgMar w:left="220" w:top="125" w:right="1440" w:bottom="0" w:gutter="0" w:footer="0" w:header="0"/>
        </w:sectPr>
      </w:pPr>
    </w:p>
    <w:bookmarkStart w:id="42" w:name="page43"/>
    <w:bookmarkEnd w:id="42"/>
    <w:p>
      <w:pPr>
        <w:spacing w:after="0" w:line="12" w:lineRule="exact"/>
        <w:rPr>
          <w:sz w:val="20"/>
          <w:szCs w:val="20"/>
          <w:color w:val="auto"/>
        </w:rPr>
      </w:pPr>
    </w:p>
    <w:p>
      <w:pPr>
        <w:ind w:right="4079"/>
        <w:spacing w:after="0" w:line="272" w:lineRule="auto"/>
        <w:rPr>
          <w:sz w:val="20"/>
          <w:szCs w:val="20"/>
          <w:color w:val="auto"/>
        </w:rPr>
      </w:pPr>
      <w:r>
        <w:rPr>
          <w:rFonts w:ascii="Times New Roman" w:cs="Times New Roman" w:eastAsia="Times New Roman" w:hAnsi="Times New Roman"/>
          <w:sz w:val="13"/>
          <w:szCs w:val="13"/>
          <w:color w:val="auto"/>
        </w:rPr>
        <w:t>We have granted the underwriters an over-allotment option. This option, which is exercisable for up to 30 days after the date of this prospectus, permits the underwriters to purchase a maximum of 1,800,000 additional ordinary shares from us to cover overallotments. If the underwriters exercise all or part of this option, they will purchase shares covered by the option at the public offering price that appears on the cover page of this prospectus, less the underwriting discount. If this option is exercised in full, the total price to public will be</w:t>
      </w:r>
    </w:p>
    <w:p>
      <w:pPr>
        <w:spacing w:after="0" w:line="1" w:lineRule="exact"/>
        <w:rPr>
          <w:sz w:val="20"/>
          <w:szCs w:val="20"/>
          <w:color w:val="auto"/>
        </w:rPr>
      </w:pPr>
    </w:p>
    <w:p>
      <w:pPr>
        <w:ind w:right="3939"/>
        <w:spacing w:after="0" w:line="252" w:lineRule="auto"/>
        <w:rPr>
          <w:sz w:val="20"/>
          <w:szCs w:val="20"/>
          <w:color w:val="auto"/>
        </w:rPr>
      </w:pPr>
      <w:r>
        <w:rPr>
          <w:rFonts w:ascii="Times New Roman" w:cs="Times New Roman" w:eastAsia="Times New Roman" w:hAnsi="Times New Roman"/>
          <w:sz w:val="14"/>
          <w:szCs w:val="14"/>
          <w:color w:val="auto"/>
        </w:rPr>
        <w:t>$ , and the total proceeds to us will be $ . The underwriters have severally agreed that, to the extent the over-allotment option is exercised, they will each purchase a number of additional shares proportionate to the underwriter's initial amount reflected in the foregoing table.</w:t>
      </w:r>
    </w:p>
    <w:p>
      <w:pPr>
        <w:spacing w:after="0" w:line="61" w:lineRule="exact"/>
        <w:rPr>
          <w:sz w:val="20"/>
          <w:szCs w:val="20"/>
          <w:color w:val="auto"/>
        </w:rPr>
      </w:pPr>
    </w:p>
    <w:p>
      <w:pPr>
        <w:ind w:right="4019"/>
        <w:spacing w:after="0" w:line="279" w:lineRule="auto"/>
        <w:rPr>
          <w:sz w:val="20"/>
          <w:szCs w:val="20"/>
          <w:color w:val="auto"/>
        </w:rPr>
      </w:pPr>
      <w:r>
        <w:rPr>
          <w:rFonts w:ascii="Times New Roman" w:cs="Times New Roman" w:eastAsia="Times New Roman" w:hAnsi="Times New Roman"/>
          <w:sz w:val="14"/>
          <w:szCs w:val="14"/>
          <w:color w:val="auto"/>
        </w:rPr>
        <w:t>The following table provides information regarding the amount of the discount to be paid to the underwriters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3761105" cy="7302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3761105" cy="73025"/>
                    </a:xfrm>
                    <a:prstGeom prst="rect">
                      <a:avLst/>
                    </a:prstGeom>
                    <a:noFill/>
                  </pic:spPr>
                </pic:pic>
              </a:graphicData>
            </a:graphic>
          </wp:anchor>
        </w:drawing>
      </w:r>
    </w:p>
    <w:p>
      <w:pPr>
        <w:spacing w:after="0" w:line="183" w:lineRule="exact"/>
        <w:rPr>
          <w:sz w:val="20"/>
          <w:szCs w:val="20"/>
          <w:color w:val="auto"/>
        </w:rPr>
      </w:pPr>
    </w:p>
    <w:tbl>
      <w:tblPr>
        <w:tblLayout w:type="fixed"/>
        <w:tblInd w:w="3020" w:type="dxa"/>
        <w:tblCellMar>
          <w:top w:w="0" w:type="dxa"/>
          <w:left w:w="0" w:type="dxa"/>
          <w:bottom w:w="0" w:type="dxa"/>
          <w:right w:w="0" w:type="dxa"/>
        </w:tblCellMar>
      </w:tblPr>
      <w:tr>
        <w:trPr>
          <w:trHeight w:val="126"/>
        </w:trPr>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8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Total With</w:t>
            </w:r>
          </w:p>
        </w:tc>
        <w:tc>
          <w:tcPr>
            <w:tcW w:w="0" w:type="dxa"/>
            <w:vAlign w:val="bottom"/>
          </w:tcPr>
          <w:p>
            <w:pPr>
              <w:spacing w:after="0"/>
              <w:rPr>
                <w:sz w:val="1"/>
                <w:szCs w:val="1"/>
                <w:color w:val="auto"/>
              </w:rPr>
            </w:pPr>
          </w:p>
        </w:tc>
      </w:tr>
      <w:tr>
        <w:trPr>
          <w:trHeight w:val="115"/>
        </w:trPr>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Without</w:t>
            </w: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Full</w:t>
            </w:r>
          </w:p>
        </w:tc>
        <w:tc>
          <w:tcPr>
            <w:tcW w:w="0" w:type="dxa"/>
            <w:vAlign w:val="bottom"/>
          </w:tcPr>
          <w:p>
            <w:pPr>
              <w:spacing w:after="0"/>
              <w:rPr>
                <w:sz w:val="1"/>
                <w:szCs w:val="1"/>
                <w:color w:val="auto"/>
              </w:rPr>
            </w:pPr>
          </w:p>
        </w:tc>
      </w:tr>
      <w:tr>
        <w:trPr>
          <w:trHeight w:val="115"/>
        </w:trPr>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Exercise of</w:t>
            </w: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Exercise of</w:t>
            </w:r>
          </w:p>
        </w:tc>
        <w:tc>
          <w:tcPr>
            <w:tcW w:w="0" w:type="dxa"/>
            <w:vAlign w:val="bottom"/>
          </w:tcPr>
          <w:p>
            <w:pPr>
              <w:spacing w:after="0"/>
              <w:rPr>
                <w:sz w:val="1"/>
                <w:szCs w:val="1"/>
                <w:color w:val="auto"/>
              </w:rPr>
            </w:pPr>
          </w:p>
        </w:tc>
      </w:tr>
      <w:tr>
        <w:trPr>
          <w:trHeight w:val="115"/>
        </w:trPr>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Over-</w:t>
            </w: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Over-</w:t>
            </w:r>
          </w:p>
        </w:tc>
        <w:tc>
          <w:tcPr>
            <w:tcW w:w="0" w:type="dxa"/>
            <w:vAlign w:val="bottom"/>
          </w:tcPr>
          <w:p>
            <w:pPr>
              <w:spacing w:after="0"/>
              <w:rPr>
                <w:sz w:val="1"/>
                <w:szCs w:val="1"/>
                <w:color w:val="auto"/>
              </w:rPr>
            </w:pPr>
          </w:p>
        </w:tc>
      </w:tr>
      <w:tr>
        <w:trPr>
          <w:trHeight w:val="115"/>
        </w:trPr>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Allotment</w:t>
            </w:r>
          </w:p>
        </w:tc>
        <w:tc>
          <w:tcPr>
            <w:tcW w:w="800" w:type="dxa"/>
            <w:vAlign w:val="bottom"/>
          </w:tcPr>
          <w:p>
            <w:pPr>
              <w:spacing w:after="0"/>
              <w:rPr>
                <w:sz w:val="9"/>
                <w:szCs w:val="9"/>
                <w:color w:val="auto"/>
              </w:rPr>
            </w:pPr>
          </w:p>
        </w:tc>
        <w:tc>
          <w:tcPr>
            <w:tcW w:w="5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Allotment</w:t>
            </w:r>
          </w:p>
        </w:tc>
        <w:tc>
          <w:tcPr>
            <w:tcW w:w="0" w:type="dxa"/>
            <w:vAlign w:val="bottom"/>
          </w:tcPr>
          <w:p>
            <w:pPr>
              <w:spacing w:after="0"/>
              <w:rPr>
                <w:sz w:val="1"/>
                <w:szCs w:val="1"/>
                <w:color w:val="auto"/>
              </w:rPr>
            </w:pPr>
          </w:p>
        </w:tc>
      </w:tr>
      <w:tr>
        <w:trPr>
          <w:trHeight w:val="134"/>
        </w:trPr>
        <w:tc>
          <w:tcPr>
            <w:tcW w:w="520" w:type="dxa"/>
            <w:vAlign w:val="bottom"/>
            <w:tcBorders>
              <w:bottom w:val="single" w:sz="8" w:color="auto"/>
            </w:tcBorders>
            <w:vMerge w:val="continue"/>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80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-224155</wp:posOffset>
            </wp:positionV>
            <wp:extent cx="13335" cy="635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-224155</wp:posOffset>
            </wp:positionV>
            <wp:extent cx="13335" cy="635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-224155</wp:posOffset>
            </wp:positionV>
            <wp:extent cx="13335" cy="635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198120</wp:posOffset>
            </wp:positionV>
            <wp:extent cx="13335" cy="635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198120</wp:posOffset>
            </wp:positionV>
            <wp:extent cx="13335" cy="635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198120</wp:posOffset>
            </wp:positionV>
            <wp:extent cx="13335" cy="635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1403350</wp:posOffset>
            </wp:positionH>
            <wp:positionV relativeFrom="paragraph">
              <wp:posOffset>469265</wp:posOffset>
            </wp:positionV>
            <wp:extent cx="13335" cy="635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469265</wp:posOffset>
            </wp:positionV>
            <wp:extent cx="13335" cy="635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469265</wp:posOffset>
            </wp:positionV>
            <wp:extent cx="13335" cy="635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535305</wp:posOffset>
            </wp:positionV>
            <wp:extent cx="6350" cy="6604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estimate that our total expenses of the offering, excluding the underwriting discount, will be approximately</w:t>
      </w:r>
    </w:p>
    <w:p>
      <w:pPr>
        <w:spacing w:after="0" w:line="21" w:lineRule="exact"/>
        <w:rPr>
          <w:sz w:val="20"/>
          <w:szCs w:val="20"/>
          <w:color w:val="auto"/>
        </w:rPr>
      </w:pPr>
    </w:p>
    <w:p>
      <w:pPr>
        <w:ind w:left="520" w:hanging="517"/>
        <w:spacing w:after="0"/>
        <w:tabs>
          <w:tab w:leader="none" w:pos="5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99"/>
        <w:spacing w:after="0" w:line="279" w:lineRule="auto"/>
        <w:rPr>
          <w:sz w:val="20"/>
          <w:szCs w:val="20"/>
          <w:color w:val="auto"/>
        </w:rPr>
      </w:pPr>
      <w:r>
        <w:rPr>
          <w:rFonts w:ascii="Times New Roman" w:cs="Times New Roman" w:eastAsia="Times New Roman" w:hAnsi="Times New Roman"/>
          <w:sz w:val="14"/>
          <w:szCs w:val="14"/>
          <w:color w:val="auto"/>
        </w:rPr>
        <w:t>We have agreed to indemnify the underwriters against certain liabilities, including liabilities under the Securities Act of 1933.</w:t>
      </w:r>
    </w:p>
    <w:p>
      <w:pPr>
        <w:spacing w:after="0" w:line="42" w:lineRule="exact"/>
        <w:rPr>
          <w:sz w:val="20"/>
          <w:szCs w:val="20"/>
          <w:color w:val="auto"/>
        </w:rPr>
      </w:pPr>
    </w:p>
    <w:p>
      <w:pPr>
        <w:ind w:right="3919"/>
        <w:spacing w:after="0" w:line="256" w:lineRule="auto"/>
        <w:rPr>
          <w:sz w:val="20"/>
          <w:szCs w:val="20"/>
          <w:color w:val="auto"/>
        </w:rPr>
      </w:pPr>
      <w:r>
        <w:rPr>
          <w:rFonts w:ascii="Times New Roman" w:cs="Times New Roman" w:eastAsia="Times New Roman" w:hAnsi="Times New Roman"/>
          <w:sz w:val="14"/>
          <w:szCs w:val="14"/>
          <w:color w:val="auto"/>
        </w:rPr>
        <w:t>We, our officers and directors and other stockholders have agreed to a 180-day "lock up" with respect to 35,745,804 ordinary shares that they beneficially own, including securities that are convertible into ordinary shares and securities that are exchangeable or exercisable for ordinary shares. This means that, for a period of 180 days following the date of this prospectus, we and such persons may not offer, sell, pledge or otherwise dispose of these securities without the prior written consent of CIBC World Markets Corp.</w:t>
      </w:r>
    </w:p>
    <w:p>
      <w:pPr>
        <w:spacing w:after="0" w:line="57" w:lineRule="exact"/>
        <w:rPr>
          <w:sz w:val="20"/>
          <w:szCs w:val="20"/>
          <w:color w:val="auto"/>
        </w:rPr>
      </w:pPr>
    </w:p>
    <w:p>
      <w:pPr>
        <w:jc w:val="both"/>
        <w:ind w:right="3939"/>
        <w:spacing w:after="0" w:line="263" w:lineRule="auto"/>
        <w:rPr>
          <w:sz w:val="20"/>
          <w:szCs w:val="20"/>
          <w:color w:val="auto"/>
        </w:rPr>
      </w:pPr>
      <w:r>
        <w:rPr>
          <w:rFonts w:ascii="Times New Roman" w:cs="Times New Roman" w:eastAsia="Times New Roman" w:hAnsi="Times New Roman"/>
          <w:sz w:val="14"/>
          <w:szCs w:val="14"/>
          <w:color w:val="auto"/>
        </w:rPr>
        <w:t>Rules of the Securities and Exchange Commission may limit the ability of the underwriters to bid for or purchase shares before the distribution of the shares is completed. However, the underwriters may engage in the following activities in accordance with the rules:</w:t>
      </w:r>
    </w:p>
    <w:p>
      <w:pPr>
        <w:spacing w:after="0" w:line="137" w:lineRule="exact"/>
        <w:rPr>
          <w:sz w:val="20"/>
          <w:szCs w:val="20"/>
          <w:color w:val="auto"/>
        </w:rPr>
      </w:pPr>
    </w:p>
    <w:p>
      <w:pPr>
        <w:ind w:left="400" w:right="4479" w:hanging="261"/>
        <w:spacing w:after="0" w:line="263" w:lineRule="auto"/>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Stabilizing transactions — The representatives may make bids or purchases for the purpose of pegging, fixing or maintaining the price of the shares, so long as stabilizing bids do not exceed a specified maximum.</w:t>
      </w:r>
    </w:p>
    <w:p>
      <w:pPr>
        <w:spacing w:after="0" w:line="137" w:lineRule="exact"/>
        <w:rPr>
          <w:rFonts w:ascii="Times New Roman" w:cs="Times New Roman" w:eastAsia="Times New Roman" w:hAnsi="Times New Roman"/>
          <w:sz w:val="14"/>
          <w:szCs w:val="14"/>
          <w:color w:val="auto"/>
        </w:rPr>
      </w:pPr>
    </w:p>
    <w:p>
      <w:pPr>
        <w:ind w:left="400" w:right="4319" w:hanging="261"/>
        <w:spacing w:after="0" w:line="250" w:lineRule="auto"/>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Over-allotments and syndicate covering transactions — The underwriters may sell more shares of our ordinary shares in connection with this offering than the number of shares than they have committed to purchase. This over-allotment creates a short position for the underwriters. This short sales position may involve either "covered" short sales or "naked" short sales. Covered short sales are short sales made in an amount not greater than the underwriters' over-allotment option to purchase additional shares in this offering described above. The underwriters may close out any covered short position either by exercising their over-allotment option or by purchasing shares in the open market. To determine how they will close the covered short position, the underwriters will consider, among other things, the price of shares available for purchase in the open market, as compared to the price at which they may purchase shares through the over-allotment option. Naked short sales are short sales in excess of the over-allotment option. The underwriters must close out any naked short position by purchasing shares in the open market. A naked short position is more likely to be created if the underwriters are concerned that, in the open market after pricing, there may be downward pressure on the price of the shares that could adversely affect investors who purchase shares in this offering.</w:t>
      </w:r>
    </w:p>
    <w:p>
      <w:pPr>
        <w:spacing w:after="0" w:line="149" w:lineRule="exact"/>
        <w:rPr>
          <w:rFonts w:ascii="Times New Roman" w:cs="Times New Roman" w:eastAsia="Times New Roman" w:hAnsi="Times New Roman"/>
          <w:sz w:val="14"/>
          <w:szCs w:val="14"/>
          <w:color w:val="auto"/>
        </w:rPr>
      </w:pPr>
    </w:p>
    <w:p>
      <w:pPr>
        <w:ind w:left="400" w:right="4659" w:hanging="261"/>
        <w:spacing w:after="0" w:line="263" w:lineRule="auto"/>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Penalty bids — If the representatives purchase shares in the open market in a stabilizing transaction or syndicate covering transaction, they may reclaim a selling concession from the underwriters and selling group members who sold those shares as part of this offering.</w:t>
      </w:r>
    </w:p>
    <w:p>
      <w:pPr>
        <w:spacing w:after="0" w:line="137" w:lineRule="exact"/>
        <w:rPr>
          <w:rFonts w:ascii="Times New Roman" w:cs="Times New Roman" w:eastAsia="Times New Roman" w:hAnsi="Times New Roman"/>
          <w:sz w:val="14"/>
          <w:szCs w:val="14"/>
          <w:color w:val="auto"/>
        </w:rPr>
      </w:pPr>
    </w:p>
    <w:p>
      <w:pPr>
        <w:ind w:left="400" w:right="4599" w:hanging="261"/>
        <w:spacing w:after="0" w:line="263" w:lineRule="auto"/>
        <w:tabs>
          <w:tab w:leader="none" w:pos="4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market making — Market makers in the shares who are underwriters or prospective underwriters may make bids for or purchases of shares, subject to limitations, until the time, if ever, at which a stabilizing bid is made.</w:t>
      </w:r>
    </w:p>
    <w:p>
      <w:pPr>
        <w:spacing w:after="0" w:line="137" w:lineRule="exact"/>
        <w:rPr>
          <w:sz w:val="20"/>
          <w:szCs w:val="20"/>
          <w:color w:val="auto"/>
        </w:rPr>
      </w:pPr>
    </w:p>
    <w:p>
      <w:pPr>
        <w:ind w:right="3959"/>
        <w:spacing w:after="0" w:line="254" w:lineRule="auto"/>
        <w:rPr>
          <w:sz w:val="20"/>
          <w:szCs w:val="20"/>
          <w:color w:val="auto"/>
        </w:rPr>
      </w:pPr>
      <w:r>
        <w:rPr>
          <w:rFonts w:ascii="Times New Roman" w:cs="Times New Roman" w:eastAsia="Times New Roman" w:hAnsi="Times New Roman"/>
          <w:sz w:val="14"/>
          <w:szCs w:val="14"/>
          <w:color w:val="auto"/>
        </w:rPr>
        <w:t>Similar to other purchase transactions, the underwriters' purchases to cover the syndicate short sales or to stabilize the market price of our ordinary shares may have the effect of raising or maintaining the market price of our ordinary shares or preventing or mitigating a decline in the market price of our ordinary shares. As a result, the price of our ordinary shares may be higher than the price that might otherwise exist in the open market. The imposition of a penalty bid might also have an effect on the price of the shares if it discourages resales of the shares.</w:t>
      </w:r>
    </w:p>
    <w:p>
      <w:pPr>
        <w:spacing w:after="0" w:line="60" w:lineRule="exact"/>
        <w:rPr>
          <w:sz w:val="20"/>
          <w:szCs w:val="20"/>
          <w:color w:val="auto"/>
        </w:rPr>
      </w:pPr>
    </w:p>
    <w:p>
      <w:pPr>
        <w:ind w:right="4039"/>
        <w:spacing w:after="0" w:line="293" w:lineRule="auto"/>
        <w:rPr>
          <w:sz w:val="20"/>
          <w:szCs w:val="20"/>
          <w:color w:val="auto"/>
        </w:rPr>
      </w:pPr>
      <w:r>
        <w:rPr>
          <w:rFonts w:ascii="Times New Roman" w:cs="Times New Roman" w:eastAsia="Times New Roman" w:hAnsi="Times New Roman"/>
          <w:sz w:val="13"/>
          <w:szCs w:val="13"/>
          <w:color w:val="auto"/>
        </w:rPr>
        <w:t>Neither we nor the underwriters make any representation or prediction as to the effect that the transactions described above may have on the price of the shares. These transactions may occur on the Nasdaq National Market or otherwise. If such transactions are commenced, they may be discontinued without notice at any time.</w:t>
      </w:r>
    </w:p>
    <w:p>
      <w:pPr>
        <w:spacing w:after="0" w:line="17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Material Agreements</w:t>
      </w:r>
    </w:p>
    <w:p>
      <w:pPr>
        <w:spacing w:after="0" w:line="89" w:lineRule="exact"/>
        <w:rPr>
          <w:sz w:val="20"/>
          <w:szCs w:val="20"/>
          <w:color w:val="auto"/>
        </w:rPr>
      </w:pPr>
    </w:p>
    <w:p>
      <w:pPr>
        <w:ind w:right="3919"/>
        <w:spacing w:after="0" w:line="275" w:lineRule="auto"/>
        <w:rPr>
          <w:sz w:val="20"/>
          <w:szCs w:val="20"/>
          <w:color w:val="auto"/>
        </w:rPr>
      </w:pPr>
      <w:r>
        <w:rPr>
          <w:rFonts w:ascii="Times New Roman" w:cs="Times New Roman" w:eastAsia="Times New Roman" w:hAnsi="Times New Roman"/>
          <w:sz w:val="13"/>
          <w:szCs w:val="13"/>
          <w:i w:val="1"/>
          <w:iCs w:val="1"/>
          <w:color w:val="auto"/>
        </w:rPr>
        <w:t>Credit Facility</w:t>
      </w:r>
      <w:r>
        <w:rPr>
          <w:rFonts w:ascii="Times New Roman" w:cs="Times New Roman" w:eastAsia="Times New Roman" w:hAnsi="Times New Roman"/>
          <w:sz w:val="13"/>
          <w:szCs w:val="13"/>
          <w:color w:val="auto"/>
        </w:rPr>
        <w:t>. In January 2001, we entered into a credit facility with two leading Israeli banks, Bank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Hapoalim and Bank Leumi, pursuant to which the banks committed to make available to us up to $550 million of loans for the Fab 2 project. As a result of our reduction of the total project cost of Fab 2 through the renegotiation of equipment prices and a change of equipment suppliers, we and our banks have agreed to amend the credit facility such that the total amount of loans committed by the banks has been reduced to $500 million. Pursuant to the comprehensive amendment to the credit facility signed on November, 11, 2003, the loans may be drawn down through December 2004 and are repayable as follows: (i) with respect to loans received by us through December 31, 2003, we will repay our banks on December 31, 2003 all amounts due by such date and, concurrently, will</w:t>
      </w:r>
    </w:p>
    <w:p>
      <w:pPr>
        <w:sectPr>
          <w:pgSz w:w="11900" w:h="16851" w:orient="portrait"/>
          <w:cols w:equalWidth="0" w:num="1">
            <w:col w:w="10239"/>
          </w:cols>
          <w:pgMar w:left="220" w:top="208" w:right="1440" w:bottom="0" w:gutter="0" w:footer="0" w:header="0"/>
        </w:sectPr>
      </w:pPr>
    </w:p>
    <w:bookmarkStart w:id="43" w:name="page44"/>
    <w:bookmarkEnd w:id="43"/>
    <w:p>
      <w:pPr>
        <w:ind w:right="3919"/>
        <w:spacing w:after="0" w:line="250" w:lineRule="auto"/>
        <w:rPr>
          <w:sz w:val="20"/>
          <w:szCs w:val="20"/>
          <w:color w:val="auto"/>
        </w:rPr>
      </w:pPr>
      <w:r>
        <w:rPr>
          <w:rFonts w:ascii="Times New Roman" w:cs="Times New Roman" w:eastAsia="Times New Roman" w:hAnsi="Times New Roman"/>
          <w:sz w:val="14"/>
          <w:szCs w:val="14"/>
          <w:color w:val="auto"/>
        </w:rPr>
        <w:t>draw down an equivalent amount from our banks on such date to be repaid in 12 quarterly installments commencing on March 31, 2007 and bearing interest, payable quarterly, at LIBOR plus 2.5%, and (ii) with respect to loans received after December 31, 2003, we will repay our banks, in 12 quarterly installments, or before the maturity date of the facility, commencing three years from the drawdown date of each loan and bearing interest, payable quarterly, at LIBOR plus 2.5%. As of the date of this prospectus, we have drawn $401 million in loans. We pay the banks an annual commitment fee of 0.25% of any unused portion of the facility. The banks' obligation to fund the loans is subject to the satisfaction of the following revised Fab 2 production capacity milestones: (i) successful production of 10,000 wafer starts per month by June 30, 2004 (or February 15, 2005, when taking into account a seven and a half month grace period) and (ii) full manufacturing capacity of 33,000 wafer starts per month by December 31, 2007, as well as to additional conditions and covenants, including restrictions on debt, prohibition on the issuance of dividends prior to 2008, limitations on a change of ownership (which generally requires that, through January 2006, our three largest wafer partners not sell the shares they purchased in connection with each of their $75 million investments in our shares other than a portion of their holdings which may be sold prior to this date and that Israel Corporation Technologies (ICTech) Ltd. hold during this period at least the higher of (i) eight million of our ordinary shares or (ii) 16.5% of our issued share capital less two million ordinary shares, with portions of the shares held by our wafer partners being released from these restrictions through January 2008 and January 2009 with respect to ICTech).</w:t>
      </w:r>
    </w:p>
    <w:p>
      <w:pPr>
        <w:spacing w:after="0" w:line="64" w:lineRule="exact"/>
        <w:rPr>
          <w:sz w:val="20"/>
          <w:szCs w:val="20"/>
          <w:color w:val="auto"/>
        </w:rPr>
      </w:pPr>
    </w:p>
    <w:p>
      <w:pPr>
        <w:ind w:right="3939"/>
        <w:spacing w:after="0" w:line="250" w:lineRule="auto"/>
        <w:rPr>
          <w:sz w:val="20"/>
          <w:szCs w:val="20"/>
          <w:color w:val="auto"/>
        </w:rPr>
      </w:pPr>
      <w:r>
        <w:rPr>
          <w:rFonts w:ascii="Times New Roman" w:cs="Times New Roman" w:eastAsia="Times New Roman" w:hAnsi="Times New Roman"/>
          <w:sz w:val="14"/>
          <w:szCs w:val="14"/>
          <w:color w:val="auto"/>
        </w:rPr>
        <w:t>Under the terms of the amended facility agreement, we must also meet certain financial ratios. For any quarter commencing from the third quarter of 2001, the "life of loan coverage ratio" (which is the ratio of our Fab 2 net cash flow to our total debt related to Fab 2 in any quarter) is not permitted to be less than 1.3 at any time. In addition, our ratio of equity to assets is not permitted to be less than 0% until the end of 2006, 20% during 2007 and 30% thereafter, until the termination of the facility agreement. The facility agreement also provides that we must comply with additional financial covenants relating to quarterly sales and quarterly earnings before interest, taxes, depreciation and amortization (quarterly EBITDA). As of the second quarter of 2004, our Fab 2 quarterly sales and Fab 2 quarterly EBITDA must be no lower than certain amounts set forth in the facility agreement, as amended. As of the second quarter of 2005, we must comply with three additional financial covenants relating to annual EBITDA, EBITDA over Debt Services and Debt over EBITDA. For purposes of calculating sales to determine our compliance with these financial covenants, we calculate our sales based on the actual gross price per wafer paid to us and we do not discount the price paid by our wafer partners to reflect the wafer credits which they may utilize when purchasing our products. We are currently in compliance with all of the above financial covenants.</w:t>
      </w:r>
    </w:p>
    <w:p>
      <w:pPr>
        <w:spacing w:after="0" w:line="67" w:lineRule="exact"/>
        <w:rPr>
          <w:sz w:val="20"/>
          <w:szCs w:val="20"/>
          <w:color w:val="auto"/>
        </w:rPr>
      </w:pPr>
    </w:p>
    <w:p>
      <w:pPr>
        <w:ind w:right="3999"/>
        <w:spacing w:after="0" w:line="258" w:lineRule="auto"/>
        <w:rPr>
          <w:sz w:val="20"/>
          <w:szCs w:val="20"/>
          <w:color w:val="auto"/>
        </w:rPr>
      </w:pPr>
      <w:r>
        <w:rPr>
          <w:rFonts w:ascii="Times New Roman" w:cs="Times New Roman" w:eastAsia="Times New Roman" w:hAnsi="Times New Roman"/>
          <w:sz w:val="14"/>
          <w:szCs w:val="14"/>
          <w:color w:val="auto"/>
        </w:rPr>
        <w:t>Pursuant to the amendment, we have to raise an aggregate amount of $152 million from specified financial sources by the following dates, and were to raise $24.6 million from our Fab 2 investors in connection with their fifth milestone payment by December 11, 2003 (see "Certain Transactions — Amendment to Fifth Milestone Payment Schedule"):</w:t>
      </w:r>
    </w:p>
    <w:p>
      <w:pPr>
        <w:spacing w:after="0" w:line="141" w:lineRule="exact"/>
        <w:rPr>
          <w:sz w:val="20"/>
          <w:szCs w:val="20"/>
          <w:color w:val="auto"/>
        </w:rPr>
      </w:pPr>
    </w:p>
    <w:p>
      <w:pPr>
        <w:ind w:left="400" w:hanging="261"/>
        <w:spacing w:after="0"/>
        <w:tabs>
          <w:tab w:leader="none" w:pos="4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$28.0 million by March 11, 2004;</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$25.5 million by June 30, 2004;</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$25.5 million by December 31, 2004;</w:t>
      </w:r>
    </w:p>
    <w:p>
      <w:pPr>
        <w:spacing w:after="0" w:line="22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hanging="261"/>
        <w:spacing w:after="0"/>
        <w:tabs>
          <w:tab w:leader="none" w:pos="4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$36.5 million by June 30, 2005; and</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$36.5 million by December 31, 2005.</w:t>
      </w:r>
    </w:p>
    <w:p>
      <w:pPr>
        <w:spacing w:after="0" w:line="172" w:lineRule="exact"/>
        <w:rPr>
          <w:sz w:val="20"/>
          <w:szCs w:val="20"/>
          <w:color w:val="auto"/>
        </w:rPr>
      </w:pPr>
    </w:p>
    <w:p>
      <w:pPr>
        <w:ind w:right="4099"/>
        <w:spacing w:after="0" w:line="319" w:lineRule="auto"/>
        <w:rPr>
          <w:sz w:val="20"/>
          <w:szCs w:val="20"/>
          <w:color w:val="auto"/>
        </w:rPr>
      </w:pPr>
      <w:r>
        <w:rPr>
          <w:rFonts w:ascii="Times New Roman" w:cs="Times New Roman" w:eastAsia="Times New Roman" w:hAnsi="Times New Roman"/>
          <w:sz w:val="13"/>
          <w:szCs w:val="13"/>
          <w:color w:val="auto"/>
        </w:rPr>
        <w:t>The amendment to the credit facility provides that, should we fail to meet any of these fundraising obligations, the banks will have the option to demand that we consummate a rights offering under the following terms:</w:t>
      </w:r>
    </w:p>
    <w:p>
      <w:pPr>
        <w:spacing w:after="0" w:line="102" w:lineRule="exact"/>
        <w:rPr>
          <w:sz w:val="20"/>
          <w:szCs w:val="20"/>
          <w:color w:val="auto"/>
        </w:rPr>
      </w:pPr>
    </w:p>
    <w:p>
      <w:pPr>
        <w:ind w:left="400" w:right="4419" w:hanging="261"/>
        <w:spacing w:after="0" w:line="279" w:lineRule="auto"/>
        <w:tabs>
          <w:tab w:leader="none" w:pos="4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the rights offering shall equal to the difference between the amount actually raised towards the failed financing obligation and what was to be raised;</w:t>
      </w:r>
    </w:p>
    <w:p>
      <w:pPr>
        <w:spacing w:after="0" w:line="125" w:lineRule="exact"/>
        <w:rPr>
          <w:rFonts w:ascii="Times New Roman" w:cs="Times New Roman" w:eastAsia="Times New Roman" w:hAnsi="Times New Roman"/>
          <w:sz w:val="14"/>
          <w:szCs w:val="14"/>
          <w:color w:val="auto"/>
        </w:rPr>
      </w:pPr>
    </w:p>
    <w:p>
      <w:pPr>
        <w:ind w:left="400" w:right="4479" w:hanging="261"/>
        <w:spacing w:after="0" w:line="258" w:lineRule="auto"/>
        <w:tabs>
          <w:tab w:leader="none" w:pos="4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offer convertible securities to all of our shareholders in units comprised of convertible debentures, convertible into, and warrants exercisable for, our ordinary shares so that each unit will include 45% warrant coverage of the amount of shares that may be issued on the basis of an assumed conversion of the convertible debentures;</w:t>
      </w:r>
    </w:p>
    <w:p>
      <w:pPr>
        <w:spacing w:after="0" w:line="140" w:lineRule="exact"/>
        <w:rPr>
          <w:rFonts w:ascii="Times New Roman" w:cs="Times New Roman" w:eastAsia="Times New Roman" w:hAnsi="Times New Roman"/>
          <w:sz w:val="14"/>
          <w:szCs w:val="14"/>
          <w:color w:val="auto"/>
        </w:rPr>
      </w:pPr>
    </w:p>
    <w:p>
      <w:pPr>
        <w:ind w:left="400" w:right="4319" w:hanging="261"/>
        <w:spacing w:after="0" w:line="258" w:lineRule="auto"/>
        <w:tabs>
          <w:tab w:leader="none" w:pos="4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convertible debenture will bear interest at the rate of 6% per year; 1% interest will be payable once a year, and the balance of such interest (5%) will accrue until the maturity of the convertible debentures on a compound basis, which maturity shall be a date no earlier than December 31, 2009;</w:t>
      </w:r>
    </w:p>
    <w:p>
      <w:pPr>
        <w:spacing w:after="0" w:line="140" w:lineRule="exact"/>
        <w:rPr>
          <w:rFonts w:ascii="Times New Roman" w:cs="Times New Roman" w:eastAsia="Times New Roman" w:hAnsi="Times New Roman"/>
          <w:sz w:val="14"/>
          <w:szCs w:val="14"/>
          <w:color w:val="auto"/>
        </w:rPr>
      </w:pPr>
    </w:p>
    <w:p>
      <w:pPr>
        <w:ind w:left="400" w:right="4419" w:hanging="261"/>
        <w:spacing w:after="0" w:line="253" w:lineRule="auto"/>
        <w:tabs>
          <w:tab w:leader="none" w:pos="4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convertible debentures (principal and compounded interest) will be convertible into our ordinary shares at a rate equal to the amount that was to be raised plus the accumulated interest at such time of conversion divided by the lower of a (i) 50% discount of the market price of our shares at the close of trading, on the trading day immediately prior to the date of the prospectus relating to the rights offering or (ii) 50% discount of the average market price of our ordinary shares during the 15 consecutive trading days prior to the date of prospectus relating to the rights offering;</w:t>
      </w:r>
    </w:p>
    <w:p>
      <w:pPr>
        <w:spacing w:after="0" w:line="144" w:lineRule="exact"/>
        <w:rPr>
          <w:rFonts w:ascii="Times New Roman" w:cs="Times New Roman" w:eastAsia="Times New Roman" w:hAnsi="Times New Roman"/>
          <w:sz w:val="14"/>
          <w:szCs w:val="14"/>
          <w:color w:val="auto"/>
        </w:rPr>
      </w:pPr>
    </w:p>
    <w:p>
      <w:pPr>
        <w:ind w:left="400" w:right="4339" w:hanging="261"/>
        <w:spacing w:after="0" w:line="256" w:lineRule="auto"/>
        <w:tabs>
          <w:tab w:leader="none" w:pos="4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warrant will be exercisable into one of our ordinary shares at such exercise price, which is equivalent to 80% of the lower of (i) the trading price for our ordinary shares at the close of trading on the trading day immediately prior to the date of prospectus relating to the rights offering or (ii) the average trading price for our shares during the 15 consecutive trading days preceding the date of the prospectus relating to the rights offering; and</w:t>
      </w:r>
    </w:p>
    <w:p>
      <w:pPr>
        <w:spacing w:after="0" w:line="140"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warrants shall expire five years from their date of issuance.</w:t>
      </w:r>
    </w:p>
    <w:p>
      <w:pPr>
        <w:spacing w:after="0" w:line="172" w:lineRule="exact"/>
        <w:rPr>
          <w:sz w:val="20"/>
          <w:szCs w:val="20"/>
          <w:color w:val="auto"/>
        </w:rPr>
      </w:pPr>
    </w:p>
    <w:p>
      <w:pPr>
        <w:ind w:right="3979"/>
        <w:spacing w:after="0" w:line="251" w:lineRule="auto"/>
        <w:rPr>
          <w:sz w:val="20"/>
          <w:szCs w:val="20"/>
          <w:color w:val="auto"/>
        </w:rPr>
      </w:pPr>
      <w:r>
        <w:rPr>
          <w:rFonts w:ascii="Times New Roman" w:cs="Times New Roman" w:eastAsia="Times New Roman" w:hAnsi="Times New Roman"/>
          <w:sz w:val="14"/>
          <w:szCs w:val="14"/>
          <w:color w:val="auto"/>
        </w:rPr>
        <w:t>If our banks exercise this option, The Israel Corporation Ltd. ("TIC"), the parent company of our current major shareholder ("ICTech"), has undertaken to our banks to exercise all of the rights ICTech receives in the rights offering. In addition, as part of TIC's commitment, it will purchase from us additional securities in a private placement on the same terms as the rights offering, in an amount equal to 50/93 of the difference between what we actually raised towards the failed financing obligation and what was to be raised, less amounts raised in the rights offering, if any (including less any amounts invested in the rights offering in connection with TIC's exercise of its own rights). TIC's undertaking to our banks is limited to an aggregate of $50 million. If certain of our shareholders participate in the above investments, then their investments will be deemed to be investments made by TIC towards its $50 million commitment. In the event that the rights offering cannot be completed, TIC has undertaken to purchase from us in a private placement 50/93 of the amount we were to raise in the rights offering. TIC may fulfill its investment commitments through ICTech.</w:t>
      </w:r>
    </w:p>
    <w:p>
      <w:pPr>
        <w:spacing w:after="0" w:line="63" w:lineRule="exact"/>
        <w:rPr>
          <w:sz w:val="20"/>
          <w:szCs w:val="20"/>
          <w:color w:val="auto"/>
        </w:rPr>
      </w:pPr>
    </w:p>
    <w:p>
      <w:pPr>
        <w:ind w:right="3979"/>
        <w:spacing w:after="0" w:line="319" w:lineRule="auto"/>
        <w:rPr>
          <w:sz w:val="20"/>
          <w:szCs w:val="20"/>
          <w:color w:val="auto"/>
        </w:rPr>
      </w:pPr>
      <w:r>
        <w:rPr>
          <w:rFonts w:ascii="Times New Roman" w:cs="Times New Roman" w:eastAsia="Times New Roman" w:hAnsi="Times New Roman"/>
          <w:sz w:val="13"/>
          <w:szCs w:val="13"/>
          <w:color w:val="auto"/>
        </w:rPr>
        <w:t>TIC's commitment and our obligation to consummate a rights offering expires on the earlier of: (i) such time that we will fulfill our fundraising obligation to raise an aggregate of $152 million under the credit facility, (ii) such</w:t>
      </w:r>
    </w:p>
    <w:p>
      <w:pPr>
        <w:sectPr>
          <w:pgSz w:w="11900" w:h="16838" w:orient="portrait"/>
          <w:cols w:equalWidth="0" w:num="1">
            <w:col w:w="10239"/>
          </w:cols>
          <w:pgMar w:left="220" w:top="125" w:right="1440" w:bottom="0" w:gutter="0" w:footer="0" w:header="0"/>
        </w:sectPr>
      </w:pPr>
    </w:p>
    <w:bookmarkStart w:id="44" w:name="page45"/>
    <w:bookmarkEnd w:id="44"/>
    <w:p>
      <w:pPr>
        <w:spacing w:after="0" w:line="8" w:lineRule="exact"/>
        <w:rPr>
          <w:sz w:val="20"/>
          <w:szCs w:val="20"/>
          <w:color w:val="auto"/>
        </w:rPr>
      </w:pPr>
    </w:p>
    <w:p>
      <w:pPr>
        <w:ind w:right="4179"/>
        <w:spacing w:after="0" w:line="279" w:lineRule="auto"/>
        <w:rPr>
          <w:sz w:val="20"/>
          <w:szCs w:val="20"/>
          <w:color w:val="auto"/>
        </w:rPr>
      </w:pPr>
      <w:r>
        <w:rPr>
          <w:rFonts w:ascii="Times New Roman" w:cs="Times New Roman" w:eastAsia="Times New Roman" w:hAnsi="Times New Roman"/>
          <w:sz w:val="14"/>
          <w:szCs w:val="14"/>
          <w:color w:val="auto"/>
        </w:rPr>
        <w:t>time as TIC has invested $50 million as described above, or (iii) June 30, 2006. Under certain conditions, the term of TIC's undertaking and our corresponding obligations may be reduced.</w:t>
      </w:r>
    </w:p>
    <w:p>
      <w:pPr>
        <w:spacing w:after="0" w:line="42" w:lineRule="exact"/>
        <w:rPr>
          <w:sz w:val="20"/>
          <w:szCs w:val="20"/>
          <w:color w:val="auto"/>
        </w:rPr>
      </w:pPr>
    </w:p>
    <w:p>
      <w:pPr>
        <w:ind w:right="3939"/>
        <w:spacing w:after="0" w:line="258" w:lineRule="auto"/>
        <w:rPr>
          <w:sz w:val="20"/>
          <w:szCs w:val="20"/>
          <w:color w:val="auto"/>
        </w:rPr>
      </w:pPr>
      <w:r>
        <w:rPr>
          <w:rFonts w:ascii="Times New Roman" w:cs="Times New Roman" w:eastAsia="Times New Roman" w:hAnsi="Times New Roman"/>
          <w:sz w:val="14"/>
          <w:szCs w:val="14"/>
          <w:color w:val="auto"/>
        </w:rPr>
        <w:t>Following the receipt of the above described investments from TIC, our banks will increase the total amount which may be drawn under the credit facility at a ratio of $43 for every $50 invested by TIC, up to $43 million in the aggregate, which will be repayable by the earlier of (i) December 31, 2007 and (ii) three years from the date the loan is drawn. Should we draw down loans using this increased</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4079"/>
        <w:spacing w:after="0" w:line="263" w:lineRule="auto"/>
        <w:rPr>
          <w:sz w:val="20"/>
          <w:szCs w:val="20"/>
          <w:color w:val="auto"/>
        </w:rPr>
      </w:pPr>
      <w:r>
        <w:rPr>
          <w:rFonts w:ascii="Times New Roman" w:cs="Times New Roman" w:eastAsia="Times New Roman" w:hAnsi="Times New Roman"/>
          <w:sz w:val="14"/>
          <w:szCs w:val="14"/>
          <w:color w:val="auto"/>
        </w:rPr>
        <w:t>amount of our credit facility, our banks will be issued 30% warrant coverage of the amount drawn down, based on the average closing price of our ordinary shares during the 15 consecutive trading days prior to the time we draw down such loans.</w:t>
      </w:r>
    </w:p>
    <w:p>
      <w:pPr>
        <w:spacing w:after="0" w:line="54" w:lineRule="exact"/>
        <w:rPr>
          <w:sz w:val="20"/>
          <w:szCs w:val="20"/>
          <w:color w:val="auto"/>
        </w:rPr>
      </w:pPr>
    </w:p>
    <w:p>
      <w:pPr>
        <w:ind w:right="4019"/>
        <w:spacing w:after="0" w:line="279" w:lineRule="auto"/>
        <w:rPr>
          <w:sz w:val="20"/>
          <w:szCs w:val="20"/>
          <w:color w:val="auto"/>
        </w:rPr>
      </w:pPr>
      <w:r>
        <w:rPr>
          <w:rFonts w:ascii="Times New Roman" w:cs="Times New Roman" w:eastAsia="Times New Roman" w:hAnsi="Times New Roman"/>
          <w:sz w:val="14"/>
          <w:szCs w:val="14"/>
          <w:color w:val="auto"/>
        </w:rPr>
        <w:t>In consideration for TIC's commitment to complete this investment, we have agreed to issue warrants to ICTech comprised of a commitment fee and a subscription fee:</w:t>
      </w:r>
    </w:p>
    <w:p>
      <w:pPr>
        <w:spacing w:after="0" w:line="125" w:lineRule="exact"/>
        <w:rPr>
          <w:sz w:val="20"/>
          <w:szCs w:val="20"/>
          <w:color w:val="auto"/>
        </w:rPr>
      </w:pPr>
    </w:p>
    <w:p>
      <w:pPr>
        <w:ind w:left="400" w:right="4379" w:hanging="261"/>
        <w:spacing w:after="0" w:line="293" w:lineRule="auto"/>
        <w:tabs>
          <w:tab w:leader="none" w:pos="40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commitment fee will be 1.0% of the $50 million commitment less TIC's portion of a theoretical rights offering if held on November 11, 2003 (the date we signed the amendment to the credit facility). We will therefore issue warrants for the purchase of 58,906 of our ordinary shares.</w:t>
      </w:r>
    </w:p>
    <w:p>
      <w:pPr>
        <w:spacing w:after="0" w:line="118" w:lineRule="exact"/>
        <w:rPr>
          <w:rFonts w:ascii="Times New Roman" w:cs="Times New Roman" w:eastAsia="Times New Roman" w:hAnsi="Times New Roman"/>
          <w:sz w:val="13"/>
          <w:szCs w:val="13"/>
          <w:color w:val="auto"/>
        </w:rPr>
      </w:pPr>
    </w:p>
    <w:p>
      <w:pPr>
        <w:ind w:left="400" w:right="4359" w:hanging="261"/>
        <w:spacing w:after="0" w:line="279" w:lineRule="auto"/>
        <w:tabs>
          <w:tab w:leader="none" w:pos="4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subscription fee will be 5% of the total amount of money invested by TIC in consideration for all of the unsubscribed rights that it actually purchases.</w:t>
      </w:r>
    </w:p>
    <w:p>
      <w:pPr>
        <w:spacing w:after="0" w:line="125" w:lineRule="exact"/>
        <w:rPr>
          <w:sz w:val="20"/>
          <w:szCs w:val="20"/>
          <w:color w:val="auto"/>
        </w:rPr>
      </w:pPr>
    </w:p>
    <w:p>
      <w:pPr>
        <w:ind w:right="3919"/>
        <w:spacing w:after="0" w:line="258" w:lineRule="auto"/>
        <w:rPr>
          <w:sz w:val="20"/>
          <w:szCs w:val="20"/>
          <w:color w:val="auto"/>
        </w:rPr>
      </w:pPr>
      <w:r>
        <w:rPr>
          <w:rFonts w:ascii="Times New Roman" w:cs="Times New Roman" w:eastAsia="Times New Roman" w:hAnsi="Times New Roman"/>
          <w:sz w:val="14"/>
          <w:szCs w:val="14"/>
          <w:color w:val="auto"/>
        </w:rPr>
        <w:t>The exercise price for the warrants will be $6.17 (the 15 day average closing price of our shares or Nasdaq prior to the date the amendment was signed with our banks) with respect to the commitment fee and the 15 day average closing price of our shares prior to the date of the rights offering prospectus with respect to the subscription fee. The warrants shall expire five years from their date of issuance.</w:t>
      </w:r>
    </w:p>
    <w:p>
      <w:pPr>
        <w:spacing w:after="0" w:line="57" w:lineRule="exact"/>
        <w:rPr>
          <w:sz w:val="20"/>
          <w:szCs w:val="20"/>
          <w:color w:val="auto"/>
        </w:rPr>
      </w:pPr>
    </w:p>
    <w:p>
      <w:pPr>
        <w:ind w:right="3939"/>
        <w:spacing w:after="0" w:line="258" w:lineRule="auto"/>
        <w:rPr>
          <w:sz w:val="20"/>
          <w:szCs w:val="20"/>
          <w:color w:val="auto"/>
        </w:rPr>
      </w:pPr>
      <w:r>
        <w:rPr>
          <w:rFonts w:ascii="Times New Roman" w:cs="Times New Roman" w:eastAsia="Times New Roman" w:hAnsi="Times New Roman"/>
          <w:sz w:val="14"/>
          <w:szCs w:val="14"/>
          <w:color w:val="auto"/>
        </w:rPr>
        <w:t>We have agreed to indemnify ICTech and TIC for any liabilities they incur with respect to these arrangements, up to a maximum of $100 million as follows: up to $25 million cash and any amount exceeding such $25 million limit will earn interest at LIBOR plus 2.5% and will be paid on the same terms that we repay our loans to our banks. In addition, we have agreed to use our best efforts to insure this indemnification undertaking.</w:t>
      </w:r>
    </w:p>
    <w:p>
      <w:pPr>
        <w:spacing w:after="0" w:line="57" w:lineRule="exact"/>
        <w:rPr>
          <w:sz w:val="20"/>
          <w:szCs w:val="20"/>
          <w:color w:val="auto"/>
        </w:rPr>
      </w:pPr>
    </w:p>
    <w:p>
      <w:pPr>
        <w:ind w:right="3919"/>
        <w:spacing w:after="0" w:line="251" w:lineRule="auto"/>
        <w:rPr>
          <w:sz w:val="20"/>
          <w:szCs w:val="20"/>
          <w:color w:val="auto"/>
        </w:rPr>
      </w:pPr>
      <w:r>
        <w:rPr>
          <w:rFonts w:ascii="Times New Roman" w:cs="Times New Roman" w:eastAsia="Times New Roman" w:hAnsi="Times New Roman"/>
          <w:sz w:val="14"/>
          <w:szCs w:val="14"/>
          <w:color w:val="auto"/>
        </w:rPr>
        <w:t>Our revised amendment to the credit facility further provides that in the event of certain triggering events, such as the commencement of bankruptcy or receivership, proceedings against us ordered by a court of competent jurisdiction or the prior determination of an arbitrator that bankruptcy or receivership proceedings would be issued by a court against us were a petition to be filed with a court seeking reorganization or arrangement under applicable bankruptcy law or our requesting creditor protection, our banks will be able to bring a firm offer made by a potential investor to purchase our shares at the price provided in the offer. In such case, we shall be required thereafter to procure a rights offering to invest up to 60% of the amount of this offer on the same terms. If the offeror intends to purchase a majority of our outstanding share capital, the rights offering will be limited to allow for this, unless ICTech and the wafer partners (excluding QuickLogic) agree to exercise in a rights offering rights applicable to their shareholdings and agree to purchase in a private placement enough shares to ensure that the full amount of the offer is invested.</w:t>
      </w:r>
    </w:p>
    <w:p>
      <w:pPr>
        <w:spacing w:after="0" w:line="63" w:lineRule="exact"/>
        <w:rPr>
          <w:sz w:val="20"/>
          <w:szCs w:val="20"/>
          <w:color w:val="auto"/>
        </w:rPr>
      </w:pPr>
    </w:p>
    <w:p>
      <w:pPr>
        <w:ind w:right="3999"/>
        <w:spacing w:after="0" w:line="253" w:lineRule="auto"/>
        <w:rPr>
          <w:sz w:val="20"/>
          <w:szCs w:val="20"/>
          <w:color w:val="auto"/>
        </w:rPr>
      </w:pPr>
      <w:r>
        <w:rPr>
          <w:rFonts w:ascii="Times New Roman" w:cs="Times New Roman" w:eastAsia="Times New Roman" w:hAnsi="Times New Roman"/>
          <w:sz w:val="14"/>
          <w:szCs w:val="14"/>
          <w:color w:val="auto"/>
        </w:rPr>
        <w:t>If, as a result of any default, our banks were to accelerate our obligations, we would be obligated to immediately repay all loans made by the banks, plus penalties, and the banks would be entitled to exercise the remedies available to them under the credit facility, including enforcement of their lien against all our assets. An event of default under the credit facility and the subsequent enforcement by the banks of their remedies under the credit facility may allow our wafer partners, financial investors and the Investment Center of the State of Israel to declare a breach of our obligations to them and entitle them to exercise the remedies available under our agreements with them.</w:t>
      </w:r>
    </w:p>
    <w:p>
      <w:pPr>
        <w:spacing w:after="0" w:line="61" w:lineRule="exact"/>
        <w:rPr>
          <w:sz w:val="20"/>
          <w:szCs w:val="20"/>
          <w:color w:val="auto"/>
        </w:rPr>
      </w:pPr>
    </w:p>
    <w:p>
      <w:pPr>
        <w:ind w:right="3939"/>
        <w:spacing w:after="0" w:line="253" w:lineRule="auto"/>
        <w:rPr>
          <w:sz w:val="20"/>
          <w:szCs w:val="20"/>
          <w:color w:val="auto"/>
        </w:rPr>
      </w:pPr>
      <w:r>
        <w:rPr>
          <w:rFonts w:ascii="Times New Roman" w:cs="Times New Roman" w:eastAsia="Times New Roman" w:hAnsi="Times New Roman"/>
          <w:sz w:val="14"/>
          <w:szCs w:val="14"/>
          <w:color w:val="auto"/>
        </w:rPr>
        <w:t>In January 2001, we also issued the banks warrants to purchase an aggregate of 400,000 ordinary shares at a purchase price of $6.20 per share, exercisable until January 2006. Pursuant to the amendment to the credit facility, we issued our banks additional five year warrants to purchase an aggregate of 896,596 ordinary shares at a purchase price of $6.17 per share, exercisable until November 2008. In addition, in the event that our banks increase our credit facility as described above, we will issue our banks additional five-year warrants equivalent to 30% of the amount drawn down based on the average closing price of our ordinary shares during the 15 trading days prior to the time we draw down such loan.</w:t>
      </w:r>
    </w:p>
    <w:p>
      <w:pPr>
        <w:spacing w:after="0" w:line="61" w:lineRule="exact"/>
        <w:rPr>
          <w:sz w:val="20"/>
          <w:szCs w:val="20"/>
          <w:color w:val="auto"/>
        </w:rPr>
      </w:pPr>
    </w:p>
    <w:p>
      <w:pPr>
        <w:ind w:right="4259"/>
        <w:spacing w:after="0" w:line="263" w:lineRule="auto"/>
        <w:rPr>
          <w:sz w:val="20"/>
          <w:szCs w:val="20"/>
          <w:color w:val="auto"/>
        </w:rPr>
      </w:pPr>
      <w:r>
        <w:rPr>
          <w:rFonts w:ascii="Times New Roman" w:cs="Times New Roman" w:eastAsia="Times New Roman" w:hAnsi="Times New Roman"/>
          <w:sz w:val="14"/>
          <w:szCs w:val="14"/>
          <w:color w:val="auto"/>
        </w:rPr>
        <w:t>We have registered liens in favor of the banks on substantially all of our present and future assets. The agreements with our banks restrict our ability to place liens on our assets (other than to the State of Israel in respect of investment grants) without the prior consent of the banks.</w:t>
      </w:r>
    </w:p>
    <w:p>
      <w:pPr>
        <w:spacing w:after="0" w:line="18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i w:val="1"/>
          <w:iCs w:val="1"/>
          <w:color w:val="auto"/>
        </w:rPr>
        <w:t>Fab 2 Security Issuances</w:t>
      </w:r>
    </w:p>
    <w:p>
      <w:pPr>
        <w:spacing w:after="0" w:line="80" w:lineRule="exact"/>
        <w:rPr>
          <w:sz w:val="20"/>
          <w:szCs w:val="20"/>
          <w:color w:val="auto"/>
        </w:rPr>
      </w:pPr>
    </w:p>
    <w:p>
      <w:pPr>
        <w:ind w:right="3979"/>
        <w:spacing w:after="0" w:line="263" w:lineRule="auto"/>
        <w:rPr>
          <w:sz w:val="20"/>
          <w:szCs w:val="20"/>
          <w:color w:val="auto"/>
        </w:rPr>
      </w:pPr>
      <w:r>
        <w:rPr>
          <w:rFonts w:ascii="Times New Roman" w:cs="Times New Roman" w:eastAsia="Times New Roman" w:hAnsi="Times New Roman"/>
          <w:sz w:val="14"/>
          <w:szCs w:val="14"/>
          <w:color w:val="auto"/>
        </w:rPr>
        <w:t>Since the beginning of the Fab 2 project, we have completed a series of capital raising transactions which involved the issuance of convertible securities and have established long-term commercial relationships between our security holders and us.</w:t>
      </w:r>
    </w:p>
    <w:p>
      <w:pPr>
        <w:spacing w:after="0" w:line="52" w:lineRule="exact"/>
        <w:rPr>
          <w:sz w:val="20"/>
          <w:szCs w:val="20"/>
          <w:color w:val="auto"/>
        </w:rPr>
      </w:pPr>
    </w:p>
    <w:p>
      <w:pPr>
        <w:ind w:right="3939"/>
        <w:spacing w:after="0" w:line="269" w:lineRule="auto"/>
        <w:rPr>
          <w:sz w:val="20"/>
          <w:szCs w:val="20"/>
          <w:color w:val="auto"/>
        </w:rPr>
      </w:pPr>
      <w:r>
        <w:rPr>
          <w:rFonts w:ascii="Times New Roman" w:cs="Times New Roman" w:eastAsia="Times New Roman" w:hAnsi="Times New Roman"/>
          <w:sz w:val="13"/>
          <w:szCs w:val="13"/>
          <w:i w:val="1"/>
          <w:iCs w:val="1"/>
          <w:color w:val="auto"/>
        </w:rPr>
        <w:t>Sale of Units</w:t>
      </w:r>
      <w:r>
        <w:rPr>
          <w:rFonts w:ascii="Times New Roman" w:cs="Times New Roman" w:eastAsia="Times New Roman" w:hAnsi="Times New Roman"/>
          <w:sz w:val="13"/>
          <w:szCs w:val="13"/>
          <w:color w:val="auto"/>
        </w:rPr>
        <w:t>. In January 2002, we completed a sale of units in Israel, resulting in initial gross proceeds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$23.2 million. Costs associated with the offer and sale of the units were approximately $1.7 million. Each of the 552,899 units sold was composed of 200 convertible debentures, four Options (Series 1) exercisable to purchase ordinary shares and one Option (Series A) exercisable to purchase 100 convertible debentures. Each debenture is NIS 1 in principal amount, is adjusted to reflect increases in the Israeli Consumer Price Index and bears interest at a rate of 4.7% per annum, payable yearly commencing January 20, 2003. Principal is payable in four installments in January of 2006 through 2009. Prior to December 31, 2008, except between January 1 and January 20 in the years 2006, 2007 and 2008, the debentures are convertible into ordinary shares at a conversion rate of one ordinary share per NIS 41 amount of debentures. The debentures are unsecured and are subordinated to the rights of the banks under our credit facility. Each Option (Series A) was exercisable for 100 convertible debentures prior to March 20, 2002 for an exercise price of NIS 85. All of the Options (Series</w:t>
      </w:r>
    </w:p>
    <w:p>
      <w:pPr>
        <w:spacing w:after="0" w:line="6" w:lineRule="exact"/>
        <w:rPr>
          <w:sz w:val="20"/>
          <w:szCs w:val="20"/>
          <w:color w:val="auto"/>
        </w:rPr>
      </w:pPr>
    </w:p>
    <w:p>
      <w:pPr>
        <w:ind w:right="3939" w:firstLine="3"/>
        <w:spacing w:after="0" w:line="272" w:lineRule="auto"/>
        <w:tabs>
          <w:tab w:leader="none" w:pos="181"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fully expired without being exercised. Each Option (Series 1) is exercisable into one ordinary share prior to January 20, 2006. As of September 30, 2003, the exercise price of each Option (Series 1), linked to the Israeli Consumer Price Index, was $9.30. The debentures and options have been listed to trade only on the Tel Aviv Stock Exchange (Series 1 and Series A; any ordinary share issued upon conversion of debentures or exercise of options will be traded on both the Tel Aviv Stock Exchange and Nasdaq. As of September 30, 2003, NIS 113,475,535 (or $25.6 million) in convertible debentures and 2,211,596 Options (Series 1) were outstanding).</w:t>
      </w:r>
    </w:p>
    <w:p>
      <w:pPr>
        <w:spacing w:after="0" w:line="49" w:lineRule="exact"/>
        <w:rPr>
          <w:sz w:val="20"/>
          <w:szCs w:val="20"/>
          <w:color w:val="auto"/>
        </w:rPr>
      </w:pPr>
    </w:p>
    <w:p>
      <w:pPr>
        <w:ind w:right="3919"/>
        <w:spacing w:after="0" w:line="285" w:lineRule="auto"/>
        <w:rPr>
          <w:sz w:val="20"/>
          <w:szCs w:val="20"/>
          <w:color w:val="auto"/>
        </w:rPr>
      </w:pPr>
      <w:r>
        <w:rPr>
          <w:rFonts w:ascii="Times New Roman" w:cs="Times New Roman" w:eastAsia="Times New Roman" w:hAnsi="Times New Roman"/>
          <w:sz w:val="13"/>
          <w:szCs w:val="13"/>
          <w:i w:val="1"/>
          <w:iCs w:val="1"/>
          <w:color w:val="auto"/>
        </w:rPr>
        <w:t>Rights Offering</w:t>
      </w:r>
      <w:r>
        <w:rPr>
          <w:rFonts w:ascii="Times New Roman" w:cs="Times New Roman" w:eastAsia="Times New Roman" w:hAnsi="Times New Roman"/>
          <w:sz w:val="13"/>
          <w:szCs w:val="13"/>
          <w:color w:val="auto"/>
        </w:rPr>
        <w:t>. In September 2002, we distributed transferable rights to our shareholders and certain of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employees to purchase up to an aggregate of 6,858,469 of our ordinary shares and 3,086,311 warrants to purchase our ordinary shares. One right was distributed for every 4.94 ordinary shares or employee options that were held on the record date by our shareholders and employees. Each full right entitled our shareholders and employees to</w:t>
      </w:r>
    </w:p>
    <w:p>
      <w:pPr>
        <w:sectPr>
          <w:pgSz w:w="11900" w:h="16846" w:orient="portrait"/>
          <w:cols w:equalWidth="0" w:num="1">
            <w:col w:w="10239"/>
          </w:cols>
          <w:pgMar w:left="220" w:top="125" w:right="1440" w:bottom="0" w:gutter="0" w:footer="0" w:header="0"/>
        </w:sectPr>
      </w:pPr>
    </w:p>
    <w:bookmarkStart w:id="45" w:name="page46"/>
    <w:bookmarkEnd w:id="45"/>
    <w:p>
      <w:pPr>
        <w:ind w:right="3979"/>
        <w:spacing w:after="0" w:line="252" w:lineRule="auto"/>
        <w:rPr>
          <w:sz w:val="20"/>
          <w:szCs w:val="20"/>
          <w:color w:val="auto"/>
        </w:rPr>
      </w:pPr>
      <w:r>
        <w:rPr>
          <w:rFonts w:ascii="Times New Roman" w:cs="Times New Roman" w:eastAsia="Times New Roman" w:hAnsi="Times New Roman"/>
          <w:sz w:val="14"/>
          <w:szCs w:val="14"/>
          <w:color w:val="auto"/>
        </w:rPr>
        <w:t>purchase, at a subscription price of $5.00, one ordinary share and 0.45 of a warrant. Each whole warrant is exercisable into one ordinary share, at an exercise price of $7.50. The rights were exercisable until October 23, 2002. The rights offering resulted in initial gross proceeds of approximately $20.5 million. Costs associated with the offer and sale of the rights were approximately $0.8 million. The 4,098,365 ordinary shares issuable upon exercise of the rights have been listed to trade on the Nasdaq National Market and the Tel Aviv Stock Exchange (TSEMW and TSEM.W2). The 1,844,082 warrants issued in connection with the rights offering are exercisable until October 31, 2006 and have been listed to trade on the Tel Aviv Stock Exchange and Nasdaq SmallCap Market.</w:t>
      </w:r>
    </w:p>
    <w:p>
      <w:pPr>
        <w:spacing w:after="0" w:line="14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91" w:lineRule="exact"/>
        <w:rPr>
          <w:sz w:val="20"/>
          <w:szCs w:val="20"/>
          <w:color w:val="auto"/>
        </w:rPr>
      </w:pPr>
    </w:p>
    <w:p>
      <w:pPr>
        <w:ind w:right="3979"/>
        <w:spacing w:after="0" w:line="273" w:lineRule="auto"/>
        <w:rPr>
          <w:sz w:val="20"/>
          <w:szCs w:val="20"/>
          <w:color w:val="auto"/>
        </w:rPr>
      </w:pPr>
      <w:r>
        <w:rPr>
          <w:rFonts w:ascii="Times New Roman" w:cs="Times New Roman" w:eastAsia="Times New Roman" w:hAnsi="Times New Roman"/>
          <w:sz w:val="13"/>
          <w:szCs w:val="13"/>
          <w:color w:val="auto"/>
        </w:rPr>
        <w:t>The validity of the ordinary shares offered in this prospectus will be passed upon for us by Yigal Arnon &amp; Co., Israeli counsel to Tower. In addition, certain other matters in connection with this offering with respect to United States law will be passed upon for us by Ehrenreich, Eilenberg &amp; Krause LLP, U.S. counsel to Tower. Certain legal matters in connection with the offering will be passed upon for the underwriters by Meitar Liquornik Geva</w:t>
      </w:r>
    </w:p>
    <w:p>
      <w:pPr>
        <w:spacing w:after="0" w:line="1" w:lineRule="exact"/>
        <w:rPr>
          <w:sz w:val="20"/>
          <w:szCs w:val="20"/>
          <w:color w:val="auto"/>
        </w:rPr>
      </w:pPr>
    </w:p>
    <w:p>
      <w:pPr>
        <w:ind w:right="4079" w:firstLine="3"/>
        <w:spacing w:after="0" w:line="256" w:lineRule="auto"/>
        <w:tabs>
          <w:tab w:leader="none" w:pos="143"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Leshem Brandwein, Israeli counsel to the underwriters, and by Skadden, Arps, Slate, Meagher &amp; Flom LLP, U.S. counsel for the underwriters.</w:t>
      </w:r>
    </w:p>
    <w:p>
      <w:pPr>
        <w:spacing w:after="0" w:line="139"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91" w:lineRule="exact"/>
        <w:rPr>
          <w:sz w:val="20"/>
          <w:szCs w:val="20"/>
          <w:color w:val="auto"/>
        </w:rPr>
      </w:pPr>
    </w:p>
    <w:p>
      <w:pPr>
        <w:ind w:right="3999"/>
        <w:spacing w:after="0" w:line="258" w:lineRule="auto"/>
        <w:rPr>
          <w:sz w:val="20"/>
          <w:szCs w:val="20"/>
          <w:color w:val="auto"/>
        </w:rPr>
      </w:pPr>
      <w:r>
        <w:rPr>
          <w:rFonts w:ascii="Times New Roman" w:cs="Times New Roman" w:eastAsia="Times New Roman" w:hAnsi="Times New Roman"/>
          <w:sz w:val="14"/>
          <w:szCs w:val="14"/>
          <w:color w:val="auto"/>
        </w:rPr>
        <w:t>We have included our consolidated financial statements for the years ended December 31, 2002, 2001 and 2000 in this prospectus and the related Registration Statement on Form F-3, of which this prospectus is a part, which have been audited by Brightman Almagor &amp; Co., a member of Deloitte Touche Tohmatsu, independent auditors, as stated in their reports appearing herein and elsewhere in</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959"/>
        <w:spacing w:after="0" w:line="279" w:lineRule="auto"/>
        <w:rPr>
          <w:sz w:val="20"/>
          <w:szCs w:val="20"/>
          <w:color w:val="auto"/>
        </w:rPr>
      </w:pPr>
      <w:r>
        <w:rPr>
          <w:rFonts w:ascii="Times New Roman" w:cs="Times New Roman" w:eastAsia="Times New Roman" w:hAnsi="Times New Roman"/>
          <w:sz w:val="14"/>
          <w:szCs w:val="14"/>
          <w:color w:val="auto"/>
        </w:rPr>
        <w:t>the registration statement, and are included in reliance upon the reports of such firm given upon their authority as experts in accounting and auditing.</w:t>
      </w:r>
    </w:p>
    <w:p>
      <w:pPr>
        <w:spacing w:after="0" w:line="42" w:lineRule="exact"/>
        <w:rPr>
          <w:sz w:val="20"/>
          <w:szCs w:val="20"/>
          <w:color w:val="auto"/>
        </w:rPr>
      </w:pPr>
    </w:p>
    <w:p>
      <w:pPr>
        <w:ind w:right="3959"/>
        <w:spacing w:after="0" w:line="273" w:lineRule="auto"/>
        <w:rPr>
          <w:sz w:val="20"/>
          <w:szCs w:val="20"/>
          <w:color w:val="auto"/>
        </w:rPr>
      </w:pPr>
      <w:r>
        <w:rPr>
          <w:rFonts w:ascii="Times New Roman" w:cs="Times New Roman" w:eastAsia="Times New Roman" w:hAnsi="Times New Roman"/>
          <w:sz w:val="13"/>
          <w:szCs w:val="13"/>
          <w:color w:val="auto"/>
        </w:rPr>
        <w:t>With respect to the unaudited condensed interim consolidated financial statements for the periods ended September 30, 2003 and 2002, which are included herein, Brightman Almagor &amp; Co. have applied limited procedures in accordance with professional standards for a review of such financial statements. However, they did not audit and they do not express an opinion on that condensed interim consolidated financial statements. Accordingly, the degree of reliance on their accountants' report on such financial statements should be restricted in light of the limited nature of the review procedures applied. Brightman Almagor &amp; Co. are not subject to the liability provisions of Section 11 of the Securities Act of 1933 for their accountants' report on the unaudited condensed interim consolidated financial statements since that report is not a "report" or a "part" of the registration statement prepared or certified by an accountant within the meaning of Sections 7 and 11 of that Act.</w:t>
      </w:r>
    </w:p>
    <w:p>
      <w:pPr>
        <w:spacing w:after="0" w:line="133"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91" w:lineRule="exact"/>
        <w:rPr>
          <w:sz w:val="20"/>
          <w:szCs w:val="20"/>
          <w:color w:val="auto"/>
        </w:rPr>
      </w:pPr>
    </w:p>
    <w:p>
      <w:pPr>
        <w:ind w:right="3919"/>
        <w:spacing w:after="0" w:line="253" w:lineRule="auto"/>
        <w:rPr>
          <w:sz w:val="20"/>
          <w:szCs w:val="20"/>
          <w:color w:val="auto"/>
        </w:rPr>
      </w:pPr>
      <w:r>
        <w:rPr>
          <w:rFonts w:ascii="Times New Roman" w:cs="Times New Roman" w:eastAsia="Times New Roman" w:hAnsi="Times New Roman"/>
          <w:sz w:val="14"/>
          <w:szCs w:val="14"/>
          <w:color w:val="auto"/>
        </w:rPr>
        <w:t>We have filed a registration statement on Form F-3 with the Securities and Exchange Commission in connection with this offering. In addition, we file annual reports with, and furnish information to, the Securities and Exchange Commission. You may read and copy the registration statement and any other documents we have filed at the Securities and Exchange Commission's Public Reference Room at 450 Fifth Street, N.W., Washington, D.C. 20549. Please call the Securities and Exchange Commission at 1-800-SEC-0330 for further information on the Public Reference Room. Our Securities and Exchange Commission filings are also available to the public at the Securities and Exchange Commission's Internet site at "http://www.sec.gov".</w:t>
      </w:r>
    </w:p>
    <w:p>
      <w:pPr>
        <w:spacing w:after="0" w:line="61" w:lineRule="exact"/>
        <w:rPr>
          <w:sz w:val="20"/>
          <w:szCs w:val="20"/>
          <w:color w:val="auto"/>
        </w:rPr>
      </w:pPr>
    </w:p>
    <w:p>
      <w:pPr>
        <w:ind w:right="4099"/>
        <w:spacing w:after="0" w:line="258" w:lineRule="auto"/>
        <w:rPr>
          <w:sz w:val="20"/>
          <w:szCs w:val="20"/>
          <w:color w:val="auto"/>
        </w:rPr>
      </w:pPr>
      <w:r>
        <w:rPr>
          <w:rFonts w:ascii="Times New Roman" w:cs="Times New Roman" w:eastAsia="Times New Roman" w:hAnsi="Times New Roman"/>
          <w:sz w:val="14"/>
          <w:szCs w:val="14"/>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57" w:lineRule="exact"/>
        <w:rPr>
          <w:sz w:val="20"/>
          <w:szCs w:val="20"/>
          <w:color w:val="auto"/>
        </w:rPr>
      </w:pPr>
    </w:p>
    <w:p>
      <w:pPr>
        <w:ind w:right="4099"/>
        <w:spacing w:after="0" w:line="258" w:lineRule="auto"/>
        <w:rPr>
          <w:sz w:val="20"/>
          <w:szCs w:val="20"/>
          <w:color w:val="auto"/>
        </w:rPr>
      </w:pPr>
      <w:r>
        <w:rPr>
          <w:rFonts w:ascii="Times New Roman" w:cs="Times New Roman" w:eastAsia="Times New Roman" w:hAnsi="Times New Roman"/>
          <w:sz w:val="14"/>
          <w:szCs w:val="14"/>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Later information filed with the Securities and Exchange Commission will update and supersede this information.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prospectus will be deemed to incorporate by reference the following documents:</w:t>
      </w:r>
    </w:p>
    <w:p>
      <w:pPr>
        <w:spacing w:after="0" w:line="172" w:lineRule="exact"/>
        <w:rPr>
          <w:sz w:val="20"/>
          <w:szCs w:val="20"/>
          <w:color w:val="auto"/>
        </w:rPr>
      </w:pPr>
    </w:p>
    <w:p>
      <w:pPr>
        <w:ind w:left="400" w:right="4379" w:hanging="261"/>
        <w:spacing w:after="0" w:line="279" w:lineRule="auto"/>
        <w:tabs>
          <w:tab w:leader="none" w:pos="4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annual report on Form 20-F for the year ended December 31, 2002, filed on April 14, 2003, to the extent the information in that report has not been updated or superseded by this prospectus;</w:t>
      </w:r>
    </w:p>
    <w:p>
      <w:pPr>
        <w:spacing w:after="0" w:line="125" w:lineRule="exact"/>
        <w:rPr>
          <w:rFonts w:ascii="Times New Roman" w:cs="Times New Roman" w:eastAsia="Times New Roman" w:hAnsi="Times New Roman"/>
          <w:sz w:val="14"/>
          <w:szCs w:val="14"/>
          <w:color w:val="auto"/>
        </w:rPr>
      </w:pPr>
    </w:p>
    <w:p>
      <w:pPr>
        <w:ind w:left="400" w:right="4339" w:hanging="261"/>
        <w:spacing w:after="0" w:line="263" w:lineRule="auto"/>
        <w:tabs>
          <w:tab w:leader="none" w:pos="4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amendment to our annual report on Form 20-F for the year ended December 31, 2002, and any annual report on Form 20-F or amendment thereto filed subsequent to the date hereof and prior to the termination of this offering; and</w:t>
      </w:r>
    </w:p>
    <w:p>
      <w:pPr>
        <w:spacing w:after="0" w:line="137" w:lineRule="exact"/>
        <w:rPr>
          <w:rFonts w:ascii="Times New Roman" w:cs="Times New Roman" w:eastAsia="Times New Roman" w:hAnsi="Times New Roman"/>
          <w:sz w:val="14"/>
          <w:szCs w:val="14"/>
          <w:color w:val="auto"/>
        </w:rPr>
      </w:pPr>
    </w:p>
    <w:p>
      <w:pPr>
        <w:ind w:left="400" w:right="4339" w:hanging="261"/>
        <w:spacing w:after="0" w:line="279" w:lineRule="auto"/>
        <w:tabs>
          <w:tab w:leader="none" w:pos="40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report on Form 6-K filed or furnished by us to the SEC prior to the termination of this offering and identified by us as being incorporated by reference into this prospectus.</w:t>
      </w:r>
    </w:p>
    <w:p>
      <w:pPr>
        <w:spacing w:after="0" w:line="125" w:lineRule="exact"/>
        <w:rPr>
          <w:sz w:val="20"/>
          <w:szCs w:val="20"/>
          <w:color w:val="auto"/>
        </w:rPr>
      </w:pPr>
    </w:p>
    <w:p>
      <w:pPr>
        <w:ind w:right="3939"/>
        <w:spacing w:after="0" w:line="263" w:lineRule="auto"/>
        <w:rPr>
          <w:sz w:val="20"/>
          <w:szCs w:val="20"/>
          <w:color w:val="auto"/>
        </w:rPr>
      </w:pPr>
      <w:r>
        <w:rPr>
          <w:rFonts w:ascii="Times New Roman" w:cs="Times New Roman" w:eastAsia="Times New Roman" w:hAnsi="Times New Roman"/>
          <w:sz w:val="14"/>
          <w:szCs w:val="14"/>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 may request a copy of these filings, at no cost, by contacting us at: Ramat Gavriel Industrial Park, Post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Office Box 619, Migdal Haemek, 23105 Israel, Attn: Secretary, telephone number 972-4-650-6611.</w:t>
      </w:r>
    </w:p>
    <w:p>
      <w:pPr>
        <w:spacing w:after="0" w:line="74" w:lineRule="exact"/>
        <w:rPr>
          <w:sz w:val="20"/>
          <w:szCs w:val="20"/>
          <w:color w:val="auto"/>
        </w:rPr>
      </w:pPr>
    </w:p>
    <w:p>
      <w:pPr>
        <w:ind w:right="3999"/>
        <w:spacing w:after="0" w:line="319" w:lineRule="auto"/>
        <w:rPr>
          <w:sz w:val="20"/>
          <w:szCs w:val="20"/>
          <w:color w:val="auto"/>
        </w:rPr>
      </w:pPr>
      <w:r>
        <w:rPr>
          <w:rFonts w:ascii="Times New Roman" w:cs="Times New Roman" w:eastAsia="Times New Roman" w:hAnsi="Times New Roman"/>
          <w:sz w:val="13"/>
          <w:szCs w:val="13"/>
          <w:color w:val="auto"/>
        </w:rPr>
        <w:t>A copy of this registration statement, our articles of association and the documents filed as exhibits are available for inspection at our offices at Hamada Avenue, Ramat Gavriel Industrial Park, Migdal Haemek, Israel.</w:t>
      </w:r>
    </w:p>
    <w:p>
      <w:pPr>
        <w:spacing w:after="0" w:line="15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7"/>
          <w:szCs w:val="17"/>
          <w:b w:val="1"/>
          <w:bCs w:val="1"/>
          <w:color w:val="auto"/>
        </w:rPr>
        <w:t>TOWER SEMICONDUCTOR LTD. AND SUBSIDIARY</w:t>
      </w:r>
    </w:p>
    <w:p>
      <w:pPr>
        <w:spacing w:after="0" w:line="7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63500</wp:posOffset>
            </wp:positionV>
            <wp:extent cx="3893820" cy="7302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893820" cy="7302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800" w:type="dxa"/>
            <w:vAlign w:val="bottom"/>
          </w:tcPr>
          <w:p>
            <w:pPr>
              <w:spacing w:after="0"/>
              <w:rPr>
                <w:sz w:val="11"/>
                <w:szCs w:val="11"/>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261"/>
        </w:trPr>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Audited Consolidated Financial Statements</w:t>
            </w:r>
          </w:p>
        </w:tc>
        <w:tc>
          <w:tcPr>
            <w:tcW w:w="380" w:type="dxa"/>
            <w:vAlign w:val="bottom"/>
          </w:tcPr>
          <w:p>
            <w:pPr>
              <w:spacing w:after="0"/>
              <w:rPr>
                <w:sz w:val="22"/>
                <w:szCs w:val="22"/>
                <w:color w:val="auto"/>
              </w:rPr>
            </w:pPr>
          </w:p>
        </w:tc>
      </w:tr>
      <w:tr>
        <w:trPr>
          <w:trHeight w:val="302"/>
        </w:trPr>
        <w:tc>
          <w:tcPr>
            <w:tcW w:w="5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Independent Auditors' Report</w:t>
            </w: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F-2</w:t>
            </w:r>
          </w:p>
        </w:tc>
      </w:tr>
      <w:tr>
        <w:trPr>
          <w:trHeight w:val="302"/>
        </w:trPr>
        <w:tc>
          <w:tcPr>
            <w:tcW w:w="5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Balance Sheets as of December 31, 2002 and 2001</w:t>
            </w:r>
          </w:p>
        </w:tc>
        <w:tc>
          <w:tcPr>
            <w:tcW w:w="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-607695</wp:posOffset>
            </wp:positionV>
            <wp:extent cx="13335" cy="635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-429260</wp:posOffset>
            </wp:positionV>
            <wp:extent cx="13335" cy="635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-237490</wp:posOffset>
            </wp:positionV>
            <wp:extent cx="13335" cy="635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-45720</wp:posOffset>
            </wp:positionV>
            <wp:extent cx="13335" cy="635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125" w:right="1440" w:bottom="0" w:gutter="0" w:footer="0" w:header="0"/>
        </w:sectPr>
      </w:pPr>
    </w:p>
    <w:bookmarkStart w:id="46" w:name="page47"/>
    <w:bookmarkEnd w:id="46"/>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Statements of Operations for the years ended</w:t>
            </w:r>
          </w:p>
        </w:tc>
        <w:tc>
          <w:tcPr>
            <w:tcW w:w="2200" w:type="dxa"/>
            <w:vAlign w:val="bottom"/>
          </w:tcPr>
          <w:p>
            <w:pPr>
              <w:jc w:val="right"/>
              <w:ind w:right="1751"/>
              <w:spacing w:after="0"/>
              <w:rPr>
                <w:sz w:val="20"/>
                <w:szCs w:val="20"/>
                <w:color w:val="auto"/>
              </w:rPr>
            </w:pPr>
            <w:r>
              <w:rPr>
                <w:rFonts w:ascii="Times New Roman" w:cs="Times New Roman" w:eastAsia="Times New Roman" w:hAnsi="Times New Roman"/>
                <w:sz w:val="14"/>
                <w:szCs w:val="14"/>
                <w:color w:val="auto"/>
              </w:rPr>
              <w:t>F-4</w:t>
            </w:r>
          </w:p>
        </w:tc>
      </w:tr>
      <w:tr>
        <w:trPr>
          <w:trHeight w:val="182"/>
        </w:trPr>
        <w:tc>
          <w:tcPr>
            <w:tcW w:w="5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December 31, 2002, 2001 and 2000</w:t>
            </w:r>
          </w:p>
        </w:tc>
        <w:tc>
          <w:tcPr>
            <w:tcW w:w="2200" w:type="dxa"/>
            <w:vAlign w:val="bottom"/>
          </w:tcPr>
          <w:p>
            <w:pPr>
              <w:spacing w:after="0"/>
              <w:rPr>
                <w:sz w:val="15"/>
                <w:szCs w:val="15"/>
                <w:color w:val="auto"/>
              </w:rPr>
            </w:pPr>
          </w:p>
        </w:tc>
      </w:tr>
      <w:tr>
        <w:trPr>
          <w:trHeight w:val="287"/>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Statements of Changes in Shareholders' Equity for the years ended</w:t>
            </w:r>
          </w:p>
        </w:tc>
        <w:tc>
          <w:tcPr>
            <w:tcW w:w="2200" w:type="dxa"/>
            <w:vAlign w:val="bottom"/>
          </w:tcPr>
          <w:p>
            <w:pPr>
              <w:spacing w:after="0"/>
              <w:rPr>
                <w:sz w:val="24"/>
                <w:szCs w:val="24"/>
                <w:color w:val="auto"/>
              </w:rPr>
            </w:pPr>
          </w:p>
        </w:tc>
      </w:tr>
      <w:tr>
        <w:trPr>
          <w:trHeight w:val="182"/>
        </w:trPr>
        <w:tc>
          <w:tcPr>
            <w:tcW w:w="5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December 31, 2002, 2001 and 2000</w:t>
            </w:r>
          </w:p>
        </w:tc>
        <w:tc>
          <w:tcPr>
            <w:tcW w:w="2200" w:type="dxa"/>
            <w:vAlign w:val="bottom"/>
          </w:tcPr>
          <w:p>
            <w:pPr>
              <w:jc w:val="right"/>
              <w:ind w:right="1751"/>
              <w:spacing w:after="0"/>
              <w:rPr>
                <w:sz w:val="20"/>
                <w:szCs w:val="20"/>
                <w:color w:val="auto"/>
              </w:rPr>
            </w:pPr>
            <w:r>
              <w:rPr>
                <w:rFonts w:ascii="Times New Roman" w:cs="Times New Roman" w:eastAsia="Times New Roman" w:hAnsi="Times New Roman"/>
                <w:sz w:val="14"/>
                <w:szCs w:val="14"/>
                <w:color w:val="auto"/>
              </w:rPr>
              <w:t>F-5</w:t>
            </w:r>
          </w:p>
        </w:tc>
      </w:tr>
      <w:tr>
        <w:trPr>
          <w:trHeight w:val="287"/>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Statements of Cash Flows for the years ended</w:t>
            </w:r>
          </w:p>
        </w:tc>
        <w:tc>
          <w:tcPr>
            <w:tcW w:w="2200" w:type="dxa"/>
            <w:vAlign w:val="bottom"/>
          </w:tcPr>
          <w:p>
            <w:pPr>
              <w:spacing w:after="0"/>
              <w:rPr>
                <w:sz w:val="24"/>
                <w:szCs w:val="24"/>
                <w:color w:val="auto"/>
              </w:rPr>
            </w:pPr>
          </w:p>
        </w:tc>
      </w:tr>
      <w:tr>
        <w:trPr>
          <w:trHeight w:val="182"/>
        </w:trPr>
        <w:tc>
          <w:tcPr>
            <w:tcW w:w="5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December 31, 2002, 2001, and 2000</w:t>
            </w:r>
          </w:p>
        </w:tc>
        <w:tc>
          <w:tcPr>
            <w:tcW w:w="2200" w:type="dxa"/>
            <w:vAlign w:val="bottom"/>
          </w:tcPr>
          <w:p>
            <w:pPr>
              <w:jc w:val="right"/>
              <w:ind w:right="1751"/>
              <w:spacing w:after="0"/>
              <w:rPr>
                <w:sz w:val="20"/>
                <w:szCs w:val="20"/>
                <w:color w:val="auto"/>
              </w:rPr>
            </w:pPr>
            <w:r>
              <w:rPr>
                <w:rFonts w:ascii="Times New Roman" w:cs="Times New Roman" w:eastAsia="Times New Roman" w:hAnsi="Times New Roman"/>
                <w:sz w:val="14"/>
                <w:szCs w:val="14"/>
                <w:color w:val="auto"/>
              </w:rPr>
              <w:t>F-6</w:t>
            </w:r>
          </w:p>
        </w:tc>
      </w:tr>
      <w:tr>
        <w:trPr>
          <w:trHeight w:val="302"/>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2200" w:type="dxa"/>
            <w:vAlign w:val="bottom"/>
          </w:tcPr>
          <w:p>
            <w:pPr>
              <w:jc w:val="right"/>
              <w:ind w:right="1751"/>
              <w:spacing w:after="0"/>
              <w:rPr>
                <w:sz w:val="20"/>
                <w:szCs w:val="20"/>
                <w:color w:val="auto"/>
              </w:rPr>
            </w:pPr>
            <w:r>
              <w:rPr>
                <w:rFonts w:ascii="Times New Roman" w:cs="Times New Roman" w:eastAsia="Times New Roman" w:hAnsi="Times New Roman"/>
                <w:sz w:val="14"/>
                <w:szCs w:val="14"/>
                <w:color w:val="auto"/>
              </w:rPr>
              <w:t>F-7</w:t>
            </w:r>
          </w:p>
        </w:tc>
      </w:tr>
      <w:tr>
        <w:trPr>
          <w:trHeight w:val="416"/>
        </w:trPr>
        <w:tc>
          <w:tcPr>
            <w:tcW w:w="5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Unaudited Condensed Interim Consolidated Financial Statements</w:t>
            </w:r>
          </w:p>
        </w:tc>
        <w:tc>
          <w:tcPr>
            <w:tcW w:w="2200" w:type="dxa"/>
            <w:vAlign w:val="bottom"/>
          </w:tcPr>
          <w:p>
            <w:pPr>
              <w:spacing w:after="0"/>
              <w:rPr>
                <w:sz w:val="24"/>
                <w:szCs w:val="24"/>
                <w:color w:val="auto"/>
              </w:rPr>
            </w:pPr>
          </w:p>
        </w:tc>
      </w:tr>
      <w:tr>
        <w:trPr>
          <w:trHeight w:val="302"/>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Accountants' Review Report</w:t>
            </w:r>
          </w:p>
        </w:tc>
        <w:tc>
          <w:tcPr>
            <w:tcW w:w="2200" w:type="dxa"/>
            <w:vAlign w:val="bottom"/>
          </w:tcPr>
          <w:p>
            <w:pPr>
              <w:jc w:val="right"/>
              <w:ind w:right="1751"/>
              <w:spacing w:after="0"/>
              <w:rPr>
                <w:sz w:val="20"/>
                <w:szCs w:val="20"/>
                <w:color w:val="auto"/>
              </w:rPr>
            </w:pPr>
            <w:r>
              <w:rPr>
                <w:rFonts w:ascii="Times New Roman" w:cs="Times New Roman" w:eastAsia="Times New Roman" w:hAnsi="Times New Roman"/>
                <w:sz w:val="14"/>
                <w:szCs w:val="14"/>
                <w:color w:val="auto"/>
              </w:rPr>
              <w:t>F-46</w:t>
            </w:r>
          </w:p>
        </w:tc>
      </w:tr>
      <w:tr>
        <w:trPr>
          <w:trHeight w:val="302"/>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Balance Sheets as of September 30, 2003 and 2002</w:t>
            </w:r>
          </w:p>
        </w:tc>
        <w:tc>
          <w:tcPr>
            <w:tcW w:w="2200" w:type="dxa"/>
            <w:vAlign w:val="bottom"/>
          </w:tcPr>
          <w:p>
            <w:pPr>
              <w:jc w:val="right"/>
              <w:ind w:right="1751"/>
              <w:spacing w:after="0"/>
              <w:rPr>
                <w:sz w:val="20"/>
                <w:szCs w:val="20"/>
                <w:color w:val="auto"/>
              </w:rPr>
            </w:pPr>
            <w:r>
              <w:rPr>
                <w:rFonts w:ascii="Times New Roman" w:cs="Times New Roman" w:eastAsia="Times New Roman" w:hAnsi="Times New Roman"/>
                <w:sz w:val="14"/>
                <w:szCs w:val="14"/>
                <w:color w:val="auto"/>
              </w:rPr>
              <w:t>F-47</w:t>
            </w:r>
          </w:p>
        </w:tc>
      </w:tr>
      <w:tr>
        <w:trPr>
          <w:trHeight w:val="287"/>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Statements of Operations for the nine months and three months ended September 30,</w:t>
            </w:r>
          </w:p>
        </w:tc>
        <w:tc>
          <w:tcPr>
            <w:tcW w:w="2200" w:type="dxa"/>
            <w:vAlign w:val="bottom"/>
          </w:tcPr>
          <w:p>
            <w:pPr>
              <w:spacing w:after="0"/>
              <w:rPr>
                <w:sz w:val="24"/>
                <w:szCs w:val="24"/>
                <w:color w:val="auto"/>
              </w:rPr>
            </w:pPr>
          </w:p>
        </w:tc>
      </w:tr>
      <w:tr>
        <w:trPr>
          <w:trHeight w:val="182"/>
        </w:trPr>
        <w:tc>
          <w:tcPr>
            <w:tcW w:w="5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2003 and 2002</w:t>
            </w:r>
          </w:p>
        </w:tc>
        <w:tc>
          <w:tcPr>
            <w:tcW w:w="2200" w:type="dxa"/>
            <w:vAlign w:val="bottom"/>
          </w:tcPr>
          <w:p>
            <w:pPr>
              <w:jc w:val="right"/>
              <w:ind w:right="1751"/>
              <w:spacing w:after="0"/>
              <w:rPr>
                <w:sz w:val="20"/>
                <w:szCs w:val="20"/>
                <w:color w:val="auto"/>
              </w:rPr>
            </w:pPr>
            <w:r>
              <w:rPr>
                <w:rFonts w:ascii="Times New Roman" w:cs="Times New Roman" w:eastAsia="Times New Roman" w:hAnsi="Times New Roman"/>
                <w:sz w:val="14"/>
                <w:szCs w:val="14"/>
                <w:color w:val="auto"/>
              </w:rPr>
              <w:t>F-48</w:t>
            </w:r>
          </w:p>
        </w:tc>
      </w:tr>
      <w:tr>
        <w:trPr>
          <w:trHeight w:val="287"/>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Statements of Changes in Shareholders' Equity for the nine months and three months ended</w:t>
            </w:r>
          </w:p>
        </w:tc>
        <w:tc>
          <w:tcPr>
            <w:tcW w:w="2200" w:type="dxa"/>
            <w:vAlign w:val="bottom"/>
          </w:tcPr>
          <w:p>
            <w:pPr>
              <w:spacing w:after="0"/>
              <w:rPr>
                <w:sz w:val="24"/>
                <w:szCs w:val="24"/>
                <w:color w:val="auto"/>
              </w:rPr>
            </w:pPr>
          </w:p>
        </w:tc>
      </w:tr>
      <w:tr>
        <w:trPr>
          <w:trHeight w:val="182"/>
        </w:trPr>
        <w:tc>
          <w:tcPr>
            <w:tcW w:w="5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September 30, 2003 and 2002</w:t>
            </w:r>
          </w:p>
        </w:tc>
        <w:tc>
          <w:tcPr>
            <w:tcW w:w="2200" w:type="dxa"/>
            <w:vAlign w:val="bottom"/>
          </w:tcPr>
          <w:p>
            <w:pPr>
              <w:jc w:val="right"/>
              <w:ind w:right="1751"/>
              <w:spacing w:after="0"/>
              <w:rPr>
                <w:sz w:val="20"/>
                <w:szCs w:val="20"/>
                <w:color w:val="auto"/>
              </w:rPr>
            </w:pPr>
            <w:r>
              <w:rPr>
                <w:rFonts w:ascii="Times New Roman" w:cs="Times New Roman" w:eastAsia="Times New Roman" w:hAnsi="Times New Roman"/>
                <w:sz w:val="14"/>
                <w:szCs w:val="14"/>
                <w:color w:val="auto"/>
              </w:rPr>
              <w:t>F-49</w:t>
            </w:r>
          </w:p>
        </w:tc>
      </w:tr>
      <w:tr>
        <w:trPr>
          <w:trHeight w:val="287"/>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Consolidated Statements of Cash Flows for the nine months and three months ended</w:t>
            </w:r>
          </w:p>
        </w:tc>
        <w:tc>
          <w:tcPr>
            <w:tcW w:w="2200" w:type="dxa"/>
            <w:vAlign w:val="bottom"/>
          </w:tcPr>
          <w:p>
            <w:pPr>
              <w:spacing w:after="0"/>
              <w:rPr>
                <w:sz w:val="24"/>
                <w:szCs w:val="24"/>
                <w:color w:val="auto"/>
              </w:rPr>
            </w:pPr>
          </w:p>
        </w:tc>
      </w:tr>
      <w:tr>
        <w:trPr>
          <w:trHeight w:val="182"/>
        </w:trPr>
        <w:tc>
          <w:tcPr>
            <w:tcW w:w="5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September 30, 2003 and 2002</w:t>
            </w:r>
          </w:p>
        </w:tc>
        <w:tc>
          <w:tcPr>
            <w:tcW w:w="2200" w:type="dxa"/>
            <w:vAlign w:val="bottom"/>
          </w:tcPr>
          <w:p>
            <w:pPr>
              <w:jc w:val="right"/>
              <w:ind w:right="1751"/>
              <w:spacing w:after="0"/>
              <w:rPr>
                <w:sz w:val="20"/>
                <w:szCs w:val="20"/>
                <w:color w:val="auto"/>
              </w:rPr>
            </w:pPr>
            <w:r>
              <w:rPr>
                <w:rFonts w:ascii="Times New Roman" w:cs="Times New Roman" w:eastAsia="Times New Roman" w:hAnsi="Times New Roman"/>
                <w:sz w:val="14"/>
                <w:szCs w:val="14"/>
                <w:color w:val="auto"/>
              </w:rPr>
              <w:t>F-50</w:t>
            </w:r>
          </w:p>
        </w:tc>
      </w:tr>
      <w:tr>
        <w:trPr>
          <w:trHeight w:val="302"/>
        </w:trPr>
        <w:tc>
          <w:tcPr>
            <w:tcW w:w="5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Notes to Unaudited Condensed Interim Consolidated Financial Statements</w:t>
            </w:r>
          </w:p>
        </w:tc>
        <w:tc>
          <w:tcPr>
            <w:tcW w:w="2200" w:type="dxa"/>
            <w:vAlign w:val="bottom"/>
          </w:tcPr>
          <w:p>
            <w:pPr>
              <w:jc w:val="right"/>
              <w:ind w:right="1751"/>
              <w:spacing w:after="0"/>
              <w:rPr>
                <w:sz w:val="20"/>
                <w:szCs w:val="20"/>
                <w:color w:val="auto"/>
              </w:rPr>
            </w:pPr>
            <w:r>
              <w:rPr>
                <w:rFonts w:ascii="Times New Roman" w:cs="Times New Roman" w:eastAsia="Times New Roman" w:hAnsi="Times New Roman"/>
                <w:sz w:val="14"/>
                <w:szCs w:val="14"/>
                <w:color w:val="auto"/>
              </w:rPr>
              <w:t>F-51</w:t>
            </w:r>
          </w:p>
        </w:tc>
      </w:tr>
      <w:tr>
        <w:trPr>
          <w:trHeight w:val="448"/>
        </w:trPr>
        <w:tc>
          <w:tcPr>
            <w:tcW w:w="574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F-1</w:t>
            </w:r>
          </w:p>
        </w:tc>
        <w:tc>
          <w:tcPr>
            <w:tcW w:w="2200" w:type="dxa"/>
            <w:vAlign w:val="bottom"/>
          </w:tcPr>
          <w:p>
            <w:pPr>
              <w:spacing w:after="0"/>
              <w:rPr>
                <w:sz w:val="24"/>
                <w:szCs w:val="24"/>
                <w:color w:val="auto"/>
              </w:rPr>
            </w:pPr>
          </w:p>
        </w:tc>
      </w:tr>
      <w:tr>
        <w:trPr>
          <w:trHeight w:val="406"/>
        </w:trPr>
        <w:tc>
          <w:tcPr>
            <w:tcW w:w="57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31750"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-3284855</wp:posOffset>
            </wp:positionV>
            <wp:extent cx="13335" cy="635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-2874645</wp:posOffset>
            </wp:positionV>
            <wp:extent cx="13335" cy="635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-2577465</wp:posOffset>
            </wp:positionV>
            <wp:extent cx="13335" cy="635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-2332990</wp:posOffset>
            </wp:positionV>
            <wp:extent cx="13335" cy="635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-2068195</wp:posOffset>
            </wp:positionV>
            <wp:extent cx="13335" cy="635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-1876425</wp:posOffset>
            </wp:positionV>
            <wp:extent cx="13335" cy="635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-1685290</wp:posOffset>
            </wp:positionV>
            <wp:extent cx="13335" cy="635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-1440180</wp:posOffset>
            </wp:positionV>
            <wp:extent cx="13335" cy="635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-1143000</wp:posOffset>
            </wp:positionV>
            <wp:extent cx="13335" cy="635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-845185</wp:posOffset>
            </wp:positionV>
            <wp:extent cx="13335" cy="635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-600710</wp:posOffset>
            </wp:positionV>
            <wp:extent cx="13335" cy="635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-534670</wp:posOffset>
            </wp:positionV>
            <wp:extent cx="6350" cy="6604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393"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7"/>
          <w:szCs w:val="17"/>
          <w:b w:val="1"/>
          <w:bCs w:val="1"/>
          <w:color w:val="auto"/>
        </w:rPr>
        <w:t>INDEPENDENT AUDITORS' REPORT</w:t>
      </w:r>
    </w:p>
    <w:p>
      <w:pPr>
        <w:spacing w:after="0" w:line="6"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7"/>
          <w:szCs w:val="17"/>
          <w:b w:val="1"/>
          <w:bCs w:val="1"/>
          <w:color w:val="auto"/>
        </w:rPr>
        <w:t>TO THE SHAREHOLDERS OF</w:t>
      </w:r>
    </w:p>
    <w:p>
      <w:pPr>
        <w:jc w:val="center"/>
        <w:ind w:right="3899"/>
        <w:spacing w:after="0"/>
        <w:rPr>
          <w:sz w:val="20"/>
          <w:szCs w:val="20"/>
          <w:color w:val="auto"/>
        </w:rPr>
      </w:pPr>
      <w:r>
        <w:rPr>
          <w:rFonts w:ascii="Times New Roman" w:cs="Times New Roman" w:eastAsia="Times New Roman" w:hAnsi="Times New Roman"/>
          <w:sz w:val="17"/>
          <w:szCs w:val="17"/>
          <w:b w:val="1"/>
          <w:bCs w:val="1"/>
          <w:color w:val="auto"/>
        </w:rPr>
        <w:t>TOWER SEMICONDUCTOR LTD.</w:t>
      </w:r>
    </w:p>
    <w:p>
      <w:pPr>
        <w:spacing w:after="0" w:line="63" w:lineRule="exact"/>
        <w:rPr>
          <w:sz w:val="20"/>
          <w:szCs w:val="20"/>
          <w:color w:val="auto"/>
        </w:rPr>
      </w:pPr>
    </w:p>
    <w:p>
      <w:pPr>
        <w:ind w:right="3939"/>
        <w:spacing w:after="0" w:line="256"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Tower Semiconductor Ltd. (the "Company") and subsidiary as of December 31, 2002 and 2001, and the related consolidated statements of operations, changes in shareholders' equity and cash flows for each of the three years in the period ended December 31, 2002. These financial statements are the responsibility of the Company's Board of Directors and management. Our responsibility is to express an opinion on these financial statements based on our audits.</w:t>
      </w:r>
    </w:p>
    <w:p>
      <w:pPr>
        <w:spacing w:after="0" w:line="57" w:lineRule="exact"/>
        <w:rPr>
          <w:sz w:val="20"/>
          <w:szCs w:val="20"/>
          <w:color w:val="auto"/>
        </w:rPr>
      </w:pPr>
    </w:p>
    <w:p>
      <w:pPr>
        <w:ind w:right="3979"/>
        <w:spacing w:after="0" w:line="253" w:lineRule="auto"/>
        <w:rPr>
          <w:sz w:val="20"/>
          <w:szCs w:val="20"/>
          <w:color w:val="auto"/>
        </w:rPr>
      </w:pPr>
      <w:r>
        <w:rPr>
          <w:rFonts w:ascii="Times New Roman" w:cs="Times New Roman" w:eastAsia="Times New Roman" w:hAnsi="Times New Roman"/>
          <w:sz w:val="14"/>
          <w:szCs w:val="14"/>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61" w:lineRule="exact"/>
        <w:rPr>
          <w:sz w:val="20"/>
          <w:szCs w:val="20"/>
          <w:color w:val="auto"/>
        </w:rPr>
      </w:pPr>
    </w:p>
    <w:p>
      <w:pPr>
        <w:ind w:right="3919"/>
        <w:spacing w:after="0" w:line="258" w:lineRule="auto"/>
        <w:rPr>
          <w:sz w:val="20"/>
          <w:szCs w:val="20"/>
          <w:color w:val="auto"/>
        </w:rPr>
      </w:pPr>
      <w:r>
        <w:rPr>
          <w:rFonts w:ascii="Times New Roman" w:cs="Times New Roman" w:eastAsia="Times New Roman" w:hAnsi="Times New Roman"/>
          <w:sz w:val="14"/>
          <w:szCs w:val="14"/>
          <w:color w:val="auto"/>
        </w:rPr>
        <w:t>In our opinion, the consolidated financial statements present fairly, in all material respects, the consolidated financial position of the Company and subsidiary as of December 31, 2002 and 2001, and the consolidated results of their operations, changes in shareholders' equity and cash flows for each of the three years in the period ended December 31, 2002, in accordance with accounting principles generally accepted in Israel.</w:t>
      </w:r>
    </w:p>
    <w:p>
      <w:pPr>
        <w:spacing w:after="0" w:line="57" w:lineRule="exact"/>
        <w:rPr>
          <w:sz w:val="20"/>
          <w:szCs w:val="20"/>
          <w:color w:val="auto"/>
        </w:rPr>
      </w:pPr>
    </w:p>
    <w:p>
      <w:pPr>
        <w:ind w:right="3979"/>
        <w:spacing w:after="0" w:line="258" w:lineRule="auto"/>
        <w:rPr>
          <w:sz w:val="20"/>
          <w:szCs w:val="20"/>
          <w:color w:val="auto"/>
        </w:rPr>
      </w:pPr>
      <w:r>
        <w:rPr>
          <w:rFonts w:ascii="Times New Roman" w:cs="Times New Roman" w:eastAsia="Times New Roman" w:hAnsi="Times New Roman"/>
          <w:sz w:val="14"/>
          <w:szCs w:val="14"/>
          <w:color w:val="auto"/>
        </w:rPr>
        <w:t>Accounting principles generally accepted in Israel vary in certain significant respects from accounting principles generally accepted in the United States of America. The application of the latter would have affected the determination of the financial position and results of operations as of the dates and for the years presented to the extent summarized in Note 20.</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Brightman Almagor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Certified Public Accountants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member of Deloitte Touche Tohmatsu</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 Aviv, Israel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24, 2003</w:t>
      </w:r>
    </w:p>
    <w:p>
      <w:pPr>
        <w:spacing w:after="0" w:line="20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8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3807460" cy="7302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3807460" cy="73025"/>
                    </a:xfrm>
                    <a:prstGeom prst="rect">
                      <a:avLst/>
                    </a:prstGeom>
                    <a:noFill/>
                  </pic:spPr>
                </pic:pic>
              </a:graphicData>
            </a:graphic>
          </wp:anchor>
        </w:drawing>
      </w:r>
    </w:p>
    <w:p>
      <w:pPr>
        <w:spacing w:after="0" w:line="185" w:lineRule="exact"/>
        <w:rPr>
          <w:sz w:val="20"/>
          <w:szCs w:val="20"/>
          <w:color w:val="auto"/>
        </w:rPr>
      </w:pPr>
    </w:p>
    <w:tbl>
      <w:tblPr>
        <w:tblLayout w:type="fixed"/>
        <w:tblInd w:w="4040" w:type="dxa"/>
        <w:tblCellMar>
          <w:top w:w="0" w:type="dxa"/>
          <w:left w:w="0" w:type="dxa"/>
          <w:bottom w:w="0" w:type="dxa"/>
          <w:right w:w="0" w:type="dxa"/>
        </w:tblCellMar>
      </w:tblPr>
      <w:tr>
        <w:trPr>
          <w:trHeight w:val="134"/>
        </w:trPr>
        <w:tc>
          <w:tcPr>
            <w:tcW w:w="440" w:type="dxa"/>
            <w:vAlign w:val="bottom"/>
          </w:tcPr>
          <w:p>
            <w:pPr>
              <w:spacing w:after="0"/>
              <w:rPr>
                <w:sz w:val="11"/>
                <w:szCs w:val="11"/>
                <w:color w:val="auto"/>
              </w:rPr>
            </w:pPr>
          </w:p>
        </w:tc>
        <w:tc>
          <w:tcPr>
            <w:tcW w:w="1700" w:type="dxa"/>
            <w:vAlign w:val="bottom"/>
            <w:tcBorders>
              <w:bottom w:val="single" w:sz="8" w:color="auto"/>
            </w:tcBorders>
            <w:gridSpan w:val="2"/>
          </w:tcPr>
          <w:p>
            <w:pPr>
              <w:jc w:val="right"/>
              <w:ind w:right="345"/>
              <w:spacing w:after="0"/>
              <w:rPr>
                <w:sz w:val="20"/>
                <w:szCs w:val="20"/>
                <w:color w:val="auto"/>
              </w:rPr>
            </w:pPr>
            <w:r>
              <w:rPr>
                <w:rFonts w:ascii="Times New Roman" w:cs="Times New Roman" w:eastAsia="Times New Roman" w:hAnsi="Times New Roman"/>
                <w:sz w:val="11"/>
                <w:szCs w:val="11"/>
                <w:b w:val="1"/>
                <w:bCs w:val="1"/>
                <w:color w:val="auto"/>
              </w:rPr>
              <w:t>As of December 31,</w:t>
            </w:r>
          </w:p>
        </w:tc>
      </w:tr>
      <w:tr>
        <w:trPr>
          <w:trHeight w:val="137"/>
        </w:trPr>
        <w:tc>
          <w:tcPr>
            <w:tcW w:w="4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Note</w:t>
            </w:r>
          </w:p>
        </w:tc>
        <w:tc>
          <w:tcPr>
            <w:tcW w:w="860" w:type="dxa"/>
            <w:vAlign w:val="bottom"/>
          </w:tcPr>
          <w:p>
            <w:pPr>
              <w:jc w:val="right"/>
              <w:ind w:right="285"/>
              <w:spacing w:after="0"/>
              <w:rPr>
                <w:sz w:val="20"/>
                <w:szCs w:val="20"/>
                <w:color w:val="auto"/>
              </w:rPr>
            </w:pPr>
            <w:r>
              <w:rPr>
                <w:rFonts w:ascii="Times New Roman" w:cs="Times New Roman" w:eastAsia="Times New Roman" w:hAnsi="Times New Roman"/>
                <w:sz w:val="11"/>
                <w:szCs w:val="11"/>
                <w:b w:val="1"/>
                <w:bCs w:val="1"/>
                <w:color w:val="auto"/>
              </w:rPr>
              <w:t>2002</w:t>
            </w:r>
          </w:p>
        </w:tc>
        <w:tc>
          <w:tcPr>
            <w:tcW w:w="840" w:type="dxa"/>
            <w:vAlign w:val="bottom"/>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2001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2467610</wp:posOffset>
            </wp:positionH>
            <wp:positionV relativeFrom="paragraph">
              <wp:posOffset>-6350</wp:posOffset>
            </wp:positionV>
            <wp:extent cx="1454150" cy="635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454150"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-145415</wp:posOffset>
            </wp:positionV>
            <wp:extent cx="13335" cy="635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-145415</wp:posOffset>
            </wp:positionV>
            <wp:extent cx="13335" cy="635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-52705</wp:posOffset>
            </wp:positionV>
            <wp:extent cx="13335" cy="635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-52705</wp:posOffset>
            </wp:positionV>
            <wp:extent cx="13335" cy="635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-52705</wp:posOffset>
            </wp:positionV>
            <wp:extent cx="13335" cy="635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1" w:lineRule="exact"/>
        <w:rPr>
          <w:sz w:val="20"/>
          <w:szCs w:val="20"/>
          <w:color w:val="auto"/>
        </w:rPr>
      </w:pPr>
    </w:p>
    <w:tbl>
      <w:tblPr>
        <w:tblLayout w:type="fixed"/>
        <w:tblInd w:w="140" w:type="dxa"/>
        <w:tblCellMar>
          <w:top w:w="0" w:type="dxa"/>
          <w:left w:w="0" w:type="dxa"/>
          <w:bottom w:w="0" w:type="dxa"/>
          <w:right w:w="0" w:type="dxa"/>
        </w:tblCellMar>
      </w:tblPr>
      <w:tr>
        <w:trPr>
          <w:trHeight w:val="182"/>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8"/>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7,857</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19,610</w:t>
            </w:r>
          </w:p>
        </w:tc>
      </w:tr>
      <w:tr>
        <w:trPr>
          <w:trHeight w:val="198"/>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interest-bearing deposits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10,044</w:t>
            </w:r>
          </w:p>
        </w:tc>
      </w:tr>
      <w:tr>
        <w:trPr>
          <w:trHeight w:val="183"/>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short-term interest-bearing deposits designated for</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2"/>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investments relating to Fab 2</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51,338</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3,548</w:t>
            </w:r>
          </w:p>
        </w:tc>
      </w:tr>
      <w:tr>
        <w:trPr>
          <w:trHeight w:val="183"/>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Trade accounts receivable (net of allowance for doubtful</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2"/>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accounts of $155 and $215, respectively)</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7,456</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w:t>
            </w:r>
          </w:p>
        </w:tc>
      </w:tr>
      <w:tr>
        <w:trPr>
          <w:trHeight w:val="198"/>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receivables</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21,322</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21,250</w:t>
            </w:r>
          </w:p>
        </w:tc>
      </w:tr>
      <w:tr>
        <w:trPr>
          <w:trHeight w:val="198"/>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8,428</w:t>
            </w:r>
          </w:p>
        </w:tc>
      </w:tr>
      <w:tr>
        <w:trPr>
          <w:trHeight w:val="218"/>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1,407</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w:t>
            </w:r>
          </w:p>
        </w:tc>
      </w:tr>
      <w:tr>
        <w:trPr>
          <w:trHeight w:val="178"/>
        </w:trPr>
        <w:tc>
          <w:tcPr>
            <w:tcW w:w="38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Total current assets</w:t>
            </w: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110,081</w:t>
            </w:r>
          </w:p>
        </w:tc>
        <w:tc>
          <w:tcPr>
            <w:tcW w:w="2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67,420</w:t>
            </w:r>
          </w:p>
        </w:tc>
      </w:tr>
      <w:tr>
        <w:trPr>
          <w:trHeight w:val="162"/>
        </w:trPr>
        <w:tc>
          <w:tcPr>
            <w:tcW w:w="3800" w:type="dxa"/>
            <w:vAlign w:val="bottom"/>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8"/>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interest-bearing deposits designated for investments</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2"/>
        </w:trPr>
        <w:tc>
          <w:tcPr>
            <w:tcW w:w="38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relating to Fab 2</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11,893</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38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long-term investment</w:t>
            </w:r>
          </w:p>
        </w:tc>
        <w:tc>
          <w:tcPr>
            <w:tcW w:w="5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5</w:t>
            </w: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28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r>
      <w:tr>
        <w:trPr>
          <w:trHeight w:val="178"/>
        </w:trPr>
        <w:tc>
          <w:tcPr>
            <w:tcW w:w="3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17,893</w:t>
            </w:r>
          </w:p>
        </w:tc>
        <w:tc>
          <w:tcPr>
            <w:tcW w:w="28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-1889760</wp:posOffset>
            </wp:positionV>
            <wp:extent cx="13335" cy="635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-1889760</wp:posOffset>
            </wp:positionV>
            <wp:extent cx="13335" cy="635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-1889760</wp:posOffset>
            </wp:positionV>
            <wp:extent cx="13335" cy="635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-1764030</wp:posOffset>
            </wp:positionV>
            <wp:extent cx="13335" cy="635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-1764030</wp:posOffset>
            </wp:positionV>
            <wp:extent cx="13335" cy="635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-1764030</wp:posOffset>
            </wp:positionV>
            <wp:extent cx="13335" cy="635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-1638935</wp:posOffset>
            </wp:positionV>
            <wp:extent cx="13335" cy="635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-1638935</wp:posOffset>
            </wp:positionV>
            <wp:extent cx="13335" cy="635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-1638935</wp:posOffset>
            </wp:positionV>
            <wp:extent cx="13335" cy="635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-1460500</wp:posOffset>
            </wp:positionV>
            <wp:extent cx="13335" cy="635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-1460500</wp:posOffset>
            </wp:positionV>
            <wp:extent cx="13335" cy="635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-1460500</wp:posOffset>
            </wp:positionV>
            <wp:extent cx="13335" cy="635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-1228725</wp:posOffset>
            </wp:positionV>
            <wp:extent cx="13335" cy="635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-1228725</wp:posOffset>
            </wp:positionV>
            <wp:extent cx="13335" cy="635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-1228725</wp:posOffset>
            </wp:positionV>
            <wp:extent cx="13335" cy="635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-1050290</wp:posOffset>
            </wp:positionV>
            <wp:extent cx="13335" cy="635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-1050290</wp:posOffset>
            </wp:positionV>
            <wp:extent cx="13335" cy="635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-1050290</wp:posOffset>
            </wp:positionV>
            <wp:extent cx="13335" cy="635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-924560</wp:posOffset>
            </wp:positionV>
            <wp:extent cx="13335" cy="635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-924560</wp:posOffset>
            </wp:positionV>
            <wp:extent cx="13335" cy="635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-924560</wp:posOffset>
            </wp:positionV>
            <wp:extent cx="13335" cy="635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-799465</wp:posOffset>
            </wp:positionV>
            <wp:extent cx="13335" cy="635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-799465</wp:posOffset>
            </wp:positionV>
            <wp:extent cx="13335" cy="635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-799465</wp:posOffset>
            </wp:positionV>
            <wp:extent cx="13335" cy="635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-673735</wp:posOffset>
            </wp:positionV>
            <wp:extent cx="13335" cy="635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-673735</wp:posOffset>
            </wp:positionV>
            <wp:extent cx="13335" cy="635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-673735</wp:posOffset>
            </wp:positionV>
            <wp:extent cx="13335" cy="635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-548005</wp:posOffset>
            </wp:positionV>
            <wp:extent cx="13335" cy="635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-548005</wp:posOffset>
            </wp:positionV>
            <wp:extent cx="13335" cy="635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-548005</wp:posOffset>
            </wp:positionV>
            <wp:extent cx="13335" cy="635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-369570</wp:posOffset>
            </wp:positionV>
            <wp:extent cx="13335" cy="635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-369570</wp:posOffset>
            </wp:positionV>
            <wp:extent cx="13335" cy="635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-369570</wp:posOffset>
            </wp:positionV>
            <wp:extent cx="13335" cy="635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-191135</wp:posOffset>
            </wp:positionV>
            <wp:extent cx="13335" cy="635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-191135</wp:posOffset>
            </wp:positionV>
            <wp:extent cx="13335" cy="635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-191135</wp:posOffset>
            </wp:positionV>
            <wp:extent cx="13335" cy="635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-65405</wp:posOffset>
            </wp:positionV>
            <wp:extent cx="13335" cy="635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-65405</wp:posOffset>
            </wp:positionV>
            <wp:extent cx="13335" cy="635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-65405</wp:posOffset>
            </wp:positionV>
            <wp:extent cx="13335" cy="635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0</wp:posOffset>
            </wp:positionV>
            <wp:extent cx="13335" cy="635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0</wp:posOffset>
            </wp:positionV>
            <wp:extent cx="13335" cy="635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0</wp:posOffset>
            </wp:positionV>
            <wp:extent cx="13335" cy="635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71" w:orient="portrait"/>
          <w:cols w:equalWidth="0" w:num="1">
            <w:col w:w="10239"/>
          </w:cols>
          <w:pgMar w:left="220" w:top="135" w:right="1440" w:bottom="0" w:gutter="0" w:footer="0" w:header="0"/>
        </w:sectPr>
      </w:pPr>
    </w:p>
    <w:bookmarkStart w:id="47" w:name="page48"/>
    <w:bookmarkEnd w:id="47"/>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493,074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340,724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38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66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80" w:type="dxa"/>
            <w:vAlign w:val="bottom"/>
            <w:vMerge w:val="restart"/>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38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95,213</w:t>
            </w:r>
          </w:p>
        </w:tc>
        <w:tc>
          <w:tcPr>
            <w:tcW w:w="28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57,910</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560"/>
              <w:spacing w:after="0" w:line="157" w:lineRule="exact"/>
              <w:rPr>
                <w:sz w:val="20"/>
                <w:szCs w:val="20"/>
                <w:color w:val="auto"/>
              </w:rPr>
            </w:pPr>
            <w:r>
              <w:rPr>
                <w:rFonts w:ascii="Times New Roman" w:cs="Times New Roman" w:eastAsia="Times New Roman" w:hAnsi="Times New Roman"/>
                <w:sz w:val="14"/>
                <w:szCs w:val="14"/>
                <w:color w:val="auto"/>
              </w:rPr>
              <w:t>TOTAL ASSETS</w:t>
            </w:r>
          </w:p>
        </w:tc>
        <w:tc>
          <w:tcPr>
            <w:tcW w:w="6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716,261</w:t>
            </w:r>
          </w:p>
        </w:tc>
        <w:tc>
          <w:tcPr>
            <w:tcW w:w="2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472,054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82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Short-term debt</w:t>
            </w: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14,000</w:t>
            </w:r>
          </w:p>
        </w:tc>
        <w:tc>
          <w:tcPr>
            <w:tcW w:w="0" w:type="dxa"/>
            <w:vAlign w:val="bottom"/>
          </w:tcPr>
          <w:p>
            <w:pPr>
              <w:spacing w:after="0"/>
              <w:rPr>
                <w:sz w:val="1"/>
                <w:szCs w:val="1"/>
                <w:color w:val="auto"/>
              </w:rPr>
            </w:pPr>
          </w:p>
        </w:tc>
      </w:tr>
      <w:tr>
        <w:trPr>
          <w:trHeight w:val="198"/>
        </w:trPr>
        <w:tc>
          <w:tcPr>
            <w:tcW w:w="3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Trade accounts payable</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76,083</w:t>
            </w:r>
          </w:p>
        </w:tc>
        <w:tc>
          <w:tcPr>
            <w:tcW w:w="14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64,484</w:t>
            </w:r>
          </w:p>
        </w:tc>
        <w:tc>
          <w:tcPr>
            <w:tcW w:w="0" w:type="dxa"/>
            <w:vAlign w:val="bottom"/>
          </w:tcPr>
          <w:p>
            <w:pPr>
              <w:spacing w:after="0"/>
              <w:rPr>
                <w:sz w:val="1"/>
                <w:szCs w:val="1"/>
                <w:color w:val="auto"/>
              </w:rPr>
            </w:pPr>
          </w:p>
        </w:tc>
      </w:tr>
      <w:tr>
        <w:trPr>
          <w:trHeight w:val="218"/>
        </w:trPr>
        <w:tc>
          <w:tcPr>
            <w:tcW w:w="3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8,071</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88,154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253,000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6"/>
              </w:rPr>
              <w:t>115,000</w:t>
            </w:r>
          </w:p>
        </w:tc>
        <w:tc>
          <w:tcPr>
            <w:tcW w:w="0" w:type="dxa"/>
            <w:vAlign w:val="bottom"/>
          </w:tcPr>
          <w:p>
            <w:pPr>
              <w:spacing w:after="0"/>
              <w:rPr>
                <w:sz w:val="1"/>
                <w:szCs w:val="1"/>
                <w:color w:val="auto"/>
              </w:rPr>
            </w:pPr>
          </w:p>
        </w:tc>
      </w:tr>
      <w:tr>
        <w:trPr>
          <w:trHeight w:val="198"/>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DEBENTURES</w:t>
            </w: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24,121</w:t>
            </w:r>
          </w:p>
        </w:tc>
        <w:tc>
          <w:tcPr>
            <w:tcW w:w="14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LIABILITY IN RESPECT OF CUSTOMERS'</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ADVANCES</w:t>
            </w: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13A</w:t>
            </w:r>
          </w:p>
        </w:tc>
        <w:tc>
          <w:tcPr>
            <w:tcW w:w="120" w:type="dxa"/>
            <w:vAlign w:val="bottom"/>
          </w:tcPr>
          <w:p>
            <w:pPr>
              <w:spacing w:after="0"/>
              <w:rPr>
                <w:sz w:val="17"/>
                <w:szCs w:val="17"/>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47,246</w:t>
            </w:r>
          </w:p>
        </w:tc>
        <w:tc>
          <w:tcPr>
            <w:tcW w:w="14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17,910</w:t>
            </w:r>
          </w:p>
        </w:tc>
        <w:tc>
          <w:tcPr>
            <w:tcW w:w="0" w:type="dxa"/>
            <w:vAlign w:val="bottom"/>
          </w:tcPr>
          <w:p>
            <w:pPr>
              <w:spacing w:after="0"/>
              <w:rPr>
                <w:sz w:val="1"/>
                <w:szCs w:val="1"/>
                <w:color w:val="auto"/>
              </w:rPr>
            </w:pPr>
          </w:p>
        </w:tc>
      </w:tr>
      <w:tr>
        <w:trPr>
          <w:trHeight w:val="178"/>
        </w:trPr>
        <w:tc>
          <w:tcPr>
            <w:tcW w:w="3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6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417,927</w:t>
            </w:r>
          </w:p>
        </w:tc>
        <w:tc>
          <w:tcPr>
            <w:tcW w:w="2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219,249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Ordinary shares, NIS 1 par value – authorized 70,000,000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shares; issued 44,735,532 and 26,297,102 shares,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respectively</w:t>
            </w: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400,808</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307,865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Shareholder receivables and unearned compensation</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18"/>
        </w:trPr>
        <w:tc>
          <w:tcPr>
            <w:tcW w:w="3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Accumulated deficit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8"/>
              </w:rPr>
              <w:t>(104,643)</w:t>
            </w: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(53,241)</w:t>
            </w:r>
          </w:p>
        </w:tc>
        <w:tc>
          <w:tcPr>
            <w:tcW w:w="0" w:type="dxa"/>
            <w:vAlign w:val="bottom"/>
          </w:tcPr>
          <w:p>
            <w:pPr>
              <w:spacing w:after="0"/>
              <w:rPr>
                <w:sz w:val="1"/>
                <w:szCs w:val="1"/>
                <w:color w:val="auto"/>
              </w:rPr>
            </w:pPr>
          </w:p>
        </w:tc>
      </w:tr>
      <w:tr>
        <w:trPr>
          <w:trHeight w:val="172"/>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307,406</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261,877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Treasury stock, at cost - 1,300,000 shares</w:t>
            </w:r>
          </w:p>
        </w:tc>
        <w:tc>
          <w:tcPr>
            <w:tcW w:w="66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(9,072)</w:t>
            </w:r>
          </w:p>
        </w:tc>
        <w:tc>
          <w:tcPr>
            <w:tcW w:w="14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(9,072)</w:t>
            </w:r>
          </w:p>
        </w:tc>
        <w:tc>
          <w:tcPr>
            <w:tcW w:w="0" w:type="dxa"/>
            <w:vAlign w:val="bottom"/>
          </w:tcPr>
          <w:p>
            <w:pPr>
              <w:spacing w:after="0"/>
              <w:rPr>
                <w:sz w:val="1"/>
                <w:szCs w:val="1"/>
                <w:color w:val="auto"/>
              </w:rPr>
            </w:pPr>
          </w:p>
        </w:tc>
      </w:tr>
      <w:tr>
        <w:trPr>
          <w:trHeight w:val="178"/>
        </w:trPr>
        <w:tc>
          <w:tcPr>
            <w:tcW w:w="38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6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298,334</w:t>
            </w:r>
          </w:p>
        </w:tc>
        <w:tc>
          <w:tcPr>
            <w:tcW w:w="2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252,805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tcPr>
          <w:p>
            <w:pPr>
              <w:ind w:left="560"/>
              <w:spacing w:after="0" w:line="143" w:lineRule="exact"/>
              <w:rPr>
                <w:sz w:val="20"/>
                <w:szCs w:val="20"/>
                <w:color w:val="auto"/>
              </w:rPr>
            </w:pPr>
            <w:r>
              <w:rPr>
                <w:rFonts w:ascii="Times New Roman" w:cs="Times New Roman" w:eastAsia="Times New Roman" w:hAnsi="Times New Roman"/>
                <w:sz w:val="14"/>
                <w:szCs w:val="14"/>
                <w:color w:val="auto"/>
              </w:rPr>
              <w:t>TOTAL LIABILITIES AND SHAREHOLDERS'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EQUITY</w:t>
            </w:r>
          </w:p>
        </w:tc>
        <w:tc>
          <w:tcPr>
            <w:tcW w:w="6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716,261</w:t>
            </w:r>
          </w:p>
        </w:tc>
        <w:tc>
          <w:tcPr>
            <w:tcW w:w="2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472,054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-3126105</wp:posOffset>
            </wp:positionV>
            <wp:extent cx="13335" cy="635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-3126105</wp:posOffset>
            </wp:positionV>
            <wp:extent cx="13335" cy="635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-3126105</wp:posOffset>
            </wp:positionV>
            <wp:extent cx="13335" cy="635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-3000375</wp:posOffset>
            </wp:positionV>
            <wp:extent cx="13335" cy="635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-3000375</wp:posOffset>
            </wp:positionV>
            <wp:extent cx="13335" cy="635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-3000375</wp:posOffset>
            </wp:positionV>
            <wp:extent cx="13335" cy="635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-2749550</wp:posOffset>
            </wp:positionV>
            <wp:extent cx="13335" cy="635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-2749550</wp:posOffset>
            </wp:positionV>
            <wp:extent cx="13335" cy="635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-2749550</wp:posOffset>
            </wp:positionV>
            <wp:extent cx="13335" cy="635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-2623820</wp:posOffset>
            </wp:positionV>
            <wp:extent cx="13335" cy="635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-2623820</wp:posOffset>
            </wp:positionV>
            <wp:extent cx="13335" cy="635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-2623820</wp:posOffset>
            </wp:positionV>
            <wp:extent cx="13335" cy="635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-2498090</wp:posOffset>
            </wp:positionV>
            <wp:extent cx="13335" cy="635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-2498090</wp:posOffset>
            </wp:positionV>
            <wp:extent cx="13335" cy="635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-2498090</wp:posOffset>
            </wp:positionV>
            <wp:extent cx="13335" cy="635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-2372360</wp:posOffset>
            </wp:positionV>
            <wp:extent cx="13335" cy="635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-2372360</wp:posOffset>
            </wp:positionV>
            <wp:extent cx="13335" cy="635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-2372360</wp:posOffset>
            </wp:positionV>
            <wp:extent cx="13335" cy="635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-2246630</wp:posOffset>
            </wp:positionV>
            <wp:extent cx="13335" cy="635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-2246630</wp:posOffset>
            </wp:positionV>
            <wp:extent cx="13335" cy="635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-2246630</wp:posOffset>
            </wp:positionV>
            <wp:extent cx="13335" cy="635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-2121535</wp:posOffset>
            </wp:positionV>
            <wp:extent cx="13335" cy="635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-2121535</wp:posOffset>
            </wp:positionV>
            <wp:extent cx="13335" cy="635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-2121535</wp:posOffset>
            </wp:positionV>
            <wp:extent cx="13335" cy="635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-1995805</wp:posOffset>
            </wp:positionV>
            <wp:extent cx="13335" cy="635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-1995805</wp:posOffset>
            </wp:positionV>
            <wp:extent cx="13335" cy="635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-1995805</wp:posOffset>
            </wp:positionV>
            <wp:extent cx="13335" cy="635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-1870075</wp:posOffset>
            </wp:positionV>
            <wp:extent cx="13335" cy="635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-1870075</wp:posOffset>
            </wp:positionV>
            <wp:extent cx="13335" cy="635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-1870075</wp:posOffset>
            </wp:positionV>
            <wp:extent cx="13335" cy="635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-1691640</wp:posOffset>
            </wp:positionV>
            <wp:extent cx="13335" cy="635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-1691640</wp:posOffset>
            </wp:positionV>
            <wp:extent cx="13335" cy="635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-1691640</wp:posOffset>
            </wp:positionV>
            <wp:extent cx="13335" cy="635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-1513205</wp:posOffset>
            </wp:positionV>
            <wp:extent cx="13335" cy="635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-1513205</wp:posOffset>
            </wp:positionV>
            <wp:extent cx="13335" cy="635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-1513205</wp:posOffset>
            </wp:positionV>
            <wp:extent cx="13335" cy="635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-1387475</wp:posOffset>
            </wp:positionV>
            <wp:extent cx="13335" cy="635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-1387475</wp:posOffset>
            </wp:positionV>
            <wp:extent cx="13335" cy="635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-1387475</wp:posOffset>
            </wp:positionV>
            <wp:extent cx="13335" cy="635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-1156335</wp:posOffset>
            </wp:positionV>
            <wp:extent cx="13335" cy="635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-1156335</wp:posOffset>
            </wp:positionV>
            <wp:extent cx="13335" cy="635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-1156335</wp:posOffset>
            </wp:positionV>
            <wp:extent cx="13335" cy="635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-924560</wp:posOffset>
            </wp:positionV>
            <wp:extent cx="13335" cy="635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-924560</wp:posOffset>
            </wp:positionV>
            <wp:extent cx="13335" cy="635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-924560</wp:posOffset>
            </wp:positionV>
            <wp:extent cx="13335" cy="635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-799465</wp:posOffset>
            </wp:positionV>
            <wp:extent cx="13335" cy="635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-799465</wp:posOffset>
            </wp:positionV>
            <wp:extent cx="13335" cy="635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-799465</wp:posOffset>
            </wp:positionV>
            <wp:extent cx="13335" cy="635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-673735</wp:posOffset>
            </wp:positionV>
            <wp:extent cx="13335" cy="635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-673735</wp:posOffset>
            </wp:positionV>
            <wp:extent cx="13335" cy="635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-673735</wp:posOffset>
            </wp:positionV>
            <wp:extent cx="13335" cy="635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-548005</wp:posOffset>
            </wp:positionV>
            <wp:extent cx="13335" cy="635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-548005</wp:posOffset>
            </wp:positionV>
            <wp:extent cx="13335" cy="635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-548005</wp:posOffset>
            </wp:positionV>
            <wp:extent cx="13335" cy="635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-422275</wp:posOffset>
            </wp:positionV>
            <wp:extent cx="13335" cy="635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-422275</wp:posOffset>
            </wp:positionV>
            <wp:extent cx="13335" cy="635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-422275</wp:posOffset>
            </wp:positionV>
            <wp:extent cx="13335" cy="635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-296545</wp:posOffset>
            </wp:positionV>
            <wp:extent cx="13335" cy="635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-296545</wp:posOffset>
            </wp:positionV>
            <wp:extent cx="13335" cy="635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-296545</wp:posOffset>
            </wp:positionV>
            <wp:extent cx="13335" cy="635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-118110</wp:posOffset>
            </wp:positionV>
            <wp:extent cx="13335" cy="635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-118110</wp:posOffset>
            </wp:positionV>
            <wp:extent cx="13335" cy="635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-118110</wp:posOffset>
            </wp:positionV>
            <wp:extent cx="13335" cy="635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3860165" cy="7302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3860165" cy="7302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11"/>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1"/>
                <w:szCs w:val="11"/>
                <w:b w:val="1"/>
                <w:bCs w:val="1"/>
                <w:color w:val="auto"/>
              </w:rPr>
              <w:t>Note</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2002</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2001</w:t>
            </w: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2000</w:t>
            </w: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55"/>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SALES</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13D, 15</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52,372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6"/>
              </w:rPr>
              <w:t>104,775</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13A</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76,733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88,787</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GROSS PROFIT (LOSS)</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6"/>
              </w:rPr>
              <w:t>(15,221)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1"/>
              </w:rPr>
              <w:t>(24,361)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15,988</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8,965</w:t>
            </w:r>
          </w:p>
        </w:tc>
        <w:tc>
          <w:tcPr>
            <w:tcW w:w="0" w:type="dxa"/>
            <w:vAlign w:val="bottom"/>
          </w:tcPr>
          <w:p>
            <w:pPr>
              <w:spacing w:after="0"/>
              <w:rPr>
                <w:sz w:val="1"/>
                <w:szCs w:val="1"/>
                <w:color w:val="auto"/>
              </w:rPr>
            </w:pPr>
          </w:p>
        </w:tc>
      </w:tr>
      <w:tr>
        <w:trPr>
          <w:trHeight w:val="218"/>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Marketing, general and administrative</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13A</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14,489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11,428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OPERATING LOSS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24,045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20,393</w:t>
            </w:r>
          </w:p>
        </w:tc>
        <w:tc>
          <w:tcPr>
            <w:tcW w:w="0" w:type="dxa"/>
            <w:vAlign w:val="bottom"/>
          </w:tcPr>
          <w:p>
            <w:pPr>
              <w:spacing w:after="0"/>
              <w:rPr>
                <w:sz w:val="1"/>
                <w:szCs w:val="1"/>
                <w:color w:val="auto"/>
              </w:rPr>
            </w:pPr>
          </w:p>
        </w:tc>
      </w:tr>
      <w:tr>
        <w:trPr>
          <w:trHeight w:val="172"/>
        </w:trPr>
        <w:tc>
          <w:tcPr>
            <w:tcW w:w="33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(49,343)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3"/>
              </w:rPr>
              <w:t>(48,406)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FINANCING INCOME (EXPENSE), NET</w:t>
            </w:r>
          </w:p>
        </w:tc>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1,394</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5B, 5D</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72"/>
        </w:trPr>
        <w:tc>
          <w:tcPr>
            <w:tcW w:w="3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BEFORE INCOME TAX EXPENSE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(51,402)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3"/>
              </w:rPr>
              <w:t>(38,522)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57"/>
        </w:trPr>
        <w:tc>
          <w:tcPr>
            <w:tcW w:w="3360" w:type="dxa"/>
            <w:vAlign w:val="bottom"/>
          </w:tcPr>
          <w:p>
            <w:pPr>
              <w:ind w:left="420"/>
              <w:spacing w:after="0" w:line="157" w:lineRule="exact"/>
              <w:rPr>
                <w:sz w:val="20"/>
                <w:szCs w:val="20"/>
                <w:color w:val="auto"/>
              </w:rPr>
            </w:pPr>
            <w:r>
              <w:rPr>
                <w:rFonts w:ascii="Times New Roman" w:cs="Times New Roman" w:eastAsia="Times New Roman" w:hAnsi="Times New Roman"/>
                <w:sz w:val="14"/>
                <w:szCs w:val="14"/>
                <w:color w:val="auto"/>
              </w:rPr>
              <w:t>LOSS FOR THE YEAR</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(51,402</w:t>
            </w:r>
          </w:p>
        </w:tc>
        <w:tc>
          <w:tcPr>
            <w:tcW w:w="80" w:type="dxa"/>
            <w:vAlign w:val="bottom"/>
            <w:gridSpan w:val="2"/>
          </w:tcPr>
          <w:p>
            <w:pPr>
              <w:jc w:val="right"/>
              <w:ind w:right="60"/>
              <w:spacing w:after="0"/>
              <w:rPr>
                <w:sz w:val="20"/>
                <w:szCs w:val="20"/>
                <w:color w:val="auto"/>
              </w:rPr>
            </w:pPr>
            <w:r>
              <w:rPr>
                <w:rFonts w:ascii="Times New Roman" w:cs="Times New Roman" w:eastAsia="Times New Roman" w:hAnsi="Times New Roman"/>
                <w:sz w:val="1"/>
                <w:szCs w:val="1"/>
                <w:color w:val="auto"/>
                <w:w w:val="4294967281"/>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2"/>
              </w:rPr>
              <w:t>(38,522</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(3,989)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LOSS PER ORDINARY SHARE</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per share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Loss used to compute basic loss per share</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
                <w:szCs w:val="1"/>
                <w:color w:val="auto"/>
                <w:w w:val="4294967281"/>
              </w:rPr>
              <w:t>)</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97"/>
              </w:rPr>
              <w:t>(51,402</w:t>
            </w:r>
          </w:p>
        </w:tc>
        <w:tc>
          <w:tcPr>
            <w:tcW w:w="8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92"/>
              </w:rPr>
              <w:t>(38,459</w:t>
            </w:r>
          </w:p>
        </w:tc>
        <w:tc>
          <w:tcPr>
            <w:tcW w:w="1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(3,544)</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Weighted average number of ordinary shares</w:t>
            </w: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3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outstanding - in thousands</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31,523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13,676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2084070</wp:posOffset>
            </wp:positionH>
            <wp:positionV relativeFrom="paragraph">
              <wp:posOffset>-2511425</wp:posOffset>
            </wp:positionV>
            <wp:extent cx="13335" cy="635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-2511425</wp:posOffset>
            </wp:positionV>
            <wp:extent cx="13335" cy="635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-2418715</wp:posOffset>
            </wp:positionV>
            <wp:extent cx="13335" cy="635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-2418715</wp:posOffset>
            </wp:positionV>
            <wp:extent cx="13335" cy="635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-2418715</wp:posOffset>
            </wp:positionV>
            <wp:extent cx="13335" cy="635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-2418715</wp:posOffset>
            </wp:positionV>
            <wp:extent cx="13335" cy="635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-2306320</wp:posOffset>
            </wp:positionV>
            <wp:extent cx="13335" cy="635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-2306320</wp:posOffset>
            </wp:positionV>
            <wp:extent cx="13335" cy="635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-2306320</wp:posOffset>
            </wp:positionV>
            <wp:extent cx="13335" cy="635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-2306320</wp:posOffset>
            </wp:positionV>
            <wp:extent cx="13335" cy="635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-2180590</wp:posOffset>
            </wp:positionV>
            <wp:extent cx="13335" cy="635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-2180590</wp:posOffset>
            </wp:positionV>
            <wp:extent cx="13335" cy="635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-2180590</wp:posOffset>
            </wp:positionV>
            <wp:extent cx="13335" cy="635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-2180590</wp:posOffset>
            </wp:positionV>
            <wp:extent cx="13335" cy="635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-2055495</wp:posOffset>
            </wp:positionV>
            <wp:extent cx="13335" cy="635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-2055495</wp:posOffset>
            </wp:positionV>
            <wp:extent cx="13335" cy="635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-2055495</wp:posOffset>
            </wp:positionV>
            <wp:extent cx="13335" cy="635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-2055495</wp:posOffset>
            </wp:positionV>
            <wp:extent cx="13335" cy="635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-1929765</wp:posOffset>
            </wp:positionV>
            <wp:extent cx="13335" cy="635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-1929765</wp:posOffset>
            </wp:positionV>
            <wp:extent cx="13335" cy="635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-1929765</wp:posOffset>
            </wp:positionV>
            <wp:extent cx="13335" cy="635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-1929765</wp:posOffset>
            </wp:positionV>
            <wp:extent cx="13335" cy="635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-1804035</wp:posOffset>
            </wp:positionV>
            <wp:extent cx="13335" cy="635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-1804035</wp:posOffset>
            </wp:positionV>
            <wp:extent cx="13335" cy="635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-1804035</wp:posOffset>
            </wp:positionV>
            <wp:extent cx="13335" cy="635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-1804035</wp:posOffset>
            </wp:positionV>
            <wp:extent cx="13335" cy="635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-1678305</wp:posOffset>
            </wp:positionV>
            <wp:extent cx="13335" cy="635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-1678305</wp:posOffset>
            </wp:positionV>
            <wp:extent cx="13335" cy="635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-1678305</wp:posOffset>
            </wp:positionV>
            <wp:extent cx="13335" cy="635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-1678305</wp:posOffset>
            </wp:positionV>
            <wp:extent cx="13335" cy="635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-1552575</wp:posOffset>
            </wp:positionV>
            <wp:extent cx="13335" cy="635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-1552575</wp:posOffset>
            </wp:positionV>
            <wp:extent cx="13335" cy="635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-1552575</wp:posOffset>
            </wp:positionV>
            <wp:extent cx="13335" cy="635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-1552575</wp:posOffset>
            </wp:positionV>
            <wp:extent cx="13335" cy="635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-1427480</wp:posOffset>
            </wp:positionV>
            <wp:extent cx="13335" cy="635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-1427480</wp:posOffset>
            </wp:positionV>
            <wp:extent cx="13335" cy="635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-1427480</wp:posOffset>
            </wp:positionV>
            <wp:extent cx="13335" cy="635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-1427480</wp:posOffset>
            </wp:positionV>
            <wp:extent cx="13335" cy="635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-1301750</wp:posOffset>
            </wp:positionV>
            <wp:extent cx="13335" cy="635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-1301750</wp:posOffset>
            </wp:positionV>
            <wp:extent cx="13335" cy="635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-1301750</wp:posOffset>
            </wp:positionV>
            <wp:extent cx="13335" cy="635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-1301750</wp:posOffset>
            </wp:positionV>
            <wp:extent cx="13335" cy="635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-1176020</wp:posOffset>
            </wp:positionV>
            <wp:extent cx="13335" cy="635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-1176020</wp:posOffset>
            </wp:positionV>
            <wp:extent cx="13335" cy="635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-1176020</wp:posOffset>
            </wp:positionV>
            <wp:extent cx="13335" cy="635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-1176020</wp:posOffset>
            </wp:positionV>
            <wp:extent cx="13335" cy="635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-1050290</wp:posOffset>
            </wp:positionV>
            <wp:extent cx="13335" cy="635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-1050290</wp:posOffset>
            </wp:positionV>
            <wp:extent cx="13335" cy="635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-1050290</wp:posOffset>
            </wp:positionV>
            <wp:extent cx="13335" cy="635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-1050290</wp:posOffset>
            </wp:positionV>
            <wp:extent cx="13335" cy="635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-924560</wp:posOffset>
            </wp:positionV>
            <wp:extent cx="13335" cy="635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-924560</wp:posOffset>
            </wp:positionV>
            <wp:extent cx="13335" cy="635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-924560</wp:posOffset>
            </wp:positionV>
            <wp:extent cx="13335" cy="635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-924560</wp:posOffset>
            </wp:positionV>
            <wp:extent cx="13335" cy="635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-799465</wp:posOffset>
            </wp:positionV>
            <wp:extent cx="13335" cy="635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-799465</wp:posOffset>
            </wp:positionV>
            <wp:extent cx="13335" cy="635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-799465</wp:posOffset>
            </wp:positionV>
            <wp:extent cx="13335" cy="635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-799465</wp:posOffset>
            </wp:positionV>
            <wp:extent cx="13335" cy="635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-673735</wp:posOffset>
            </wp:positionV>
            <wp:extent cx="13335" cy="635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-673735</wp:posOffset>
            </wp:positionV>
            <wp:extent cx="13335" cy="635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-673735</wp:posOffset>
            </wp:positionV>
            <wp:extent cx="13335" cy="635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-673735</wp:posOffset>
            </wp:positionV>
            <wp:extent cx="13335" cy="635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-548005</wp:posOffset>
            </wp:positionV>
            <wp:extent cx="13335" cy="635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-548005</wp:posOffset>
            </wp:positionV>
            <wp:extent cx="13335" cy="635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-548005</wp:posOffset>
            </wp:positionV>
            <wp:extent cx="13335" cy="635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-548005</wp:posOffset>
            </wp:positionV>
            <wp:extent cx="13335" cy="635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-422275</wp:posOffset>
            </wp:positionV>
            <wp:extent cx="13335" cy="635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-422275</wp:posOffset>
            </wp:positionV>
            <wp:extent cx="13335" cy="635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-422275</wp:posOffset>
            </wp:positionV>
            <wp:extent cx="13335" cy="635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-422275</wp:posOffset>
            </wp:positionV>
            <wp:extent cx="13335" cy="635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-296545</wp:posOffset>
            </wp:positionV>
            <wp:extent cx="13335" cy="635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-296545</wp:posOffset>
            </wp:positionV>
            <wp:extent cx="13335" cy="635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-296545</wp:posOffset>
            </wp:positionV>
            <wp:extent cx="13335" cy="635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-296545</wp:posOffset>
            </wp:positionV>
            <wp:extent cx="13335" cy="635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2084070</wp:posOffset>
            </wp:positionH>
            <wp:positionV relativeFrom="paragraph">
              <wp:posOffset>-118110</wp:posOffset>
            </wp:positionV>
            <wp:extent cx="13335" cy="635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-118110</wp:posOffset>
            </wp:positionV>
            <wp:extent cx="13335" cy="635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-118110</wp:posOffset>
            </wp:positionV>
            <wp:extent cx="13335" cy="635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-118110</wp:posOffset>
            </wp:positionV>
            <wp:extent cx="13335" cy="635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9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b w:val="1"/>
          <w:bCs w:val="1"/>
          <w:color w:val="auto"/>
        </w:rPr>
        <w:t>TOWER SEMICONDUCTOR LTD.</w:t>
      </w:r>
    </w:p>
    <w:p>
      <w:pPr>
        <w:spacing w:after="0" w:line="8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STATEMENTS OF CHANGES IN SHAREHOLDERS' EQUITY</w:t>
      </w:r>
    </w:p>
    <w:p>
      <w:pPr>
        <w:spacing w:after="0" w:line="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6350" cy="7302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Proceeds</w:t>
            </w:r>
          </w:p>
        </w:tc>
        <w:tc>
          <w:tcPr>
            <w:tcW w:w="80" w:type="dxa"/>
            <w:vAlign w:val="bottom"/>
          </w:tcPr>
          <w:p>
            <w:pPr>
              <w:spacing w:after="0"/>
              <w:rPr>
                <w:sz w:val="9"/>
                <w:szCs w:val="9"/>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Shareholder</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0"/>
                <w:szCs w:val="10"/>
                <w:b w:val="1"/>
                <w:bCs w:val="1"/>
                <w:color w:val="auto"/>
                <w:w w:val="94"/>
              </w:rPr>
              <w:t>on</w:t>
            </w:r>
          </w:p>
        </w:tc>
        <w:tc>
          <w:tcPr>
            <w:tcW w:w="80" w:type="dxa"/>
            <w:vAlign w:val="bottom"/>
          </w:tcPr>
          <w:p>
            <w:pPr>
              <w:spacing w:after="0"/>
              <w:rPr>
                <w:sz w:val="9"/>
                <w:szCs w:val="9"/>
                <w:color w:val="auto"/>
              </w:rPr>
            </w:pPr>
          </w:p>
        </w:tc>
        <w:tc>
          <w:tcPr>
            <w:tcW w:w="700" w:type="dxa"/>
            <w:vAlign w:val="bottom"/>
            <w:gridSpan w:val="3"/>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7"/>
              </w:rPr>
              <w:t>receivables</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380" w:type="dxa"/>
            <w:vAlign w:val="bottom"/>
          </w:tcPr>
          <w:p>
            <w:pPr>
              <w:spacing w:after="0"/>
              <w:rPr>
                <w:sz w:val="9"/>
                <w:szCs w:val="9"/>
                <w:color w:val="auto"/>
              </w:rPr>
            </w:pPr>
          </w:p>
        </w:tc>
        <w:tc>
          <w:tcPr>
            <w:tcW w:w="104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Ordinary shares</w:t>
            </w:r>
          </w:p>
        </w:tc>
        <w:tc>
          <w:tcPr>
            <w:tcW w:w="80" w:type="dxa"/>
            <w:vAlign w:val="bottom"/>
          </w:tcPr>
          <w:p>
            <w:pPr>
              <w:spacing w:after="0"/>
              <w:rPr>
                <w:sz w:val="9"/>
                <w:szCs w:val="9"/>
                <w:color w:val="auto"/>
              </w:rPr>
            </w:pPr>
          </w:p>
        </w:tc>
        <w:tc>
          <w:tcPr>
            <w:tcW w:w="500" w:type="dxa"/>
            <w:vAlign w:val="bottom"/>
            <w:gridSpan w:val="2"/>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80" w:type="dxa"/>
            <w:vAlign w:val="bottom"/>
          </w:tcPr>
          <w:p>
            <w:pPr>
              <w:spacing w:after="0"/>
              <w:rPr>
                <w:sz w:val="9"/>
                <w:szCs w:val="9"/>
                <w:color w:val="auto"/>
              </w:rPr>
            </w:pPr>
          </w:p>
        </w:tc>
        <w:tc>
          <w:tcPr>
            <w:tcW w:w="440" w:type="dxa"/>
            <w:vAlign w:val="bottom"/>
            <w:gridSpan w:val="3"/>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5"/>
              </w:rPr>
              <w:t>account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380" w:type="dxa"/>
            <w:vAlign w:val="bottom"/>
          </w:tcPr>
          <w:p>
            <w:pPr>
              <w:spacing w:after="0"/>
              <w:rPr>
                <w:sz w:val="4"/>
                <w:szCs w:val="4"/>
                <w:color w:val="auto"/>
              </w:rPr>
            </w:pPr>
          </w:p>
        </w:tc>
        <w:tc>
          <w:tcPr>
            <w:tcW w:w="1040" w:type="dxa"/>
            <w:vAlign w:val="bottom"/>
            <w:tcBorders>
              <w:bottom w:val="single" w:sz="8" w:color="auto"/>
            </w:tcBorders>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gridSpan w:val="2"/>
            <w:vMerge w:val="restart"/>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7"/>
              </w:rPr>
              <w:t>paid-in</w:t>
            </w: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gridSpan w:val="2"/>
            <w:vMerge w:val="restart"/>
          </w:tcPr>
          <w:p>
            <w:pPr>
              <w:jc w:val="center"/>
              <w:ind w:right="60"/>
              <w:spacing w:after="0" w:line="104" w:lineRule="exact"/>
              <w:rPr>
                <w:sz w:val="20"/>
                <w:szCs w:val="20"/>
                <w:color w:val="auto"/>
              </w:rPr>
            </w:pPr>
            <w:r>
              <w:rPr>
                <w:rFonts w:ascii="Times New Roman" w:cs="Times New Roman" w:eastAsia="Times New Roman" w:hAnsi="Times New Roman"/>
                <w:sz w:val="10"/>
                <w:szCs w:val="10"/>
                <w:b w:val="1"/>
                <w:bCs w:val="1"/>
                <w:color w:val="auto"/>
                <w:w w:val="95"/>
              </w:rPr>
              <w:t>of</w:t>
            </w: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gridSpan w:val="2"/>
            <w:vMerge w:val="restart"/>
          </w:tcPr>
          <w:p>
            <w:pPr>
              <w:jc w:val="center"/>
              <w:ind w:right="160"/>
              <w:spacing w:after="0" w:line="104" w:lineRule="exact"/>
              <w:rPr>
                <w:sz w:val="20"/>
                <w:szCs w:val="20"/>
                <w:color w:val="auto"/>
              </w:rPr>
            </w:pPr>
            <w:r>
              <w:rPr>
                <w:rFonts w:ascii="Times New Roman" w:cs="Times New Roman" w:eastAsia="Times New Roman" w:hAnsi="Times New Roman"/>
                <w:sz w:val="10"/>
                <w:szCs w:val="10"/>
                <w:b w:val="1"/>
                <w:bCs w:val="1"/>
                <w:color w:val="auto"/>
                <w:w w:val="93"/>
              </w:rPr>
              <w:t>unearned</w:t>
            </w:r>
          </w:p>
        </w:tc>
        <w:tc>
          <w:tcPr>
            <w:tcW w:w="80" w:type="dxa"/>
            <w:vAlign w:val="bottom"/>
          </w:tcPr>
          <w:p>
            <w:pPr>
              <w:spacing w:after="0"/>
              <w:rPr>
                <w:sz w:val="4"/>
                <w:szCs w:val="4"/>
                <w:color w:val="auto"/>
              </w:rPr>
            </w:pPr>
          </w:p>
        </w:tc>
        <w:tc>
          <w:tcPr>
            <w:tcW w:w="820" w:type="dxa"/>
            <w:vAlign w:val="bottom"/>
            <w:gridSpan w:val="3"/>
            <w:vMerge w:val="restart"/>
          </w:tcPr>
          <w:p>
            <w:pPr>
              <w:jc w:val="right"/>
              <w:ind w:right="120"/>
              <w:spacing w:after="0" w:line="104"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4"/>
                <w:szCs w:val="4"/>
                <w:color w:val="auto"/>
              </w:rPr>
            </w:pPr>
          </w:p>
        </w:tc>
        <w:tc>
          <w:tcPr>
            <w:tcW w:w="420" w:type="dxa"/>
            <w:vAlign w:val="bottom"/>
            <w:gridSpan w:val="2"/>
            <w:vMerge w:val="restart"/>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w w:val="96"/>
              </w:rPr>
              <w:t>Treasury</w:t>
            </w: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3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rPr>
              <w:t>BALANCE - - JANUARY 1, 2000</w:t>
            </w: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80" w:type="dxa"/>
            <w:vAlign w:val="bottom"/>
          </w:tcPr>
          <w:p>
            <w:pPr>
              <w:spacing w:after="0"/>
              <w:rPr>
                <w:sz w:val="10"/>
                <w:szCs w:val="10"/>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80" w:type="dxa"/>
            <w:vAlign w:val="bottom"/>
          </w:tcPr>
          <w:p>
            <w:pPr>
              <w:spacing w:after="0"/>
              <w:rPr>
                <w:sz w:val="10"/>
                <w:szCs w:val="10"/>
                <w:color w:val="auto"/>
              </w:rPr>
            </w:pPr>
          </w:p>
        </w:tc>
        <w:tc>
          <w:tcPr>
            <w:tcW w:w="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capital</w:t>
            </w:r>
          </w:p>
        </w:tc>
        <w:tc>
          <w:tcPr>
            <w:tcW w:w="80" w:type="dxa"/>
            <w:vAlign w:val="bottom"/>
          </w:tcPr>
          <w:p>
            <w:pPr>
              <w:spacing w:after="0"/>
              <w:rPr>
                <w:sz w:val="10"/>
                <w:szCs w:val="10"/>
                <w:color w:val="auto"/>
              </w:rPr>
            </w:pPr>
          </w:p>
        </w:tc>
        <w:tc>
          <w:tcPr>
            <w:tcW w:w="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 warrant</w:t>
            </w:r>
          </w:p>
        </w:tc>
        <w:tc>
          <w:tcPr>
            <w:tcW w:w="80" w:type="dxa"/>
            <w:vAlign w:val="bottom"/>
          </w:tcPr>
          <w:p>
            <w:pPr>
              <w:spacing w:after="0"/>
              <w:rPr>
                <w:sz w:val="10"/>
                <w:szCs w:val="10"/>
                <w:color w:val="auto"/>
              </w:rPr>
            </w:pPr>
          </w:p>
        </w:tc>
        <w:tc>
          <w:tcPr>
            <w:tcW w:w="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compensation</w:t>
            </w: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00" w:type="dxa"/>
            <w:vAlign w:val="bottom"/>
          </w:tcPr>
          <w:p>
            <w:pPr>
              <w:spacing w:after="0"/>
              <w:rPr>
                <w:sz w:val="10"/>
                <w:szCs w:val="10"/>
                <w:color w:val="auto"/>
              </w:rPr>
            </w:pPr>
          </w:p>
        </w:tc>
        <w:tc>
          <w:tcPr>
            <w:tcW w:w="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stock</w:t>
            </w:r>
          </w:p>
        </w:tc>
        <w:tc>
          <w:tcPr>
            <w:tcW w:w="80" w:type="dxa"/>
            <w:vAlign w:val="bottom"/>
          </w:tcPr>
          <w:p>
            <w:pPr>
              <w:spacing w:after="0"/>
              <w:rPr>
                <w:sz w:val="10"/>
                <w:szCs w:val="10"/>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9"/>
        </w:trPr>
        <w:tc>
          <w:tcPr>
            <w:tcW w:w="2380" w:type="dxa"/>
            <w:vAlign w:val="bottom"/>
            <w:vMerge w:val="continue"/>
          </w:tcPr>
          <w:p>
            <w:pPr>
              <w:spacing w:after="0"/>
              <w:rPr>
                <w:sz w:val="10"/>
                <w:szCs w:val="10"/>
                <w:color w:val="auto"/>
              </w:rPr>
            </w:pPr>
          </w:p>
        </w:tc>
        <w:tc>
          <w:tcPr>
            <w:tcW w:w="52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rPr>
              <w:t>13,263,593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right"/>
              <w:ind w:right="40"/>
              <w:spacing w:after="0" w:line="119" w:lineRule="exact"/>
              <w:rPr>
                <w:sz w:val="20"/>
                <w:szCs w:val="20"/>
                <w:color w:val="auto"/>
              </w:rPr>
            </w:pPr>
            <w:r>
              <w:rPr>
                <w:rFonts w:ascii="Times New Roman" w:cs="Times New Roman" w:eastAsia="Times New Roman" w:hAnsi="Times New Roman"/>
                <w:sz w:val="11"/>
                <w:szCs w:val="11"/>
                <w:color w:val="auto"/>
              </w:rPr>
              <w:t>$ 4,329</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w w:val="96"/>
              </w:rPr>
              <w:t>$138,539</w:t>
            </w:r>
          </w:p>
        </w:tc>
        <w:tc>
          <w:tcPr>
            <w:tcW w:w="80" w:type="dxa"/>
            <w:vAlign w:val="bottom"/>
          </w:tcPr>
          <w:p>
            <w:pPr>
              <w:spacing w:after="0"/>
              <w:rPr>
                <w:sz w:val="10"/>
                <w:szCs w:val="10"/>
                <w:color w:val="auto"/>
              </w:rPr>
            </w:pPr>
          </w:p>
        </w:tc>
        <w:tc>
          <w:tcPr>
            <w:tcW w:w="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6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(945)</w:t>
            </w:r>
          </w:p>
        </w:tc>
        <w:tc>
          <w:tcPr>
            <w:tcW w:w="80" w:type="dxa"/>
            <w:vAlign w:val="bottom"/>
          </w:tcPr>
          <w:p>
            <w:pPr>
              <w:spacing w:after="0"/>
              <w:rPr>
                <w:sz w:val="10"/>
                <w:szCs w:val="10"/>
                <w:color w:val="auto"/>
              </w:rPr>
            </w:pPr>
          </w:p>
        </w:tc>
        <w:tc>
          <w:tcPr>
            <w:tcW w:w="200" w:type="dxa"/>
            <w:vAlign w:val="bottom"/>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20"/>
              <w:spacing w:after="0" w:line="119" w:lineRule="exact"/>
              <w:rPr>
                <w:sz w:val="20"/>
                <w:szCs w:val="20"/>
                <w:color w:val="auto"/>
              </w:rPr>
            </w:pPr>
            <w:r>
              <w:rPr>
                <w:rFonts w:ascii="Times New Roman" w:cs="Times New Roman" w:eastAsia="Times New Roman" w:hAnsi="Times New Roman"/>
                <w:sz w:val="11"/>
                <w:szCs w:val="11"/>
                <w:color w:val="auto"/>
              </w:rPr>
              <w:t>(10,730)</w:t>
            </w:r>
          </w:p>
        </w:tc>
        <w:tc>
          <w:tcPr>
            <w:tcW w:w="100" w:type="dxa"/>
            <w:vAlign w:val="bottom"/>
          </w:tcPr>
          <w:p>
            <w:pPr>
              <w:spacing w:after="0"/>
              <w:rPr>
                <w:sz w:val="10"/>
                <w:szCs w:val="10"/>
                <w:color w:val="auto"/>
              </w:rPr>
            </w:pPr>
          </w:p>
        </w:tc>
        <w:tc>
          <w:tcPr>
            <w:tcW w:w="420" w:type="dxa"/>
            <w:vAlign w:val="bottom"/>
            <w:gridSpan w:val="2"/>
          </w:tcPr>
          <w:p>
            <w:pPr>
              <w:jc w:val="center"/>
              <w:ind w:right="40"/>
              <w:spacing w:after="0" w:line="119" w:lineRule="exact"/>
              <w:rPr>
                <w:sz w:val="20"/>
                <w:szCs w:val="20"/>
                <w:color w:val="auto"/>
              </w:rPr>
            </w:pPr>
            <w:r>
              <w:rPr>
                <w:rFonts w:ascii="Times New Roman" w:cs="Times New Roman" w:eastAsia="Times New Roman" w:hAnsi="Times New Roman"/>
                <w:sz w:val="11"/>
                <w:szCs w:val="11"/>
                <w:color w:val="auto"/>
              </w:rPr>
              <w:t>$(9,072)</w:t>
            </w:r>
          </w:p>
        </w:tc>
        <w:tc>
          <w:tcPr>
            <w:tcW w:w="80" w:type="dxa"/>
            <w:vAlign w:val="bottom"/>
          </w:tcPr>
          <w:p>
            <w:pPr>
              <w:spacing w:after="0"/>
              <w:rPr>
                <w:sz w:val="10"/>
                <w:szCs w:val="10"/>
                <w:color w:val="auto"/>
              </w:rPr>
            </w:pPr>
          </w:p>
        </w:tc>
        <w:tc>
          <w:tcPr>
            <w:tcW w:w="500" w:type="dxa"/>
            <w:vAlign w:val="bottom"/>
            <w:gridSpan w:val="2"/>
          </w:tcPr>
          <w:p>
            <w:pPr>
              <w:jc w:val="right"/>
              <w:ind w:right="80"/>
              <w:spacing w:after="0" w:line="119" w:lineRule="exact"/>
              <w:rPr>
                <w:sz w:val="20"/>
                <w:szCs w:val="20"/>
                <w:color w:val="auto"/>
              </w:rPr>
            </w:pPr>
            <w:r>
              <w:rPr>
                <w:rFonts w:ascii="Times New Roman" w:cs="Times New Roman" w:eastAsia="Times New Roman" w:hAnsi="Times New Roman"/>
                <w:sz w:val="11"/>
                <w:szCs w:val="11"/>
                <w:color w:val="auto"/>
                <w:w w:val="96"/>
              </w:rPr>
              <w:t>$122,121</w:t>
            </w:r>
          </w:p>
        </w:tc>
        <w:tc>
          <w:tcPr>
            <w:tcW w:w="0" w:type="dxa"/>
            <w:vAlign w:val="bottom"/>
          </w:tcPr>
          <w:p>
            <w:pPr>
              <w:spacing w:after="0"/>
              <w:rPr>
                <w:sz w:val="1"/>
                <w:szCs w:val="1"/>
                <w:color w:val="auto"/>
              </w:rPr>
            </w:pPr>
          </w:p>
        </w:tc>
      </w:tr>
      <w:tr>
        <w:trPr>
          <w:trHeight w:val="143"/>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Exercise of share options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299,013</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75</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2,566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2,641</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Unearned compensation - employees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1,857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w w:val="93"/>
              </w:rPr>
              <w:t>(1,857)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Unearned compensation - consultants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1,576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1,576</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unearned compensation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1,691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1,691</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Repayment of shareholder receivables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618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Proceeds on account of a warrant</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9,990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9,990</w:t>
            </w:r>
          </w:p>
        </w:tc>
        <w:tc>
          <w:tcPr>
            <w:tcW w:w="0" w:type="dxa"/>
            <w:vAlign w:val="bottom"/>
          </w:tcPr>
          <w:p>
            <w:pPr>
              <w:spacing w:after="0"/>
              <w:rPr>
                <w:sz w:val="1"/>
                <w:szCs w:val="1"/>
                <w:color w:val="auto"/>
              </w:rPr>
            </w:pPr>
          </w:p>
        </w:tc>
      </w:tr>
      <w:tr>
        <w:trPr>
          <w:trHeight w:val="155"/>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Loss for the year</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(3,989)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(3,989)</w:t>
            </w:r>
          </w:p>
        </w:tc>
        <w:tc>
          <w:tcPr>
            <w:tcW w:w="0" w:type="dxa"/>
            <w:vAlign w:val="bottom"/>
          </w:tcPr>
          <w:p>
            <w:pPr>
              <w:spacing w:after="0"/>
              <w:rPr>
                <w:sz w:val="1"/>
                <w:szCs w:val="1"/>
                <w:color w:val="auto"/>
              </w:rPr>
            </w:pPr>
          </w:p>
        </w:tc>
      </w:tr>
      <w:tr>
        <w:trPr>
          <w:trHeight w:val="119"/>
        </w:trPr>
        <w:tc>
          <w:tcPr>
            <w:tcW w:w="238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BALANCE - - DECEMBER 31, 2000</w:t>
            </w:r>
          </w:p>
        </w:tc>
        <w:tc>
          <w:tcPr>
            <w:tcW w:w="5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1"/>
                <w:szCs w:val="11"/>
                <w:color w:val="auto"/>
              </w:rPr>
              <w:t>13,562,606</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$ 4,404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6"/>
              </w:rPr>
              <w:t>$144,538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9,990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(493)</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0"/>
              </w:rPr>
              <w:t>(14,719)</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85"/>
              </w:rPr>
              <w:t>$(9,072)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6"/>
              </w:rPr>
              <w:t>$134,648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shares, net of related costs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11,930,675</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2,850</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147,798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150,648</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Exercise of a warrant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772,667</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187</w:t>
            </w: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9,813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99"/>
              </w:rPr>
              <w:t>(9,990)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Exercise of share options</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31,154</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-1440815</wp:posOffset>
            </wp:positionV>
            <wp:extent cx="4587875" cy="635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458787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-1322070</wp:posOffset>
            </wp:positionV>
            <wp:extent cx="13335" cy="635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-1322070</wp:posOffset>
            </wp:positionV>
            <wp:extent cx="13335" cy="635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-1268730</wp:posOffset>
            </wp:positionV>
            <wp:extent cx="13335" cy="635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-1268730</wp:posOffset>
            </wp:positionV>
            <wp:extent cx="13335" cy="635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-1268730</wp:posOffset>
            </wp:positionV>
            <wp:extent cx="13335" cy="635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-1268730</wp:posOffset>
            </wp:positionV>
            <wp:extent cx="13335" cy="635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-1268730</wp:posOffset>
            </wp:positionV>
            <wp:extent cx="13335" cy="635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-1156970</wp:posOffset>
            </wp:positionV>
            <wp:extent cx="13335" cy="635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-1156970</wp:posOffset>
            </wp:positionV>
            <wp:extent cx="13335" cy="635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-1156970</wp:posOffset>
            </wp:positionV>
            <wp:extent cx="13335" cy="635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-1057275</wp:posOffset>
            </wp:positionV>
            <wp:extent cx="13335" cy="635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-1057275</wp:posOffset>
            </wp:positionV>
            <wp:extent cx="13335" cy="635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-1057275</wp:posOffset>
            </wp:positionV>
            <wp:extent cx="13335" cy="635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-1057275</wp:posOffset>
            </wp:positionV>
            <wp:extent cx="13335" cy="635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-1057275</wp:posOffset>
            </wp:positionV>
            <wp:extent cx="13335" cy="635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-1057275</wp:posOffset>
            </wp:positionV>
            <wp:extent cx="13335" cy="635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-1057275</wp:posOffset>
            </wp:positionV>
            <wp:extent cx="13335" cy="635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-1057275</wp:posOffset>
            </wp:positionV>
            <wp:extent cx="13335" cy="635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-965200</wp:posOffset>
            </wp:positionV>
            <wp:extent cx="13335" cy="635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-965200</wp:posOffset>
            </wp:positionV>
            <wp:extent cx="13335" cy="635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-965200</wp:posOffset>
            </wp:positionV>
            <wp:extent cx="13335" cy="635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-965200</wp:posOffset>
            </wp:positionV>
            <wp:extent cx="13335" cy="635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-965200</wp:posOffset>
            </wp:positionV>
            <wp:extent cx="13335" cy="635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-965200</wp:posOffset>
            </wp:positionV>
            <wp:extent cx="13335" cy="635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-965200</wp:posOffset>
            </wp:positionV>
            <wp:extent cx="13335" cy="635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-965200</wp:posOffset>
            </wp:positionV>
            <wp:extent cx="13335" cy="635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-872490</wp:posOffset>
            </wp:positionV>
            <wp:extent cx="13335" cy="635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-872490</wp:posOffset>
            </wp:positionV>
            <wp:extent cx="13335" cy="635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-872490</wp:posOffset>
            </wp:positionV>
            <wp:extent cx="13335" cy="635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-872490</wp:posOffset>
            </wp:positionV>
            <wp:extent cx="13335" cy="635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-872490</wp:posOffset>
            </wp:positionV>
            <wp:extent cx="13335" cy="635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-872490</wp:posOffset>
            </wp:positionV>
            <wp:extent cx="13335" cy="635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-872490</wp:posOffset>
            </wp:positionV>
            <wp:extent cx="13335" cy="635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-872490</wp:posOffset>
            </wp:positionV>
            <wp:extent cx="13335" cy="635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-779780</wp:posOffset>
            </wp:positionV>
            <wp:extent cx="13335" cy="635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-779780</wp:posOffset>
            </wp:positionV>
            <wp:extent cx="13335" cy="635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-779780</wp:posOffset>
            </wp:positionV>
            <wp:extent cx="13335" cy="635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-779780</wp:posOffset>
            </wp:positionV>
            <wp:extent cx="13335" cy="635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-779780</wp:posOffset>
            </wp:positionV>
            <wp:extent cx="13335" cy="635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-779780</wp:posOffset>
            </wp:positionV>
            <wp:extent cx="13335" cy="635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-779780</wp:posOffset>
            </wp:positionV>
            <wp:extent cx="13335" cy="635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-779780</wp:posOffset>
            </wp:positionV>
            <wp:extent cx="13335" cy="635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-687070</wp:posOffset>
            </wp:positionV>
            <wp:extent cx="13335" cy="635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-687070</wp:posOffset>
            </wp:positionV>
            <wp:extent cx="13335" cy="635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-687070</wp:posOffset>
            </wp:positionV>
            <wp:extent cx="13335" cy="635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-687070</wp:posOffset>
            </wp:positionV>
            <wp:extent cx="13335" cy="635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-687070</wp:posOffset>
            </wp:positionV>
            <wp:extent cx="13335" cy="635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-687070</wp:posOffset>
            </wp:positionV>
            <wp:extent cx="13335" cy="635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-687070</wp:posOffset>
            </wp:positionV>
            <wp:extent cx="13335" cy="635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-687070</wp:posOffset>
            </wp:positionV>
            <wp:extent cx="13335" cy="635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-594995</wp:posOffset>
            </wp:positionV>
            <wp:extent cx="13335" cy="635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-594995</wp:posOffset>
            </wp:positionV>
            <wp:extent cx="13335" cy="635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-594995</wp:posOffset>
            </wp:positionV>
            <wp:extent cx="13335" cy="635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-594995</wp:posOffset>
            </wp:positionV>
            <wp:extent cx="13335" cy="635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-594995</wp:posOffset>
            </wp:positionV>
            <wp:extent cx="13335" cy="635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-594995</wp:posOffset>
            </wp:positionV>
            <wp:extent cx="13335" cy="635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-594995</wp:posOffset>
            </wp:positionV>
            <wp:extent cx="13335" cy="635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-594995</wp:posOffset>
            </wp:positionV>
            <wp:extent cx="13335" cy="635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-502285</wp:posOffset>
            </wp:positionV>
            <wp:extent cx="13335" cy="635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-502285</wp:posOffset>
            </wp:positionV>
            <wp:extent cx="13335" cy="635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-502285</wp:posOffset>
            </wp:positionV>
            <wp:extent cx="13335" cy="635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-502285</wp:posOffset>
            </wp:positionV>
            <wp:extent cx="13335" cy="635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-502285</wp:posOffset>
            </wp:positionV>
            <wp:extent cx="13335" cy="635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-502285</wp:posOffset>
            </wp:positionV>
            <wp:extent cx="13335" cy="635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-502285</wp:posOffset>
            </wp:positionV>
            <wp:extent cx="13335" cy="635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-502285</wp:posOffset>
            </wp:positionV>
            <wp:extent cx="13335" cy="635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-409575</wp:posOffset>
            </wp:positionV>
            <wp:extent cx="13335" cy="635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-409575</wp:posOffset>
            </wp:positionV>
            <wp:extent cx="13335" cy="635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-409575</wp:posOffset>
            </wp:positionV>
            <wp:extent cx="13335" cy="635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-409575</wp:posOffset>
            </wp:positionV>
            <wp:extent cx="13335" cy="635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-409575</wp:posOffset>
            </wp:positionV>
            <wp:extent cx="13335" cy="635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-409575</wp:posOffset>
            </wp:positionV>
            <wp:extent cx="13335" cy="635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-409575</wp:posOffset>
            </wp:positionV>
            <wp:extent cx="13335" cy="635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-409575</wp:posOffset>
            </wp:positionV>
            <wp:extent cx="13335" cy="635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-316865</wp:posOffset>
            </wp:positionV>
            <wp:extent cx="13335" cy="635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-316865</wp:posOffset>
            </wp:positionV>
            <wp:extent cx="13335" cy="635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-316865</wp:posOffset>
            </wp:positionV>
            <wp:extent cx="13335" cy="635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-316865</wp:posOffset>
            </wp:positionV>
            <wp:extent cx="13335" cy="635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-316865</wp:posOffset>
            </wp:positionV>
            <wp:extent cx="13335" cy="635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-316865</wp:posOffset>
            </wp:positionV>
            <wp:extent cx="13335" cy="635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-316865</wp:posOffset>
            </wp:positionV>
            <wp:extent cx="13335" cy="635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-316865</wp:posOffset>
            </wp:positionV>
            <wp:extent cx="13335" cy="635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-224790</wp:posOffset>
            </wp:positionV>
            <wp:extent cx="13335" cy="635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-224790</wp:posOffset>
            </wp:positionV>
            <wp:extent cx="13335" cy="635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-224790</wp:posOffset>
            </wp:positionV>
            <wp:extent cx="13335" cy="635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-224790</wp:posOffset>
            </wp:positionV>
            <wp:extent cx="13335" cy="635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-224790</wp:posOffset>
            </wp:positionV>
            <wp:extent cx="13335" cy="635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-224790</wp:posOffset>
            </wp:positionV>
            <wp:extent cx="13335" cy="635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-224790</wp:posOffset>
            </wp:positionV>
            <wp:extent cx="13335" cy="635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-224790</wp:posOffset>
            </wp:positionV>
            <wp:extent cx="13335" cy="635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-132080</wp:posOffset>
            </wp:positionV>
            <wp:extent cx="13335" cy="635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-132080</wp:posOffset>
            </wp:positionV>
            <wp:extent cx="13335" cy="635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-132080</wp:posOffset>
            </wp:positionV>
            <wp:extent cx="13335" cy="635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-132080</wp:posOffset>
            </wp:positionV>
            <wp:extent cx="13335" cy="635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-132080</wp:posOffset>
            </wp:positionV>
            <wp:extent cx="13335" cy="635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-132080</wp:posOffset>
            </wp:positionV>
            <wp:extent cx="13335" cy="635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-132080</wp:posOffset>
            </wp:positionV>
            <wp:extent cx="13335" cy="635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-132080</wp:posOffset>
            </wp:positionV>
            <wp:extent cx="13335" cy="635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-39370</wp:posOffset>
            </wp:positionV>
            <wp:extent cx="13335" cy="635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-39370</wp:posOffset>
            </wp:positionV>
            <wp:extent cx="13335" cy="635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-39370</wp:posOffset>
            </wp:positionV>
            <wp:extent cx="13335" cy="635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-39370</wp:posOffset>
            </wp:positionV>
            <wp:extent cx="13335" cy="635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-39370</wp:posOffset>
            </wp:positionV>
            <wp:extent cx="13335" cy="635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-39370</wp:posOffset>
            </wp:positionV>
            <wp:extent cx="13335" cy="635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-39370</wp:posOffset>
            </wp:positionV>
            <wp:extent cx="13335" cy="635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-39370</wp:posOffset>
            </wp:positionV>
            <wp:extent cx="13335" cy="635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82" w:orient="portrait"/>
          <w:cols w:equalWidth="0" w:num="1">
            <w:col w:w="10239"/>
          </w:cols>
          <w:pgMar w:left="220" w:top="125" w:right="1440" w:bottom="0" w:gutter="0" w:footer="0" w:header="0"/>
        </w:sectPr>
      </w:pPr>
    </w:p>
    <w:bookmarkStart w:id="48" w:name="page49"/>
    <w:bookmarkEnd w:id="48"/>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Cancellation of unearned compensation in respect</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(15)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15</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r>
      <w:tr>
        <w:trPr>
          <w:trHeight w:val="143"/>
        </w:trPr>
        <w:tc>
          <w:tcPr>
            <w:tcW w:w="23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of non-vested options, net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7"/>
        </w:trPr>
        <w:tc>
          <w:tcPr>
            <w:tcW w:w="238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Stock-based compensation related to the Facility</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3"/>
        </w:trPr>
        <w:tc>
          <w:tcPr>
            <w:tcW w:w="23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Agreement with the Banks, Note 14B(5)</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5,466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5,466</w:t>
            </w:r>
          </w:p>
        </w:tc>
      </w:tr>
      <w:tr>
        <w:trPr>
          <w:trHeight w:val="14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unearned compensation</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283</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40" w:type="dxa"/>
            <w:vAlign w:val="bottom"/>
          </w:tcPr>
          <w:p>
            <w:pPr>
              <w:spacing w:after="0"/>
              <w:rPr>
                <w:sz w:val="12"/>
                <w:szCs w:val="12"/>
                <w:color w:val="auto"/>
              </w:rPr>
            </w:pPr>
          </w:p>
        </w:tc>
      </w:tr>
      <w:tr>
        <w:trPr>
          <w:trHeight w:val="155"/>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Loss for the year</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(38,522)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(38,522)</w:t>
            </w:r>
          </w:p>
        </w:tc>
      </w:tr>
      <w:tr>
        <w:trPr>
          <w:trHeight w:val="119"/>
        </w:trPr>
        <w:tc>
          <w:tcPr>
            <w:tcW w:w="2380" w:type="dxa"/>
            <w:vAlign w:val="bottom"/>
          </w:tcPr>
          <w:p>
            <w:pPr>
              <w:ind w:left="280"/>
              <w:spacing w:after="0" w:line="119" w:lineRule="exact"/>
              <w:rPr>
                <w:sz w:val="20"/>
                <w:szCs w:val="20"/>
                <w:color w:val="auto"/>
              </w:rPr>
            </w:pPr>
            <w:r>
              <w:rPr>
                <w:rFonts w:ascii="Times New Roman" w:cs="Times New Roman" w:eastAsia="Times New Roman" w:hAnsi="Times New Roman"/>
                <w:sz w:val="11"/>
                <w:szCs w:val="11"/>
                <w:color w:val="auto"/>
              </w:rPr>
              <w:t>BALANCE - - DECEMBER 31, 2001</w:t>
            </w:r>
          </w:p>
        </w:tc>
        <w:tc>
          <w:tcPr>
            <w:tcW w:w="5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26,297,102</w:t>
            </w:r>
          </w:p>
        </w:tc>
        <w:tc>
          <w:tcPr>
            <w:tcW w:w="120" w:type="dxa"/>
            <w:vAlign w:val="bottom"/>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$ 7,448</w:t>
            </w:r>
          </w:p>
        </w:tc>
        <w:tc>
          <w:tcPr>
            <w:tcW w:w="120" w:type="dxa"/>
            <w:vAlign w:val="bottom"/>
          </w:tcPr>
          <w:p>
            <w:pPr>
              <w:spacing w:after="0"/>
              <w:rPr>
                <w:sz w:val="10"/>
                <w:szCs w:val="10"/>
                <w:color w:val="auto"/>
              </w:rPr>
            </w:pPr>
          </w:p>
        </w:tc>
        <w:tc>
          <w:tcPr>
            <w:tcW w:w="4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6"/>
              </w:rPr>
              <w:t>$307,865</w:t>
            </w:r>
          </w:p>
        </w:tc>
        <w:tc>
          <w:tcPr>
            <w:tcW w:w="160" w:type="dxa"/>
            <w:vAlign w:val="bottom"/>
          </w:tcPr>
          <w:p>
            <w:pPr>
              <w:spacing w:after="0"/>
              <w:rPr>
                <w:sz w:val="10"/>
                <w:szCs w:val="10"/>
                <w:color w:val="auto"/>
              </w:rPr>
            </w:pPr>
          </w:p>
        </w:tc>
        <w:tc>
          <w:tcPr>
            <w:tcW w:w="160" w:type="dxa"/>
            <w:vAlign w:val="bottom"/>
            <w:tcBorders>
              <w:top w:val="single" w:sz="8" w:color="auto"/>
            </w:tcBorders>
          </w:tcPr>
          <w:p>
            <w:pPr>
              <w:jc w:val="right"/>
              <w:ind w:right="45"/>
              <w:spacing w:after="0" w:line="119"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tcPr>
          <w:p>
            <w:pPr>
              <w:ind w:left="80"/>
              <w:spacing w:after="0" w:line="119"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10"/>
                <w:szCs w:val="10"/>
                <w:color w:val="auto"/>
              </w:rPr>
            </w:pPr>
          </w:p>
        </w:tc>
        <w:tc>
          <w:tcPr>
            <w:tcW w:w="2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2"/>
              </w:rPr>
              <w:t>(195)</w:t>
            </w:r>
          </w:p>
        </w:tc>
        <w:tc>
          <w:tcPr>
            <w:tcW w:w="340" w:type="dxa"/>
            <w:vAlign w:val="bottom"/>
          </w:tcPr>
          <w:p>
            <w:pPr>
              <w:spacing w:after="0"/>
              <w:rPr>
                <w:sz w:val="10"/>
                <w:szCs w:val="10"/>
                <w:color w:val="auto"/>
              </w:rPr>
            </w:pPr>
          </w:p>
        </w:tc>
        <w:tc>
          <w:tcPr>
            <w:tcW w:w="1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(53,241)</w:t>
            </w:r>
          </w:p>
        </w:tc>
        <w:tc>
          <w:tcPr>
            <w:tcW w:w="360" w:type="dxa"/>
            <w:vAlign w:val="bottom"/>
          </w:tcPr>
          <w:p>
            <w:pPr>
              <w:spacing w:after="0"/>
              <w:rPr>
                <w:sz w:val="10"/>
                <w:szCs w:val="10"/>
                <w:color w:val="auto"/>
              </w:rPr>
            </w:pPr>
          </w:p>
        </w:tc>
        <w:tc>
          <w:tcPr>
            <w:tcW w:w="3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85"/>
              </w:rPr>
              <w:t>$(9,072)</w:t>
            </w:r>
          </w:p>
        </w:tc>
        <w:tc>
          <w:tcPr>
            <w:tcW w:w="160" w:type="dxa"/>
            <w:vAlign w:val="bottom"/>
          </w:tcPr>
          <w:p>
            <w:pPr>
              <w:spacing w:after="0"/>
              <w:rPr>
                <w:sz w:val="10"/>
                <w:szCs w:val="10"/>
                <w:color w:val="auto"/>
              </w:rPr>
            </w:pPr>
          </w:p>
        </w:tc>
        <w:tc>
          <w:tcPr>
            <w:tcW w:w="4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w w:val="96"/>
              </w:rPr>
              <w:t>$252,805</w:t>
            </w:r>
          </w:p>
        </w:tc>
        <w:tc>
          <w:tcPr>
            <w:tcW w:w="40" w:type="dxa"/>
            <w:vAlign w:val="bottom"/>
          </w:tcPr>
          <w:p>
            <w:pPr>
              <w:spacing w:after="0"/>
              <w:rPr>
                <w:sz w:val="10"/>
                <w:szCs w:val="10"/>
                <w:color w:val="auto"/>
              </w:rPr>
            </w:pPr>
          </w:p>
        </w:tc>
      </w:tr>
      <w:tr>
        <w:trPr>
          <w:trHeight w:val="143"/>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Issuance of shares, net of related costs</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18,438,430</w:t>
            </w: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3,846</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92,943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96,789</w:t>
            </w:r>
          </w:p>
        </w:tc>
      </w:tr>
      <w:tr>
        <w:trPr>
          <w:trHeight w:val="146"/>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Amortization of unearned compensation</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142</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40" w:type="dxa"/>
            <w:vAlign w:val="bottom"/>
          </w:tcPr>
          <w:p>
            <w:pPr>
              <w:spacing w:after="0"/>
              <w:rPr>
                <w:sz w:val="12"/>
                <w:szCs w:val="12"/>
                <w:color w:val="auto"/>
              </w:rPr>
            </w:pPr>
          </w:p>
        </w:tc>
      </w:tr>
      <w:tr>
        <w:trPr>
          <w:trHeight w:val="155"/>
        </w:trPr>
        <w:tc>
          <w:tcPr>
            <w:tcW w:w="2380" w:type="dxa"/>
            <w:vAlign w:val="bottom"/>
          </w:tcPr>
          <w:p>
            <w:pPr>
              <w:spacing w:after="0"/>
              <w:rPr>
                <w:sz w:val="20"/>
                <w:szCs w:val="20"/>
                <w:color w:val="auto"/>
              </w:rPr>
            </w:pPr>
            <w:r>
              <w:rPr>
                <w:rFonts w:ascii="Times New Roman" w:cs="Times New Roman" w:eastAsia="Times New Roman" w:hAnsi="Times New Roman"/>
                <w:sz w:val="11"/>
                <w:szCs w:val="11"/>
                <w:color w:val="auto"/>
              </w:rPr>
              <w:t>Loss for the year</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(51,402)</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(51,402)</w:t>
            </w:r>
          </w:p>
        </w:tc>
      </w:tr>
      <w:tr>
        <w:trPr>
          <w:trHeight w:val="105"/>
        </w:trPr>
        <w:tc>
          <w:tcPr>
            <w:tcW w:w="2380" w:type="dxa"/>
            <w:vAlign w:val="bottom"/>
          </w:tcPr>
          <w:p>
            <w:pPr>
              <w:ind w:left="280"/>
              <w:spacing w:after="0" w:line="105" w:lineRule="exact"/>
              <w:rPr>
                <w:sz w:val="20"/>
                <w:szCs w:val="20"/>
                <w:color w:val="auto"/>
              </w:rPr>
            </w:pPr>
            <w:r>
              <w:rPr>
                <w:rFonts w:ascii="Times New Roman" w:cs="Times New Roman" w:eastAsia="Times New Roman" w:hAnsi="Times New Roman"/>
                <w:sz w:val="11"/>
                <w:szCs w:val="11"/>
                <w:color w:val="auto"/>
              </w:rPr>
              <w:t>BALANCE - - DECEMBER 31, 2002</w:t>
            </w:r>
          </w:p>
        </w:tc>
        <w:tc>
          <w:tcPr>
            <w:tcW w:w="52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44,735,532</w:t>
            </w:r>
          </w:p>
        </w:tc>
        <w:tc>
          <w:tcPr>
            <w:tcW w:w="12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w w:val="94"/>
              </w:rPr>
              <w:t>$</w:t>
            </w:r>
            <w:r>
              <w:rPr>
                <w:rFonts w:ascii="Times New Roman" w:cs="Times New Roman" w:eastAsia="Times New Roman" w:hAnsi="Times New Roman"/>
                <w:sz w:val="11"/>
                <w:szCs w:val="11"/>
                <w:color w:val="auto"/>
                <w:w w:val="94"/>
              </w:rPr>
              <w:t>11,294</w:t>
            </w:r>
          </w:p>
        </w:tc>
        <w:tc>
          <w:tcPr>
            <w:tcW w:w="120" w:type="dxa"/>
            <w:vAlign w:val="bottom"/>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w w:val="96"/>
              </w:rPr>
              <w:t>$</w:t>
            </w:r>
            <w:r>
              <w:rPr>
                <w:rFonts w:ascii="Times New Roman" w:cs="Times New Roman" w:eastAsia="Times New Roman" w:hAnsi="Times New Roman"/>
                <w:sz w:val="11"/>
                <w:szCs w:val="11"/>
                <w:color w:val="auto"/>
                <w:w w:val="96"/>
              </w:rPr>
              <w:t>400,808</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45"/>
              <w:spacing w:after="0" w:line="105"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ind w:left="80"/>
              <w:spacing w:after="0" w:line="105" w:lineRule="exact"/>
              <w:rPr>
                <w:sz w:val="20"/>
                <w:szCs w:val="20"/>
                <w:color w:val="auto"/>
              </w:rPr>
            </w:pPr>
            <w:r>
              <w:rPr>
                <w:rFonts w:ascii="Times New Roman" w:cs="Times New Roman" w:eastAsia="Times New Roman" w:hAnsi="Times New Roman"/>
                <w:sz w:val="11"/>
                <w:szCs w:val="11"/>
                <w:color w:val="auto"/>
                <w:w w:val="90"/>
              </w:rPr>
              <w:t>—</w:t>
            </w:r>
          </w:p>
        </w:tc>
        <w:tc>
          <w:tcPr>
            <w:tcW w:w="160" w:type="dxa"/>
            <w:vAlign w:val="bottom"/>
          </w:tcPr>
          <w:p>
            <w:pPr>
              <w:spacing w:after="0"/>
              <w:rPr>
                <w:sz w:val="9"/>
                <w:szCs w:val="9"/>
                <w:color w:val="auto"/>
              </w:rPr>
            </w:pPr>
          </w:p>
        </w:tc>
        <w:tc>
          <w:tcPr>
            <w:tcW w:w="20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(53)</w:t>
            </w:r>
          </w:p>
        </w:tc>
        <w:tc>
          <w:tcPr>
            <w:tcW w:w="34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w w:val="88"/>
              </w:rPr>
              <w:t>(104,643)</w:t>
            </w:r>
          </w:p>
        </w:tc>
        <w:tc>
          <w:tcPr>
            <w:tcW w:w="36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w w:val="94"/>
              </w:rPr>
              <w:t>$</w:t>
            </w:r>
            <w:r>
              <w:rPr>
                <w:rFonts w:ascii="Times New Roman" w:cs="Times New Roman" w:eastAsia="Times New Roman" w:hAnsi="Times New Roman"/>
                <w:sz w:val="11"/>
                <w:szCs w:val="11"/>
                <w:color w:val="auto"/>
                <w:w w:val="94"/>
              </w:rPr>
              <w:t>(9,072</w:t>
            </w:r>
          </w:p>
        </w:tc>
        <w:tc>
          <w:tcPr>
            <w:tcW w:w="160" w:type="dxa"/>
            <w:vAlign w:val="bottom"/>
          </w:tcPr>
          <w:p>
            <w:pPr>
              <w:jc w:val="right"/>
              <w:ind w:right="81"/>
              <w:spacing w:after="0"/>
              <w:rPr>
                <w:sz w:val="20"/>
                <w:szCs w:val="20"/>
                <w:color w:val="auto"/>
              </w:rPr>
            </w:pPr>
            <w:r>
              <w:rPr>
                <w:rFonts w:ascii="Times New Roman" w:cs="Times New Roman" w:eastAsia="Times New Roman" w:hAnsi="Times New Roman"/>
                <w:sz w:val="8"/>
                <w:szCs w:val="8"/>
                <w:color w:val="auto"/>
                <w:w w:val="73"/>
              </w:rPr>
              <w:t>)</w:t>
            </w:r>
          </w:p>
        </w:tc>
        <w:tc>
          <w:tcPr>
            <w:tcW w:w="420" w:type="dxa"/>
            <w:vAlign w:val="bottom"/>
            <w:tcBorders>
              <w:top w:val="single" w:sz="8" w:color="auto"/>
              <w:bottom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u w:val="single" w:color="auto"/>
                <w:color w:val="auto"/>
                <w:w w:val="96"/>
              </w:rPr>
              <w:t>$</w:t>
            </w:r>
            <w:r>
              <w:rPr>
                <w:rFonts w:ascii="Times New Roman" w:cs="Times New Roman" w:eastAsia="Times New Roman" w:hAnsi="Times New Roman"/>
                <w:sz w:val="11"/>
                <w:szCs w:val="11"/>
                <w:color w:val="auto"/>
                <w:w w:val="96"/>
              </w:rPr>
              <w:t>298,334</w:t>
            </w:r>
          </w:p>
        </w:tc>
        <w:tc>
          <w:tcPr>
            <w:tcW w:w="40" w:type="dxa"/>
            <w:vAlign w:val="bottom"/>
          </w:tcPr>
          <w:p>
            <w:pPr>
              <w:spacing w:after="0"/>
              <w:rPr>
                <w:sz w:val="9"/>
                <w:szCs w:val="9"/>
                <w:color w:val="auto"/>
              </w:rPr>
            </w:pPr>
          </w:p>
        </w:tc>
      </w:tr>
      <w:tr>
        <w:trPr>
          <w:trHeight w:val="20"/>
        </w:trPr>
        <w:tc>
          <w:tcPr>
            <w:tcW w:w="2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1456055</wp:posOffset>
            </wp:positionH>
            <wp:positionV relativeFrom="paragraph">
              <wp:posOffset>-733425</wp:posOffset>
            </wp:positionV>
            <wp:extent cx="13335" cy="635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-733425</wp:posOffset>
            </wp:positionV>
            <wp:extent cx="13335" cy="635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-733425</wp:posOffset>
            </wp:positionV>
            <wp:extent cx="13335" cy="635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-733425</wp:posOffset>
            </wp:positionV>
            <wp:extent cx="13335" cy="635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-733425</wp:posOffset>
            </wp:positionV>
            <wp:extent cx="13335" cy="635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-733425</wp:posOffset>
            </wp:positionV>
            <wp:extent cx="13335" cy="635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-733425</wp:posOffset>
            </wp:positionV>
            <wp:extent cx="13335" cy="635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-733425</wp:posOffset>
            </wp:positionV>
            <wp:extent cx="13335" cy="635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-607695</wp:posOffset>
            </wp:positionV>
            <wp:extent cx="13335" cy="635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-607695</wp:posOffset>
            </wp:positionV>
            <wp:extent cx="13335" cy="635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-607695</wp:posOffset>
            </wp:positionV>
            <wp:extent cx="13335" cy="635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-607695</wp:posOffset>
            </wp:positionV>
            <wp:extent cx="13335" cy="635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-607695</wp:posOffset>
            </wp:positionV>
            <wp:extent cx="13335" cy="635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-607695</wp:posOffset>
            </wp:positionV>
            <wp:extent cx="13335" cy="635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-607695</wp:posOffset>
            </wp:positionV>
            <wp:extent cx="13335" cy="635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-607695</wp:posOffset>
            </wp:positionV>
            <wp:extent cx="13335" cy="635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-514985</wp:posOffset>
            </wp:positionV>
            <wp:extent cx="13335" cy="635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-514985</wp:posOffset>
            </wp:positionV>
            <wp:extent cx="13335" cy="635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-514985</wp:posOffset>
            </wp:positionV>
            <wp:extent cx="13335" cy="635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-514985</wp:posOffset>
            </wp:positionV>
            <wp:extent cx="13335" cy="635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-514985</wp:posOffset>
            </wp:positionV>
            <wp:extent cx="13335" cy="635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-514985</wp:posOffset>
            </wp:positionV>
            <wp:extent cx="13335" cy="635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-514985</wp:posOffset>
            </wp:positionV>
            <wp:extent cx="13335" cy="635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-514985</wp:posOffset>
            </wp:positionV>
            <wp:extent cx="13335" cy="635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-422275</wp:posOffset>
            </wp:positionV>
            <wp:extent cx="13335" cy="635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-422275</wp:posOffset>
            </wp:positionV>
            <wp:extent cx="13335" cy="635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-422275</wp:posOffset>
            </wp:positionV>
            <wp:extent cx="13335" cy="635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-422275</wp:posOffset>
            </wp:positionV>
            <wp:extent cx="13335" cy="635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-422275</wp:posOffset>
            </wp:positionV>
            <wp:extent cx="13335" cy="635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-422275</wp:posOffset>
            </wp:positionV>
            <wp:extent cx="13335" cy="635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-422275</wp:posOffset>
            </wp:positionV>
            <wp:extent cx="13335" cy="635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-422275</wp:posOffset>
            </wp:positionV>
            <wp:extent cx="13335" cy="635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-330200</wp:posOffset>
            </wp:positionV>
            <wp:extent cx="13335" cy="635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-330200</wp:posOffset>
            </wp:positionV>
            <wp:extent cx="13335" cy="635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-330200</wp:posOffset>
            </wp:positionV>
            <wp:extent cx="13335" cy="635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-330200</wp:posOffset>
            </wp:positionV>
            <wp:extent cx="13335" cy="635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-330200</wp:posOffset>
            </wp:positionV>
            <wp:extent cx="13335" cy="635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-330200</wp:posOffset>
            </wp:positionV>
            <wp:extent cx="13335" cy="635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-330200</wp:posOffset>
            </wp:positionV>
            <wp:extent cx="13335" cy="635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-330200</wp:posOffset>
            </wp:positionV>
            <wp:extent cx="13335" cy="635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-237490</wp:posOffset>
            </wp:positionV>
            <wp:extent cx="13335" cy="635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-237490</wp:posOffset>
            </wp:positionV>
            <wp:extent cx="13335" cy="635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-237490</wp:posOffset>
            </wp:positionV>
            <wp:extent cx="13335" cy="635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-237490</wp:posOffset>
            </wp:positionV>
            <wp:extent cx="13335" cy="635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-237490</wp:posOffset>
            </wp:positionV>
            <wp:extent cx="13335" cy="635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-237490</wp:posOffset>
            </wp:positionV>
            <wp:extent cx="13335" cy="635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-237490</wp:posOffset>
            </wp:positionV>
            <wp:extent cx="13335" cy="635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-237490</wp:posOffset>
            </wp:positionV>
            <wp:extent cx="13335" cy="635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-144780</wp:posOffset>
            </wp:positionV>
            <wp:extent cx="13335" cy="635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-144780</wp:posOffset>
            </wp:positionV>
            <wp:extent cx="13335" cy="635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-144780</wp:posOffset>
            </wp:positionV>
            <wp:extent cx="13335" cy="635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-144780</wp:posOffset>
            </wp:positionV>
            <wp:extent cx="13335" cy="635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-144780</wp:posOffset>
            </wp:positionV>
            <wp:extent cx="13335" cy="635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-144780</wp:posOffset>
            </wp:positionV>
            <wp:extent cx="13335" cy="635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-144780</wp:posOffset>
            </wp:positionV>
            <wp:extent cx="13335" cy="635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-144780</wp:posOffset>
            </wp:positionV>
            <wp:extent cx="13335" cy="635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1456055</wp:posOffset>
            </wp:positionH>
            <wp:positionV relativeFrom="paragraph">
              <wp:posOffset>-52070</wp:posOffset>
            </wp:positionV>
            <wp:extent cx="13335" cy="635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-52070</wp:posOffset>
            </wp:positionV>
            <wp:extent cx="13335" cy="635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-52070</wp:posOffset>
            </wp:positionV>
            <wp:extent cx="13335" cy="635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-52070</wp:posOffset>
            </wp:positionV>
            <wp:extent cx="13335" cy="635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-52070</wp:posOffset>
            </wp:positionV>
            <wp:extent cx="13335" cy="635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-52070</wp:posOffset>
            </wp:positionV>
            <wp:extent cx="13335" cy="635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-52070</wp:posOffset>
            </wp:positionV>
            <wp:extent cx="13335" cy="635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-52070</wp:posOffset>
            </wp:positionV>
            <wp:extent cx="13335" cy="635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8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3834130" cy="7302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3834130" cy="7302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1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41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CASH FLOWS - OPERATING ACTIVITIES</w:t>
            </w: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2002</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2001</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2000</w:t>
            </w: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4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Loss for the year</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(51,402)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(38,522)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(3,989)</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Adjustments to reconcile loss for the year to net cash provided by operating activities: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Income and expense items not involving cash flows: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18,821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21,721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25,917</w:t>
            </w: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Other expense (income), net</w:t>
            </w:r>
          </w:p>
        </w:tc>
        <w:tc>
          <w:tcPr>
            <w:tcW w:w="10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(8,419)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478</w:t>
            </w: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Earnings on marketable debt securities</w:t>
            </w:r>
          </w:p>
        </w:tc>
        <w:tc>
          <w:tcPr>
            <w:tcW w:w="1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(67)</w:t>
            </w:r>
          </w:p>
        </w:tc>
        <w:tc>
          <w:tcPr>
            <w:tcW w:w="0" w:type="dxa"/>
            <w:vAlign w:val="bottom"/>
          </w:tcPr>
          <w:p>
            <w:pPr>
              <w:spacing w:after="0"/>
              <w:rPr>
                <w:sz w:val="1"/>
                <w:szCs w:val="1"/>
                <w:color w:val="auto"/>
              </w:rPr>
            </w:pPr>
          </w:p>
        </w:tc>
      </w:tr>
      <w:tr>
        <w:trPr>
          <w:trHeight w:val="146"/>
        </w:trPr>
        <w:tc>
          <w:tcPr>
            <w:tcW w:w="412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Changes in assets and liabilities: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Decrease (increase) in trade accounts receivable</w:t>
            </w:r>
          </w:p>
        </w:tc>
        <w:tc>
          <w:tcPr>
            <w:tcW w:w="10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(4,135)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8,602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(3,821)</w:t>
            </w: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Decrease (increase) in other receivables and other current assets</w:t>
            </w:r>
          </w:p>
        </w:tc>
        <w:tc>
          <w:tcPr>
            <w:tcW w:w="10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(1,305)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(894)</w:t>
            </w: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Decrease (increase) in inventories</w:t>
            </w:r>
          </w:p>
        </w:tc>
        <w:tc>
          <w:tcPr>
            <w:tcW w:w="10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8,402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(2,113)</w:t>
            </w: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Increase (decrease) in trade accounts payable</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4,686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(5,190)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(710)</w:t>
            </w:r>
          </w:p>
        </w:tc>
        <w:tc>
          <w:tcPr>
            <w:tcW w:w="0" w:type="dxa"/>
            <w:vAlign w:val="bottom"/>
          </w:tcPr>
          <w:p>
            <w:pPr>
              <w:spacing w:after="0"/>
              <w:rPr>
                <w:sz w:val="1"/>
                <w:szCs w:val="1"/>
                <w:color w:val="auto"/>
              </w:rPr>
            </w:pPr>
          </w:p>
        </w:tc>
      </w:tr>
      <w:tr>
        <w:trPr>
          <w:trHeight w:val="146"/>
        </w:trPr>
        <w:tc>
          <w:tcPr>
            <w:tcW w:w="41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Increase (decrease) in other current liabilities</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2,764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(999)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723</w:t>
            </w:r>
          </w:p>
        </w:tc>
        <w:tc>
          <w:tcPr>
            <w:tcW w:w="0" w:type="dxa"/>
            <w:vAlign w:val="bottom"/>
          </w:tcPr>
          <w:p>
            <w:pPr>
              <w:spacing w:after="0"/>
              <w:rPr>
                <w:sz w:val="1"/>
                <w:szCs w:val="1"/>
                <w:color w:val="auto"/>
              </w:rPr>
            </w:pPr>
          </w:p>
        </w:tc>
      </w:tr>
      <w:tr>
        <w:trPr>
          <w:trHeight w:val="155"/>
        </w:trPr>
        <w:tc>
          <w:tcPr>
            <w:tcW w:w="41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Increase in other long-term liabilities</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2,822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1,421</w:t>
            </w: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(28,403)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(13,651)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16,945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12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Increase (decrease) in long-term liability in respect of customers' advances</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29,336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17,910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(760)</w:t>
            </w:r>
          </w:p>
        </w:tc>
        <w:tc>
          <w:tcPr>
            <w:tcW w:w="0" w:type="dxa"/>
            <w:vAlign w:val="bottom"/>
          </w:tcPr>
          <w:p>
            <w:pPr>
              <w:spacing w:after="0"/>
              <w:rPr>
                <w:sz w:val="1"/>
                <w:szCs w:val="1"/>
                <w:color w:val="auto"/>
              </w:rPr>
            </w:pPr>
          </w:p>
        </w:tc>
      </w:tr>
      <w:tr>
        <w:trPr>
          <w:trHeight w:val="126"/>
        </w:trPr>
        <w:tc>
          <w:tcPr>
            <w:tcW w:w="4120" w:type="dxa"/>
            <w:vAlign w:val="bottom"/>
          </w:tcPr>
          <w:p>
            <w:pPr>
              <w:ind w:left="700"/>
              <w:spacing w:after="0" w:line="123" w:lineRule="exact"/>
              <w:rPr>
                <w:sz w:val="20"/>
                <w:szCs w:val="20"/>
                <w:color w:val="auto"/>
              </w:rPr>
            </w:pPr>
            <w:r>
              <w:rPr>
                <w:rFonts w:ascii="Times New Roman" w:cs="Times New Roman" w:eastAsia="Times New Roman" w:hAnsi="Times New Roman"/>
                <w:sz w:val="11"/>
                <w:szCs w:val="11"/>
                <w:color w:val="auto"/>
              </w:rPr>
              <w:t>Net cash provided by operating activities</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933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4,259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16,185</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CASH FLOWS - INVESTING ACTIVITIES</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120" w:type="dxa"/>
            <w:vAlign w:val="bottom"/>
          </w:tcPr>
          <w:p>
            <w:pPr>
              <w:ind w:left="140"/>
              <w:spacing w:after="0" w:line="115" w:lineRule="exact"/>
              <w:rPr>
                <w:sz w:val="20"/>
                <w:szCs w:val="20"/>
                <w:color w:val="auto"/>
              </w:rPr>
            </w:pPr>
            <w:r>
              <w:rPr>
                <w:rFonts w:ascii="Times New Roman" w:cs="Times New Roman" w:eastAsia="Times New Roman" w:hAnsi="Times New Roman"/>
                <w:sz w:val="11"/>
                <w:szCs w:val="11"/>
                <w:color w:val="auto"/>
              </w:rPr>
              <w:t>Increase in cash, short-term and long-term interest-bearing</w:t>
            </w: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41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deposits designated for investments relating to Fab 2</w:t>
            </w:r>
          </w:p>
        </w:tc>
        <w:tc>
          <w:tcPr>
            <w:tcW w:w="10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(59,683)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(3,548)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Investments in property and equipment</w:t>
            </w:r>
          </w:p>
        </w:tc>
        <w:tc>
          <w:tcPr>
            <w:tcW w:w="10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w w:val="97"/>
              </w:rPr>
              <w:t>(205,099)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w w:val="97"/>
              </w:rPr>
              <w:t>(295,203)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5"/>
              </w:rPr>
              <w:t>(53,530)</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 grants received</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40,481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56,454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14,599</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Proceeds from sale of equipment</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168</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Investments in other assets</w:t>
            </w:r>
          </w:p>
        </w:tc>
        <w:tc>
          <w:tcPr>
            <w:tcW w:w="10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(34,290)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(32,098)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5"/>
              </w:rPr>
              <w:t>(16,121)</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Decrease (increase) in deposits, net</w:t>
            </w:r>
          </w:p>
        </w:tc>
        <w:tc>
          <w:tcPr>
            <w:tcW w:w="10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(456)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(1,599)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22,930</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Proceeds from realization of marketable debt securities</w:t>
            </w:r>
          </w:p>
        </w:tc>
        <w:tc>
          <w:tcPr>
            <w:tcW w:w="1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5,127</w:t>
            </w:r>
          </w:p>
        </w:tc>
        <w:tc>
          <w:tcPr>
            <w:tcW w:w="0" w:type="dxa"/>
            <w:vAlign w:val="bottom"/>
          </w:tcPr>
          <w:p>
            <w:pPr>
              <w:spacing w:after="0"/>
              <w:rPr>
                <w:sz w:val="1"/>
                <w:szCs w:val="1"/>
                <w:color w:val="auto"/>
              </w:rPr>
            </w:pPr>
          </w:p>
        </w:tc>
      </w:tr>
      <w:tr>
        <w:trPr>
          <w:trHeight w:val="155"/>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Proceeds from sale of (investments in) long-term investments</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11,050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(2,850)</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70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1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w w:val="97"/>
              </w:rPr>
              <w:t>(258,977)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w w:val="97"/>
              </w:rPr>
              <w:t>(264,715)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5"/>
              </w:rPr>
              <w:t>(29,677)</w:t>
            </w:r>
          </w:p>
        </w:tc>
        <w:tc>
          <w:tcPr>
            <w:tcW w:w="0" w:type="dxa"/>
            <w:vAlign w:val="bottom"/>
          </w:tcPr>
          <w:p>
            <w:pPr>
              <w:spacing w:after="0"/>
              <w:rPr>
                <w:sz w:val="1"/>
                <w:szCs w:val="1"/>
                <w:color w:val="auto"/>
              </w:rPr>
            </w:pPr>
          </w:p>
        </w:tc>
      </w:tr>
      <w:tr>
        <w:trPr>
          <w:trHeight w:val="119"/>
        </w:trPr>
        <w:tc>
          <w:tcPr>
            <w:tcW w:w="4120" w:type="dxa"/>
            <w:vAlign w:val="bottom"/>
          </w:tcPr>
          <w:p>
            <w:pPr>
              <w:spacing w:after="0" w:line="119" w:lineRule="exact"/>
              <w:rPr>
                <w:sz w:val="20"/>
                <w:szCs w:val="20"/>
                <w:color w:val="auto"/>
              </w:rPr>
            </w:pPr>
            <w:r>
              <w:rPr>
                <w:rFonts w:ascii="Times New Roman" w:cs="Times New Roman" w:eastAsia="Times New Roman" w:hAnsi="Times New Roman"/>
                <w:sz w:val="11"/>
                <w:szCs w:val="11"/>
                <w:color w:val="auto"/>
              </w:rPr>
              <w:t>CASH FLOWS - FINANCING ACTIVITIES</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Proceeds from issuance of shares, net</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96,751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152,586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Proceeds from exercise of share options</w:t>
            </w:r>
          </w:p>
        </w:tc>
        <w:tc>
          <w:tcPr>
            <w:tcW w:w="1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2,641</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Proceeds on account of warrant and exercise of a warrant</w:t>
            </w:r>
          </w:p>
        </w:tc>
        <w:tc>
          <w:tcPr>
            <w:tcW w:w="1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9,990</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Increase (decrease) in short-term debt</w:t>
            </w:r>
          </w:p>
        </w:tc>
        <w:tc>
          <w:tcPr>
            <w:tcW w:w="10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(10,000)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Repayment of long-term debt</w:t>
            </w:r>
          </w:p>
        </w:tc>
        <w:tc>
          <w:tcPr>
            <w:tcW w:w="10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(4,000)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(15,064)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Proceeds from long-term debt</w:t>
            </w:r>
          </w:p>
        </w:tc>
        <w:tc>
          <w:tcPr>
            <w:tcW w:w="10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142,000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122,000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Repayment of shareholder receivables</w:t>
            </w:r>
          </w:p>
        </w:tc>
        <w:tc>
          <w:tcPr>
            <w:tcW w:w="10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618</w:t>
            </w:r>
          </w:p>
        </w:tc>
        <w:tc>
          <w:tcPr>
            <w:tcW w:w="0" w:type="dxa"/>
            <w:vAlign w:val="bottom"/>
          </w:tcPr>
          <w:p>
            <w:pPr>
              <w:spacing w:after="0"/>
              <w:rPr>
                <w:sz w:val="1"/>
                <w:szCs w:val="1"/>
                <w:color w:val="auto"/>
              </w:rPr>
            </w:pPr>
          </w:p>
        </w:tc>
      </w:tr>
      <w:tr>
        <w:trPr>
          <w:trHeight w:val="155"/>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Proceeds from sale of securities, net</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21,540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120" w:type="dxa"/>
            <w:vAlign w:val="bottom"/>
          </w:tcPr>
          <w:p>
            <w:pPr>
              <w:ind w:left="700"/>
              <w:spacing w:after="0" w:line="123" w:lineRule="exact"/>
              <w:rPr>
                <w:sz w:val="20"/>
                <w:szCs w:val="20"/>
                <w:color w:val="auto"/>
              </w:rPr>
            </w:pPr>
            <w:r>
              <w:rPr>
                <w:rFonts w:ascii="Times New Roman" w:cs="Times New Roman" w:eastAsia="Times New Roman" w:hAnsi="Times New Roman"/>
                <w:sz w:val="11"/>
                <w:szCs w:val="11"/>
                <w:color w:val="auto"/>
              </w:rPr>
              <w:t>Net cash provided by financing activities</w:t>
            </w:r>
          </w:p>
        </w:tc>
        <w:tc>
          <w:tcPr>
            <w:tcW w:w="10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246,291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269,804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13,249</w:t>
            </w:r>
          </w:p>
        </w:tc>
        <w:tc>
          <w:tcPr>
            <w:tcW w:w="0" w:type="dxa"/>
            <w:vAlign w:val="bottom"/>
          </w:tcPr>
          <w:p>
            <w:pPr>
              <w:spacing w:after="0"/>
              <w:rPr>
                <w:sz w:val="1"/>
                <w:szCs w:val="1"/>
                <w:color w:val="auto"/>
              </w:rPr>
            </w:pPr>
          </w:p>
        </w:tc>
      </w:tr>
      <w:tr>
        <w:trPr>
          <w:trHeight w:val="119"/>
        </w:trPr>
        <w:tc>
          <w:tcPr>
            <w:tcW w:w="4120" w:type="dxa"/>
            <w:vAlign w:val="bottom"/>
          </w:tcPr>
          <w:p>
            <w:pPr>
              <w:ind w:left="420"/>
              <w:spacing w:after="0" w:line="119" w:lineRule="exact"/>
              <w:rPr>
                <w:sz w:val="20"/>
                <w:szCs w:val="20"/>
                <w:color w:val="auto"/>
              </w:rPr>
            </w:pPr>
            <w:r>
              <w:rPr>
                <w:rFonts w:ascii="Times New Roman" w:cs="Times New Roman" w:eastAsia="Times New Roman" w:hAnsi="Times New Roman"/>
                <w:sz w:val="11"/>
                <w:szCs w:val="11"/>
                <w:color w:val="auto"/>
              </w:rPr>
              <w:t>INCREASE (DECREASE) IN CASH AND CASH EQUIVALENTS</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2"/>
          </w:tcPr>
          <w:p>
            <w:pPr>
              <w:jc w:val="right"/>
              <w:ind w:right="20"/>
              <w:spacing w:after="0" w:line="119" w:lineRule="exact"/>
              <w:rPr>
                <w:sz w:val="20"/>
                <w:szCs w:val="20"/>
                <w:color w:val="auto"/>
              </w:rPr>
            </w:pPr>
            <w:r>
              <w:rPr>
                <w:rFonts w:ascii="Times New Roman" w:cs="Times New Roman" w:eastAsia="Times New Roman" w:hAnsi="Times New Roman"/>
                <w:sz w:val="11"/>
                <w:szCs w:val="11"/>
                <w:color w:val="auto"/>
              </w:rPr>
              <w:t>(11,753)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9,348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1"/>
                <w:szCs w:val="11"/>
                <w:color w:val="auto"/>
              </w:rPr>
              <w:t>(243)</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120" w:type="dxa"/>
            <w:vAlign w:val="bottom"/>
          </w:tcPr>
          <w:p>
            <w:pPr>
              <w:spacing w:after="0"/>
              <w:rPr>
                <w:sz w:val="20"/>
                <w:szCs w:val="20"/>
                <w:color w:val="auto"/>
              </w:rPr>
            </w:pPr>
            <w:r>
              <w:rPr>
                <w:rFonts w:ascii="Times New Roman" w:cs="Times New Roman" w:eastAsia="Times New Roman" w:hAnsi="Times New Roman"/>
                <w:sz w:val="11"/>
                <w:szCs w:val="11"/>
                <w:color w:val="auto"/>
              </w:rPr>
              <w:t>CASH AND CASH EQUIVALENTS - BEGINNING OF YEAR</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19,610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10,262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10,505</w:t>
            </w:r>
          </w:p>
        </w:tc>
        <w:tc>
          <w:tcPr>
            <w:tcW w:w="0" w:type="dxa"/>
            <w:vAlign w:val="bottom"/>
          </w:tcPr>
          <w:p>
            <w:pPr>
              <w:spacing w:after="0"/>
              <w:rPr>
                <w:sz w:val="1"/>
                <w:szCs w:val="1"/>
                <w:color w:val="auto"/>
              </w:rPr>
            </w:pPr>
          </w:p>
        </w:tc>
      </w:tr>
      <w:tr>
        <w:trPr>
          <w:trHeight w:val="105"/>
        </w:trPr>
        <w:tc>
          <w:tcPr>
            <w:tcW w:w="4120" w:type="dxa"/>
            <w:vAlign w:val="bottom"/>
          </w:tcPr>
          <w:p>
            <w:pPr>
              <w:ind w:left="420"/>
              <w:spacing w:after="0" w:line="105" w:lineRule="exact"/>
              <w:rPr>
                <w:sz w:val="20"/>
                <w:szCs w:val="20"/>
                <w:color w:val="auto"/>
              </w:rPr>
            </w:pPr>
            <w:r>
              <w:rPr>
                <w:rFonts w:ascii="Times New Roman" w:cs="Times New Roman" w:eastAsia="Times New Roman" w:hAnsi="Times New Roman"/>
                <w:sz w:val="11"/>
                <w:szCs w:val="11"/>
                <w:color w:val="auto"/>
              </w:rPr>
              <w:t>CASH AND CASH EQUIVALENTS - END OF YEAR</w:t>
            </w:r>
          </w:p>
        </w:tc>
        <w:tc>
          <w:tcPr>
            <w:tcW w:w="10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tcBorders>
            <w:gridSpan w:val="2"/>
          </w:tcPr>
          <w:p>
            <w:pPr>
              <w:jc w:val="right"/>
              <w:ind w:right="20"/>
              <w:spacing w:after="0" w:line="105" w:lineRule="exact"/>
              <w:rPr>
                <w:sz w:val="20"/>
                <w:szCs w:val="20"/>
                <w:color w:val="auto"/>
              </w:rPr>
            </w:pPr>
            <w:r>
              <w:rPr>
                <w:rFonts w:ascii="Times New Roman" w:cs="Times New Roman" w:eastAsia="Times New Roman" w:hAnsi="Times New Roman"/>
                <w:sz w:val="11"/>
                <w:szCs w:val="11"/>
                <w:color w:val="auto"/>
              </w:rPr>
              <w:t>7,857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19,610</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1"/>
                <w:szCs w:val="11"/>
                <w:color w:val="auto"/>
              </w:rPr>
              <w:t>10,262</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NON-CASH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Investments in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49,419</w:t>
            </w:r>
          </w:p>
        </w:tc>
        <w:tc>
          <w:tcPr>
            <w:tcW w:w="12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41,610</w:t>
            </w:r>
          </w:p>
        </w:tc>
        <w:tc>
          <w:tcPr>
            <w:tcW w:w="12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11,097</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Exercise of a warrant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9,990</w:t>
            </w:r>
          </w:p>
        </w:tc>
        <w:tc>
          <w:tcPr>
            <w:tcW w:w="2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140"/>
              <w:spacing w:after="0" w:line="109" w:lineRule="exact"/>
              <w:rPr>
                <w:sz w:val="20"/>
                <w:szCs w:val="20"/>
                <w:color w:val="auto"/>
              </w:rPr>
            </w:pPr>
            <w:r>
              <w:rPr>
                <w:rFonts w:ascii="Times New Roman" w:cs="Times New Roman" w:eastAsia="Times New Roman" w:hAnsi="Times New Roman"/>
                <w:sz w:val="11"/>
                <w:szCs w:val="11"/>
                <w:color w:val="auto"/>
              </w:rPr>
              <w:t>Stock-based compensation related to</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4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412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the Facility Agreement with the Banks</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5,466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Investments in other assets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4,304</w:t>
            </w: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1,117</w:t>
            </w:r>
          </w:p>
        </w:tc>
        <w:tc>
          <w:tcPr>
            <w:tcW w:w="0" w:type="dxa"/>
            <w:vAlign w:val="bottom"/>
          </w:tcPr>
          <w:p>
            <w:pPr>
              <w:spacing w:after="0" w:line="20" w:lineRule="exact"/>
              <w:rPr>
                <w:sz w:val="1"/>
                <w:szCs w:val="1"/>
                <w:color w:val="auto"/>
              </w:rPr>
            </w:pPr>
          </w:p>
        </w:tc>
      </w:tr>
      <w:tr>
        <w:trPr>
          <w:trHeight w:val="86"/>
        </w:trPr>
        <w:tc>
          <w:tcPr>
            <w:tcW w:w="41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line="86" w:lineRule="exact"/>
              <w:rPr>
                <w:sz w:val="20"/>
                <w:szCs w:val="20"/>
                <w:color w:val="auto"/>
              </w:rPr>
            </w:pPr>
            <w:r>
              <w:rPr>
                <w:rFonts w:ascii="Times New Roman" w:cs="Times New Roman" w:eastAsia="Times New Roman" w:hAnsi="Times New Roman"/>
                <w:sz w:val="9"/>
                <w:szCs w:val="9"/>
                <w:color w:val="auto"/>
              </w:rPr>
              <w:t>4,357</w:t>
            </w:r>
          </w:p>
        </w:tc>
        <w:tc>
          <w:tcPr>
            <w:tcW w:w="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1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Cash paid during the year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11,594</w:t>
            </w:r>
          </w:p>
        </w:tc>
        <w:tc>
          <w:tcPr>
            <w:tcW w:w="12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3,143</w:t>
            </w:r>
          </w:p>
        </w:tc>
        <w:tc>
          <w:tcPr>
            <w:tcW w:w="120" w:type="dxa"/>
            <w:vAlign w:val="bottom"/>
          </w:tcPr>
          <w:p>
            <w:pPr>
              <w:spacing w:after="0"/>
              <w:rPr>
                <w:sz w:val="11"/>
                <w:szCs w:val="1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866</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Cash paid during the year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4120" w:type="dxa"/>
            <w:vAlign w:val="bottom"/>
            <w:vMerge w:val="continue"/>
          </w:tcPr>
          <w:p>
            <w:pPr>
              <w:spacing w:after="0"/>
              <w:rPr>
                <w:sz w:val="7"/>
                <w:szCs w:val="7"/>
                <w:color w:val="auto"/>
              </w:rPr>
            </w:pPr>
          </w:p>
        </w:tc>
        <w:tc>
          <w:tcPr>
            <w:tcW w:w="10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151</w:t>
            </w:r>
          </w:p>
        </w:tc>
        <w:tc>
          <w:tcPr>
            <w:tcW w:w="2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1,819</w:t>
            </w:r>
          </w:p>
        </w:tc>
        <w:tc>
          <w:tcPr>
            <w:tcW w:w="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9"/>
                <w:szCs w:val="9"/>
                <w:color w:val="auto"/>
              </w:rPr>
              <w:t>1,090</w:t>
            </w:r>
          </w:p>
        </w:tc>
        <w:tc>
          <w:tcPr>
            <w:tcW w:w="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2566670</wp:posOffset>
            </wp:positionH>
            <wp:positionV relativeFrom="paragraph">
              <wp:posOffset>-4732655</wp:posOffset>
            </wp:positionV>
            <wp:extent cx="13335" cy="635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-4639945</wp:posOffset>
            </wp:positionV>
            <wp:extent cx="13335" cy="635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-4639945</wp:posOffset>
            </wp:positionV>
            <wp:extent cx="13335" cy="635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-4639945</wp:posOffset>
            </wp:positionV>
            <wp:extent cx="13335" cy="635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-4547235</wp:posOffset>
            </wp:positionV>
            <wp:extent cx="13335" cy="635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-4547235</wp:posOffset>
            </wp:positionV>
            <wp:extent cx="13335" cy="635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-4547235</wp:posOffset>
            </wp:positionV>
            <wp:extent cx="13335" cy="635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-4454525</wp:posOffset>
            </wp:positionV>
            <wp:extent cx="13335" cy="635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-4454525</wp:posOffset>
            </wp:positionV>
            <wp:extent cx="13335" cy="635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-4454525</wp:posOffset>
            </wp:positionV>
            <wp:extent cx="13335" cy="635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-4362450</wp:posOffset>
            </wp:positionV>
            <wp:extent cx="13335" cy="635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-4362450</wp:posOffset>
            </wp:positionV>
            <wp:extent cx="13335" cy="635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-4362450</wp:posOffset>
            </wp:positionV>
            <wp:extent cx="13335" cy="635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-4269740</wp:posOffset>
            </wp:positionV>
            <wp:extent cx="13335" cy="635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-4269740</wp:posOffset>
            </wp:positionV>
            <wp:extent cx="13335" cy="635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-4269740</wp:posOffset>
            </wp:positionV>
            <wp:extent cx="13335" cy="635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-4177030</wp:posOffset>
            </wp:positionV>
            <wp:extent cx="13335" cy="635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-4177030</wp:posOffset>
            </wp:positionV>
            <wp:extent cx="13335" cy="635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-4177030</wp:posOffset>
            </wp:positionV>
            <wp:extent cx="13335" cy="635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-4084320</wp:posOffset>
            </wp:positionV>
            <wp:extent cx="13335" cy="635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-4084320</wp:posOffset>
            </wp:positionV>
            <wp:extent cx="13335" cy="635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-4084320</wp:posOffset>
            </wp:positionV>
            <wp:extent cx="13335" cy="635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-3992245</wp:posOffset>
            </wp:positionV>
            <wp:extent cx="13335" cy="635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-3992245</wp:posOffset>
            </wp:positionV>
            <wp:extent cx="13335" cy="635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-3992245</wp:posOffset>
            </wp:positionV>
            <wp:extent cx="13335" cy="635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-3899535</wp:posOffset>
            </wp:positionV>
            <wp:extent cx="13335" cy="635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-3899535</wp:posOffset>
            </wp:positionV>
            <wp:extent cx="13335" cy="635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-3899535</wp:posOffset>
            </wp:positionV>
            <wp:extent cx="13335" cy="635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-3806825</wp:posOffset>
            </wp:positionV>
            <wp:extent cx="13335" cy="635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-3806825</wp:posOffset>
            </wp:positionV>
            <wp:extent cx="13335" cy="635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-3806825</wp:posOffset>
            </wp:positionV>
            <wp:extent cx="13335" cy="635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-3714115</wp:posOffset>
            </wp:positionV>
            <wp:extent cx="13335" cy="635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-3714115</wp:posOffset>
            </wp:positionV>
            <wp:extent cx="13335" cy="635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-3714115</wp:posOffset>
            </wp:positionV>
            <wp:extent cx="13335" cy="635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-3622040</wp:posOffset>
            </wp:positionV>
            <wp:extent cx="13335" cy="635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-3622040</wp:posOffset>
            </wp:positionV>
            <wp:extent cx="13335" cy="635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-3622040</wp:posOffset>
            </wp:positionV>
            <wp:extent cx="13335" cy="635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-3529330</wp:posOffset>
            </wp:positionV>
            <wp:extent cx="13335" cy="635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-3529330</wp:posOffset>
            </wp:positionV>
            <wp:extent cx="13335" cy="635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-3529330</wp:posOffset>
            </wp:positionV>
            <wp:extent cx="13335" cy="635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-3436620</wp:posOffset>
            </wp:positionV>
            <wp:extent cx="13335" cy="635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-3436620</wp:posOffset>
            </wp:positionV>
            <wp:extent cx="13335" cy="635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-3436620</wp:posOffset>
            </wp:positionV>
            <wp:extent cx="13335" cy="635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-3344545</wp:posOffset>
            </wp:positionV>
            <wp:extent cx="13335" cy="635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-3344545</wp:posOffset>
            </wp:positionV>
            <wp:extent cx="13335" cy="635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-3344545</wp:posOffset>
            </wp:positionV>
            <wp:extent cx="13335" cy="635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-3251835</wp:posOffset>
            </wp:positionV>
            <wp:extent cx="13335" cy="635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-3251835</wp:posOffset>
            </wp:positionV>
            <wp:extent cx="13335" cy="635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-3251835</wp:posOffset>
            </wp:positionV>
            <wp:extent cx="13335" cy="635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-3159125</wp:posOffset>
            </wp:positionV>
            <wp:extent cx="13335" cy="635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-3159125</wp:posOffset>
            </wp:positionV>
            <wp:extent cx="13335" cy="635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-3159125</wp:posOffset>
            </wp:positionV>
            <wp:extent cx="13335" cy="635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-3066415</wp:posOffset>
            </wp:positionV>
            <wp:extent cx="13335" cy="635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-3066415</wp:posOffset>
            </wp:positionV>
            <wp:extent cx="13335" cy="635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-3066415</wp:posOffset>
            </wp:positionV>
            <wp:extent cx="13335" cy="635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-2974340</wp:posOffset>
            </wp:positionV>
            <wp:extent cx="13335" cy="635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-2974340</wp:posOffset>
            </wp:positionV>
            <wp:extent cx="13335" cy="635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-2974340</wp:posOffset>
            </wp:positionV>
            <wp:extent cx="13335" cy="635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-2841625</wp:posOffset>
            </wp:positionV>
            <wp:extent cx="13335" cy="635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-2841625</wp:posOffset>
            </wp:positionV>
            <wp:extent cx="13335" cy="635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-2841625</wp:posOffset>
            </wp:positionV>
            <wp:extent cx="13335" cy="635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-2715895</wp:posOffset>
            </wp:positionV>
            <wp:extent cx="13335" cy="6350"/>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-2715895</wp:posOffset>
            </wp:positionV>
            <wp:extent cx="13335" cy="635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-2715895</wp:posOffset>
            </wp:positionV>
            <wp:extent cx="13335" cy="635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-2623820</wp:posOffset>
            </wp:positionV>
            <wp:extent cx="13335" cy="6350"/>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-2623820</wp:posOffset>
            </wp:positionV>
            <wp:extent cx="13335" cy="635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-2623820</wp:posOffset>
            </wp:positionV>
            <wp:extent cx="13335" cy="6350"/>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-2531110</wp:posOffset>
            </wp:positionV>
            <wp:extent cx="13335" cy="6350"/>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-2531110</wp:posOffset>
            </wp:positionV>
            <wp:extent cx="13335" cy="6350"/>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-2531110</wp:posOffset>
            </wp:positionV>
            <wp:extent cx="13335" cy="635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-2438400</wp:posOffset>
            </wp:positionV>
            <wp:extent cx="13335" cy="635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-2438400</wp:posOffset>
            </wp:positionV>
            <wp:extent cx="13335" cy="6350"/>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-2438400</wp:posOffset>
            </wp:positionV>
            <wp:extent cx="13335" cy="635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-2346325</wp:posOffset>
            </wp:positionV>
            <wp:extent cx="13335" cy="6350"/>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-2346325</wp:posOffset>
            </wp:positionV>
            <wp:extent cx="13335" cy="6350"/>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-2346325</wp:posOffset>
            </wp:positionV>
            <wp:extent cx="13335" cy="635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-2253615</wp:posOffset>
            </wp:positionV>
            <wp:extent cx="13335" cy="635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-2253615</wp:posOffset>
            </wp:positionV>
            <wp:extent cx="13335" cy="635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-2253615</wp:posOffset>
            </wp:positionV>
            <wp:extent cx="13335" cy="635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-2160905</wp:posOffset>
            </wp:positionV>
            <wp:extent cx="13335" cy="635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-2160905</wp:posOffset>
            </wp:positionV>
            <wp:extent cx="13335" cy="635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-2160905</wp:posOffset>
            </wp:positionV>
            <wp:extent cx="13335" cy="635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-2068195</wp:posOffset>
            </wp:positionV>
            <wp:extent cx="13335" cy="635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-2068195</wp:posOffset>
            </wp:positionV>
            <wp:extent cx="13335" cy="635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-2068195</wp:posOffset>
            </wp:positionV>
            <wp:extent cx="13335" cy="635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-1976120</wp:posOffset>
            </wp:positionV>
            <wp:extent cx="13335" cy="635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-1976120</wp:posOffset>
            </wp:positionV>
            <wp:extent cx="13335" cy="635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-1976120</wp:posOffset>
            </wp:positionV>
            <wp:extent cx="13335" cy="635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-1883410</wp:posOffset>
            </wp:positionV>
            <wp:extent cx="13335" cy="635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-1883410</wp:posOffset>
            </wp:positionV>
            <wp:extent cx="13335" cy="635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-1883410</wp:posOffset>
            </wp:positionV>
            <wp:extent cx="13335" cy="635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-1790700</wp:posOffset>
            </wp:positionV>
            <wp:extent cx="13335" cy="635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-1790700</wp:posOffset>
            </wp:positionV>
            <wp:extent cx="13335" cy="635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-1790700</wp:posOffset>
            </wp:positionV>
            <wp:extent cx="13335" cy="635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-1697990</wp:posOffset>
            </wp:positionV>
            <wp:extent cx="13335" cy="635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-1697990</wp:posOffset>
            </wp:positionV>
            <wp:extent cx="13335" cy="635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-1697990</wp:posOffset>
            </wp:positionV>
            <wp:extent cx="13335" cy="635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-1605915</wp:posOffset>
            </wp:positionV>
            <wp:extent cx="13335" cy="635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-1605915</wp:posOffset>
            </wp:positionV>
            <wp:extent cx="13335" cy="635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-1605915</wp:posOffset>
            </wp:positionV>
            <wp:extent cx="13335" cy="635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-1513205</wp:posOffset>
            </wp:positionV>
            <wp:extent cx="13335" cy="635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-1513205</wp:posOffset>
            </wp:positionV>
            <wp:extent cx="13335" cy="635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-1513205</wp:posOffset>
            </wp:positionV>
            <wp:extent cx="13335" cy="635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-1420495</wp:posOffset>
            </wp:positionV>
            <wp:extent cx="13335" cy="635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-1420495</wp:posOffset>
            </wp:positionV>
            <wp:extent cx="13335" cy="635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-1420495</wp:posOffset>
            </wp:positionV>
            <wp:extent cx="13335" cy="635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-1327785</wp:posOffset>
            </wp:positionV>
            <wp:extent cx="13335" cy="635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-1327785</wp:posOffset>
            </wp:positionV>
            <wp:extent cx="13335" cy="635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-1327785</wp:posOffset>
            </wp:positionV>
            <wp:extent cx="13335" cy="635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-1235710</wp:posOffset>
            </wp:positionV>
            <wp:extent cx="13335" cy="635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-1235710</wp:posOffset>
            </wp:positionV>
            <wp:extent cx="13335" cy="635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-1235710</wp:posOffset>
            </wp:positionV>
            <wp:extent cx="13335" cy="635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-1143000</wp:posOffset>
            </wp:positionV>
            <wp:extent cx="13335" cy="635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-1143000</wp:posOffset>
            </wp:positionV>
            <wp:extent cx="13335" cy="635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-1143000</wp:posOffset>
            </wp:positionV>
            <wp:extent cx="13335" cy="635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-1050290</wp:posOffset>
            </wp:positionV>
            <wp:extent cx="13335" cy="6350"/>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-1050290</wp:posOffset>
            </wp:positionV>
            <wp:extent cx="13335" cy="635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-1050290</wp:posOffset>
            </wp:positionV>
            <wp:extent cx="13335" cy="635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-957580</wp:posOffset>
            </wp:positionV>
            <wp:extent cx="13335" cy="635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-957580</wp:posOffset>
            </wp:positionV>
            <wp:extent cx="13335" cy="635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-957580</wp:posOffset>
            </wp:positionV>
            <wp:extent cx="13335" cy="635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-865505</wp:posOffset>
            </wp:positionV>
            <wp:extent cx="13335" cy="635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-865505</wp:posOffset>
            </wp:positionV>
            <wp:extent cx="13335" cy="635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-865505</wp:posOffset>
            </wp:positionV>
            <wp:extent cx="13335" cy="635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-772795</wp:posOffset>
            </wp:positionV>
            <wp:extent cx="13335" cy="635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-772795</wp:posOffset>
            </wp:positionV>
            <wp:extent cx="13335" cy="635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-772795</wp:posOffset>
            </wp:positionV>
            <wp:extent cx="13335" cy="635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-680085</wp:posOffset>
            </wp:positionV>
            <wp:extent cx="13335" cy="635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-680085</wp:posOffset>
            </wp:positionV>
            <wp:extent cx="13335" cy="635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-680085</wp:posOffset>
            </wp:positionV>
            <wp:extent cx="13335" cy="635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-588010</wp:posOffset>
            </wp:positionV>
            <wp:extent cx="13335" cy="635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-588010</wp:posOffset>
            </wp:positionV>
            <wp:extent cx="13335" cy="635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-588010</wp:posOffset>
            </wp:positionV>
            <wp:extent cx="13335" cy="635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-455295</wp:posOffset>
            </wp:positionV>
            <wp:extent cx="13335" cy="635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-455295</wp:posOffset>
            </wp:positionV>
            <wp:extent cx="13335" cy="635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-455295</wp:posOffset>
            </wp:positionV>
            <wp:extent cx="13335" cy="635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-330200</wp:posOffset>
            </wp:positionV>
            <wp:extent cx="13335" cy="635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-330200</wp:posOffset>
            </wp:positionV>
            <wp:extent cx="13335" cy="635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-330200</wp:posOffset>
            </wp:positionV>
            <wp:extent cx="13335" cy="635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-237490</wp:posOffset>
            </wp:positionV>
            <wp:extent cx="13335" cy="635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-237490</wp:posOffset>
            </wp:positionV>
            <wp:extent cx="13335" cy="635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-237490</wp:posOffset>
            </wp:positionV>
            <wp:extent cx="13335" cy="635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-144780</wp:posOffset>
            </wp:positionV>
            <wp:extent cx="13335" cy="635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-144780</wp:posOffset>
            </wp:positionV>
            <wp:extent cx="13335" cy="635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-144780</wp:posOffset>
            </wp:positionV>
            <wp:extent cx="13335" cy="635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-52070</wp:posOffset>
            </wp:positionV>
            <wp:extent cx="13335" cy="635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-52070</wp:posOffset>
            </wp:positionV>
            <wp:extent cx="13335" cy="635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3492500</wp:posOffset>
            </wp:positionH>
            <wp:positionV relativeFrom="paragraph">
              <wp:posOffset>-52070</wp:posOffset>
            </wp:positionV>
            <wp:extent cx="13335" cy="635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28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DESCRIPTION OF BUSINESS AND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Business</w:t>
      </w:r>
    </w:p>
    <w:p>
      <w:pPr>
        <w:spacing w:after="0" w:line="174" w:lineRule="exact"/>
        <w:rPr>
          <w:sz w:val="20"/>
          <w:szCs w:val="20"/>
          <w:color w:val="auto"/>
        </w:rPr>
      </w:pPr>
    </w:p>
    <w:p>
      <w:pPr>
        <w:ind w:left="1120" w:right="2879"/>
        <w:spacing w:after="0" w:line="256" w:lineRule="auto"/>
        <w:rPr>
          <w:sz w:val="20"/>
          <w:szCs w:val="20"/>
          <w:color w:val="auto"/>
        </w:rPr>
      </w:pPr>
      <w:r>
        <w:rPr>
          <w:rFonts w:ascii="Times New Roman" w:cs="Times New Roman" w:eastAsia="Times New Roman" w:hAnsi="Times New Roman"/>
          <w:sz w:val="14"/>
          <w:szCs w:val="14"/>
          <w:color w:val="auto"/>
        </w:rPr>
        <w:t>Tower Semiconductor Ltd. (the "Company"), incorporated in Israel, commenced operations in March 1993. The Company is an independent "wafer" manufacturer of semiconductor integrated circuits on silicon wafers in geometries from 1.0 to 0.35 micron on 150 millimeters wafers. As a foundry, the Company manufactures wafers using its advanced technological capabilities and the proprietary integrated circuit designs of its customers. In addition, the Company also offers certain integrated circuit design services.</w:t>
      </w:r>
    </w:p>
    <w:p>
      <w:pPr>
        <w:spacing w:after="0" w:line="57" w:lineRule="exact"/>
        <w:rPr>
          <w:sz w:val="20"/>
          <w:szCs w:val="20"/>
          <w:color w:val="auto"/>
        </w:rPr>
      </w:pPr>
    </w:p>
    <w:p>
      <w:pPr>
        <w:jc w:val="both"/>
        <w:ind w:left="1120" w:right="2939"/>
        <w:spacing w:after="0" w:line="263" w:lineRule="auto"/>
        <w:rPr>
          <w:sz w:val="20"/>
          <w:szCs w:val="20"/>
          <w:color w:val="auto"/>
        </w:rPr>
      </w:pPr>
      <w:r>
        <w:rPr>
          <w:rFonts w:ascii="Times New Roman" w:cs="Times New Roman" w:eastAsia="Times New Roman" w:hAnsi="Times New Roman"/>
          <w:sz w:val="14"/>
          <w:szCs w:val="14"/>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54" w:lineRule="exact"/>
        <w:rPr>
          <w:sz w:val="20"/>
          <w:szCs w:val="20"/>
          <w:color w:val="auto"/>
        </w:rPr>
      </w:pPr>
    </w:p>
    <w:p>
      <w:pPr>
        <w:ind w:left="1120" w:right="2839"/>
        <w:spacing w:after="0" w:line="279" w:lineRule="auto"/>
        <w:rPr>
          <w:sz w:val="20"/>
          <w:szCs w:val="20"/>
          <w:color w:val="auto"/>
        </w:rPr>
      </w:pPr>
      <w:r>
        <w:rPr>
          <w:rFonts w:ascii="Times New Roman" w:cs="Times New Roman" w:eastAsia="Times New Roman" w:hAnsi="Times New Roman"/>
          <w:sz w:val="14"/>
          <w:szCs w:val="14"/>
          <w:color w:val="auto"/>
        </w:rPr>
        <w:t>The Company's Ordinary Shares are traded on the NASDAQ National Market since October 1994; since January 2001 they are also traded on the Tel Aviv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926840" cy="635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ectPr>
          <w:pgSz w:w="11900" w:h="16898" w:orient="portrait"/>
          <w:cols w:equalWidth="0" w:num="1">
            <w:col w:w="10239"/>
          </w:cols>
          <w:pgMar w:left="220" w:top="110" w:right="1440" w:bottom="0" w:gutter="0" w:footer="0" w:header="0"/>
        </w:sectPr>
      </w:pPr>
    </w:p>
    <w:bookmarkStart w:id="49" w:name="page50"/>
    <w:bookmarkEnd w:id="49"/>
    <w:p>
      <w:pPr>
        <w:ind w:left="1100" w:hanging="347"/>
        <w:spacing w:after="0"/>
        <w:tabs>
          <w:tab w:leader="none" w:pos="1100" w:val="left"/>
        </w:tabs>
        <w:numPr>
          <w:ilvl w:val="0"/>
          <w:numId w:val="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Establishment of New Fabrication Facility</w:t>
      </w:r>
    </w:p>
    <w:p>
      <w:pPr>
        <w:spacing w:after="0" w:line="174" w:lineRule="exact"/>
        <w:rPr>
          <w:sz w:val="20"/>
          <w:szCs w:val="20"/>
          <w:color w:val="auto"/>
        </w:rPr>
      </w:pPr>
    </w:p>
    <w:p>
      <w:pPr>
        <w:ind w:left="1120" w:right="2839"/>
        <w:spacing w:after="0" w:line="252" w:lineRule="auto"/>
        <w:rPr>
          <w:sz w:val="20"/>
          <w:szCs w:val="20"/>
          <w:color w:val="auto"/>
        </w:rPr>
      </w:pPr>
      <w:r>
        <w:rPr>
          <w:rFonts w:ascii="Times New Roman" w:cs="Times New Roman" w:eastAsia="Times New Roman" w:hAnsi="Times New Roman"/>
          <w:sz w:val="14"/>
          <w:szCs w:val="14"/>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 200 millimeters wafers. The Company entered into several related agreements and arrangements in connection with Fab 2, including agreements and other arrangements with technology and Wafer Partners, equity investors, the Company's Banks, the government of Israel and others to provide an aggregate of $1,146,000 of financing Fab 2. The Fab 2 project is a complex undertaking, which entails substantial risks and uncertainties. For further details concerning such agreements, risks and uncertainties, see Note 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3926840" cy="635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52" w:lineRule="exact"/>
        <w:rPr>
          <w:sz w:val="20"/>
          <w:szCs w:val="20"/>
          <w:color w:val="auto"/>
        </w:rPr>
      </w:pPr>
    </w:p>
    <w:p>
      <w:pPr>
        <w:ind w:left="1100" w:hanging="347"/>
        <w:spacing w:after="0"/>
        <w:tabs>
          <w:tab w:leader="none" w:pos="1100" w:val="left"/>
        </w:tabs>
        <w:numPr>
          <w:ilvl w:val="0"/>
          <w:numId w:val="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Use of Estimates in Preparation of Financial Statements</w:t>
      </w:r>
    </w:p>
    <w:p>
      <w:pPr>
        <w:spacing w:after="0" w:line="174" w:lineRule="exact"/>
        <w:rPr>
          <w:sz w:val="20"/>
          <w:szCs w:val="20"/>
          <w:color w:val="auto"/>
        </w:rPr>
      </w:pPr>
    </w:p>
    <w:p>
      <w:pPr>
        <w:ind w:left="1120" w:right="2899"/>
        <w:spacing w:after="0" w:line="284"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91" w:lineRule="exact"/>
        <w:rPr>
          <w:sz w:val="20"/>
          <w:szCs w:val="20"/>
          <w:color w:val="auto"/>
        </w:rPr>
      </w:pPr>
    </w:p>
    <w:p>
      <w:pPr>
        <w:jc w:val="both"/>
        <w:ind w:left="760" w:right="3139"/>
        <w:spacing w:after="0" w:line="263" w:lineRule="auto"/>
        <w:rPr>
          <w:sz w:val="20"/>
          <w:szCs w:val="20"/>
          <w:color w:val="auto"/>
        </w:rPr>
      </w:pPr>
      <w:r>
        <w:rPr>
          <w:rFonts w:ascii="Times New Roman" w:cs="Times New Roman" w:eastAsia="Times New Roman" w:hAnsi="Times New Roman"/>
          <w:sz w:val="14"/>
          <w:szCs w:val="14"/>
          <w:color w:val="auto"/>
        </w:rPr>
        <w:t>The Company's consolidated financial statements are presented in accordance with generally accepted accounting principles ("GAAP") in Israel. See Note 20 for the material differences between GAAP in Israel and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926840" cy="635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2" w:lineRule="exact"/>
        <w:rPr>
          <w:sz w:val="20"/>
          <w:szCs w:val="20"/>
          <w:color w:val="auto"/>
        </w:rPr>
      </w:pPr>
    </w:p>
    <w:p>
      <w:pPr>
        <w:ind w:left="1100" w:hanging="347"/>
        <w:spacing w:after="0"/>
        <w:tabs>
          <w:tab w:leader="none" w:pos="110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Principles of Consolidation</w:t>
      </w:r>
    </w:p>
    <w:p>
      <w:pPr>
        <w:spacing w:after="0" w:line="174" w:lineRule="exact"/>
        <w:rPr>
          <w:sz w:val="20"/>
          <w:szCs w:val="20"/>
          <w:color w:val="auto"/>
        </w:rPr>
      </w:pPr>
    </w:p>
    <w:p>
      <w:pPr>
        <w:ind w:left="1120" w:right="2999"/>
        <w:spacing w:after="0" w:line="263" w:lineRule="auto"/>
        <w:rPr>
          <w:sz w:val="20"/>
          <w:szCs w:val="20"/>
          <w:color w:val="auto"/>
        </w:rPr>
      </w:pPr>
      <w:r>
        <w:rPr>
          <w:rFonts w:ascii="Times New Roman" w:cs="Times New Roman" w:eastAsia="Times New Roman" w:hAnsi="Times New Roman"/>
          <w:sz w:val="14"/>
          <w:szCs w:val="14"/>
          <w:color w:val="auto"/>
        </w:rPr>
        <w:t>The Company's financial statements include the financial statements of the Company and its wholly owned marketing subsidiary in the United States of America, after elimination of material inter-company transactions and balances.</w:t>
      </w:r>
    </w:p>
    <w:p>
      <w:pPr>
        <w:spacing w:after="0" w:line="19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Cash and Cash Equivalents</w:t>
      </w:r>
    </w:p>
    <w:p>
      <w:pPr>
        <w:spacing w:after="0" w:line="174" w:lineRule="exact"/>
        <w:rPr>
          <w:sz w:val="20"/>
          <w:szCs w:val="20"/>
          <w:color w:val="auto"/>
        </w:rPr>
      </w:pPr>
    </w:p>
    <w:p>
      <w:pPr>
        <w:ind w:left="1120" w:right="2939"/>
        <w:spacing w:after="0" w:line="279" w:lineRule="auto"/>
        <w:rPr>
          <w:sz w:val="20"/>
          <w:szCs w:val="20"/>
          <w:color w:val="auto"/>
        </w:rPr>
      </w:pPr>
      <w:r>
        <w:rPr>
          <w:rFonts w:ascii="Times New Roman" w:cs="Times New Roman" w:eastAsia="Times New Roman" w:hAnsi="Times New Roman"/>
          <w:sz w:val="14"/>
          <w:szCs w:val="14"/>
          <w:color w:val="auto"/>
        </w:rPr>
        <w:t>Cash and cash equivalents consist of deposits in banks and short-term investments (primarily time deposits and certificates of deposit) with original maturities of three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926840" cy="635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31" w:lineRule="exact"/>
        <w:rPr>
          <w:sz w:val="20"/>
          <w:szCs w:val="20"/>
          <w:color w:val="auto"/>
        </w:rPr>
      </w:pPr>
    </w:p>
    <w:p>
      <w:pPr>
        <w:ind w:left="1100" w:hanging="347"/>
        <w:spacing w:after="0"/>
        <w:tabs>
          <w:tab w:leader="none" w:pos="1100" w:val="left"/>
        </w:tabs>
        <w:numPr>
          <w:ilvl w:val="0"/>
          <w:numId w:val="6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Allowance for Doubtful Accounts</w:t>
      </w:r>
    </w:p>
    <w:p>
      <w:pPr>
        <w:spacing w:after="0" w:line="174" w:lineRule="exact"/>
        <w:rPr>
          <w:sz w:val="20"/>
          <w:szCs w:val="20"/>
          <w:color w:val="auto"/>
        </w:rPr>
      </w:pPr>
    </w:p>
    <w:p>
      <w:pPr>
        <w:ind w:left="1120" w:right="3339"/>
        <w:spacing w:after="0" w:line="279" w:lineRule="auto"/>
        <w:rPr>
          <w:sz w:val="20"/>
          <w:szCs w:val="20"/>
          <w:color w:val="auto"/>
        </w:rPr>
      </w:pPr>
      <w:r>
        <w:rPr>
          <w:rFonts w:ascii="Times New Roman" w:cs="Times New Roman" w:eastAsia="Times New Roman" w:hAnsi="Times New Roman"/>
          <w:sz w:val="14"/>
          <w:szCs w:val="14"/>
          <w:color w:val="auto"/>
        </w:rPr>
        <w:t>The allowance for doubtful accounts is computed on the specific identification basis for accounts whose collectibility, in management's estimation, is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926840" cy="635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31" w:lineRule="exact"/>
        <w:rPr>
          <w:sz w:val="20"/>
          <w:szCs w:val="20"/>
          <w:color w:val="auto"/>
        </w:rPr>
      </w:pPr>
    </w:p>
    <w:p>
      <w:pPr>
        <w:ind w:left="1100" w:hanging="347"/>
        <w:spacing w:after="0"/>
        <w:tabs>
          <w:tab w:leader="none" w:pos="110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Inventories</w:t>
      </w:r>
    </w:p>
    <w:p>
      <w:pPr>
        <w:spacing w:after="0" w:line="174" w:lineRule="exact"/>
        <w:rPr>
          <w:sz w:val="20"/>
          <w:szCs w:val="20"/>
          <w:color w:val="auto"/>
        </w:rPr>
      </w:pPr>
    </w:p>
    <w:p>
      <w:pPr>
        <w:ind w:left="1120" w:right="2859"/>
        <w:spacing w:after="0" w:line="263" w:lineRule="auto"/>
        <w:rPr>
          <w:sz w:val="20"/>
          <w:szCs w:val="20"/>
          <w:color w:val="auto"/>
        </w:rPr>
      </w:pPr>
      <w:r>
        <w:rPr>
          <w:rFonts w:ascii="Times New Roman" w:cs="Times New Roman" w:eastAsia="Times New Roman" w:hAnsi="Times New Roman"/>
          <w:sz w:val="14"/>
          <w:szCs w:val="14"/>
          <w:color w:val="auto"/>
        </w:rPr>
        <w:t>Inventories are stated at the lower of cost or market. Cost is determined for raw materials, spare parts and supplies on the basis of moving average cost per unit. Cost is determined for work in process and finished goods on the basis of actual production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926840" cy="635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2" w:lineRule="exact"/>
        <w:rPr>
          <w:sz w:val="20"/>
          <w:szCs w:val="20"/>
          <w:color w:val="auto"/>
        </w:rPr>
      </w:pPr>
    </w:p>
    <w:p>
      <w:pPr>
        <w:ind w:left="1100" w:hanging="347"/>
        <w:spacing w:after="0"/>
        <w:tabs>
          <w:tab w:leader="none" w:pos="1100" w:val="left"/>
        </w:tabs>
        <w:numPr>
          <w:ilvl w:val="0"/>
          <w:numId w:val="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Long-Term Investments</w:t>
      </w:r>
    </w:p>
    <w:p>
      <w:pPr>
        <w:spacing w:after="0" w:line="174" w:lineRule="exact"/>
        <w:rPr>
          <w:sz w:val="20"/>
          <w:szCs w:val="20"/>
          <w:color w:val="auto"/>
        </w:rPr>
      </w:pPr>
    </w:p>
    <w:p>
      <w:pPr>
        <w:ind w:left="1120" w:right="2859"/>
        <w:spacing w:after="0" w:line="279" w:lineRule="auto"/>
        <w:rPr>
          <w:sz w:val="20"/>
          <w:szCs w:val="20"/>
          <w:color w:val="auto"/>
        </w:rPr>
      </w:pPr>
      <w:r>
        <w:rPr>
          <w:rFonts w:ascii="Times New Roman" w:cs="Times New Roman" w:eastAsia="Times New Roman" w:hAnsi="Times New Roman"/>
          <w:sz w:val="14"/>
          <w:szCs w:val="14"/>
          <w:color w:val="auto"/>
        </w:rPr>
        <w:t>Long-term investments in other entities, over whose operating and financial policies the Company does not have the ability to exercise significant influence, are presented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926840" cy="635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31" w:lineRule="exact"/>
        <w:rPr>
          <w:sz w:val="20"/>
          <w:szCs w:val="20"/>
          <w:color w:val="auto"/>
        </w:rPr>
      </w:pPr>
    </w:p>
    <w:p>
      <w:pPr>
        <w:ind w:left="1100" w:hanging="347"/>
        <w:spacing w:after="0"/>
        <w:tabs>
          <w:tab w:leader="none" w:pos="1100" w:val="left"/>
        </w:tabs>
        <w:numPr>
          <w:ilvl w:val="0"/>
          <w:numId w:val="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and Equipment</w:t>
      </w:r>
    </w:p>
    <w:p>
      <w:pPr>
        <w:spacing w:after="0" w:line="184" w:lineRule="exact"/>
        <w:rPr>
          <w:rFonts w:ascii="Times New Roman" w:cs="Times New Roman" w:eastAsia="Times New Roman" w:hAnsi="Times New Roman"/>
          <w:sz w:val="14"/>
          <w:szCs w:val="14"/>
          <w:b w:val="1"/>
          <w:bCs w:val="1"/>
          <w:color w:val="auto"/>
        </w:rPr>
      </w:pPr>
    </w:p>
    <w:p>
      <w:pPr>
        <w:ind w:left="1400" w:right="4079" w:hanging="304"/>
        <w:spacing w:after="0" w:line="251" w:lineRule="auto"/>
        <w:tabs>
          <w:tab w:leader="none" w:pos="1400"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Directly identifiable costs include incremental direct costs associated with acquiring, constructing, establishing and installing property and equipment (including as such performed by the Company); and costs directly related to preproduction test runs of property and equipment that are necessary to get it ready for its intended use. Those costs include payroll and payroll-related costs of employees who devote time and dedicated solely to the acquiring, constructing, establishing and installing property and equipment. Allocation of capitalizable direct costs is based on management's estimates and methodologies including time sheet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-1332230</wp:posOffset>
            </wp:positionV>
            <wp:extent cx="3919855" cy="635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25" w:lineRule="exact"/>
        <w:rPr>
          <w:sz w:val="20"/>
          <w:szCs w:val="20"/>
          <w:color w:val="auto"/>
        </w:rPr>
      </w:pPr>
    </w:p>
    <w:p>
      <w:pPr>
        <w:ind w:left="1380" w:right="2559"/>
        <w:spacing w:after="0" w:line="256" w:lineRule="auto"/>
        <w:rPr>
          <w:sz w:val="20"/>
          <w:szCs w:val="20"/>
          <w:color w:val="auto"/>
        </w:rPr>
      </w:pPr>
      <w:r>
        <w:rPr>
          <w:rFonts w:ascii="Times New Roman" w:cs="Times New Roman" w:eastAsia="Times New Roman" w:hAnsi="Times New Roman"/>
          <w:sz w:val="14"/>
          <w:szCs w:val="14"/>
          <w:color w:val="auto"/>
        </w:rPr>
        <w:t>Cost is presented net of investment grants received or receivable, and less accumulated depreciation and amortization. The accrual for grants receivable is determined based on qualified investments made during the reporting period, provided that the primarily criteria for entitlement have been met. Depreciation is calculated based on the straight-line method over the estimated economic lives of the assets or terms of the related leases,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6350" cy="6604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6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Prepaid perpetual land lease and buildings</w:t>
            </w:r>
          </w:p>
        </w:tc>
        <w:tc>
          <w:tcPr>
            <w:tcW w:w="33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14-25 years</w:t>
            </w:r>
          </w:p>
        </w:tc>
      </w:tr>
      <w:tr>
        <w:trPr>
          <w:trHeight w:val="198"/>
        </w:trPr>
        <w:tc>
          <w:tcPr>
            <w:tcW w:w="456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Machinery and equipment</w:t>
            </w:r>
          </w:p>
        </w:tc>
        <w:tc>
          <w:tcPr>
            <w:tcW w:w="33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5 years</w:t>
            </w:r>
          </w:p>
        </w:tc>
      </w:tr>
      <w:tr>
        <w:trPr>
          <w:trHeight w:val="198"/>
        </w:trPr>
        <w:tc>
          <w:tcPr>
            <w:tcW w:w="456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Transportation vehicles</w:t>
            </w:r>
          </w:p>
        </w:tc>
        <w:tc>
          <w:tcPr>
            <w:tcW w:w="33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7 years</w:t>
            </w:r>
          </w:p>
        </w:tc>
      </w:tr>
      <w:tr>
        <w:trPr>
          <w:trHeight w:val="437"/>
        </w:trPr>
        <w:tc>
          <w:tcPr>
            <w:tcW w:w="456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F-8</w:t>
            </w:r>
          </w:p>
        </w:tc>
        <w:tc>
          <w:tcPr>
            <w:tcW w:w="3380" w:type="dxa"/>
            <w:vAlign w:val="bottom"/>
          </w:tcPr>
          <w:p>
            <w:pPr>
              <w:spacing w:after="0"/>
              <w:rPr>
                <w:sz w:val="24"/>
                <w:szCs w:val="24"/>
                <w:color w:val="auto"/>
              </w:rPr>
            </w:pPr>
          </w:p>
        </w:tc>
      </w:tr>
      <w:tr>
        <w:trPr>
          <w:trHeight w:val="417"/>
        </w:trPr>
        <w:tc>
          <w:tcPr>
            <w:tcW w:w="456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31750" cy="3873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-706755</wp:posOffset>
            </wp:positionV>
            <wp:extent cx="852805" cy="1968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52805" cy="1968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-918210</wp:posOffset>
            </wp:positionV>
            <wp:extent cx="3001010" cy="635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3001010" cy="63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-852170</wp:posOffset>
            </wp:positionV>
            <wp:extent cx="13335" cy="635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-726440</wp:posOffset>
            </wp:positionV>
            <wp:extent cx="13335" cy="635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-600710</wp:posOffset>
            </wp:positionV>
            <wp:extent cx="13335" cy="635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-534670</wp:posOffset>
            </wp:positionV>
            <wp:extent cx="6350" cy="6604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ectPr>
          <w:pgSz w:w="11900" w:h="16838" w:orient="portrait"/>
          <w:cols w:equalWidth="0" w:num="1">
            <w:col w:w="10239"/>
          </w:cols>
          <w:pgMar w:left="220" w:top="175" w:right="1440" w:bottom="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and Equipment (Continued)</w:t>
      </w:r>
    </w:p>
    <w:p>
      <w:pPr>
        <w:spacing w:after="0" w:line="184" w:lineRule="exact"/>
        <w:rPr>
          <w:rFonts w:ascii="Times New Roman" w:cs="Times New Roman" w:eastAsia="Times New Roman" w:hAnsi="Times New Roman"/>
          <w:sz w:val="14"/>
          <w:szCs w:val="14"/>
          <w:b w:val="1"/>
          <w:bCs w:val="1"/>
          <w:color w:val="auto"/>
        </w:rPr>
      </w:pPr>
    </w:p>
    <w:p>
      <w:pPr>
        <w:ind w:left="1400" w:right="4079" w:hanging="304"/>
        <w:spacing w:after="0" w:line="253" w:lineRule="auto"/>
        <w:tabs>
          <w:tab w:leader="none" w:pos="1400"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reviews long-lived assets on a periodic basis, as well as when such a review is required based upon relevant circumstances, to determine, based on estimated future cash flows, whether events or changes in circumstances indicate that the carrying amount of such assets may not be recoverable. If an asset is considered to be impaired, an impairment charge is recognized for the amount by which the carrying amount of the asset exceeds its fair value based on discounted expected cash flows.</w:t>
      </w:r>
    </w:p>
    <w:p>
      <w:pPr>
        <w:spacing w:after="0" w:line="152" w:lineRule="exact"/>
        <w:rPr>
          <w:rFonts w:ascii="Times New Roman" w:cs="Times New Roman" w:eastAsia="Times New Roman" w:hAnsi="Times New Roman"/>
          <w:sz w:val="14"/>
          <w:szCs w:val="14"/>
          <w:color w:val="auto"/>
        </w:rPr>
      </w:pPr>
    </w:p>
    <w:p>
      <w:pPr>
        <w:ind w:left="1100" w:hanging="347"/>
        <w:spacing w:after="0"/>
        <w:tabs>
          <w:tab w:leader="none" w:pos="1100" w:val="left"/>
        </w:tabs>
        <w:numPr>
          <w:ilvl w:val="0"/>
          <w:numId w:val="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-1003300</wp:posOffset>
            </wp:positionV>
            <wp:extent cx="3919855" cy="635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3926840" cy="635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54" w:lineRule="exact"/>
        <w:rPr>
          <w:sz w:val="20"/>
          <w:szCs w:val="20"/>
          <w:color w:val="auto"/>
        </w:rPr>
      </w:pPr>
    </w:p>
    <w:p>
      <w:pPr>
        <w:ind w:left="1120" w:right="2919"/>
        <w:spacing w:after="0" w:line="254" w:lineRule="auto"/>
        <w:rPr>
          <w:sz w:val="20"/>
          <w:szCs w:val="20"/>
          <w:color w:val="auto"/>
        </w:rPr>
      </w:pPr>
      <w:r>
        <w:rPr>
          <w:rFonts w:ascii="Times New Roman" w:cs="Times New Roman" w:eastAsia="Times New Roman" w:hAnsi="Times New Roman"/>
          <w:sz w:val="14"/>
          <w:szCs w:val="14"/>
          <w:color w:val="auto"/>
        </w:rPr>
        <w:t>The cost of Fab 2 technologies includes internal costs, mainly payroll-related costs of employees designated for integrating the technologies in the Company's facilities, and direct costs associated with implementing the technologies until the technologies are ready for their intended use. The costs in relation to Fab 2 technologies shall be amortized over the expected estimated economic life of the technologies. Amortization shall phase in commencing on the dates on which each of the Fab 2 manufacturing lines is ready for use, and will be based on the straight-line method over a four-year period.</w:t>
      </w:r>
    </w:p>
    <w:p>
      <w:pPr>
        <w:spacing w:after="0" w:line="60" w:lineRule="exact"/>
        <w:rPr>
          <w:sz w:val="20"/>
          <w:szCs w:val="20"/>
          <w:color w:val="auto"/>
        </w:rPr>
      </w:pPr>
    </w:p>
    <w:p>
      <w:pPr>
        <w:ind w:left="1120" w:right="2839"/>
        <w:spacing w:after="0" w:line="253" w:lineRule="auto"/>
        <w:rPr>
          <w:sz w:val="20"/>
          <w:szCs w:val="20"/>
          <w:color w:val="auto"/>
        </w:rPr>
      </w:pPr>
      <w:r>
        <w:rPr>
          <w:rFonts w:ascii="Times New Roman" w:cs="Times New Roman" w:eastAsia="Times New Roman" w:hAnsi="Times New Roman"/>
          <w:sz w:val="14"/>
          <w:szCs w:val="14"/>
          <w:color w:val="auto"/>
        </w:rPr>
        <w:t>Prepaid finance expenses included in other assets in relation to funding the establishment of Fab 2, are amortized over the lives of the borrowings based on the repayment schedule of such funding (in general, 6 years). During the establishment period of Fab 2, amortized finance expenses are capitalized to property and equipment. Commencing on the date on which Fab 2 is ready for its intended use, or the date on which any other property and equipment is ready for its intended use (given this date in relation to such property and equipment is subsequent to the operation date of Fab 2), the deferred finance expenses are amortized to the statement of operations.</w:t>
      </w:r>
    </w:p>
    <w:p>
      <w:pPr>
        <w:spacing w:after="0" w:line="61" w:lineRule="exact"/>
        <w:rPr>
          <w:sz w:val="20"/>
          <w:szCs w:val="20"/>
          <w:color w:val="auto"/>
        </w:rPr>
      </w:pPr>
    </w:p>
    <w:p>
      <w:pPr>
        <w:ind w:left="1120" w:right="2839"/>
        <w:spacing w:after="0" w:line="279" w:lineRule="auto"/>
        <w:rPr>
          <w:sz w:val="20"/>
          <w:szCs w:val="20"/>
          <w:color w:val="auto"/>
        </w:rPr>
      </w:pPr>
      <w:r>
        <w:rPr>
          <w:rFonts w:ascii="Times New Roman" w:cs="Times New Roman" w:eastAsia="Times New Roman" w:hAnsi="Times New Roman"/>
          <w:sz w:val="14"/>
          <w:szCs w:val="14"/>
          <w:color w:val="auto"/>
        </w:rPr>
        <w:t>Impairment examinations and recognition are performed and determined based on the accounting policy outlined in F(2)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926840" cy="635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31" w:lineRule="exact"/>
        <w:rPr>
          <w:sz w:val="20"/>
          <w:szCs w:val="20"/>
          <w:color w:val="auto"/>
        </w:rPr>
      </w:pPr>
    </w:p>
    <w:p>
      <w:pPr>
        <w:ind w:left="1100" w:hanging="347"/>
        <w:spacing w:after="0"/>
        <w:tabs>
          <w:tab w:leader="none" w:pos="1100" w:val="left"/>
        </w:tabs>
        <w:numPr>
          <w:ilvl w:val="0"/>
          <w:numId w:val="6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Convertible Debentures</w:t>
      </w:r>
    </w:p>
    <w:p>
      <w:pPr>
        <w:spacing w:after="0" w:line="174" w:lineRule="exact"/>
        <w:rPr>
          <w:sz w:val="20"/>
          <w:szCs w:val="20"/>
          <w:color w:val="auto"/>
        </w:rPr>
      </w:pPr>
    </w:p>
    <w:p>
      <w:pPr>
        <w:ind w:left="1120" w:right="2919"/>
        <w:spacing w:after="0" w:line="279" w:lineRule="auto"/>
        <w:rPr>
          <w:sz w:val="20"/>
          <w:szCs w:val="20"/>
          <w:color w:val="auto"/>
        </w:rPr>
      </w:pPr>
      <w:r>
        <w:rPr>
          <w:rFonts w:ascii="Times New Roman" w:cs="Times New Roman" w:eastAsia="Times New Roman" w:hAnsi="Times New Roman"/>
          <w:sz w:val="14"/>
          <w:szCs w:val="14"/>
          <w:color w:val="auto"/>
        </w:rPr>
        <w:t>Convertible debentures, the conversion of which is not anticipated as of the balance-sheet date, are presented as long-term liabilities based on their terms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926840" cy="635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31" w:lineRule="exact"/>
        <w:rPr>
          <w:sz w:val="20"/>
          <w:szCs w:val="20"/>
          <w:color w:val="auto"/>
        </w:rPr>
      </w:pPr>
    </w:p>
    <w:p>
      <w:pPr>
        <w:ind w:left="1100" w:hanging="347"/>
        <w:spacing w:after="0"/>
        <w:tabs>
          <w:tab w:leader="none" w:pos="1100" w:val="left"/>
        </w:tabs>
        <w:numPr>
          <w:ilvl w:val="0"/>
          <w:numId w:val="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174" w:lineRule="exact"/>
        <w:rPr>
          <w:sz w:val="20"/>
          <w:szCs w:val="20"/>
          <w:color w:val="auto"/>
        </w:rPr>
      </w:pPr>
    </w:p>
    <w:p>
      <w:pPr>
        <w:ind w:left="1120" w:right="2819"/>
        <w:spacing w:after="0" w:line="258" w:lineRule="auto"/>
        <w:rPr>
          <w:sz w:val="20"/>
          <w:szCs w:val="20"/>
          <w:color w:val="auto"/>
        </w:rPr>
      </w:pPr>
      <w:r>
        <w:rPr>
          <w:rFonts w:ascii="Times New Roman" w:cs="Times New Roman" w:eastAsia="Times New Roman" w:hAnsi="Times New Roman"/>
          <w:sz w:val="14"/>
          <w:szCs w:val="14"/>
          <w:color w:val="auto"/>
        </w:rPr>
        <w:t>The Company records deferred income taxes to reflect the net tax effects of temporary differences between the carrying amounts of assets and liabilities for financial reporting purposes and for tax purposes. Deferred taxes are computed based on the tax rates anticipated to be in effect (under applicable law at the time the financial statements are prepared) when the deferred taxes are expected to be paid or realized.</w:t>
      </w:r>
    </w:p>
    <w:p>
      <w:pPr>
        <w:spacing w:after="0" w:line="57" w:lineRule="exact"/>
        <w:rPr>
          <w:sz w:val="20"/>
          <w:szCs w:val="20"/>
          <w:color w:val="auto"/>
        </w:rPr>
      </w:pPr>
    </w:p>
    <w:p>
      <w:pPr>
        <w:ind w:left="1120" w:right="2879"/>
        <w:spacing w:after="0" w:line="263" w:lineRule="auto"/>
        <w:rPr>
          <w:sz w:val="20"/>
          <w:szCs w:val="20"/>
          <w:color w:val="auto"/>
        </w:rPr>
      </w:pPr>
      <w:r>
        <w:rPr>
          <w:rFonts w:ascii="Times New Roman" w:cs="Times New Roman" w:eastAsia="Times New Roman" w:hAnsi="Times New Roman"/>
          <w:sz w:val="14"/>
          <w:szCs w:val="14"/>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w:t>
      </w:r>
    </w:p>
    <w:p>
      <w:pPr>
        <w:spacing w:after="0" w:line="18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 (Continued)</w:t>
      </w:r>
    </w:p>
    <w:p>
      <w:pPr>
        <w:spacing w:after="0" w:line="174" w:lineRule="exact"/>
        <w:rPr>
          <w:sz w:val="20"/>
          <w:szCs w:val="20"/>
          <w:color w:val="auto"/>
        </w:rPr>
      </w:pPr>
    </w:p>
    <w:p>
      <w:pPr>
        <w:ind w:left="1120" w:right="3019"/>
        <w:spacing w:after="0" w:line="258" w:lineRule="auto"/>
        <w:rPr>
          <w:sz w:val="20"/>
          <w:szCs w:val="20"/>
          <w:color w:val="auto"/>
        </w:rPr>
      </w:pPr>
      <w:r>
        <w:rPr>
          <w:rFonts w:ascii="Times New Roman" w:cs="Times New Roman" w:eastAsia="Times New Roman" w:hAnsi="Times New Roman"/>
          <w:sz w:val="14"/>
          <w:szCs w:val="14"/>
          <w:color w:val="auto"/>
        </w:rPr>
        <w:t>Deferred tax liabilities are recognized for temporary differences that will result in taxable amounts in future years. Deferred tax assets are recognized for temporary differences which will result in deductible amounts in future years and for carryforwards. A valuation allowance against such deferred tax asset is recognized if it is more likely than not that some portion or all of the deferred tax asset will not be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926840" cy="635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6" w:lineRule="exact"/>
        <w:rPr>
          <w:sz w:val="20"/>
          <w:szCs w:val="20"/>
          <w:color w:val="auto"/>
        </w:rPr>
      </w:pPr>
    </w:p>
    <w:p>
      <w:pPr>
        <w:ind w:left="1100" w:hanging="347"/>
        <w:spacing w:after="0"/>
        <w:tabs>
          <w:tab w:leader="none" w:pos="1100" w:val="left"/>
        </w:tabs>
        <w:numPr>
          <w:ilvl w:val="0"/>
          <w:numId w:val="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Recognition</w:t>
      </w:r>
    </w:p>
    <w:p>
      <w:pPr>
        <w:spacing w:after="0" w:line="174" w:lineRule="exact"/>
        <w:rPr>
          <w:sz w:val="20"/>
          <w:szCs w:val="20"/>
          <w:color w:val="auto"/>
        </w:rPr>
      </w:pPr>
    </w:p>
    <w:p>
      <w:pPr>
        <w:ind w:left="1120" w:right="2799"/>
        <w:spacing w:after="0" w:line="253" w:lineRule="auto"/>
        <w:rPr>
          <w:sz w:val="20"/>
          <w:szCs w:val="20"/>
          <w:color w:val="auto"/>
        </w:rPr>
      </w:pPr>
      <w:r>
        <w:rPr>
          <w:rFonts w:ascii="Times New Roman" w:cs="Times New Roman" w:eastAsia="Times New Roman" w:hAnsi="Times New Roman"/>
          <w:sz w:val="14"/>
          <w:szCs w:val="14"/>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926840" cy="635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50" w:lineRule="exact"/>
        <w:rPr>
          <w:sz w:val="20"/>
          <w:szCs w:val="20"/>
          <w:color w:val="auto"/>
        </w:rPr>
      </w:pPr>
    </w:p>
    <w:p>
      <w:pPr>
        <w:ind w:left="1100" w:hanging="347"/>
        <w:spacing w:after="0"/>
        <w:tabs>
          <w:tab w:leader="none" w:pos="1100" w:val="left"/>
        </w:tabs>
        <w:numPr>
          <w:ilvl w:val="0"/>
          <w:numId w:val="7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Research and Development</w:t>
      </w:r>
    </w:p>
    <w:p>
      <w:pPr>
        <w:spacing w:after="0" w:line="174" w:lineRule="exact"/>
        <w:rPr>
          <w:sz w:val="20"/>
          <w:szCs w:val="20"/>
          <w:color w:val="auto"/>
        </w:rPr>
      </w:pPr>
    </w:p>
    <w:p>
      <w:pPr>
        <w:ind w:left="1120" w:right="2879"/>
        <w:spacing w:after="0" w:line="258" w:lineRule="auto"/>
        <w:rPr>
          <w:sz w:val="20"/>
          <w:szCs w:val="20"/>
          <w:color w:val="auto"/>
        </w:rPr>
      </w:pPr>
      <w:r>
        <w:rPr>
          <w:rFonts w:ascii="Times New Roman" w:cs="Times New Roman" w:eastAsia="Times New Roman" w:hAnsi="Times New Roman"/>
          <w:sz w:val="14"/>
          <w:szCs w:val="14"/>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926840" cy="635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6" w:lineRule="exact"/>
        <w:rPr>
          <w:sz w:val="20"/>
          <w:szCs w:val="20"/>
          <w:color w:val="auto"/>
        </w:rPr>
      </w:pPr>
    </w:p>
    <w:p>
      <w:pPr>
        <w:ind w:left="1100" w:hanging="347"/>
        <w:spacing w:after="0"/>
        <w:tabs>
          <w:tab w:leader="none" w:pos="1100" w:val="left"/>
        </w:tabs>
        <w:numPr>
          <w:ilvl w:val="0"/>
          <w:numId w:val="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Loss per Ordinary Share</w:t>
      </w:r>
    </w:p>
    <w:p>
      <w:pPr>
        <w:spacing w:after="0" w:line="174" w:lineRule="exact"/>
        <w:rPr>
          <w:sz w:val="20"/>
          <w:szCs w:val="20"/>
          <w:color w:val="auto"/>
        </w:rPr>
      </w:pPr>
    </w:p>
    <w:p>
      <w:pPr>
        <w:ind w:left="1120" w:right="2819"/>
        <w:spacing w:after="0" w:line="252" w:lineRule="auto"/>
        <w:rPr>
          <w:sz w:val="20"/>
          <w:szCs w:val="20"/>
          <w:color w:val="auto"/>
        </w:rPr>
      </w:pPr>
      <w:r>
        <w:rPr>
          <w:rFonts w:ascii="Times New Roman" w:cs="Times New Roman" w:eastAsia="Times New Roman" w:hAnsi="Times New Roman"/>
          <w:sz w:val="14"/>
          <w:szCs w:val="14"/>
          <w:color w:val="auto"/>
        </w:rPr>
        <w:t>Basic loss per ordinary share is calculated based on the weighted average number of ordinary shares outstanding for each period presented, including retroactive effect for the beginning of each period of shares issued upon exercise of share options and upon conversion into shares of convertible debentures during such period, and give effect to shares issuable from options whose exercise is probable and to shares issuable from convertible debentures whose conversion is probable based on specific calculations. The difference between loss for the year and loss used to compute loss per share is due to the inclusion of imputed interest income on the exercise price of options exercised during the year and of in-the-money options, as required under Israel GAAP. See Note 20I for disclosure of loss per share data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3926840" cy="635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52" w:lineRule="exact"/>
        <w:rPr>
          <w:sz w:val="20"/>
          <w:szCs w:val="20"/>
          <w:color w:val="auto"/>
        </w:rPr>
      </w:pPr>
    </w:p>
    <w:p>
      <w:pPr>
        <w:ind w:left="1100" w:hanging="347"/>
        <w:spacing w:after="0"/>
        <w:tabs>
          <w:tab w:leader="none" w:pos="1100" w:val="left"/>
        </w:tabs>
        <w:numPr>
          <w:ilvl w:val="0"/>
          <w:numId w:val="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Derivative Financial Instruments</w:t>
      </w:r>
    </w:p>
    <w:p>
      <w:pPr>
        <w:spacing w:after="0" w:line="174" w:lineRule="exact"/>
        <w:rPr>
          <w:sz w:val="20"/>
          <w:szCs w:val="20"/>
          <w:color w:val="auto"/>
        </w:rPr>
      </w:pPr>
    </w:p>
    <w:p>
      <w:pPr>
        <w:ind w:left="1120" w:right="2919"/>
        <w:spacing w:after="0" w:line="293" w:lineRule="auto"/>
        <w:rPr>
          <w:sz w:val="20"/>
          <w:szCs w:val="20"/>
          <w:color w:val="auto"/>
        </w:rPr>
      </w:pPr>
      <w:r>
        <w:rPr>
          <w:rFonts w:ascii="Times New Roman" w:cs="Times New Roman" w:eastAsia="Times New Roman" w:hAnsi="Times New Roman"/>
          <w:sz w:val="13"/>
          <w:szCs w:val="13"/>
          <w:color w:val="auto"/>
        </w:rPr>
        <w:t>The Company, from time to time, enters into foreign exchange agreements (primarily forward contracts and options) as a hedge against non-dollar equipment purchase and other firm commitments. Gains and losses on such agreements through the date that the equipment is received or the commitment is realized are deferred and</w:t>
      </w:r>
    </w:p>
    <w:p>
      <w:pPr>
        <w:sectPr>
          <w:pgSz w:w="11900" w:h="16838" w:orient="portrait"/>
          <w:cols w:equalWidth="0" w:num="1">
            <w:col w:w="10239"/>
          </w:cols>
          <w:pgMar w:left="220" w:top="289" w:right="1440" w:bottom="0" w:gutter="0" w:footer="0" w:header="0"/>
        </w:sectPr>
      </w:pPr>
    </w:p>
    <w:bookmarkStart w:id="51" w:name="page52"/>
    <w:bookmarkEnd w:id="51"/>
    <w:p>
      <w:pPr>
        <w:ind w:left="1120" w:right="3279"/>
        <w:spacing w:after="0" w:line="279" w:lineRule="auto"/>
        <w:rPr>
          <w:sz w:val="20"/>
          <w:szCs w:val="20"/>
          <w:color w:val="auto"/>
        </w:rPr>
      </w:pPr>
      <w:r>
        <w:rPr>
          <w:rFonts w:ascii="Times New Roman" w:cs="Times New Roman" w:eastAsia="Times New Roman" w:hAnsi="Times New Roman"/>
          <w:sz w:val="14"/>
          <w:szCs w:val="14"/>
          <w:color w:val="auto"/>
        </w:rPr>
        <w:t>capitalized to the cost of equipment, while gains and losses subsequent thereto, through the date of actual payment of the liability, are included in financing income (expense), net.</w:t>
      </w:r>
    </w:p>
    <w:p>
      <w:pPr>
        <w:spacing w:after="0" w:line="17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Derivative Financial Instruments (Continued)</w:t>
      </w:r>
    </w:p>
    <w:p>
      <w:pPr>
        <w:spacing w:after="0" w:line="174" w:lineRule="exact"/>
        <w:rPr>
          <w:sz w:val="20"/>
          <w:szCs w:val="20"/>
          <w:color w:val="auto"/>
        </w:rPr>
      </w:pPr>
    </w:p>
    <w:p>
      <w:pPr>
        <w:ind w:left="1120" w:right="2859"/>
        <w:spacing w:after="0" w:line="263" w:lineRule="auto"/>
        <w:rPr>
          <w:sz w:val="20"/>
          <w:szCs w:val="20"/>
          <w:color w:val="auto"/>
        </w:rPr>
      </w:pPr>
      <w:r>
        <w:rPr>
          <w:rFonts w:ascii="Times New Roman" w:cs="Times New Roman" w:eastAsia="Times New Roman" w:hAnsi="Times New Roman"/>
          <w:sz w:val="14"/>
          <w:szCs w:val="14"/>
          <w:color w:val="auto"/>
        </w:rPr>
        <w:t>In addition, the Company, from time to time, enters into agreements to hedge interest rate exposure on long-term loans. Gains and losses on such agreements are recognized on a current basis in accordance with the terms of these agreements, and expensed or capitalized as appropriate based on the circumstances.</w:t>
      </w:r>
    </w:p>
    <w:p>
      <w:pPr>
        <w:spacing w:after="0" w:line="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See Note 20C for disclosure of the derivative financial instruments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926840" cy="635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7" w:lineRule="exact"/>
        <w:rPr>
          <w:sz w:val="20"/>
          <w:szCs w:val="20"/>
          <w:color w:val="auto"/>
        </w:rPr>
      </w:pPr>
    </w:p>
    <w:p>
      <w:pPr>
        <w:ind w:left="1100" w:hanging="347"/>
        <w:spacing w:after="0"/>
        <w:tabs>
          <w:tab w:leader="none" w:pos="1100" w:val="left"/>
        </w:tabs>
        <w:numPr>
          <w:ilvl w:val="0"/>
          <w:numId w:val="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Functional Currency and Transaction Gains and Losses</w:t>
      </w:r>
    </w:p>
    <w:p>
      <w:pPr>
        <w:spacing w:after="0" w:line="174" w:lineRule="exact"/>
        <w:rPr>
          <w:sz w:val="20"/>
          <w:szCs w:val="20"/>
          <w:color w:val="auto"/>
        </w:rPr>
      </w:pPr>
    </w:p>
    <w:p>
      <w:pPr>
        <w:ind w:left="1120" w:right="2999"/>
        <w:spacing w:after="0" w:line="258" w:lineRule="auto"/>
        <w:rPr>
          <w:sz w:val="20"/>
          <w:szCs w:val="20"/>
          <w:color w:val="auto"/>
        </w:rPr>
      </w:pPr>
      <w:r>
        <w:rPr>
          <w:rFonts w:ascii="Times New Roman" w:cs="Times New Roman" w:eastAsia="Times New Roman" w:hAnsi="Times New Roman"/>
          <w:sz w:val="14"/>
          <w:szCs w:val="14"/>
          <w:color w:val="auto"/>
        </w:rPr>
        <w:t>The currency of the primary economic environment in which the Company conducts its operations is the U.S. dollar ("dollar"). Accordingly, the Company uses the dollar as its functional and reporting currency. Financing expenses, net in 2002 reflected net foreign currency transaction loss of $1,509 (in 2001 a loss of $263 and in 2000 a gain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926840" cy="635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6" w:lineRule="exact"/>
        <w:rPr>
          <w:sz w:val="20"/>
          <w:szCs w:val="20"/>
          <w:color w:val="auto"/>
        </w:rPr>
      </w:pPr>
    </w:p>
    <w:p>
      <w:pPr>
        <w:ind w:left="1100" w:hanging="347"/>
        <w:spacing w:after="0"/>
        <w:tabs>
          <w:tab w:leader="none" w:pos="1100" w:val="left"/>
        </w:tabs>
        <w:numPr>
          <w:ilvl w:val="0"/>
          <w:numId w:val="7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Stock-Based Compensation</w:t>
      </w:r>
    </w:p>
    <w:p>
      <w:pPr>
        <w:spacing w:after="0" w:line="174" w:lineRule="exact"/>
        <w:rPr>
          <w:sz w:val="20"/>
          <w:szCs w:val="20"/>
          <w:color w:val="auto"/>
        </w:rPr>
      </w:pPr>
    </w:p>
    <w:p>
      <w:pPr>
        <w:ind w:left="1120" w:right="2799"/>
        <w:spacing w:after="0" w:line="252" w:lineRule="auto"/>
        <w:rPr>
          <w:sz w:val="20"/>
          <w:szCs w:val="20"/>
          <w:color w:val="auto"/>
        </w:rPr>
      </w:pPr>
      <w:r>
        <w:rPr>
          <w:rFonts w:ascii="Times New Roman" w:cs="Times New Roman" w:eastAsia="Times New Roman" w:hAnsi="Times New Roman"/>
          <w:sz w:val="14"/>
          <w:szCs w:val="14"/>
          <w:color w:val="auto"/>
        </w:rPr>
        <w:t>The Company accounts for employee stock-based compensation in accordance with Accounting Principles Board Opinion No. 25, "Accounting for Stock Issued to Employees" ("APB 25") and authoritative interpretations thereof. Accordingly, the Company accounts for share options granted to employees and directors based on the intrinsic value of the options on the measurement date. The compensation cost of options without a fixed measurement date is remeasured at each balance sheet date. Deferred compensation in respect of awards with graded vesting terms is amortized to compensation expense over the relevant vesting periods. In a manner consistent with FIN 28, the vesting period over which compensation is expensed is determined, based on the straight-line method, separately for each portion of the award as if the grant were a series of awards. See Note 14B(6) for pro forma disclosures required by SFAS 123 and SFAS 148.</w:t>
      </w:r>
    </w:p>
    <w:p>
      <w:pPr>
        <w:spacing w:after="0" w:line="61" w:lineRule="exact"/>
        <w:rPr>
          <w:sz w:val="20"/>
          <w:szCs w:val="20"/>
          <w:color w:val="auto"/>
        </w:rPr>
      </w:pPr>
    </w:p>
    <w:p>
      <w:pPr>
        <w:ind w:left="1120" w:right="2819"/>
        <w:spacing w:after="0" w:line="253" w:lineRule="auto"/>
        <w:rPr>
          <w:sz w:val="20"/>
          <w:szCs w:val="20"/>
          <w:color w:val="auto"/>
        </w:rPr>
      </w:pPr>
      <w:r>
        <w:rPr>
          <w:rFonts w:ascii="Times New Roman" w:cs="Times New Roman" w:eastAsia="Times New Roman" w:hAnsi="Times New Roman"/>
          <w:sz w:val="14"/>
          <w:szCs w:val="14"/>
          <w:color w:val="auto"/>
        </w:rPr>
        <w:t>The Company accounts for stock-based compensation of non-employees using the fair value method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options granted in connection with bank financing is amortized as financing expense over the terms of the loans, in a manner described in paragraph G above. The award cost of options granted to consultants in relation to equity transactions is offset against paid-in-capital from the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3926840" cy="635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50" w:lineRule="exact"/>
        <w:rPr>
          <w:sz w:val="20"/>
          <w:szCs w:val="20"/>
          <w:color w:val="auto"/>
        </w:rPr>
      </w:pPr>
    </w:p>
    <w:p>
      <w:pPr>
        <w:ind w:left="1100" w:hanging="347"/>
        <w:spacing w:after="0"/>
        <w:tabs>
          <w:tab w:leader="none" w:pos="1100" w:val="left"/>
        </w:tabs>
        <w:numPr>
          <w:ilvl w:val="0"/>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Recent Accounting Pronouncements by the FASB</w:t>
      </w:r>
    </w:p>
    <w:p>
      <w:pPr>
        <w:spacing w:after="0" w:line="182" w:lineRule="exact"/>
        <w:rPr>
          <w:rFonts w:ascii="Times New Roman" w:cs="Times New Roman" w:eastAsia="Times New Roman" w:hAnsi="Times New Roman"/>
          <w:sz w:val="14"/>
          <w:szCs w:val="14"/>
          <w:b w:val="1"/>
          <w:bCs w:val="1"/>
          <w:color w:val="auto"/>
        </w:rPr>
      </w:pPr>
    </w:p>
    <w:p>
      <w:pPr>
        <w:ind w:left="1400" w:right="4059" w:hanging="304"/>
        <w:spacing w:after="0" w:line="253" w:lineRule="auto"/>
        <w:tabs>
          <w:tab w:leader="none" w:pos="1400" w:val="left"/>
        </w:tabs>
        <w:numPr>
          <w:ilvl w:val="1"/>
          <w:numId w:val="7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Rescission and Amendments of Certain SFASs </w:t>
      </w:r>
      <w:r>
        <w:rPr>
          <w:rFonts w:ascii="Times New Roman" w:cs="Times New Roman" w:eastAsia="Times New Roman" w:hAnsi="Times New Roman"/>
          <w:sz w:val="14"/>
          <w:szCs w:val="14"/>
          <w:color w:val="auto"/>
        </w:rPr>
        <w:t>— In April 2002, the FASB issued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Statement of Financial Accounting Standards No. 145 "Rescission of FASB Statements No. 4, 44 and 64, Amendment of FASB Statement No. 13 and Technical Corrections" ("SFAS 145"). SFAS 145 rescinds, amends and clarifies certain previous standards related primarily to debt extinguishments and leases. SFAS 145 eliminates the requirement that gains and losses from the extinguishments of debt be aggregated and classified as an extraordinary item.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-802640</wp:posOffset>
            </wp:positionV>
            <wp:extent cx="3919855" cy="635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7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Recent Accounting Pronouncements by the FASB (Continued)</w:t>
      </w:r>
    </w:p>
    <w:p>
      <w:pPr>
        <w:spacing w:after="0" w:line="1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rescission of SFAS No. 4 is effective for fiscal years beginning after May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2002. The remainder of SFAS 145 is generally effective for transactions occurring</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after May 15, 2002. Adoption of SFAS 145 does not have and is not expected to have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any material impact on the Company's financial position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62" w:lineRule="exact"/>
        <w:rPr>
          <w:sz w:val="20"/>
          <w:szCs w:val="20"/>
          <w:color w:val="auto"/>
        </w:rPr>
      </w:pPr>
    </w:p>
    <w:p>
      <w:pPr>
        <w:ind w:left="1400" w:right="4079" w:hanging="304"/>
        <w:spacing w:after="0" w:line="251" w:lineRule="auto"/>
        <w:tabs>
          <w:tab w:leader="none" w:pos="140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Accounting for Costs Associated with Exit or Disposal Activities </w:t>
      </w:r>
      <w:r>
        <w:rPr>
          <w:rFonts w:ascii="Times New Roman" w:cs="Times New Roman" w:eastAsia="Times New Roman" w:hAnsi="Times New Roman"/>
          <w:sz w:val="14"/>
          <w:szCs w:val="14"/>
          <w:color w:val="auto"/>
        </w:rPr>
        <w:t>— In July 2002,</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FASB issued Statement of Financial Accounting Standards No. 146, "Accounting for Costs Associated with Exit or Disposal Activities" ("SFAS 146"). SFAS 146 supersedes EITF No. 94-3, "Liability Recognition for Certain Employee Termination Benefits and Other Costs to Exit an Activity (including Certain Costs Incurred in a Restructuring)". SFAS 146 requires companies to recognize costs associated with exit or disposal activities when they are incurred rather than at the date of a commitment to an exit or disposal plan, as required by EITF 94-3. SFAS 146 is effective for exit or disposal activities that are initiated after December 31, 2002, with early application encouraged. Adoption of SFAS 146 is not expected to have any impact on the Company's financial position and results of operations.</w:t>
      </w:r>
    </w:p>
    <w:p>
      <w:pPr>
        <w:spacing w:after="0" w:line="157" w:lineRule="exact"/>
        <w:rPr>
          <w:rFonts w:ascii="Times New Roman" w:cs="Times New Roman" w:eastAsia="Times New Roman" w:hAnsi="Times New Roman"/>
          <w:sz w:val="14"/>
          <w:szCs w:val="14"/>
          <w:b w:val="1"/>
          <w:bCs w:val="1"/>
          <w:color w:val="auto"/>
        </w:rPr>
      </w:pPr>
    </w:p>
    <w:p>
      <w:pPr>
        <w:ind w:left="1400" w:right="4079" w:hanging="304"/>
        <w:spacing w:after="0" w:line="253" w:lineRule="auto"/>
        <w:tabs>
          <w:tab w:leader="none" w:pos="1400" w:val="left"/>
        </w:tabs>
        <w:numPr>
          <w:ilvl w:val="0"/>
          <w:numId w:val="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Accounting for Stock-Based Compensation — Transition and Disclosure — an amendment of FASB Statement No. 123 </w:t>
      </w:r>
      <w:r>
        <w:rPr>
          <w:rFonts w:ascii="Times New Roman" w:cs="Times New Roman" w:eastAsia="Times New Roman" w:hAnsi="Times New Roman"/>
          <w:sz w:val="14"/>
          <w:szCs w:val="14"/>
          <w:color w:val="auto"/>
        </w:rPr>
        <w:t>— In December 2002, the FASB issued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Statement of Financial Accounting Standards Board No. 148, "Accounting for Stock-Based Compensation — Transition and Disclosure — an amendment of FASB Statement No. 123" ("SFAS 148"). SFAS 148 amends SFAS No. 123 to provide alternative methods of transition for a voluntary change to the fair value based method of accounting for stock-based employee compensation. In addition, SFAS 148 amends the disclosure requirements of SFAS 123 to require prominent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-910590</wp:posOffset>
            </wp:positionV>
            <wp:extent cx="3919855" cy="635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ectPr>
          <w:pgSz w:w="11900" w:h="16838" w:orient="portrait"/>
          <w:cols w:equalWidth="0" w:num="1">
            <w:col w:w="10239"/>
          </w:cols>
          <w:pgMar w:left="220" w:top="125" w:right="1440" w:bottom="0" w:gutter="0" w:footer="0" w:header="0"/>
        </w:sectPr>
      </w:pPr>
    </w:p>
    <w:bookmarkStart w:id="52" w:name="page53"/>
    <w:bookmarkEnd w:id="52"/>
    <w:p>
      <w:pPr>
        <w:spacing w:after="0" w:line="4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disclosures in both annual and interim financial statements about the method of</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accounting for stock-based employee compensation and the effect of the method used</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on reported results. The Company has followed the prescribed format and has</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provided the additional disclosures required by SFAS 148 in these financial</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statements for the periods presented (see Note 14B(6)), and will also provide the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disclosures in its quarterly reports containing condensed financial statements for</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interim periods beginning with the quarterly period ending March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3919855" cy="635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45" w:lineRule="exact"/>
        <w:rPr>
          <w:sz w:val="20"/>
          <w:szCs w:val="20"/>
          <w:color w:val="auto"/>
        </w:rPr>
      </w:pPr>
    </w:p>
    <w:p>
      <w:pPr>
        <w:ind w:left="1400" w:right="4059" w:hanging="304"/>
        <w:spacing w:after="0" w:line="252" w:lineRule="auto"/>
        <w:tabs>
          <w:tab w:leader="none" w:pos="1400" w:val="left"/>
        </w:tabs>
        <w:numPr>
          <w:ilvl w:val="0"/>
          <w:numId w:val="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FIN 45 </w:t>
      </w:r>
      <w:r>
        <w:rPr>
          <w:rFonts w:ascii="Times New Roman" w:cs="Times New Roman" w:eastAsia="Times New Roman" w:hAnsi="Times New Roman"/>
          <w:sz w:val="14"/>
          <w:szCs w:val="14"/>
          <w:color w:val="auto"/>
        </w:rPr>
        <w:t>— In November 2002, the FASB issued FASB Interpretation No. 45,</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"Guarantor's Accounting and Disclosure Requirements for Guarantees, Including Indirect Guarantees of Indebtedness of Others" ("FIN 45"). This interpretation requires elaborating on the disclosures that must be made by a guarantor in its interim and annual financial statements about its obligations under certain guarantees that it has issued. It also clarifies that a guarantor is required to recognize, at the inception of a guarantee, a liability for the fair value of the obligation undertaken in issuing the guarantee. The disclosure requirements of FIN 45 are effective for financial statements issued after December 15, 2002 and its recognition requirements are applicable for guarantees issued or modified after December 31, 2002.</w:t>
      </w:r>
    </w:p>
    <w:p>
      <w:pPr>
        <w:spacing w:after="0" w:line="20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Recent Accounting Pronouncements by the FASB (Continued)</w:t>
      </w:r>
    </w:p>
    <w:p>
      <w:pPr>
        <w:spacing w:after="0" w:line="1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While the Company is currently evaluating the impact of the adoption of FIN 45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on its financial position and results of operations, it does not expect such impact to be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62" w:lineRule="exact"/>
        <w:rPr>
          <w:sz w:val="20"/>
          <w:szCs w:val="20"/>
          <w:color w:val="auto"/>
        </w:rPr>
      </w:pPr>
    </w:p>
    <w:p>
      <w:pPr>
        <w:ind w:left="1400" w:right="4059" w:hanging="304"/>
        <w:spacing w:after="0" w:line="250" w:lineRule="auto"/>
        <w:tabs>
          <w:tab w:leader="none" w:pos="1400" w:val="left"/>
        </w:tabs>
        <w:numPr>
          <w:ilvl w:val="1"/>
          <w:numId w:val="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FIN 46 </w:t>
      </w:r>
      <w:r>
        <w:rPr>
          <w:rFonts w:ascii="Times New Roman" w:cs="Times New Roman" w:eastAsia="Times New Roman" w:hAnsi="Times New Roman"/>
          <w:sz w:val="14"/>
          <w:szCs w:val="14"/>
          <w:color w:val="auto"/>
        </w:rPr>
        <w:t>— In January, 2003, the FASB issued FASB Interpretation No. 46,</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"Consolidation of Variable Interest Entities" ("FIN 46"). This Interpretation of Accounting Research Bulletin No. 51, "Consolidated Financial Statements", addresses consolidation by enterprises of variable interest entities in which equity investors do not have the characteristics of a controlling financial interest or do not have sufficient equity at risk for the entity to finance its activities without additional support from other parties. FIN 46 applies immediately to variable interest entities created after January 31, 2003, and to variable interest entities in which an enterprise obtains an interest after that date. With respect to variable interest entities, if any, in which the Company holds a variable interest acquired before February 1, 2003, the guidance in FIN 46 will be in effect for the Company's financial statements beginning July 1, 2003. While the Company is currently evaluating the impact of the adoption of FIN 46 on its financial position and results of operations, it does not expect such impact to be material.</w:t>
      </w:r>
    </w:p>
    <w:p>
      <w:pPr>
        <w:spacing w:after="0" w:line="161" w:lineRule="exact"/>
        <w:rPr>
          <w:rFonts w:ascii="Times New Roman" w:cs="Times New Roman" w:eastAsia="Times New Roman" w:hAnsi="Times New Roman"/>
          <w:sz w:val="14"/>
          <w:szCs w:val="14"/>
          <w:b w:val="1"/>
          <w:bCs w:val="1"/>
          <w:color w:val="auto"/>
        </w:rPr>
      </w:pPr>
    </w:p>
    <w:p>
      <w:pPr>
        <w:ind w:left="1100" w:hanging="347"/>
        <w:spacing w:after="0"/>
        <w:tabs>
          <w:tab w:leader="none" w:pos="1100" w:val="left"/>
        </w:tabs>
        <w:numPr>
          <w:ilvl w:val="0"/>
          <w:numId w:val="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Recent Accounting Pronouncements by the Israeli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3926840" cy="635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54" w:lineRule="exact"/>
        <w:rPr>
          <w:sz w:val="20"/>
          <w:szCs w:val="20"/>
          <w:color w:val="auto"/>
        </w:rPr>
      </w:pPr>
    </w:p>
    <w:p>
      <w:pPr>
        <w:ind w:left="1120" w:right="2839"/>
        <w:spacing w:after="0" w:line="251" w:lineRule="auto"/>
        <w:rPr>
          <w:sz w:val="20"/>
          <w:szCs w:val="20"/>
          <w:color w:val="auto"/>
        </w:rPr>
      </w:pPr>
      <w:r>
        <w:rPr>
          <w:rFonts w:ascii="Times New Roman" w:cs="Times New Roman" w:eastAsia="Times New Roman" w:hAnsi="Times New Roman"/>
          <w:sz w:val="14"/>
          <w:szCs w:val="14"/>
          <w:color w:val="auto"/>
        </w:rPr>
        <w:t>In January 2003, the Israeli Accounting Standards Board issued Standard No.15, "Impairment of Assets". This Standard is the initial formal accounting pronouncement in Israel addressing the accounting treatment and presentation of impairment of assets, which establishes procedures to be implemented in order to ensure that assets are not presented in amounts exceeding their recoverable value. An asset's recoverable value is the higher of the asset's net selling price and the asset's value in use, the latter being equal to the asset's discounted expected cash flows. Prior to issuing Standard No. 15, the Company tested the recoverability of its assets based on undiscounted expected cash flows, a method that under Standard No. 15 will no longer be acceptable. Initial application of the Standard will generally be on a prospective basis. Standard No.15 is effective for financial statements for reporting periods commencing January 1, 2003 or thereafter, with early application encouraged. The adoption of the provisions of Standard No. 15 as of December 31, 2002, would not have a material effect on the Company's financial position and results of operations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3926840" cy="635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52" w:lineRule="exact"/>
        <w:rPr>
          <w:sz w:val="20"/>
          <w:szCs w:val="20"/>
          <w:color w:val="auto"/>
        </w:rPr>
      </w:pPr>
    </w:p>
    <w:p>
      <w:pPr>
        <w:ind w:left="1100" w:hanging="347"/>
        <w:spacing w:after="0"/>
        <w:tabs>
          <w:tab w:leader="none" w:pos="1100" w:val="left"/>
        </w:tabs>
        <w:numPr>
          <w:ilvl w:val="0"/>
          <w:numId w:val="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Reclassification</w:t>
      </w:r>
    </w:p>
    <w:p>
      <w:pPr>
        <w:spacing w:after="0" w:line="174" w:lineRule="exact"/>
        <w:rPr>
          <w:sz w:val="20"/>
          <w:szCs w:val="20"/>
          <w:color w:val="auto"/>
        </w:rPr>
      </w:pPr>
    </w:p>
    <w:p>
      <w:pPr>
        <w:ind w:left="1120" w:right="3219"/>
        <w:spacing w:after="0" w:line="279" w:lineRule="auto"/>
        <w:rPr>
          <w:sz w:val="20"/>
          <w:szCs w:val="20"/>
          <w:color w:val="auto"/>
        </w:rPr>
      </w:pPr>
      <w:r>
        <w:rPr>
          <w:rFonts w:ascii="Times New Roman" w:cs="Times New Roman" w:eastAsia="Times New Roman" w:hAnsi="Times New Roman"/>
          <w:sz w:val="14"/>
          <w:szCs w:val="14"/>
          <w:color w:val="auto"/>
        </w:rPr>
        <w:t>Certain amounts in prior years' financial statements have been reclassified in order to conform to the 2002 presentation.</w:t>
      </w:r>
    </w:p>
    <w:p>
      <w:pPr>
        <w:spacing w:after="0" w:line="17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OTHER RECEIVABLES</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Other receivables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681730" cy="7302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3681730" cy="73025"/>
                    </a:xfrm>
                    <a:prstGeom prst="rect">
                      <a:avLst/>
                    </a:prstGeom>
                    <a:noFill/>
                  </pic:spPr>
                </pic:pic>
              </a:graphicData>
            </a:graphic>
          </wp:anchor>
        </w:drawing>
      </w:r>
    </w:p>
    <w:p>
      <w:pPr>
        <w:spacing w:after="0" w:line="200" w:lineRule="exact"/>
        <w:rPr>
          <w:sz w:val="20"/>
          <w:szCs w:val="20"/>
          <w:color w:val="auto"/>
        </w:rPr>
      </w:pPr>
    </w:p>
    <w:tbl>
      <w:tblPr>
        <w:tblLayout w:type="fixed"/>
        <w:tblInd w:w="1080" w:type="dxa"/>
        <w:tblCellMar>
          <w:top w:w="0" w:type="dxa"/>
          <w:left w:w="0" w:type="dxa"/>
          <w:bottom w:w="0" w:type="dxa"/>
          <w:right w:w="0" w:type="dxa"/>
        </w:tblCellMar>
      </w:tblPr>
      <w:tr>
        <w:trPr>
          <w:trHeight w:val="134"/>
        </w:trPr>
        <w:tc>
          <w:tcPr>
            <w:tcW w:w="3680" w:type="dxa"/>
            <w:vAlign w:val="bottom"/>
          </w:tcPr>
          <w:p>
            <w:pPr>
              <w:spacing w:after="0"/>
              <w:rPr>
                <w:sz w:val="11"/>
                <w:szCs w:val="11"/>
                <w:color w:val="auto"/>
              </w:rPr>
            </w:pPr>
          </w:p>
        </w:tc>
        <w:tc>
          <w:tcPr>
            <w:tcW w:w="10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26"/>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Government of Israel – investment grants receivable</w:t>
            </w: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2002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2001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680" w:type="dxa"/>
            <w:vAlign w:val="bottom"/>
            <w:vMerge w:val="continue"/>
          </w:tcPr>
          <w:p>
            <w:pPr>
              <w:spacing w:after="0"/>
              <w:rPr>
                <w:sz w:val="14"/>
                <w:szCs w:val="14"/>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6"/>
              </w:rPr>
              <w:t>$14,200</w:t>
            </w: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$18,083</w:t>
            </w:r>
          </w:p>
        </w:tc>
        <w:tc>
          <w:tcPr>
            <w:tcW w:w="0" w:type="dxa"/>
            <w:vAlign w:val="bottom"/>
          </w:tcPr>
          <w:p>
            <w:pPr>
              <w:spacing w:after="0"/>
              <w:rPr>
                <w:sz w:val="1"/>
                <w:szCs w:val="1"/>
                <w:color w:val="auto"/>
              </w:rPr>
            </w:pPr>
          </w:p>
        </w:tc>
      </w:tr>
      <w:tr>
        <w:trPr>
          <w:trHeight w:val="18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Other government agencies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20" w:type="dxa"/>
            <w:vAlign w:val="bottom"/>
          </w:tcPr>
          <w:p>
            <w:pPr>
              <w:spacing w:after="0"/>
              <w:rPr>
                <w:sz w:val="15"/>
                <w:szCs w:val="15"/>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3,167</w:t>
            </w:r>
          </w:p>
        </w:tc>
        <w:tc>
          <w:tcPr>
            <w:tcW w:w="0" w:type="dxa"/>
            <w:vAlign w:val="bottom"/>
          </w:tcPr>
          <w:p>
            <w:pPr>
              <w:spacing w:after="0"/>
              <w:rPr>
                <w:sz w:val="1"/>
                <w:szCs w:val="1"/>
                <w:color w:val="auto"/>
              </w:rPr>
            </w:pPr>
          </w:p>
        </w:tc>
      </w:tr>
      <w:tr>
        <w:trPr>
          <w:trHeight w:val="21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Others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3680" w:type="dxa"/>
            <w:vAlign w:val="bottom"/>
          </w:tcPr>
          <w:p>
            <w:pPr>
              <w:spacing w:after="0"/>
              <w:rPr>
                <w:sz w:val="13"/>
                <w:szCs w:val="13"/>
                <w:color w:val="auto"/>
              </w:rPr>
            </w:pPr>
          </w:p>
        </w:tc>
        <w:tc>
          <w:tcPr>
            <w:tcW w:w="460" w:type="dxa"/>
            <w:vAlign w:val="bottom"/>
            <w:tcBorders>
              <w:top w:val="single" w:sz="8" w:color="auto"/>
              <w:bottom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21,322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21,250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-323215</wp:posOffset>
            </wp:positionV>
            <wp:extent cx="469265" cy="1968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469265" cy="1968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-647065</wp:posOffset>
            </wp:positionV>
            <wp:extent cx="13335" cy="635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-554355</wp:posOffset>
            </wp:positionV>
            <wp:extent cx="13335" cy="635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-554355</wp:posOffset>
            </wp:positionV>
            <wp:extent cx="13335" cy="635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-442595</wp:posOffset>
            </wp:positionV>
            <wp:extent cx="13335" cy="635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-442595</wp:posOffset>
            </wp:positionV>
            <wp:extent cx="13335" cy="635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-316865</wp:posOffset>
            </wp:positionV>
            <wp:extent cx="13335" cy="635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-316865</wp:posOffset>
            </wp:positionV>
            <wp:extent cx="13335" cy="635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-191135</wp:posOffset>
            </wp:positionV>
            <wp:extent cx="13335" cy="635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-191135</wp:posOffset>
            </wp:positionV>
            <wp:extent cx="13335" cy="635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-65405</wp:posOffset>
            </wp:positionV>
            <wp:extent cx="13335" cy="635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-65405</wp:posOffset>
            </wp:positionV>
            <wp:extent cx="13335" cy="635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0</wp:posOffset>
            </wp:positionV>
            <wp:extent cx="6350" cy="6604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INVENTORIES</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Inventories consist of the following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ectPr>
          <w:pgSz w:w="11900" w:h="16885" w:orient="portrait"/>
          <w:cols w:equalWidth="0" w:num="1">
            <w:col w:w="10239"/>
          </w:cols>
          <w:pgMar w:left="220" w:top="125" w:right="1440" w:bottom="0" w:gutter="0" w:footer="0" w:header="0"/>
        </w:sectPr>
      </w:pPr>
    </w:p>
    <w:p>
      <w:pPr>
        <w:spacing w:after="0" w:line="19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-74295</wp:posOffset>
            </wp:positionV>
            <wp:extent cx="3423920" cy="1968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3423920" cy="19685"/>
                    </a:xfrm>
                    <a:prstGeom prst="rect">
                      <a:avLst/>
                    </a:prstGeom>
                    <a:noFill/>
                  </pic:spPr>
                </pic:pic>
              </a:graphicData>
            </a:graphic>
          </wp:anchor>
        </w:drawing>
      </w:r>
    </w:p>
    <w:p>
      <w:pPr>
        <w:sectPr>
          <w:pgSz w:w="11900" w:h="16885" w:orient="portrait"/>
          <w:cols w:equalWidth="0" w:num="1">
            <w:col w:w="10239"/>
          </w:cols>
          <w:pgMar w:left="220" w:top="125" w:right="1440" w:bottom="0" w:gutter="0" w:footer="0" w:header="0"/>
          <w:type w:val="continuous"/>
        </w:sectPr>
      </w:pPr>
    </w:p>
    <w:bookmarkStart w:id="53" w:name="page54"/>
    <w:bookmarkEnd w:id="53"/>
    <w:tbl>
      <w:tblPr>
        <w:tblLayout w:type="fixed"/>
        <w:tblInd w:w="820" w:type="dxa"/>
        <w:tblCellMar>
          <w:top w:w="0" w:type="dxa"/>
          <w:left w:w="0" w:type="dxa"/>
          <w:bottom w:w="0" w:type="dxa"/>
          <w:right w:w="0" w:type="dxa"/>
        </w:tblCellMar>
      </w:tblPr>
      <w:tr>
        <w:trPr>
          <w:trHeight w:val="146"/>
        </w:trPr>
        <w:tc>
          <w:tcPr>
            <w:tcW w:w="39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Raw materials</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2002</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2001</w:t>
            </w:r>
          </w:p>
        </w:tc>
        <w:tc>
          <w:tcPr>
            <w:tcW w:w="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980" w:type="dxa"/>
            <w:vAlign w:val="bottom"/>
            <w:gridSpan w:val="2"/>
            <w:vMerge w:val="continue"/>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3,815</w:t>
            </w:r>
          </w:p>
        </w:tc>
        <w:tc>
          <w:tcPr>
            <w:tcW w:w="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$2,739</w:t>
            </w:r>
          </w:p>
        </w:tc>
        <w:tc>
          <w:tcPr>
            <w:tcW w:w="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Spare parts and supplies</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3,509</w:t>
            </w:r>
          </w:p>
        </w:tc>
        <w:tc>
          <w:tcPr>
            <w:tcW w:w="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3,216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Work in process</w:t>
            </w:r>
          </w:p>
        </w:tc>
        <w:tc>
          <w:tcPr>
            <w:tcW w:w="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Finished goods</w:t>
            </w:r>
          </w:p>
        </w:tc>
        <w:tc>
          <w:tcPr>
            <w:tcW w:w="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4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3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3"/>
              </w:rPr>
              <w:t>10,201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8,428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460" w:type="dxa"/>
            <w:vAlign w:val="bottom"/>
            <w:tcBorders>
              <w:bottom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-805815</wp:posOffset>
            </wp:positionV>
            <wp:extent cx="13335" cy="635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-805815</wp:posOffset>
            </wp:positionV>
            <wp:extent cx="13335" cy="635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-693420</wp:posOffset>
            </wp:positionV>
            <wp:extent cx="13335" cy="635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-693420</wp:posOffset>
            </wp:positionV>
            <wp:extent cx="13335" cy="635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-567690</wp:posOffset>
            </wp:positionV>
            <wp:extent cx="13335" cy="635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-567690</wp:posOffset>
            </wp:positionV>
            <wp:extent cx="13335" cy="635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-441960</wp:posOffset>
            </wp:positionV>
            <wp:extent cx="13335" cy="635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-441960</wp:posOffset>
            </wp:positionV>
            <wp:extent cx="13335" cy="635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-316865</wp:posOffset>
            </wp:positionV>
            <wp:extent cx="13335" cy="635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-316865</wp:posOffset>
            </wp:positionV>
            <wp:extent cx="13335" cy="635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-191135</wp:posOffset>
            </wp:positionV>
            <wp:extent cx="13335" cy="635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-191135</wp:posOffset>
            </wp:positionV>
            <wp:extent cx="13335" cy="635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-125095</wp:posOffset>
            </wp:positionV>
            <wp:extent cx="6350" cy="6604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wp:posOffset>
            </wp:positionV>
            <wp:extent cx="4442460" cy="11874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4442460" cy="118745"/>
                    </a:xfrm>
                    <a:prstGeom prst="rect">
                      <a:avLst/>
                    </a:prstGeom>
                    <a:noFill/>
                  </pic:spPr>
                </pic:pic>
              </a:graphicData>
            </a:graphic>
          </wp:anchor>
        </w:drawing>
      </w:r>
    </w:p>
    <w:p>
      <w:pPr>
        <w:spacing w:after="0" w:line="140" w:lineRule="exact"/>
        <w:rPr>
          <w:sz w:val="20"/>
          <w:szCs w:val="20"/>
          <w:color w:val="auto"/>
        </w:rPr>
      </w:pPr>
    </w:p>
    <w:p>
      <w:pPr>
        <w:ind w:left="1120" w:hanging="305"/>
        <w:spacing w:after="0"/>
        <w:tabs>
          <w:tab w:leader="none" w:pos="1120" w:val="left"/>
        </w:tabs>
        <w:numPr>
          <w:ilvl w:val="0"/>
          <w:numId w:val="8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write-downs to net realizable value of $307 and $412 as of December 31, 2002 and 2001, respectively.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OTHER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right="4159" w:hanging="347"/>
        <w:spacing w:after="0" w:line="255" w:lineRule="auto"/>
        <w:tabs>
          <w:tab w:leader="none" w:pos="110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Saifun </w:t>
      </w:r>
      <w:r>
        <w:rPr>
          <w:rFonts w:ascii="Times New Roman" w:cs="Times New Roman" w:eastAsia="Times New Roman" w:hAnsi="Times New Roman"/>
          <w:sz w:val="14"/>
          <w:szCs w:val="14"/>
          <w:color w:val="auto"/>
        </w:rPr>
        <w:t>— The investment in Saifun Semiconductor Ltd. ("Saifun"), an Israeli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designs and develops memory designs, is based on an agreement between the Company and Saifun signed in October 1997. The Company's investments in Saifun as of December 31, 2002 and 2001 amounted to $6,000, representing 11.8% and 12.3% of Saifun's share capital, respectively, (on a fully-diluted basis – 10.5% and 11.1%, respectively).</w:t>
      </w:r>
    </w:p>
    <w:p>
      <w:pPr>
        <w:spacing w:after="0" w:line="150" w:lineRule="exact"/>
        <w:rPr>
          <w:rFonts w:ascii="Times New Roman" w:cs="Times New Roman" w:eastAsia="Times New Roman" w:hAnsi="Times New Roman"/>
          <w:sz w:val="14"/>
          <w:szCs w:val="14"/>
          <w:b w:val="1"/>
          <w:bCs w:val="1"/>
          <w:color w:val="auto"/>
        </w:rPr>
      </w:pPr>
    </w:p>
    <w:p>
      <w:pPr>
        <w:ind w:left="1100" w:right="4119" w:hanging="347"/>
        <w:spacing w:after="0" w:line="252" w:lineRule="auto"/>
        <w:tabs>
          <w:tab w:leader="none" w:pos="110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Azalea </w:t>
      </w:r>
      <w:r>
        <w:rPr>
          <w:rFonts w:ascii="Times New Roman" w:cs="Times New Roman" w:eastAsia="Times New Roman" w:hAnsi="Times New Roman"/>
          <w:sz w:val="14"/>
          <w:szCs w:val="14"/>
          <w:color w:val="auto"/>
        </w:rPr>
        <w:t>— In September 2000, the Board of Directors of the Company approved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 of $1,100 in Azalea Microelectronics Corporation ("Azalea"), a California corporation that, inter-alia, develops and designs microelectronics modules. This investment represents 15% of Azalea's share capital as of December 31, 2002. In addition, the Company and Azalea signed a development agreement for the development by Azalea of certain modules based on the Company's technologies. Due to management's estimate, based on certain circumstances indicating that the carrying amount of the Company's investment in Azalea may not be recoverable, the Company impaired , during the third quarter of 2001, its entire investment in Azalea.</w:t>
      </w:r>
    </w:p>
    <w:p>
      <w:pPr>
        <w:spacing w:after="0" w:line="156" w:lineRule="exact"/>
        <w:rPr>
          <w:rFonts w:ascii="Times New Roman" w:cs="Times New Roman" w:eastAsia="Times New Roman" w:hAnsi="Times New Roman"/>
          <w:sz w:val="14"/>
          <w:szCs w:val="14"/>
          <w:b w:val="1"/>
          <w:bCs w:val="1"/>
          <w:color w:val="auto"/>
        </w:rPr>
      </w:pPr>
    </w:p>
    <w:p>
      <w:pPr>
        <w:ind w:left="1100" w:right="4119" w:hanging="347"/>
        <w:spacing w:after="0" w:line="258" w:lineRule="auto"/>
        <w:tabs>
          <w:tab w:leader="none" w:pos="1100" w:val="left"/>
        </w:tabs>
        <w:numPr>
          <w:ilvl w:val="0"/>
          <w:numId w:val="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Under certain provisions in force through September 30, 2003, stipulated in the Facility Agreement entered into by the Company in connection with Fab 2 (see Note 13A(4)), the Company might be obliged to dispose some or all its long-term investments. For liens, see Note 13A(4).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-1553210</wp:posOffset>
            </wp:positionV>
            <wp:extent cx="3926840" cy="635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392684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-488950</wp:posOffset>
            </wp:positionV>
            <wp:extent cx="3926840" cy="635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7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OTHER LONG-TERM INVESTMENTS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right="4059" w:hanging="347"/>
        <w:spacing w:after="0" w:line="259" w:lineRule="auto"/>
        <w:tabs>
          <w:tab w:leader="none" w:pos="1100" w:val="left"/>
        </w:tabs>
        <w:numPr>
          <w:ilvl w:val="0"/>
          <w:numId w:val="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Virage Logic Corp. — </w:t>
      </w:r>
      <w:r>
        <w:rPr>
          <w:rFonts w:ascii="Times New Roman" w:cs="Times New Roman" w:eastAsia="Times New Roman" w:hAnsi="Times New Roman"/>
          <w:sz w:val="14"/>
          <w:szCs w:val="14"/>
          <w:color w:val="auto"/>
        </w:rPr>
        <w:t>During the year ended December 31, 2001 the Company sold all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its shareholdings in Virage Logic Corp. for an aggregate of $11,050 and for a gain of $9,550. Virage Logic Corp. is a Delaware corporation, which provides semiconductor companies with memory designs for systems contained on silicon chip.</w:t>
      </w:r>
    </w:p>
    <w:p>
      <w:pPr>
        <w:sectPr>
          <w:pgSz w:w="11900" w:h="16838" w:orient="portrait"/>
          <w:cols w:equalWidth="0" w:num="1">
            <w:col w:w="10239"/>
          </w:cols>
          <w:pgMar w:left="220" w:top="120" w:right="1440" w:bottom="237"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2915285" cy="7302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2915285" cy="7302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179070</wp:posOffset>
            </wp:positionV>
            <wp:extent cx="13335" cy="635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271780</wp:posOffset>
            </wp:positionV>
            <wp:extent cx="13335" cy="635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-31750</wp:posOffset>
            </wp:positionV>
            <wp:extent cx="13335" cy="635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Prepaid perpetual land lease and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-33020</wp:posOffset>
            </wp:positionV>
            <wp:extent cx="13335" cy="635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-33020</wp:posOffset>
            </wp:positionV>
            <wp:extent cx="13335" cy="635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Transportation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145415</wp:posOffset>
            </wp:positionV>
            <wp:extent cx="469265" cy="1968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469265" cy="1968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-33020</wp:posOffset>
            </wp:positionV>
            <wp:extent cx="13335" cy="635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92075</wp:posOffset>
            </wp:positionV>
            <wp:extent cx="13335" cy="635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1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-31750</wp:posOffset>
            </wp:positionV>
            <wp:extent cx="13335" cy="635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Prepaid perpetual land lease and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-33020</wp:posOffset>
            </wp:positionV>
            <wp:extent cx="13335" cy="635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-33020</wp:posOffset>
            </wp:positionV>
            <wp:extent cx="13335" cy="635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Transportation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-33020</wp:posOffset>
            </wp:positionV>
            <wp:extent cx="13335" cy="635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92075</wp:posOffset>
            </wp:positionV>
            <wp:extent cx="13335" cy="635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217805</wp:posOffset>
            </wp:positionV>
            <wp:extent cx="13335" cy="635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283845</wp:posOffset>
            </wp:positionV>
            <wp:extent cx="6350" cy="6604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Supplemental disclosure relating to cost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926840" cy="635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779780" cy="635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779780" cy="6350"/>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-87630</wp:posOffset>
            </wp:positionV>
            <wp:extent cx="59690" cy="635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59690" cy="635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-87630</wp:posOffset>
            </wp:positionV>
            <wp:extent cx="6350" cy="635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-87630</wp:posOffset>
            </wp:positionV>
            <wp:extent cx="85725" cy="635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85725" cy="6350"/>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-87630</wp:posOffset>
            </wp:positionV>
            <wp:extent cx="6350" cy="635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751840</wp:posOffset>
            </wp:positionH>
            <wp:positionV relativeFrom="paragraph">
              <wp:posOffset>-87630</wp:posOffset>
            </wp:positionV>
            <wp:extent cx="6350" cy="635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180"/>
        <w:spacing w:after="0"/>
        <w:tabs>
          <w:tab w:leader="none" w:pos="820" w:val="left"/>
        </w:tabs>
        <w:rPr>
          <w:sz w:val="20"/>
          <w:szCs w:val="20"/>
          <w:color w:val="auto"/>
        </w:rPr>
      </w:pPr>
      <w:r>
        <w:rPr>
          <w:rFonts w:ascii="Times New Roman" w:cs="Times New Roman" w:eastAsia="Times New Roman" w:hAnsi="Times New Roman"/>
          <w:sz w:val="11"/>
          <w:szCs w:val="11"/>
          <w:b w:val="1"/>
          <w:bCs w:val="1"/>
          <w:color w:val="auto"/>
        </w:rPr>
        <w:t>2002</w:t>
      </w:r>
      <w:r>
        <w:rPr>
          <w:sz w:val="20"/>
          <w:szCs w:val="20"/>
          <w:color w:val="auto"/>
        </w:rPr>
        <w:tab/>
      </w:r>
      <w:r>
        <w:rPr>
          <w:rFonts w:ascii="Times New Roman" w:cs="Times New Roman" w:eastAsia="Times New Roman" w:hAnsi="Times New Roman"/>
          <w:sz w:val="11"/>
          <w:szCs w:val="11"/>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wp:posOffset>
            </wp:positionV>
            <wp:extent cx="779780" cy="635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779780"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-41275</wp:posOffset>
            </wp:positionV>
            <wp:extent cx="13335" cy="635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70485</wp:posOffset>
            </wp:positionV>
            <wp:extent cx="13335" cy="635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81" w:lineRule="exact"/>
        <w:rPr>
          <w:sz w:val="20"/>
          <w:szCs w:val="20"/>
          <w:color w:val="auto"/>
        </w:rPr>
      </w:pPr>
    </w:p>
    <w:p>
      <w:pPr>
        <w:jc w:val="right"/>
        <w:ind w:left="80" w:right="4379" w:hanging="76"/>
        <w:spacing w:after="0" w:line="310" w:lineRule="auto"/>
        <w:rPr>
          <w:sz w:val="20"/>
          <w:szCs w:val="20"/>
          <w:color w:val="auto"/>
        </w:rPr>
      </w:pPr>
      <w:r>
        <w:rPr>
          <w:rFonts w:ascii="Times New Roman" w:cs="Times New Roman" w:eastAsia="Times New Roman" w:hAnsi="Times New Roman"/>
          <w:sz w:val="14"/>
          <w:szCs w:val="14"/>
          <w:color w:val="auto"/>
        </w:rPr>
        <w:t>$215,240  $163,148 440,048   320,632</w:t>
      </w:r>
    </w:p>
    <w:p>
      <w:pPr>
        <w:ind w:left="220"/>
        <w:spacing w:after="0"/>
        <w:rPr>
          <w:sz w:val="20"/>
          <w:szCs w:val="20"/>
          <w:color w:val="auto"/>
        </w:rPr>
      </w:pPr>
      <w:r>
        <w:rPr>
          <w:rFonts w:ascii="Times New Roman" w:cs="Times New Roman" w:eastAsia="Times New Roman" w:hAnsi="Times New Roman"/>
          <w:sz w:val="14"/>
          <w:szCs w:val="14"/>
          <w:color w:val="auto"/>
        </w:rPr>
        <w:t>4,198</w:t>
      </w:r>
      <w:r>
        <w:rPr>
          <w:rFonts w:ascii="Times New Roman" w:cs="Times New Roman" w:eastAsia="Times New Roman" w:hAnsi="Times New Roman"/>
          <w:sz w:val="13"/>
          <w:szCs w:val="13"/>
          <w:color w:val="auto"/>
        </w:rPr>
        <w:t>4,551</w:t>
      </w:r>
    </w:p>
    <w:p>
      <w:pPr>
        <w:spacing w:after="0" w:line="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659,486   488,331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-111760</wp:posOffset>
            </wp:positionV>
            <wp:extent cx="753745" cy="635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12700</wp:posOffset>
            </wp:positionV>
            <wp:extent cx="753745" cy="635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-422910</wp:posOffset>
            </wp:positionV>
            <wp:extent cx="13335" cy="635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-297180</wp:posOffset>
            </wp:positionV>
            <wp:extent cx="13335" cy="635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-171450</wp:posOffset>
            </wp:positionV>
            <wp:extent cx="13335" cy="635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-45720</wp:posOffset>
            </wp:positionV>
            <wp:extent cx="13335" cy="635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78740</wp:posOffset>
            </wp:positionV>
            <wp:extent cx="13335" cy="635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94" w:lineRule="exact"/>
        <w:rPr>
          <w:sz w:val="20"/>
          <w:szCs w:val="20"/>
          <w:color w:val="auto"/>
        </w:rPr>
      </w:pPr>
    </w:p>
    <w:p>
      <w:pPr>
        <w:jc w:val="both"/>
        <w:ind w:left="160"/>
        <w:spacing w:after="0"/>
        <w:tabs>
          <w:tab w:leader="none" w:pos="800" w:val="left"/>
        </w:tabs>
        <w:rPr>
          <w:sz w:val="20"/>
          <w:szCs w:val="20"/>
          <w:color w:val="auto"/>
        </w:rPr>
      </w:pPr>
      <w:r>
        <w:rPr>
          <w:rFonts w:ascii="Times New Roman" w:cs="Times New Roman" w:eastAsia="Times New Roman" w:hAnsi="Times New Roman"/>
          <w:sz w:val="14"/>
          <w:szCs w:val="14"/>
          <w:color w:val="auto"/>
        </w:rPr>
        <w:t>13,215</w:t>
      </w:r>
      <w:r>
        <w:rPr>
          <w:sz w:val="20"/>
          <w:szCs w:val="20"/>
          <w:color w:val="auto"/>
        </w:rPr>
        <w:tab/>
      </w:r>
      <w:r>
        <w:rPr>
          <w:rFonts w:ascii="Times New Roman" w:cs="Times New Roman" w:eastAsia="Times New Roman" w:hAnsi="Times New Roman"/>
          <w:sz w:val="14"/>
          <w:szCs w:val="14"/>
          <w:color w:val="auto"/>
        </w:rPr>
        <w:t>11,561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-33020</wp:posOffset>
            </wp:positionV>
            <wp:extent cx="13335" cy="635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3"/>
          <w:szCs w:val="13"/>
          <w:color w:val="auto"/>
        </w:rPr>
        <w:t>151,191</w:t>
      </w:r>
      <w:r>
        <w:rPr>
          <w:sz w:val="20"/>
          <w:szCs w:val="20"/>
          <w:color w:val="auto"/>
        </w:rPr>
        <w:tab/>
      </w:r>
      <w:r>
        <w:rPr>
          <w:rFonts w:ascii="Times New Roman" w:cs="Times New Roman" w:eastAsia="Times New Roman" w:hAnsi="Times New Roman"/>
          <w:sz w:val="13"/>
          <w:szCs w:val="13"/>
          <w:color w:val="auto"/>
        </w:rPr>
        <w:t>134,369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-25400</wp:posOffset>
            </wp:positionV>
            <wp:extent cx="13335" cy="635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49" w:lineRule="exact"/>
        <w:rPr>
          <w:sz w:val="20"/>
          <w:szCs w:val="20"/>
          <w:color w:val="auto"/>
        </w:rPr>
      </w:pPr>
    </w:p>
    <w:p>
      <w:pPr>
        <w:jc w:val="both"/>
        <w:ind w:left="220"/>
        <w:spacing w:after="0"/>
        <w:tabs>
          <w:tab w:leader="none" w:pos="860" w:val="left"/>
        </w:tabs>
        <w:rPr>
          <w:sz w:val="20"/>
          <w:szCs w:val="20"/>
          <w:color w:val="auto"/>
        </w:rPr>
      </w:pPr>
      <w:r>
        <w:rPr>
          <w:rFonts w:ascii="Times New Roman" w:cs="Times New Roman" w:eastAsia="Times New Roman" w:hAnsi="Times New Roman"/>
          <w:sz w:val="14"/>
          <w:szCs w:val="14"/>
          <w:color w:val="auto"/>
        </w:rPr>
        <w:t>2,006</w:t>
      </w:r>
      <w:r>
        <w:rPr>
          <w:sz w:val="20"/>
          <w:szCs w:val="20"/>
          <w:color w:val="auto"/>
        </w:rPr>
        <w:tab/>
      </w:r>
      <w:r>
        <w:rPr>
          <w:rFonts w:ascii="Times New Roman" w:cs="Times New Roman" w:eastAsia="Times New Roman" w:hAnsi="Times New Roman"/>
          <w:sz w:val="14"/>
          <w:szCs w:val="14"/>
          <w:color w:val="auto"/>
        </w:rPr>
        <w:t>1,677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753745" cy="635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-45720</wp:posOffset>
            </wp:positionV>
            <wp:extent cx="13335" cy="635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 w:lineRule="exact"/>
        <w:rPr>
          <w:sz w:val="20"/>
          <w:szCs w:val="20"/>
          <w:color w:val="auto"/>
        </w:rPr>
      </w:pPr>
    </w:p>
    <w:p>
      <w:pPr>
        <w:ind w:left="80"/>
        <w:spacing w:after="0"/>
        <w:tabs>
          <w:tab w:leader="none" w:pos="720" w:val="left"/>
        </w:tabs>
        <w:rPr>
          <w:sz w:val="20"/>
          <w:szCs w:val="20"/>
          <w:color w:val="auto"/>
        </w:rPr>
      </w:pPr>
      <w:r>
        <w:rPr>
          <w:rFonts w:ascii="Times New Roman" w:cs="Times New Roman" w:eastAsia="Times New Roman" w:hAnsi="Times New Roman"/>
          <w:sz w:val="13"/>
          <w:szCs w:val="13"/>
          <w:color w:val="auto"/>
        </w:rPr>
        <w:t>166,412</w:t>
      </w:r>
      <w:r>
        <w:rPr>
          <w:sz w:val="20"/>
          <w:szCs w:val="20"/>
          <w:color w:val="auto"/>
        </w:rPr>
        <w:tab/>
      </w:r>
      <w:r>
        <w:rPr>
          <w:rFonts w:ascii="Times New Roman" w:cs="Times New Roman" w:eastAsia="Times New Roman" w:hAnsi="Times New Roman"/>
          <w:sz w:val="13"/>
          <w:szCs w:val="13"/>
          <w:color w:val="auto"/>
        </w:rPr>
        <w:t>147,607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wp:posOffset>
            </wp:positionV>
            <wp:extent cx="753745" cy="635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-38735</wp:posOffset>
            </wp:positionV>
            <wp:extent cx="13335" cy="635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u w:val="single" w:color="auto"/>
          <w:color w:val="auto"/>
        </w:rPr>
        <w:t>$493,074</w:t>
      </w:r>
      <w:r>
        <w:rPr>
          <w:sz w:val="20"/>
          <w:szCs w:val="20"/>
          <w:color w:val="auto"/>
        </w:rPr>
        <w:tab/>
      </w:r>
      <w:r>
        <w:rPr>
          <w:rFonts w:ascii="Times New Roman" w:cs="Times New Roman" w:eastAsia="Times New Roman" w:hAnsi="Times New Roman"/>
          <w:sz w:val="13"/>
          <w:szCs w:val="13"/>
          <w:u w:val="single" w:color="auto"/>
          <w:color w:val="auto"/>
        </w:rPr>
        <w:t>$340,724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753745" cy="635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361950</wp:posOffset>
            </wp:positionH>
            <wp:positionV relativeFrom="paragraph">
              <wp:posOffset>-35560</wp:posOffset>
            </wp:positionV>
            <wp:extent cx="13335" cy="635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479" w:lineRule="exact"/>
        <w:rPr>
          <w:sz w:val="20"/>
          <w:szCs w:val="20"/>
          <w:color w:val="auto"/>
        </w:rPr>
      </w:pPr>
    </w:p>
    <w:p>
      <w:pPr>
        <w:sectPr>
          <w:pgSz w:w="11900" w:h="16838" w:orient="portrait"/>
          <w:cols w:equalWidth="0" w:num="2">
            <w:col w:w="4540" w:space="140"/>
            <w:col w:w="5559"/>
          </w:cols>
          <w:pgMar w:left="220" w:top="120" w:right="1440" w:bottom="237" w:gutter="0" w:footer="0" w:header="0"/>
          <w:type w:val="continuous"/>
        </w:sectPr>
      </w:pPr>
    </w:p>
    <w:p>
      <w:pPr>
        <w:ind w:left="1100" w:right="4079" w:hanging="347"/>
        <w:spacing w:after="0" w:line="284" w:lineRule="auto"/>
        <w:tabs>
          <w:tab w:leader="none" w:pos="110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2002 and 2001, the cost of property and equipment included costs relating to Fab 2 (see Note 1B) in the amount of $434,421 and $262,644, respectively. Said amounts are net of investment grants of $99,365 and $60,754 respectively. Depreciation of Fab 2 shall commence on the date in which Fab 2 is ready for its intended use.</w:t>
      </w:r>
    </w:p>
    <w:p>
      <w:pPr>
        <w:spacing w:after="0" w:line="135" w:lineRule="exact"/>
        <w:rPr>
          <w:rFonts w:ascii="Times New Roman" w:cs="Times New Roman" w:eastAsia="Times New Roman" w:hAnsi="Times New Roman"/>
          <w:sz w:val="13"/>
          <w:szCs w:val="13"/>
          <w:color w:val="auto"/>
        </w:rPr>
      </w:pPr>
    </w:p>
    <w:p>
      <w:pPr>
        <w:ind w:left="1100" w:right="4219" w:hanging="347"/>
        <w:spacing w:after="0" w:line="279" w:lineRule="auto"/>
        <w:tabs>
          <w:tab w:leader="none" w:pos="11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2002, the cost of buildings, machinery and equipment was reflected net of investment grants of $205,390 (as of December 31, 2001 - $167,969).</w:t>
      </w:r>
    </w:p>
    <w:p>
      <w:pPr>
        <w:spacing w:after="0" w:line="135" w:lineRule="exact"/>
        <w:rPr>
          <w:rFonts w:ascii="Times New Roman" w:cs="Times New Roman" w:eastAsia="Times New Roman" w:hAnsi="Times New Roman"/>
          <w:sz w:val="14"/>
          <w:szCs w:val="14"/>
          <w:color w:val="auto"/>
        </w:rPr>
      </w:pPr>
    </w:p>
    <w:p>
      <w:pPr>
        <w:ind w:left="1100" w:right="4219" w:hanging="347"/>
        <w:spacing w:after="0" w:line="279" w:lineRule="auto"/>
        <w:tabs>
          <w:tab w:leader="none" w:pos="11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property and equipment as of December 31, 2002 includes capitalized interest of $11,588 (as of December 31, 2001 – $1,328).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-610870</wp:posOffset>
            </wp:positionV>
            <wp:extent cx="3926840" cy="635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392684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-287020</wp:posOffset>
            </wp:positionV>
            <wp:extent cx="3926840" cy="635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392684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36195</wp:posOffset>
            </wp:positionV>
            <wp:extent cx="3926840" cy="635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14" w:lineRule="exact"/>
        <w:rPr>
          <w:sz w:val="20"/>
          <w:szCs w:val="20"/>
          <w:color w:val="auto"/>
        </w:rPr>
      </w:pPr>
    </w:p>
    <w:p>
      <w:pPr>
        <w:ind w:left="1100" w:hanging="347"/>
        <w:spacing w:after="0"/>
        <w:tabs>
          <w:tab w:leader="none" w:pos="1100" w:val="left"/>
        </w:tabs>
        <w:numPr>
          <w:ilvl w:val="0"/>
          <w:numId w:val="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Investment Grants</w:t>
      </w:r>
    </w:p>
    <w:p>
      <w:pPr>
        <w:spacing w:after="0" w:line="174" w:lineRule="exact"/>
        <w:rPr>
          <w:sz w:val="20"/>
          <w:szCs w:val="20"/>
          <w:color w:val="auto"/>
        </w:rPr>
      </w:pPr>
    </w:p>
    <w:p>
      <w:pPr>
        <w:ind w:left="1120" w:right="2819"/>
        <w:spacing w:after="0" w:line="256" w:lineRule="auto"/>
        <w:rPr>
          <w:sz w:val="20"/>
          <w:szCs w:val="20"/>
          <w:color w:val="auto"/>
        </w:rPr>
      </w:pPr>
      <w:r>
        <w:rPr>
          <w:rFonts w:ascii="Times New Roman" w:cs="Times New Roman" w:eastAsia="Times New Roman" w:hAnsi="Times New Roman"/>
          <w:sz w:val="14"/>
          <w:szCs w:val="14"/>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the aggregate amount (as amended) of approximately $96,850. The Company completed its investments under this program, and received final approval from the Investment Center in November 1997.</w:t>
      </w:r>
    </w:p>
    <w:p>
      <w:pPr>
        <w:spacing w:after="0" w:line="20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120" w:right="1440" w:bottom="237" w:gutter="0" w:footer="0" w:header="0"/>
          <w:type w:val="continuous"/>
        </w:sectPr>
      </w:pPr>
    </w:p>
    <w:bookmarkStart w:id="54" w:name="page55"/>
    <w:bookmarkEnd w:id="54"/>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PROPERTY AND EQUIPMENT, NET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Investment Grants (Continued)</w:t>
      </w:r>
    </w:p>
    <w:p>
      <w:pPr>
        <w:spacing w:after="0" w:line="174" w:lineRule="exact"/>
        <w:rPr>
          <w:sz w:val="20"/>
          <w:szCs w:val="20"/>
          <w:color w:val="auto"/>
        </w:rPr>
      </w:pPr>
    </w:p>
    <w:p>
      <w:pPr>
        <w:ind w:left="1120" w:right="2799"/>
        <w:spacing w:after="0" w:line="254" w:lineRule="auto"/>
        <w:rPr>
          <w:sz w:val="20"/>
          <w:szCs w:val="20"/>
          <w:color w:val="auto"/>
        </w:rPr>
      </w:pPr>
      <w:r>
        <w:rPr>
          <w:rFonts w:ascii="Times New Roman" w:cs="Times New Roman" w:eastAsia="Times New Roman" w:hAnsi="Times New Roman"/>
          <w:sz w:val="14"/>
          <w:szCs w:val="14"/>
          <w:color w:val="auto"/>
        </w:rPr>
        <w:t>In January 1996, an investment program ("1996 program") for expansion of the Company's plant in the aggregate amount (as amended in December 1999 and 2001) of $228,680 was approved by the Investment Center. The approval certificate provides for a benefit track entitling the Company to investment grants at a rate of 34% of the investments included in such certificate made through December 31, 2001. The Company completed its investments under the 1996 program in December 2001 and invested through such date approximately $207,000. In May 2002, the Company submitted the final report in relation to the 1996 program.</w:t>
      </w:r>
    </w:p>
    <w:p>
      <w:pPr>
        <w:spacing w:after="0" w:line="60" w:lineRule="exact"/>
        <w:rPr>
          <w:sz w:val="20"/>
          <w:szCs w:val="20"/>
          <w:color w:val="auto"/>
        </w:rPr>
      </w:pPr>
    </w:p>
    <w:p>
      <w:pPr>
        <w:jc w:val="both"/>
        <w:ind w:left="1120" w:right="2939"/>
        <w:spacing w:after="0" w:line="279" w:lineRule="auto"/>
        <w:rPr>
          <w:sz w:val="20"/>
          <w:szCs w:val="20"/>
          <w:color w:val="auto"/>
        </w:rPr>
      </w:pPr>
      <w:r>
        <w:rPr>
          <w:rFonts w:ascii="Times New Roman" w:cs="Times New Roman" w:eastAsia="Times New Roman" w:hAnsi="Times New Roman"/>
          <w:sz w:val="14"/>
          <w:szCs w:val="14"/>
          <w:color w:val="auto"/>
        </w:rPr>
        <w:t>See Note 13A(6) with respect to the Fab 2 approved program, approved by the Investment Center in December 2000.</w:t>
      </w:r>
    </w:p>
    <w:p>
      <w:pPr>
        <w:spacing w:after="0" w:line="42" w:lineRule="exact"/>
        <w:rPr>
          <w:sz w:val="20"/>
          <w:szCs w:val="20"/>
          <w:color w:val="auto"/>
        </w:rPr>
      </w:pPr>
    </w:p>
    <w:p>
      <w:pPr>
        <w:jc w:val="both"/>
        <w:ind w:left="1120" w:right="2919"/>
        <w:spacing w:after="0" w:line="284" w:lineRule="auto"/>
        <w:rPr>
          <w:sz w:val="20"/>
          <w:szCs w:val="20"/>
          <w:color w:val="auto"/>
        </w:rPr>
      </w:pPr>
      <w:r>
        <w:rPr>
          <w:rFonts w:ascii="Times New Roman" w:cs="Times New Roman" w:eastAsia="Times New Roman" w:hAnsi="Times New Roman"/>
          <w:sz w:val="13"/>
          <w:szCs w:val="13"/>
          <w:color w:val="auto"/>
        </w:rPr>
        <w:t>Entitlement to the above grants is subject to various conditions.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3926840" cy="635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32" w:lineRule="exact"/>
        <w:rPr>
          <w:sz w:val="20"/>
          <w:szCs w:val="20"/>
          <w:color w:val="auto"/>
        </w:rPr>
      </w:pPr>
    </w:p>
    <w:p>
      <w:pPr>
        <w:ind w:left="1100" w:hanging="347"/>
        <w:spacing w:after="0"/>
        <w:tabs>
          <w:tab w:leader="none" w:pos="1100" w:val="left"/>
        </w:tabs>
        <w:numPr>
          <w:ilvl w:val="0"/>
          <w:numId w:val="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liens see Note 13A(4).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OTHER ASSETS</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Other assets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681730" cy="7302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3681730" cy="7302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26"/>
        </w:trPr>
        <w:tc>
          <w:tcPr>
            <w:tcW w:w="820" w:type="dxa"/>
            <w:vAlign w:val="bottom"/>
          </w:tcPr>
          <w:p>
            <w:pPr>
              <w:spacing w:after="0"/>
              <w:rPr>
                <w:sz w:val="10"/>
                <w:szCs w:val="10"/>
                <w:color w:val="auto"/>
              </w:rPr>
            </w:pPr>
          </w:p>
        </w:tc>
        <w:tc>
          <w:tcPr>
            <w:tcW w:w="3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In relation to Fab 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2001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3940" w:type="dxa"/>
            <w:vAlign w:val="bottom"/>
            <w:gridSpan w:val="2"/>
            <w:vMerge w:val="continue"/>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Technologies – Note 13A(1)</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w w:val="96"/>
              </w:rPr>
              <w:t>$78,572</w:t>
            </w:r>
          </w:p>
        </w:tc>
        <w:tc>
          <w:tcPr>
            <w:tcW w:w="20" w:type="dxa"/>
            <w:vAlign w:val="bottom"/>
          </w:tcPr>
          <w:p>
            <w:pPr>
              <w:spacing w:after="0"/>
              <w:rPr>
                <w:sz w:val="17"/>
                <w:szCs w:val="17"/>
                <w:color w:val="auto"/>
              </w:rPr>
            </w:pP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$43,664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Deferred financing charges</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13,560</w:t>
            </w:r>
          </w:p>
        </w:tc>
        <w:tc>
          <w:tcPr>
            <w:tcW w:w="20" w:type="dxa"/>
            <w:vAlign w:val="bottom"/>
          </w:tcPr>
          <w:p>
            <w:pPr>
              <w:spacing w:after="0"/>
              <w:rPr>
                <w:sz w:val="17"/>
                <w:szCs w:val="17"/>
                <w:color w:val="auto"/>
              </w:rPr>
            </w:pP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13,125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20" w:type="dxa"/>
            <w:vAlign w:val="bottom"/>
          </w:tcPr>
          <w:p>
            <w:pPr>
              <w:spacing w:after="0"/>
              <w:rPr>
                <w:sz w:val="17"/>
                <w:szCs w:val="17"/>
                <w:color w:val="auto"/>
              </w:rPr>
            </w:pPr>
          </w:p>
        </w:tc>
        <w:tc>
          <w:tcPr>
            <w:tcW w:w="39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3,052</w:t>
            </w:r>
          </w:p>
        </w:tc>
        <w:tc>
          <w:tcPr>
            <w:tcW w:w="20" w:type="dxa"/>
            <w:vAlign w:val="bottom"/>
          </w:tcPr>
          <w:p>
            <w:pPr>
              <w:spacing w:after="0"/>
              <w:rPr>
                <w:sz w:val="17"/>
                <w:szCs w:val="17"/>
                <w:color w:val="auto"/>
              </w:rPr>
            </w:pP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629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20" w:type="dxa"/>
            <w:vAlign w:val="bottom"/>
          </w:tcPr>
          <w:p>
            <w:pPr>
              <w:spacing w:after="0"/>
              <w:rPr>
                <w:sz w:val="18"/>
                <w:szCs w:val="18"/>
                <w:color w:val="auto"/>
              </w:rPr>
            </w:pPr>
          </w:p>
        </w:tc>
        <w:tc>
          <w:tcPr>
            <w:tcW w:w="39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8"/>
                <w:szCs w:val="18"/>
                <w:color w:val="auto"/>
              </w:rPr>
            </w:pP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60" w:type="dxa"/>
            <w:vAlign w:val="bottom"/>
            <w:tcBorders>
              <w:top w:val="single" w:sz="8" w:color="auto"/>
            </w:tcBorders>
            <w:gridSpan w:val="4"/>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95,213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top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57,910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8 — SHORT-TERM DEBT</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7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6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Short-term debt consist of the following:</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3"/>
        </w:trPr>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820" w:type="dxa"/>
            <w:vAlign w:val="bottom"/>
          </w:tcPr>
          <w:p>
            <w:pPr>
              <w:spacing w:after="0"/>
              <w:rPr>
                <w:sz w:val="10"/>
                <w:szCs w:val="10"/>
                <w:color w:val="auto"/>
              </w:rPr>
            </w:pPr>
          </w:p>
        </w:tc>
        <w:tc>
          <w:tcPr>
            <w:tcW w:w="39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Short-term debt from banks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3"/>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2001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3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6"/>
              </w:rPr>
              <w:t>$10,000</w:t>
            </w: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39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Current maturities of long-term debt (Note 10A)</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4,000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Borders>
              <w:top w:val="single" w:sz="8" w:color="auto"/>
              <w:bottom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6"/>
              </w:rPr>
              <w:t>$</w:t>
            </w:r>
            <w:r>
              <w:rPr>
                <w:rFonts w:ascii="Times New Roman" w:cs="Times New Roman" w:eastAsia="Times New Roman" w:hAnsi="Times New Roman"/>
                <w:sz w:val="14"/>
                <w:szCs w:val="14"/>
                <w:color w:val="auto"/>
                <w:w w:val="96"/>
              </w:rPr>
              <w:t>14,000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-1697990</wp:posOffset>
            </wp:positionV>
            <wp:extent cx="469265" cy="1968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469265" cy="1968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-2147570</wp:posOffset>
            </wp:positionV>
            <wp:extent cx="13335" cy="635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-2055495</wp:posOffset>
            </wp:positionV>
            <wp:extent cx="13335" cy="635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-2055495</wp:posOffset>
            </wp:positionV>
            <wp:extent cx="13335" cy="635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-1943100</wp:posOffset>
            </wp:positionV>
            <wp:extent cx="13335" cy="635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-1943100</wp:posOffset>
            </wp:positionV>
            <wp:extent cx="13335" cy="635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-1817370</wp:posOffset>
            </wp:positionV>
            <wp:extent cx="13335" cy="635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-1817370</wp:posOffset>
            </wp:positionV>
            <wp:extent cx="13335" cy="635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-1691640</wp:posOffset>
            </wp:positionV>
            <wp:extent cx="13335" cy="635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-1691640</wp:posOffset>
            </wp:positionV>
            <wp:extent cx="13335" cy="635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-1565910</wp:posOffset>
            </wp:positionV>
            <wp:extent cx="13335" cy="635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-1565910</wp:posOffset>
            </wp:positionV>
            <wp:extent cx="13335" cy="635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-1440180</wp:posOffset>
            </wp:positionV>
            <wp:extent cx="13335" cy="635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-1440180</wp:posOffset>
            </wp:positionV>
            <wp:extent cx="13335" cy="635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-1315085</wp:posOffset>
            </wp:positionV>
            <wp:extent cx="13335" cy="635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-1315085</wp:posOffset>
            </wp:positionV>
            <wp:extent cx="13335" cy="635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-1249045</wp:posOffset>
            </wp:positionV>
            <wp:extent cx="6350" cy="6604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-759460</wp:posOffset>
            </wp:positionV>
            <wp:extent cx="3662045" cy="389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3662045" cy="38989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-316865</wp:posOffset>
            </wp:positionV>
            <wp:extent cx="13335" cy="635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-316865</wp:posOffset>
            </wp:positionV>
            <wp:extent cx="13335" cy="635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-191135</wp:posOffset>
            </wp:positionV>
            <wp:extent cx="13335" cy="635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-191135</wp:posOffset>
            </wp:positionV>
            <wp:extent cx="13335" cy="635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-125095</wp:posOffset>
            </wp:positionV>
            <wp:extent cx="6350" cy="6604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wp:posOffset>
            </wp:positionV>
            <wp:extent cx="4442460" cy="11874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4442460" cy="118745"/>
                    </a:xfrm>
                    <a:prstGeom prst="rect">
                      <a:avLst/>
                    </a:prstGeom>
                    <a:noFill/>
                  </pic:spPr>
                </pic:pic>
              </a:graphicData>
            </a:graphic>
          </wp:anchor>
        </w:drawing>
      </w:r>
    </w:p>
    <w:p>
      <w:pPr>
        <w:spacing w:after="0" w:line="140" w:lineRule="exact"/>
        <w:rPr>
          <w:sz w:val="20"/>
          <w:szCs w:val="20"/>
          <w:color w:val="auto"/>
        </w:rPr>
      </w:pPr>
    </w:p>
    <w:p>
      <w:pPr>
        <w:ind w:left="1120" w:right="4119" w:hanging="305"/>
        <w:spacing w:after="0" w:line="248" w:lineRule="auto"/>
        <w:tabs>
          <w:tab w:leader="none" w:pos="1120" w:val="left"/>
        </w:tabs>
        <w:numPr>
          <w:ilvl w:val="0"/>
          <w:numId w:val="9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short-term debt as of December 31, 2001, designated for funding the Company's activities not related to Fab 2, was fully repaid in May 2002.</w:t>
      </w:r>
    </w:p>
    <w:p>
      <w:pPr>
        <w:spacing w:after="0" w:line="18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OTHER CURRENT LIABILITIES</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636010" cy="7302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3636010" cy="7302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96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2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960" w:type="dxa"/>
            <w:vAlign w:val="bottom"/>
          </w:tcPr>
          <w:p>
            <w:pPr>
              <w:spacing w:after="0"/>
              <w:rPr>
                <w:sz w:val="10"/>
                <w:szCs w:val="10"/>
                <w:color w:val="auto"/>
              </w:rPr>
            </w:pPr>
          </w:p>
        </w:tc>
        <w:tc>
          <w:tcPr>
            <w:tcW w:w="30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Accrued salaries</w:t>
            </w:r>
          </w:p>
        </w:tc>
        <w:tc>
          <w:tcPr>
            <w:tcW w:w="660" w:type="dxa"/>
            <w:vAlign w:val="bottom"/>
          </w:tcPr>
          <w:p>
            <w:pPr>
              <w:spacing w:after="0"/>
              <w:rPr>
                <w:sz w:val="10"/>
                <w:szCs w:val="10"/>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2002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8"/>
              </w:rPr>
              <w:t>$2,858</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3"/>
              </w:rPr>
              <w:t>$2,741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15"/>
                <w:szCs w:val="15"/>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Vacation accrual</w:t>
            </w:r>
          </w:p>
        </w:tc>
        <w:tc>
          <w:tcPr>
            <w:tcW w:w="660" w:type="dxa"/>
            <w:vAlign w:val="bottom"/>
          </w:tcPr>
          <w:p>
            <w:pPr>
              <w:spacing w:after="0"/>
              <w:rPr>
                <w:sz w:val="15"/>
                <w:szCs w:val="15"/>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2,910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2,199</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payable on convertible debentures</w:t>
            </w:r>
          </w:p>
        </w:tc>
        <w:tc>
          <w:tcPr>
            <w:tcW w:w="66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Due to related parties</w:t>
            </w:r>
          </w:p>
        </w:tc>
        <w:tc>
          <w:tcPr>
            <w:tcW w:w="660" w:type="dxa"/>
            <w:vAlign w:val="bottom"/>
          </w:tcPr>
          <w:p>
            <w:pPr>
              <w:spacing w:after="0"/>
              <w:rPr>
                <w:sz w:val="17"/>
                <w:szCs w:val="17"/>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6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w:t>
            </w:r>
          </w:p>
        </w:tc>
        <w:tc>
          <w:tcPr>
            <w:tcW w:w="66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203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9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Borders>
              <w:top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8,071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top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5,271</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10 — LONG-TERM DEBT</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40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96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w w:val="87"/>
              </w:rPr>
              <w:t>A.</w:t>
            </w:r>
          </w:p>
        </w:tc>
        <w:tc>
          <w:tcPr>
            <w:tcW w:w="30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Composition:</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Annual</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10"/>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23"/>
        </w:trPr>
        <w:tc>
          <w:tcPr>
            <w:tcW w:w="9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interest as of</w:t>
            </w:r>
          </w:p>
        </w:tc>
        <w:tc>
          <w:tcPr>
            <w:tcW w:w="8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960" w:type="dxa"/>
            <w:vAlign w:val="bottom"/>
          </w:tcPr>
          <w:p>
            <w:pPr>
              <w:spacing w:after="0"/>
              <w:rPr>
                <w:sz w:val="7"/>
                <w:szCs w:val="7"/>
                <w:color w:val="auto"/>
              </w:rPr>
            </w:pPr>
          </w:p>
        </w:tc>
        <w:tc>
          <w:tcPr>
            <w:tcW w:w="3060" w:type="dxa"/>
            <w:vAlign w:val="bottom"/>
          </w:tcPr>
          <w:p>
            <w:pPr>
              <w:spacing w:after="0"/>
              <w:rPr>
                <w:sz w:val="7"/>
                <w:szCs w:val="7"/>
                <w:color w:val="auto"/>
              </w:rPr>
            </w:pPr>
          </w:p>
        </w:tc>
        <w:tc>
          <w:tcPr>
            <w:tcW w:w="660" w:type="dxa"/>
            <w:vAlign w:val="bottom"/>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December 31,</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2002</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2001</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60" w:type="dxa"/>
            <w:vAlign w:val="bottom"/>
          </w:tcPr>
          <w:p>
            <w:pPr>
              <w:spacing w:after="0"/>
              <w:rPr>
                <w:sz w:val="11"/>
                <w:szCs w:val="11"/>
                <w:color w:val="auto"/>
              </w:rPr>
            </w:pPr>
          </w:p>
        </w:tc>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U.S. Dollar</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2002</w:t>
            </w:r>
          </w:p>
        </w:tc>
        <w:tc>
          <w:tcPr>
            <w:tcW w:w="5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60" w:type="dxa"/>
            <w:vAlign w:val="bottom"/>
            <w:vMerge w:val="continue"/>
          </w:tcPr>
          <w:p>
            <w:pPr>
              <w:spacing w:after="0"/>
              <w:rPr>
                <w:sz w:val="14"/>
                <w:szCs w:val="14"/>
                <w:color w:val="auto"/>
              </w:rPr>
            </w:pPr>
          </w:p>
        </w:tc>
        <w:tc>
          <w:tcPr>
            <w:tcW w:w="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5.83%</w:t>
            </w:r>
          </w:p>
        </w:tc>
        <w:tc>
          <w:tcPr>
            <w:tcW w:w="80" w:type="dxa"/>
            <w:vAlign w:val="bottom"/>
          </w:tcPr>
          <w:p>
            <w:pPr>
              <w:spacing w:after="0"/>
              <w:rPr>
                <w:sz w:val="14"/>
                <w:szCs w:val="14"/>
                <w:color w:val="auto"/>
              </w:rPr>
            </w:pPr>
          </w:p>
        </w:tc>
        <w:tc>
          <w:tcPr>
            <w:tcW w:w="5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w w:val="98"/>
              </w:rPr>
              <w:t>$172,000</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color w:val="auto"/>
                <w:w w:val="95"/>
              </w:rPr>
              <w:t>$119,000</w:t>
            </w: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U.S. Dollar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2.95%</w:t>
            </w:r>
          </w:p>
        </w:tc>
        <w:tc>
          <w:tcPr>
            <w:tcW w:w="66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color w:val="auto"/>
              </w:rPr>
              <w:t>85,000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color w:val="auto"/>
              </w:rPr>
              <w:t>257,000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119,000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 current maturities</w:t>
            </w:r>
          </w:p>
        </w:tc>
        <w:tc>
          <w:tcPr>
            <w:tcW w:w="660" w:type="dxa"/>
            <w:vAlign w:val="bottom"/>
          </w:tcPr>
          <w:p>
            <w:pPr>
              <w:spacing w:after="0"/>
              <w:rPr>
                <w:sz w:val="17"/>
                <w:szCs w:val="17"/>
                <w:color w:val="auto"/>
              </w:rPr>
            </w:pPr>
          </w:p>
        </w:tc>
        <w:tc>
          <w:tcPr>
            <w:tcW w:w="620" w:type="dxa"/>
            <w:vAlign w:val="bottom"/>
            <w:gridSpan w:val="6"/>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40" w:type="dxa"/>
            <w:vAlign w:val="bottom"/>
          </w:tcPr>
          <w:p>
            <w:pPr>
              <w:spacing w:after="0"/>
              <w:rPr>
                <w:sz w:val="17"/>
                <w:szCs w:val="17"/>
                <w:color w:val="auto"/>
              </w:rPr>
            </w:pPr>
          </w:p>
        </w:tc>
        <w:tc>
          <w:tcPr>
            <w:tcW w:w="6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57"/>
        </w:trPr>
        <w:tc>
          <w:tcPr>
            <w:tcW w:w="9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bottom w:val="single" w:sz="8" w:color="auto"/>
            </w:tcBorders>
            <w:gridSpan w:val="5"/>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253,000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top w:val="single" w:sz="8" w:color="auto"/>
              <w:bottom w:val="single" w:sz="8" w:color="auto"/>
            </w:tcBorders>
            <w:gridSpan w:val="3"/>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115,000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-1943100</wp:posOffset>
            </wp:positionV>
            <wp:extent cx="469265" cy="1968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469265" cy="1968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-2392045</wp:posOffset>
            </wp:positionV>
            <wp:extent cx="13335" cy="635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-2299970</wp:posOffset>
            </wp:positionV>
            <wp:extent cx="13335" cy="635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-2299970</wp:posOffset>
            </wp:positionV>
            <wp:extent cx="13335" cy="635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-2187575</wp:posOffset>
            </wp:positionV>
            <wp:extent cx="13335" cy="635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-2187575</wp:posOffset>
            </wp:positionV>
            <wp:extent cx="13335" cy="635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-2061845</wp:posOffset>
            </wp:positionV>
            <wp:extent cx="13335" cy="635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-2061845</wp:posOffset>
            </wp:positionV>
            <wp:extent cx="13335" cy="635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-1936115</wp:posOffset>
            </wp:positionV>
            <wp:extent cx="13335" cy="635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-1936115</wp:posOffset>
            </wp:positionV>
            <wp:extent cx="13335" cy="635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-1810385</wp:posOffset>
            </wp:positionV>
            <wp:extent cx="13335" cy="635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-1810385</wp:posOffset>
            </wp:positionV>
            <wp:extent cx="13335" cy="635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-1685290</wp:posOffset>
            </wp:positionV>
            <wp:extent cx="13335" cy="635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-1685290</wp:posOffset>
            </wp:positionV>
            <wp:extent cx="13335" cy="635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-1559560</wp:posOffset>
            </wp:positionV>
            <wp:extent cx="13335" cy="635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3333750</wp:posOffset>
            </wp:positionH>
            <wp:positionV relativeFrom="paragraph">
              <wp:posOffset>-1559560</wp:posOffset>
            </wp:positionV>
            <wp:extent cx="13335" cy="635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-1493520</wp:posOffset>
            </wp:positionV>
            <wp:extent cx="6350" cy="6604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-1215390</wp:posOffset>
            </wp:positionV>
            <wp:extent cx="3919855" cy="635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-997585</wp:posOffset>
            </wp:positionV>
            <wp:extent cx="3807460" cy="57531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3807460" cy="575310"/>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-316865</wp:posOffset>
            </wp:positionV>
            <wp:extent cx="13335" cy="635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-316865</wp:posOffset>
            </wp:positionV>
            <wp:extent cx="13335" cy="635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-316865</wp:posOffset>
            </wp:positionV>
            <wp:extent cx="13335" cy="635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-191135</wp:posOffset>
            </wp:positionV>
            <wp:extent cx="13335" cy="635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-191135</wp:posOffset>
            </wp:positionV>
            <wp:extent cx="13335" cy="635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-191135</wp:posOffset>
            </wp:positionV>
            <wp:extent cx="13335" cy="635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2494280</wp:posOffset>
            </wp:positionH>
            <wp:positionV relativeFrom="paragraph">
              <wp:posOffset>-65405</wp:posOffset>
            </wp:positionV>
            <wp:extent cx="13335" cy="635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-65405</wp:posOffset>
            </wp:positionV>
            <wp:extent cx="13335" cy="635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-65405</wp:posOffset>
            </wp:positionV>
            <wp:extent cx="13335" cy="635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19855" cy="7302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3919855" cy="73025"/>
                    </a:xfrm>
                    <a:prstGeom prst="rect">
                      <a:avLst/>
                    </a:prstGeom>
                    <a:noFill/>
                  </pic:spPr>
                </pic:pic>
              </a:graphicData>
            </a:graphic>
          </wp:anchor>
        </w:drawing>
      </w:r>
    </w:p>
    <w:p>
      <w:pPr>
        <w:spacing w:after="0" w:line="163" w:lineRule="exact"/>
        <w:rPr>
          <w:sz w:val="20"/>
          <w:szCs w:val="20"/>
          <w:color w:val="auto"/>
        </w:rPr>
      </w:pPr>
    </w:p>
    <w:p>
      <w:pPr>
        <w:ind w:left="1160" w:hanging="345"/>
        <w:spacing w:after="0"/>
        <w:tabs>
          <w:tab w:leader="none" w:pos="1160" w:val="left"/>
        </w:tabs>
        <w:numPr>
          <w:ilvl w:val="0"/>
          <w:numId w:val="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Loans received bear interest based on the three-month USD Libor rate plus 1.50% to</w:t>
      </w:r>
    </w:p>
    <w:p>
      <w:pPr>
        <w:spacing w:after="0" w:line="20" w:lineRule="exact"/>
        <w:rPr>
          <w:rFonts w:ascii="Times New Roman" w:cs="Times New Roman" w:eastAsia="Times New Roman" w:hAnsi="Times New Roman"/>
          <w:sz w:val="14"/>
          <w:szCs w:val="14"/>
          <w:b w:val="1"/>
          <w:bCs w:val="1"/>
          <w:color w:val="auto"/>
        </w:rPr>
      </w:pPr>
    </w:p>
    <w:p>
      <w:pPr>
        <w:ind w:left="1160" w:right="413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1.55%. The annual interest rate of loans, the amount of which as of December 31, 2002 was $172,000, reflects the terms of collar agreements with a knock-out feature described in Note 18A. Interest is payable at the end of each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wp:posOffset>
            </wp:positionV>
            <wp:extent cx="3919855" cy="635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ectPr>
          <w:pgSz w:w="11900" w:h="16838" w:orient="portrait"/>
          <w:cols w:equalWidth="0" w:num="1">
            <w:col w:w="10239"/>
          </w:cols>
          <w:pgMar w:left="220" w:top="477" w:right="1440" w:bottom="0" w:gutter="0" w:footer="0" w:header="0"/>
        </w:sectPr>
      </w:pPr>
    </w:p>
    <w:bookmarkStart w:id="55" w:name="page56"/>
    <w:bookmarkEnd w:id="55"/>
    <w:p>
      <w:pPr>
        <w:ind w:left="1160" w:right="4079" w:hanging="345"/>
        <w:spacing w:after="0" w:line="258" w:lineRule="auto"/>
        <w:tabs>
          <w:tab w:leader="none" w:pos="116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See Note 13A(4) for additional information regarding the Facility Agreement between the Company and the Banks for financing the construction of Fab 2. Of the total amount of the long-term debt as of December 31, 2002, $13,000 are designated for the Company's activities not related to Fab 2 ($17,000 as of December 31, 2001).</w:t>
      </w:r>
    </w:p>
    <w:p>
      <w:pPr>
        <w:spacing w:after="0" w:line="148" w:lineRule="exact"/>
        <w:rPr>
          <w:rFonts w:ascii="Times New Roman" w:cs="Times New Roman" w:eastAsia="Times New Roman" w:hAnsi="Times New Roman"/>
          <w:sz w:val="14"/>
          <w:szCs w:val="14"/>
          <w:b w:val="1"/>
          <w:bCs w:val="1"/>
          <w:color w:val="auto"/>
        </w:rPr>
      </w:pPr>
    </w:p>
    <w:p>
      <w:pPr>
        <w:ind w:left="1160" w:hanging="345"/>
        <w:spacing w:after="0"/>
        <w:tabs>
          <w:tab w:leader="none" w:pos="1160" w:val="left"/>
        </w:tabs>
        <w:numPr>
          <w:ilvl w:val="0"/>
          <w:numId w:val="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Repayment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3919855" cy="635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5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4"/>
          <w:szCs w:val="14"/>
          <w:color w:val="auto"/>
        </w:rPr>
        <w:t>The balance of the long-term debt as of December 31, 2002, is repayable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8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2003 – current maturities</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700" w:type="dxa"/>
            <w:vAlign w:val="bottom"/>
          </w:tcPr>
          <w:p>
            <w:pPr>
              <w:spacing w:after="0"/>
              <w:rPr>
                <w:sz w:val="17"/>
                <w:szCs w:val="17"/>
                <w:color w:val="auto"/>
              </w:rPr>
            </w:pPr>
          </w:p>
        </w:tc>
      </w:tr>
      <w:tr>
        <w:trPr>
          <w:trHeight w:val="261"/>
        </w:trPr>
        <w:tc>
          <w:tcPr>
            <w:tcW w:w="28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2004</w:t>
            </w:r>
          </w:p>
        </w:tc>
        <w:tc>
          <w:tcPr>
            <w:tcW w:w="29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9,167</w:t>
            </w:r>
          </w:p>
        </w:tc>
        <w:tc>
          <w:tcPr>
            <w:tcW w:w="1700" w:type="dxa"/>
            <w:vAlign w:val="bottom"/>
          </w:tcPr>
          <w:p>
            <w:pPr>
              <w:spacing w:after="0"/>
              <w:rPr>
                <w:sz w:val="22"/>
                <w:szCs w:val="22"/>
                <w:color w:val="auto"/>
              </w:rPr>
            </w:pPr>
          </w:p>
        </w:tc>
      </w:tr>
      <w:tr>
        <w:trPr>
          <w:trHeight w:val="198"/>
        </w:trPr>
        <w:tc>
          <w:tcPr>
            <w:tcW w:w="28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2005</w:t>
            </w: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61,667</w:t>
            </w:r>
          </w:p>
        </w:tc>
        <w:tc>
          <w:tcPr>
            <w:tcW w:w="1700" w:type="dxa"/>
            <w:vAlign w:val="bottom"/>
          </w:tcPr>
          <w:p>
            <w:pPr>
              <w:spacing w:after="0"/>
              <w:rPr>
                <w:sz w:val="17"/>
                <w:szCs w:val="17"/>
                <w:color w:val="auto"/>
              </w:rPr>
            </w:pPr>
          </w:p>
        </w:tc>
      </w:tr>
      <w:tr>
        <w:trPr>
          <w:trHeight w:val="198"/>
        </w:trPr>
        <w:tc>
          <w:tcPr>
            <w:tcW w:w="28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2006</w:t>
            </w: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82,333</w:t>
            </w:r>
          </w:p>
        </w:tc>
        <w:tc>
          <w:tcPr>
            <w:tcW w:w="1700" w:type="dxa"/>
            <w:vAlign w:val="bottom"/>
          </w:tcPr>
          <w:p>
            <w:pPr>
              <w:spacing w:after="0"/>
              <w:rPr>
                <w:sz w:val="17"/>
                <w:szCs w:val="17"/>
                <w:color w:val="auto"/>
              </w:rPr>
            </w:pPr>
          </w:p>
        </w:tc>
      </w:tr>
      <w:tr>
        <w:trPr>
          <w:trHeight w:val="218"/>
        </w:trPr>
        <w:tc>
          <w:tcPr>
            <w:tcW w:w="2800" w:type="dxa"/>
            <w:vAlign w:val="bottom"/>
          </w:tcPr>
          <w:p>
            <w:pPr>
              <w:ind w:left="1160"/>
              <w:spacing w:after="0"/>
              <w:rPr>
                <w:sz w:val="20"/>
                <w:szCs w:val="20"/>
                <w:color w:val="auto"/>
              </w:rPr>
            </w:pPr>
            <w:r>
              <w:rPr>
                <w:rFonts w:ascii="Times New Roman" w:cs="Times New Roman" w:eastAsia="Times New Roman" w:hAnsi="Times New Roman"/>
                <w:sz w:val="14"/>
                <w:szCs w:val="14"/>
                <w:color w:val="auto"/>
              </w:rPr>
              <w:t>2007 and thereafter</w:t>
            </w:r>
          </w:p>
        </w:tc>
        <w:tc>
          <w:tcPr>
            <w:tcW w:w="29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99,833</w:t>
            </w:r>
          </w:p>
        </w:tc>
        <w:tc>
          <w:tcPr>
            <w:tcW w:w="1700" w:type="dxa"/>
            <w:vAlign w:val="bottom"/>
          </w:tcPr>
          <w:p>
            <w:pPr>
              <w:spacing w:after="0"/>
              <w:rPr>
                <w:sz w:val="18"/>
                <w:szCs w:val="18"/>
                <w:color w:val="auto"/>
              </w:rPr>
            </w:pPr>
          </w:p>
        </w:tc>
      </w:tr>
      <w:tr>
        <w:trPr>
          <w:trHeight w:val="178"/>
        </w:trPr>
        <w:tc>
          <w:tcPr>
            <w:tcW w:w="28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253,000</w:t>
            </w:r>
          </w:p>
        </w:tc>
        <w:tc>
          <w:tcPr>
            <w:tcW w:w="1700" w:type="dxa"/>
            <w:vAlign w:val="bottom"/>
          </w:tcPr>
          <w:p>
            <w:pPr>
              <w:spacing w:after="0"/>
              <w:rPr>
                <w:sz w:val="15"/>
                <w:szCs w:val="15"/>
                <w:color w:val="auto"/>
              </w:rPr>
            </w:pPr>
          </w:p>
        </w:tc>
      </w:tr>
      <w:tr>
        <w:trPr>
          <w:trHeight w:val="157"/>
        </w:trPr>
        <w:tc>
          <w:tcPr>
            <w:tcW w:w="28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257,000</w:t>
            </w:r>
          </w:p>
        </w:tc>
        <w:tc>
          <w:tcPr>
            <w:tcW w:w="1700" w:type="dxa"/>
            <w:vAlign w:val="bottom"/>
          </w:tcPr>
          <w:p>
            <w:pPr>
              <w:spacing w:after="0"/>
              <w:rPr>
                <w:sz w:val="13"/>
                <w:szCs w:val="13"/>
                <w:color w:val="auto"/>
              </w:rPr>
            </w:pPr>
          </w:p>
        </w:tc>
      </w:tr>
      <w:tr>
        <w:trPr>
          <w:trHeight w:val="20"/>
        </w:trPr>
        <w:tc>
          <w:tcPr>
            <w:tcW w:w="2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378"/>
        </w:trPr>
        <w:tc>
          <w:tcPr>
            <w:tcW w:w="2800" w:type="dxa"/>
            <w:vAlign w:val="bottom"/>
          </w:tcPr>
          <w:p>
            <w:pPr>
              <w:spacing w:after="0"/>
              <w:rPr>
                <w:sz w:val="24"/>
                <w:szCs w:val="24"/>
                <w:color w:val="auto"/>
              </w:rPr>
            </w:pPr>
          </w:p>
        </w:tc>
        <w:tc>
          <w:tcPr>
            <w:tcW w:w="2980" w:type="dxa"/>
            <w:vAlign w:val="bottom"/>
            <w:gridSpan w:val="2"/>
          </w:tcPr>
          <w:p>
            <w:pPr>
              <w:jc w:val="right"/>
              <w:ind w:right="2411"/>
              <w:spacing w:after="0"/>
              <w:rPr>
                <w:sz w:val="20"/>
                <w:szCs w:val="20"/>
                <w:color w:val="auto"/>
              </w:rPr>
            </w:pPr>
            <w:r>
              <w:rPr>
                <w:rFonts w:ascii="Times New Roman" w:cs="Times New Roman" w:eastAsia="Times New Roman" w:hAnsi="Times New Roman"/>
                <w:sz w:val="14"/>
                <w:szCs w:val="14"/>
                <w:color w:val="auto"/>
              </w:rPr>
              <w:t>F-17</w:t>
            </w:r>
          </w:p>
        </w:tc>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6"/>
        </w:trPr>
        <w:tc>
          <w:tcPr>
            <w:tcW w:w="28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31750" cy="3873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-984250</wp:posOffset>
            </wp:positionV>
            <wp:extent cx="740410" cy="1968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740410" cy="1968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-1480185</wp:posOffset>
            </wp:positionV>
            <wp:extent cx="3225800" cy="635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3225800"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-1414145</wp:posOffset>
            </wp:positionV>
            <wp:extent cx="13335" cy="635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-1414145</wp:posOffset>
            </wp:positionV>
            <wp:extent cx="13335" cy="635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-1222375</wp:posOffset>
            </wp:positionV>
            <wp:extent cx="13335" cy="635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-1222375</wp:posOffset>
            </wp:positionV>
            <wp:extent cx="13335" cy="635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-1096645</wp:posOffset>
            </wp:positionV>
            <wp:extent cx="13335" cy="635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-1096645</wp:posOffset>
            </wp:positionV>
            <wp:extent cx="13335" cy="635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-970915</wp:posOffset>
            </wp:positionV>
            <wp:extent cx="13335" cy="635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-970915</wp:posOffset>
            </wp:positionV>
            <wp:extent cx="13335" cy="635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-845185</wp:posOffset>
            </wp:positionV>
            <wp:extent cx="13335" cy="635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-845185</wp:posOffset>
            </wp:positionV>
            <wp:extent cx="13335" cy="635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-720090</wp:posOffset>
            </wp:positionV>
            <wp:extent cx="13335" cy="635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-720090</wp:posOffset>
            </wp:positionV>
            <wp:extent cx="13335" cy="635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3439160</wp:posOffset>
            </wp:positionH>
            <wp:positionV relativeFrom="paragraph">
              <wp:posOffset>-594360</wp:posOffset>
            </wp:positionV>
            <wp:extent cx="13335" cy="635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-594360</wp:posOffset>
            </wp:positionV>
            <wp:extent cx="13335" cy="635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-528320</wp:posOffset>
            </wp:positionV>
            <wp:extent cx="6350" cy="6604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LONG-TERM DEBT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19855" cy="635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81" w:lineRule="exact"/>
        <w:rPr>
          <w:sz w:val="20"/>
          <w:szCs w:val="20"/>
          <w:color w:val="auto"/>
        </w:rPr>
      </w:pPr>
    </w:p>
    <w:p>
      <w:pPr>
        <w:ind w:left="1160" w:right="4139" w:hanging="345"/>
        <w:spacing w:after="0" w:line="254" w:lineRule="auto"/>
        <w:tabs>
          <w:tab w:leader="none" w:pos="1160" w:val="left"/>
        </w:tabs>
        <w:numPr>
          <w:ilvl w:val="0"/>
          <w:numId w:val="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agreements with the Company's Banks restrict the Company's ability to place liens on its assets (other than to the State of Israel in respect of investment grants) without the prior consent of the Banks. Furthermore, the agreements contain certain restrictive financial covenants (see also Note 13A(4)). As of December 31, 2002, in management's opinion the Company was in full compliance with such covenants, except as indicated in Note 13A(4).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CONVERTIBLE DEBENTURES</w:t>
      </w:r>
    </w:p>
    <w:p>
      <w:pPr>
        <w:spacing w:after="0" w:line="91" w:lineRule="exact"/>
        <w:rPr>
          <w:sz w:val="20"/>
          <w:szCs w:val="20"/>
          <w:color w:val="auto"/>
        </w:rPr>
      </w:pPr>
    </w:p>
    <w:p>
      <w:pPr>
        <w:jc w:val="both"/>
        <w:ind w:left="840" w:right="3239"/>
        <w:spacing w:after="0" w:line="275" w:lineRule="auto"/>
        <w:rPr>
          <w:sz w:val="20"/>
          <w:szCs w:val="20"/>
          <w:color w:val="auto"/>
        </w:rPr>
      </w:pPr>
      <w:r>
        <w:rPr>
          <w:rFonts w:ascii="Times New Roman" w:cs="Times New Roman" w:eastAsia="Times New Roman" w:hAnsi="Times New Roman"/>
          <w:sz w:val="13"/>
          <w:szCs w:val="13"/>
          <w:color w:val="auto"/>
        </w:rPr>
        <w:t>On January 22, 2002, the Company issued, based on a prospectus published on January 15, 2002 in Israel, NIS principal amount of 110,579,800 convertible debentures. The debentures were issued at 96% of their par value. The debentures are linked to the Israeli Consumer Price Index ("CPI") and bear annual interest at the rate of</w:t>
      </w:r>
    </w:p>
    <w:p>
      <w:pPr>
        <w:spacing w:after="0" w:line="1" w:lineRule="exact"/>
        <w:rPr>
          <w:sz w:val="20"/>
          <w:szCs w:val="20"/>
          <w:color w:val="auto"/>
        </w:rPr>
      </w:pPr>
    </w:p>
    <w:p>
      <w:pPr>
        <w:ind w:left="840" w:right="3199"/>
        <w:spacing w:after="0" w:line="249" w:lineRule="auto"/>
        <w:rPr>
          <w:sz w:val="20"/>
          <w:szCs w:val="20"/>
          <w:color w:val="auto"/>
        </w:rPr>
      </w:pPr>
      <w:r>
        <w:rPr>
          <w:rFonts w:ascii="Times New Roman" w:cs="Times New Roman" w:eastAsia="Times New Roman" w:hAnsi="Times New Roman"/>
          <w:sz w:val="14"/>
          <w:szCs w:val="14"/>
          <w:color w:val="auto"/>
        </w:rPr>
        <w:t>4.7%, payable on January 20 of each year commencing on January 20, 2003. The principal on the debentures is payable in four installments on January 20 of each year between 2006 and 2009. The debentures may be converted until December 31, 2008 into Ordinary Shares, at a conversion rate of one Ordinary Share per each NIS 41 amount of the debentures (subject to customary adjustments). The effective rate of interest on the convertible debentures, taking into account the initial proceeds, net of the discount and the related costs of issuance, is 7.26%. For U.S. GAAP purposes, which require taking into account, in addition to the discount and the related issuance costs, amounts attributed to the options described in Note 14E, the effective rate of interest on the convertible debentures is 9.88%.</w:t>
      </w:r>
    </w:p>
    <w:p>
      <w:pPr>
        <w:spacing w:after="0" w:line="65" w:lineRule="exact"/>
        <w:rPr>
          <w:sz w:val="20"/>
          <w:szCs w:val="20"/>
          <w:color w:val="auto"/>
        </w:rPr>
      </w:pPr>
    </w:p>
    <w:p>
      <w:pPr>
        <w:ind w:left="840" w:right="3099"/>
        <w:spacing w:after="0" w:line="263" w:lineRule="auto"/>
        <w:rPr>
          <w:sz w:val="20"/>
          <w:szCs w:val="20"/>
          <w:color w:val="auto"/>
        </w:rPr>
      </w:pPr>
      <w:r>
        <w:rPr>
          <w:rFonts w:ascii="Times New Roman" w:cs="Times New Roman" w:eastAsia="Times New Roman" w:hAnsi="Times New Roman"/>
          <w:sz w:val="14"/>
          <w:szCs w:val="14"/>
          <w:color w:val="auto"/>
        </w:rPr>
        <w:t>Subject to certain conditions, the Company may, commencing in July 2005, announce the early redemption of the debentures or part thereof, provided that the sum of the last payment on account of the principal shall be no less than approximately $700.</w:t>
      </w:r>
    </w:p>
    <w:p>
      <w:pPr>
        <w:spacing w:after="0" w:line="54" w:lineRule="exact"/>
        <w:rPr>
          <w:sz w:val="20"/>
          <w:szCs w:val="20"/>
          <w:color w:val="auto"/>
        </w:rPr>
      </w:pPr>
    </w:p>
    <w:p>
      <w:pPr>
        <w:ind w:left="840" w:right="3159"/>
        <w:spacing w:after="0" w:line="258" w:lineRule="auto"/>
        <w:rPr>
          <w:sz w:val="20"/>
          <w:szCs w:val="20"/>
          <w:color w:val="auto"/>
        </w:rPr>
      </w:pPr>
      <w:r>
        <w:rPr>
          <w:rFonts w:ascii="Times New Roman" w:cs="Times New Roman" w:eastAsia="Times New Roman" w:hAnsi="Times New Roman"/>
          <w:sz w:val="14"/>
          <w:szCs w:val="14"/>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57" w:lineRule="exact"/>
        <w:rPr>
          <w:sz w:val="20"/>
          <w:szCs w:val="20"/>
          <w:color w:val="auto"/>
        </w:rPr>
      </w:pPr>
    </w:p>
    <w:p>
      <w:pPr>
        <w:ind w:left="840" w:right="3099"/>
        <w:spacing w:after="0" w:line="258" w:lineRule="auto"/>
        <w:rPr>
          <w:sz w:val="20"/>
          <w:szCs w:val="20"/>
          <w:color w:val="auto"/>
        </w:rPr>
      </w:pPr>
      <w:r>
        <w:rPr>
          <w:rFonts w:ascii="Times New Roman" w:cs="Times New Roman" w:eastAsia="Times New Roman" w:hAnsi="Times New Roman"/>
          <w:sz w:val="14"/>
          <w:szCs w:val="14"/>
          <w:color w:val="auto"/>
        </w:rPr>
        <w:t>Pursuant to a covenant in the Facility Agreement, the Company deposited 50% of the principal amount (net of discounts) of the unconverted debentures ($11,893 as of December 31, 2002) in favor of the Banks as security for payment of the amounts the Company owes the Banks. The said amount may be released only as provided in the Facility Agreement, including for payment of interest on the convertible debentures.</w:t>
      </w:r>
    </w:p>
    <w:p>
      <w:pPr>
        <w:spacing w:after="0" w:line="57" w:lineRule="exact"/>
        <w:rPr>
          <w:sz w:val="20"/>
          <w:szCs w:val="20"/>
          <w:color w:val="auto"/>
        </w:rPr>
      </w:pPr>
    </w:p>
    <w:p>
      <w:pPr>
        <w:ind w:left="840" w:right="3339"/>
        <w:spacing w:after="0" w:line="263" w:lineRule="auto"/>
        <w:rPr>
          <w:sz w:val="20"/>
          <w:szCs w:val="20"/>
          <w:color w:val="auto"/>
        </w:rPr>
      </w:pPr>
      <w:r>
        <w:rPr>
          <w:rFonts w:ascii="Times New Roman" w:cs="Times New Roman" w:eastAsia="Times New Roman" w:hAnsi="Times New Roman"/>
          <w:sz w:val="14"/>
          <w:szCs w:val="14"/>
          <w:color w:val="auto"/>
        </w:rPr>
        <w:t>The debentures are unsecured and rank behind the Company's existing and future secured indebtedness to the Banks under the Facility Agreement, as well as to the government of Israel in connection with grants the Company receives under the Fab 2 approved enterprise program.</w:t>
      </w:r>
    </w:p>
    <w:p>
      <w:pPr>
        <w:spacing w:after="0" w:line="5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See Note 20E for disclosure of the accounting treatment of the convertible debentures under U.S. GAAP.</w:t>
      </w:r>
    </w:p>
    <w:p>
      <w:pPr>
        <w:spacing w:after="0" w:line="23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 OTHER LONG-TERM LIABILITIES</w:t>
      </w:r>
    </w:p>
    <w:p>
      <w:pPr>
        <w:spacing w:after="0" w:line="78" w:lineRule="exact"/>
        <w:rPr>
          <w:sz w:val="20"/>
          <w:szCs w:val="20"/>
          <w:color w:val="auto"/>
        </w:rPr>
      </w:pPr>
    </w:p>
    <w:p>
      <w:pPr>
        <w:ind w:left="1100" w:hanging="264"/>
        <w:spacing w:after="0"/>
        <w:tabs>
          <w:tab w:leader="none" w:pos="1100" w:val="left"/>
        </w:tabs>
        <w:numPr>
          <w:ilvl w:val="0"/>
          <w:numId w:val="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3827145" cy="73025"/>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3827145" cy="73025"/>
                    </a:xfrm>
                    <a:prstGeom prst="rect">
                      <a:avLst/>
                    </a:prstGeom>
                    <a:noFill/>
                  </pic:spPr>
                </pic:pic>
              </a:graphicData>
            </a:graphic>
          </wp:anchor>
        </w:drawing>
      </w:r>
    </w:p>
    <w:p>
      <w:pPr>
        <w:spacing w:after="0" w:line="19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1"/>
          <w:szCs w:val="11"/>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4445</wp:posOffset>
            </wp:positionV>
            <wp:extent cx="806450" cy="635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806450"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-41275</wp:posOffset>
            </wp:positionV>
            <wp:extent cx="13335" cy="635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ind w:left="5020"/>
        <w:spacing w:after="0"/>
        <w:tabs>
          <w:tab w:leader="none" w:pos="5680" w:val="left"/>
        </w:tabs>
        <w:rPr>
          <w:sz w:val="20"/>
          <w:szCs w:val="20"/>
          <w:color w:val="auto"/>
        </w:rPr>
      </w:pPr>
      <w:r>
        <w:rPr>
          <w:rFonts w:ascii="Times New Roman" w:cs="Times New Roman" w:eastAsia="Times New Roman" w:hAnsi="Times New Roman"/>
          <w:sz w:val="11"/>
          <w:szCs w:val="11"/>
          <w:b w:val="1"/>
          <w:bCs w:val="1"/>
          <w:color w:val="auto"/>
        </w:rPr>
        <w:t>2002</w:t>
      </w:r>
      <w:r>
        <w:rPr>
          <w:sz w:val="20"/>
          <w:szCs w:val="20"/>
          <w:color w:val="auto"/>
        </w:rPr>
        <w:tab/>
      </w:r>
      <w:r>
        <w:rPr>
          <w:rFonts w:ascii="Times New Roman" w:cs="Times New Roman" w:eastAsia="Times New Roman" w:hAnsi="Times New Roman"/>
          <w:sz w:val="11"/>
          <w:szCs w:val="11"/>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4445</wp:posOffset>
            </wp:positionV>
            <wp:extent cx="806450" cy="635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806450"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-41275</wp:posOffset>
            </wp:positionV>
            <wp:extent cx="13335" cy="635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-41275</wp:posOffset>
            </wp:positionV>
            <wp:extent cx="13335" cy="635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ind w:left="1300" w:right="6499" w:hanging="138"/>
        <w:spacing w:after="0" w:line="256" w:lineRule="auto"/>
        <w:rPr>
          <w:sz w:val="20"/>
          <w:szCs w:val="20"/>
          <w:color w:val="auto"/>
        </w:rPr>
      </w:pPr>
      <w:r>
        <w:rPr>
          <w:rFonts w:ascii="Times New Roman" w:cs="Times New Roman" w:eastAsia="Times New Roman" w:hAnsi="Times New Roman"/>
          <w:sz w:val="14"/>
          <w:szCs w:val="14"/>
          <w:color w:val="auto"/>
        </w:rPr>
        <w:t>Net liability for employee termination benefits (see 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-105410</wp:posOffset>
            </wp:positionV>
            <wp:extent cx="13335" cy="635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-105410</wp:posOffset>
            </wp:positionV>
            <wp:extent cx="13335" cy="635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tbl>
      <w:tblPr>
        <w:tblLayout w:type="fixed"/>
        <w:tblInd w:w="1300" w:type="dxa"/>
        <w:tblCellMar>
          <w:top w:w="0" w:type="dxa"/>
          <w:left w:w="0" w:type="dxa"/>
          <w:bottom w:w="0" w:type="dxa"/>
          <w:right w:w="0" w:type="dxa"/>
        </w:tblCellMar>
      </w:tblPr>
      <w:tr>
        <w:trPr>
          <w:trHeight w:val="182"/>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Gross obligation</w:t>
            </w:r>
          </w:p>
        </w:tc>
        <w:tc>
          <w:tcPr>
            <w:tcW w:w="19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$ 16,274</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$ 12,918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-45720</wp:posOffset>
            </wp:positionV>
            <wp:extent cx="13335" cy="635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-45720</wp:posOffset>
            </wp:positionV>
            <wp:extent cx="13335" cy="635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4"/>
          <w:szCs w:val="14"/>
          <w:color w:val="auto"/>
        </w:rPr>
        <w:t>Amounts funded through deposits to severance pay funds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-39370</wp:posOffset>
            </wp:positionV>
            <wp:extent cx="694055" cy="1968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694055" cy="19685"/>
                    </a:xfrm>
                    <a:prstGeom prst="rect">
                      <a:avLst/>
                    </a:prstGeom>
                    <a:noFill/>
                  </pic:spPr>
                </pic:pic>
              </a:graphicData>
            </a:graphic>
          </wp:anchor>
        </w:drawing>
      </w:r>
    </w:p>
    <w:p>
      <w:pPr>
        <w:spacing w:after="0" w:line="1" w:lineRule="exact"/>
        <w:rPr>
          <w:sz w:val="20"/>
          <w:szCs w:val="20"/>
          <w:color w:val="auto"/>
        </w:rPr>
      </w:pPr>
    </w:p>
    <w:p>
      <w:pPr>
        <w:ind w:left="1440"/>
        <w:spacing w:after="0"/>
        <w:tabs>
          <w:tab w:leader="none" w:pos="4900" w:val="left"/>
          <w:tab w:leader="none" w:pos="5580" w:val="left"/>
        </w:tabs>
        <w:rPr>
          <w:sz w:val="20"/>
          <w:szCs w:val="20"/>
          <w:color w:val="auto"/>
        </w:rPr>
      </w:pPr>
      <w:r>
        <w:rPr>
          <w:rFonts w:ascii="Times New Roman" w:cs="Times New Roman" w:eastAsia="Times New Roman" w:hAnsi="Times New Roman"/>
          <w:sz w:val="14"/>
          <w:szCs w:val="14"/>
          <w:color w:val="auto"/>
        </w:rPr>
        <w:t>purchase of insurance policies</w:t>
      </w:r>
      <w:r>
        <w:rPr>
          <w:sz w:val="20"/>
          <w:szCs w:val="20"/>
          <w:color w:val="auto"/>
        </w:rPr>
        <w:tab/>
      </w:r>
      <w:r>
        <w:rPr>
          <w:rFonts w:ascii="Times New Roman" w:cs="Times New Roman" w:eastAsia="Times New Roman" w:hAnsi="Times New Roman"/>
          <w:sz w:val="14"/>
          <w:szCs w:val="14"/>
          <w:color w:val="auto"/>
        </w:rPr>
        <w:t>(12,368)</w:t>
        <w:tab/>
        <w:t>(10,334)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16510</wp:posOffset>
            </wp:positionV>
            <wp:extent cx="753745" cy="635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75374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-95250</wp:posOffset>
            </wp:positionV>
            <wp:extent cx="13335" cy="635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-95250</wp:posOffset>
            </wp:positionV>
            <wp:extent cx="13335" cy="635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6" w:lineRule="exact"/>
        <w:rPr>
          <w:sz w:val="20"/>
          <w:szCs w:val="20"/>
          <w:color w:val="auto"/>
        </w:rPr>
      </w:pPr>
    </w:p>
    <w:p>
      <w:pPr>
        <w:ind w:left="5040"/>
        <w:spacing w:after="0"/>
        <w:tabs>
          <w:tab w:leader="none" w:pos="5700" w:val="left"/>
        </w:tabs>
        <w:rPr>
          <w:sz w:val="20"/>
          <w:szCs w:val="20"/>
          <w:color w:val="auto"/>
        </w:rPr>
      </w:pPr>
      <w:r>
        <w:rPr>
          <w:rFonts w:ascii="Times New Roman" w:cs="Times New Roman" w:eastAsia="Times New Roman" w:hAnsi="Times New Roman"/>
          <w:sz w:val="14"/>
          <w:szCs w:val="14"/>
          <w:color w:val="auto"/>
        </w:rPr>
        <w:t>3,906</w:t>
      </w:r>
      <w:r>
        <w:rPr>
          <w:sz w:val="20"/>
          <w:szCs w:val="20"/>
          <w:color w:val="auto"/>
        </w:rPr>
        <w:tab/>
      </w:r>
      <w:r>
        <w:rPr>
          <w:rFonts w:ascii="Times New Roman" w:cs="Times New Roman" w:eastAsia="Times New Roman" w:hAnsi="Times New Roman"/>
          <w:sz w:val="14"/>
          <w:szCs w:val="14"/>
          <w:color w:val="auto"/>
        </w:rPr>
        <w:t>2,584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-35560</wp:posOffset>
            </wp:positionV>
            <wp:extent cx="13335" cy="635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-35560</wp:posOffset>
            </wp:positionV>
            <wp:extent cx="13335" cy="635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2" w:lineRule="exact"/>
        <w:rPr>
          <w:sz w:val="20"/>
          <w:szCs w:val="20"/>
          <w:color w:val="auto"/>
        </w:rPr>
      </w:pPr>
    </w:p>
    <w:tbl>
      <w:tblPr>
        <w:tblLayout w:type="fixed"/>
        <w:tblInd w:w="1160" w:type="dxa"/>
        <w:tblCellMar>
          <w:top w:w="0" w:type="dxa"/>
          <w:left w:w="0" w:type="dxa"/>
          <w:bottom w:w="0" w:type="dxa"/>
          <w:right w:w="0" w:type="dxa"/>
        </w:tblCellMar>
      </w:tblPr>
      <w:tr>
        <w:trPr>
          <w:trHeight w:val="202"/>
        </w:trPr>
        <w:tc>
          <w:tcPr>
            <w:tcW w:w="3820" w:type="dxa"/>
            <w:vAlign w:val="bottom"/>
            <w:gridSpan w:val="2"/>
          </w:tcPr>
          <w:p>
            <w:pPr>
              <w:jc w:val="right"/>
              <w:ind w:right="3431"/>
              <w:spacing w:after="0"/>
              <w:rPr>
                <w:sz w:val="20"/>
                <w:szCs w:val="20"/>
                <w:color w:val="auto"/>
              </w:rPr>
            </w:pPr>
            <w:r>
              <w:rPr>
                <w:rFonts w:ascii="Times New Roman" w:cs="Times New Roman" w:eastAsia="Times New Roman" w:hAnsi="Times New Roman"/>
                <w:sz w:val="14"/>
                <w:szCs w:val="14"/>
                <w:color w:val="auto"/>
                <w:w w:val="93"/>
              </w:rPr>
              <w:t>Other</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8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157"/>
        </w:trPr>
        <w:tc>
          <w:tcPr>
            <w:tcW w:w="36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5,406</w:t>
            </w:r>
          </w:p>
        </w:tc>
        <w:tc>
          <w:tcPr>
            <w:tcW w:w="1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  2,584</w:t>
            </w:r>
          </w:p>
        </w:tc>
        <w:tc>
          <w:tcPr>
            <w:tcW w:w="20" w:type="dxa"/>
            <w:vAlign w:val="bottom"/>
          </w:tcPr>
          <w:p>
            <w:pPr>
              <w:spacing w:after="0"/>
              <w:rPr>
                <w:sz w:val="13"/>
                <w:szCs w:val="13"/>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-191135</wp:posOffset>
            </wp:positionV>
            <wp:extent cx="13335" cy="635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-191135</wp:posOffset>
            </wp:positionV>
            <wp:extent cx="13335" cy="635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-65405</wp:posOffset>
            </wp:positionV>
            <wp:extent cx="13335" cy="635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-65405</wp:posOffset>
            </wp:positionV>
            <wp:extent cx="13335" cy="635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735965</wp:posOffset>
            </wp:positionH>
            <wp:positionV relativeFrom="paragraph">
              <wp:posOffset>0</wp:posOffset>
            </wp:positionV>
            <wp:extent cx="6350" cy="6604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40" w:lineRule="exact"/>
        <w:rPr>
          <w:sz w:val="20"/>
          <w:szCs w:val="20"/>
          <w:color w:val="auto"/>
        </w:rPr>
      </w:pPr>
    </w:p>
    <w:p>
      <w:pPr>
        <w:ind w:left="840"/>
        <w:spacing w:after="0"/>
        <w:tabs>
          <w:tab w:leader="none" w:pos="1080" w:val="left"/>
        </w:tabs>
        <w:rPr>
          <w:sz w:val="20"/>
          <w:szCs w:val="20"/>
          <w:color w:val="auto"/>
        </w:rPr>
      </w:pPr>
      <w:r>
        <w:rPr>
          <w:rFonts w:ascii="Times New Roman" w:cs="Times New Roman" w:eastAsia="Times New Roman" w:hAnsi="Times New Roman"/>
          <w:sz w:val="14"/>
          <w:szCs w:val="14"/>
          <w:b w:val="1"/>
          <w:bCs w:val="1"/>
          <w:color w:val="auto"/>
        </w:rPr>
        <w:t>B.</w:t>
      </w:r>
      <w:r>
        <w:rPr>
          <w:sz w:val="20"/>
          <w:szCs w:val="20"/>
          <w:color w:val="auto"/>
        </w:rPr>
        <w:tab/>
      </w:r>
      <w:r>
        <w:rPr>
          <w:rFonts w:ascii="Times New Roman" w:cs="Times New Roman" w:eastAsia="Times New Roman" w:hAnsi="Times New Roman"/>
          <w:sz w:val="13"/>
          <w:szCs w:val="13"/>
          <w:b w:val="1"/>
          <w:bCs w:val="1"/>
          <w:color w:val="auto"/>
        </w:rPr>
        <w:t>Employee Termination Benefits</w:t>
      </w:r>
    </w:p>
    <w:p>
      <w:pPr>
        <w:sectPr>
          <w:pgSz w:w="11900" w:h="16838" w:orient="portrait"/>
          <w:cols w:equalWidth="0" w:num="1">
            <w:col w:w="10239"/>
          </w:cols>
          <w:pgMar w:left="220" w:top="125" w:right="1440" w:bottom="0" w:gutter="0" w:footer="0" w:header="0"/>
        </w:sectPr>
      </w:pPr>
    </w:p>
    <w:bookmarkStart w:id="56" w:name="page57"/>
    <w:bookmarkEnd w:id="56"/>
    <w:p>
      <w:pPr>
        <w:ind w:left="1120" w:right="2899"/>
        <w:spacing w:after="0" w:line="252" w:lineRule="auto"/>
        <w:rPr>
          <w:sz w:val="20"/>
          <w:szCs w:val="20"/>
          <w:color w:val="auto"/>
        </w:rPr>
      </w:pPr>
      <w:r>
        <w:rPr>
          <w:rFonts w:ascii="Times New Roman" w:cs="Times New Roman" w:eastAsia="Times New Roman" w:hAnsi="Times New Roman"/>
          <w:sz w:val="14"/>
          <w:szCs w:val="14"/>
          <w:color w:val="auto"/>
        </w:rPr>
        <w:t>Israeli law and labor agreements determine the obligations of the Company to make severance payments to dismissed employees and to employees leaving employment under certain other circumstances. The liability for severance pay benefits, as determined by Israeli Law, is based upon length of service and the employee's most recent monthly salary. This liability is primarily covered by regular deposits made by the Company into recognized severance and pension funds and by insurance policies purchased by the Company. The amounts so funded are not reflected on the balance sheets, since they are controlled by the fund trustees and insurance companies and are not under the control and management of the Company. For presentation of employees' termination benefits in accordance with U.S GAAP, see Note 20B.</w:t>
      </w:r>
    </w:p>
    <w:p>
      <w:pPr>
        <w:spacing w:after="0" w:line="63" w:lineRule="exact"/>
        <w:rPr>
          <w:sz w:val="20"/>
          <w:szCs w:val="20"/>
          <w:color w:val="auto"/>
        </w:rPr>
      </w:pPr>
    </w:p>
    <w:p>
      <w:pPr>
        <w:ind w:left="1120" w:right="2959"/>
        <w:spacing w:after="0" w:line="279" w:lineRule="auto"/>
        <w:rPr>
          <w:sz w:val="20"/>
          <w:szCs w:val="20"/>
          <w:color w:val="auto"/>
        </w:rPr>
      </w:pPr>
      <w:r>
        <w:rPr>
          <w:rFonts w:ascii="Times New Roman" w:cs="Times New Roman" w:eastAsia="Times New Roman" w:hAnsi="Times New Roman"/>
          <w:sz w:val="14"/>
          <w:szCs w:val="14"/>
          <w:color w:val="auto"/>
        </w:rPr>
        <w:t>Costs relating to employee termination benefits were approximately $2,070, $4,379 and $3,126 for 2002, 2001 and 2000,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w:t>
      </w:r>
    </w:p>
    <w:p>
      <w:pPr>
        <w:spacing w:after="0" w:line="78" w:lineRule="exact"/>
        <w:rPr>
          <w:sz w:val="20"/>
          <w:szCs w:val="20"/>
          <w:color w:val="auto"/>
        </w:rPr>
      </w:pPr>
    </w:p>
    <w:p>
      <w:pPr>
        <w:ind w:left="1100" w:hanging="264"/>
        <w:spacing w:after="0"/>
        <w:tabs>
          <w:tab w:leader="none" w:pos="1100" w:val="left"/>
        </w:tabs>
        <w:numPr>
          <w:ilvl w:val="0"/>
          <w:numId w:val="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Relating to Fab 2</w:t>
      </w:r>
    </w:p>
    <w:p>
      <w:pPr>
        <w:spacing w:after="0" w:line="80" w:lineRule="exact"/>
        <w:rPr>
          <w:rFonts w:ascii="Times New Roman" w:cs="Times New Roman" w:eastAsia="Times New Roman" w:hAnsi="Times New Roman"/>
          <w:sz w:val="14"/>
          <w:szCs w:val="14"/>
          <w:b w:val="1"/>
          <w:bCs w:val="1"/>
          <w:color w:val="auto"/>
        </w:rPr>
      </w:pPr>
    </w:p>
    <w:p>
      <w:pPr>
        <w:ind w:left="1120" w:right="2819"/>
        <w:spacing w:after="0" w:line="251"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Commencing April 2000, the Company entered into a series of agreements and arrangements related to the Company's Board of Directors' decision to establish a new 200 millimeters wafer fabrication facility in Israel ("Fab 2"). The total cost of Fab 2 is expected to be approximately $1,500,000</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Through December 31, 2002 the Company had entered into agreements, arrangements and other fund raisings, which are described in more detail below, with Wafer Partners, its principal shareholder, two leading Israeli banks, the Investment Center and others to provide an aggregate of $1,146,000 of financing for Fab 2. The financing agreements and arrangements are subject to certain conditions, including the achievement of performance and financing milestones, and the securing of additional required financing. In addition, the Company has entered into agreements for the design and construction of Fab 2, for equipping Fab 2 and for the transfer to the Company of the process technologies to be utilized to produce wafers in Fab 2.</w:t>
      </w:r>
    </w:p>
    <w:p>
      <w:pPr>
        <w:spacing w:after="0" w:line="20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1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Relating to Fab 2 (Continued)</w:t>
      </w:r>
    </w:p>
    <w:p>
      <w:pPr>
        <w:spacing w:after="0" w:line="80" w:lineRule="exact"/>
        <w:rPr>
          <w:rFonts w:ascii="Times New Roman" w:cs="Times New Roman" w:eastAsia="Times New Roman" w:hAnsi="Times New Roman"/>
          <w:sz w:val="14"/>
          <w:szCs w:val="14"/>
          <w:b w:val="1"/>
          <w:bCs w:val="1"/>
          <w:color w:val="auto"/>
        </w:rPr>
      </w:pPr>
    </w:p>
    <w:p>
      <w:pPr>
        <w:ind w:left="1120" w:right="2799"/>
        <w:spacing w:after="0" w:line="25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construction and equipping of Fab 2 is a substantial project, which requires extensive management involvement as well as the timely participation by and coordination of the activities of many participants. The Fab 2 project is a complex undertaking which entails substantial risks and uncertainties, including but not limited to those associated with the following: obtaining additional commitments to finance the construction and equipping of Fab 2, which as of the approval date of the financial statements amount to approximately $58,000 to be raised by the end of 2003; achieving certain milestones and complying with various conditions and covenants under the current financing agreements in order to receive the additional funds committed by the Wafer Partners, Equity Investors and Investment Center, as well as those provided by the Facility Agreement with the Banks, which establishes significant additional conditions and covenants for borrowing loans under the facility Agreement; and completing the complex processes of transferring from Toshiba and Motorola the manufacturing technologies to be used at Fab 2 and development of new technologies. According to the Fab 2 agreements, raising the required additional funding by the dates specified, achieving the milestones as scheduled, and complying with all the conditions and covenants stipulated in all the Fab 2 agreements are material provisions for completing and equipping Fab 2. As of December 31, 2002 the construction and equipping of Fab 2 is currently in process and, in management's opinion, progressing according to schedule.</w:t>
      </w:r>
    </w:p>
    <w:p>
      <w:pPr>
        <w:spacing w:after="0" w:line="66" w:lineRule="exact"/>
        <w:rPr>
          <w:rFonts w:ascii="Times New Roman" w:cs="Times New Roman" w:eastAsia="Times New Roman" w:hAnsi="Times New Roman"/>
          <w:sz w:val="14"/>
          <w:szCs w:val="14"/>
          <w:b w:val="1"/>
          <w:bCs w:val="1"/>
          <w:color w:val="auto"/>
        </w:rPr>
      </w:pPr>
    </w:p>
    <w:p>
      <w:pPr>
        <w:ind w:left="1120" w:right="2899"/>
        <w:spacing w:after="0" w:line="25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Through December 31, 2002 the Company had incurred approximately $700,000 primarily in capitalized costs related to Fab 2, mostly for property and equipment and other assets. During 2001 and 2002, the Wafer Partners and Equity Investors invested in the Company an aggregate of $308,185 ($47,246 of which as long-term customers' advances), and received an aggregate of 31,129,845 Ordinary Shares of the Company; the Company received from the Banks long-term loans in the aggregate of $244,000 and from the Investment Center an aggregate of $84,200.</w:t>
      </w:r>
    </w:p>
    <w:p>
      <w:pPr>
        <w:spacing w:after="0" w:line="60" w:lineRule="exact"/>
        <w:rPr>
          <w:rFonts w:ascii="Times New Roman" w:cs="Times New Roman" w:eastAsia="Times New Roman" w:hAnsi="Times New Roman"/>
          <w:sz w:val="14"/>
          <w:szCs w:val="14"/>
          <w:b w:val="1"/>
          <w:bCs w:val="1"/>
          <w:color w:val="auto"/>
        </w:rPr>
      </w:pPr>
    </w:p>
    <w:p>
      <w:pPr>
        <w:ind w:left="1120" w:right="2799"/>
        <w:spacing w:after="0" w:line="28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In connection with establishing Fab 2, the Company incurred during the year ended December 31, 2002 non-capitalizable expenses in the amount of $27,610, of which $15,591 was included in cost of sales and $12,019 was included in marketing, general and administrative (during the year ended December 31, 2001 - $10,585, $3,756 and $6,829, respectively; during the year ended December 31, 2000 - $1,663, $150 and $1,513, respectively).</w:t>
      </w:r>
    </w:p>
    <w:p>
      <w:pPr>
        <w:spacing w:after="0" w:line="41" w:lineRule="exact"/>
        <w:rPr>
          <w:rFonts w:ascii="Times New Roman" w:cs="Times New Roman" w:eastAsia="Times New Roman" w:hAnsi="Times New Roman"/>
          <w:sz w:val="14"/>
          <w:szCs w:val="14"/>
          <w:b w:val="1"/>
          <w:bCs w:val="1"/>
          <w:color w:val="auto"/>
        </w:rPr>
      </w:pPr>
    </w:p>
    <w:p>
      <w:pPr>
        <w:ind w:left="1120" w:right="2819"/>
        <w:spacing w:after="0" w:line="25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Net cash used in operating activities during the year ended December 31, 2002 (excluding an increase of $29,336 in connection with long-term liability in respect of customers' advances) was $28,403. That amount included net cash out flows in the amount of $31,142 attributable to the establishing of Fab 2 (during the year ended December 31, 2001 - $17,910, $13,651 and $12,248, respectively). Net cash provided by operating activities during the year ended December 31, 2000 (excluding $760 decrease in connection with long-term liability in respect of customers' advances) was $16,945. That amount included net cash out flows in the amount of $1,414 attributable to the establishing of Fab 2.</w:t>
      </w:r>
    </w:p>
    <w:p>
      <w:pPr>
        <w:spacing w:after="0" w:line="19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10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Relating to Fab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3919855" cy="635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52" w:lineRule="exact"/>
        <w:rPr>
          <w:sz w:val="20"/>
          <w:szCs w:val="20"/>
          <w:color w:val="auto"/>
        </w:rPr>
      </w:pPr>
    </w:p>
    <w:p>
      <w:pPr>
        <w:ind w:left="1400" w:hanging="304"/>
        <w:spacing w:after="0"/>
        <w:tabs>
          <w:tab w:leader="none" w:pos="1400" w:val="left"/>
        </w:tabs>
        <w:numPr>
          <w:ilvl w:val="0"/>
          <w:numId w:val="10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Technology Transfer Agreements</w:t>
      </w:r>
    </w:p>
    <w:p>
      <w:pPr>
        <w:spacing w:after="0" w:line="1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Toshiba </w:t>
      </w:r>
      <w:r>
        <w:rPr>
          <w:rFonts w:ascii="Times New Roman" w:cs="Times New Roman" w:eastAsia="Times New Roman" w:hAnsi="Times New Roman"/>
          <w:sz w:val="14"/>
          <w:szCs w:val="14"/>
          <w:color w:val="auto"/>
        </w:rPr>
        <w:t>— In April 2000, the Company entered into a technology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879475" cy="635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with Toshiba Corporation ("Toshiba"), a Japanese corporation. This agreement</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provides for the transfer by Toshiba to the Company of advanced semiconductor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manufacturing process technologies installed in Fab 2 including related technology</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transfer assistance in exchange for certain fees for patent licenses, technology transfer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and technical assistance and ongoing royalties based on sales of products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manufactured in Fab 2 with the transferred technology. Under the Toshiba agreement,</w:t>
      </w:r>
    </w:p>
    <w:p>
      <w:pPr>
        <w:sectPr>
          <w:pgSz w:w="11900" w:h="16838" w:orient="portrait"/>
          <w:cols w:equalWidth="0" w:num="1">
            <w:col w:w="10239"/>
          </w:cols>
          <w:pgMar w:left="220" w:top="208" w:right="1440" w:bottom="0" w:gutter="0" w:footer="0" w:header="0"/>
        </w:sectPr>
      </w:pPr>
    </w:p>
    <w:bookmarkStart w:id="57" w:name="page58"/>
    <w:bookmarkEnd w:id="57"/>
    <w:p>
      <w:pPr>
        <w:ind w:left="1380"/>
        <w:spacing w:after="0"/>
        <w:rPr>
          <w:sz w:val="20"/>
          <w:szCs w:val="20"/>
          <w:color w:val="auto"/>
        </w:rPr>
      </w:pPr>
      <w:r>
        <w:rPr>
          <w:rFonts w:ascii="Times New Roman" w:cs="Times New Roman" w:eastAsia="Times New Roman" w:hAnsi="Times New Roman"/>
          <w:sz w:val="14"/>
          <w:szCs w:val="14"/>
          <w:color w:val="auto"/>
        </w:rPr>
        <w:t>the Company agreed, subject to certain conditions, to reserve for Toshiba a certain</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portion of Fab 2 wafer manufacturing capacity for a period of 10 years.</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Motorola </w:t>
      </w:r>
      <w:r>
        <w:rPr>
          <w:rFonts w:ascii="Times New Roman" w:cs="Times New Roman" w:eastAsia="Times New Roman" w:hAnsi="Times New Roman"/>
          <w:sz w:val="14"/>
          <w:szCs w:val="14"/>
          <w:color w:val="auto"/>
        </w:rPr>
        <w:t>— In September 2002, the Company entered into a non-exclusive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879475" cy="635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technology transfer, development and licensing agreement with Motorola Inc.</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("Motorola"), a U.S. corporation. This agreement provides for the transfer by</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Motorola to the Company of existing and newly developed versions of advanced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semiconductor manufacturing process technologies to be installed in Fab 2, and for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provision by Motorola of related technology transfer assistance, all in exchange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for certain fees for patent and other intellectual property licenses, technology transfer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and development, technical assistance and ongoing royalties based on sales of</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products manufactured in Fab 2 with the transferred technology. Subject to prior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termination for cause by Motorola, the licenses under the agreement are perpetual.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45" w:lineRule="exact"/>
        <w:rPr>
          <w:sz w:val="20"/>
          <w:szCs w:val="20"/>
          <w:color w:val="auto"/>
        </w:rPr>
      </w:pPr>
    </w:p>
    <w:p>
      <w:pPr>
        <w:ind w:left="1400" w:hanging="304"/>
        <w:spacing w:after="0"/>
        <w:tabs>
          <w:tab w:leader="none" w:pos="1400" w:val="left"/>
        </w:tabs>
        <w:numPr>
          <w:ilvl w:val="0"/>
          <w:numId w:val="10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Wafer Partner Agreements</w:t>
      </w:r>
    </w:p>
    <w:p>
      <w:pPr>
        <w:spacing w:after="0" w:line="1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During 2000, the Company entered into various share purchase agreements ("Wafer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Partner Agreements") with SanDisk Corporation, Alliance Semiconductor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Corporation, Macronix International Co., Ltd. and QuickLogic Corporation</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(collectively, the "Wafer Partners") to partially finance the construction and equipping</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of Fab 2. Pursuant to the Wafer Partner Agreements, the Wafer Partners agreed to</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invest an aggregate of $250,000 to purchase Ordinary Shares of the Company, over a</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period of time, subject to the achievement of certain milestones relating to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construction and operation of Fab 2. Under the Wafer Partner Agreements, each</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Wafer Partner has the right to waive the achievement of some or all of the milestones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and other conditions precedent to its remaining investment. According to the Wafer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Partner Agreements, the Company agreed, subject to certain conditions, to reserve for</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each Wafer Partner a certain portion of Fab 2 wafer manufacturing capacity for a</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period of 10 years.</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Pursuant to the Wafer Partner Agreements and additional investments made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as described in Note 14F, the Wafer Partners invested in the Company During 2002</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and 2001, an aggregate of $225,100, of which $177,854 was credited as paid in</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capital and $47,246 was established as long-term customer advances to be credited, in</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general, against purchases by the Wafer Partners.</w:t>
      </w:r>
    </w:p>
    <w:p>
      <w:pPr>
        <w:spacing w:after="0" w:line="13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10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Relating to Fab 2 (Continued)</w:t>
      </w:r>
    </w:p>
    <w:p>
      <w:pPr>
        <w:spacing w:after="0" w:line="1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consideration for their investments, the Wafer Partners received an aggregate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19,857,532 Ordinary Shares of the Company (said amounts and shares reflect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2002 and September 2001 amendments to the Wafer Partner Agreements described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below). In addition to the Wafer Partner Agreements, in January 2002, the Company</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entered into a share purchase agreement with another wafer partner, pursuant to</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which that wafer partner invested $2,000 in Fab 2 for the purchase of 332,945</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Ordinary Shares of the Company. The shares were issued in January 2002.</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February 2003, the primary Wafer Partners entered into amendments to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agreements with the Company, pursuant to which the primary Wafer Partners agreed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to advance their fifth milestone installment payment, in the aggregate amount of</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$33,002, regardless of its achievement. Of that amount, $19,801 shall be paid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immediately after obtaining all the approvals for the amendments as outlined below,</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and the remaining $13,201 shall be paid subject to obtaining all the approvals as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outlined below and to raising by the Company of an aggregate of $22,000 (which, in</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case an approval from the Banks shall not be obtained, may increase up to $26,000)</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"Additional Raising Amount") from specified financial sources, no later than</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December 31, 2003. In consideration for their investments, for the first installment</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the primary Wafer Partners will be issued fully-paid Ordinary Shares of the Company,</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based on the average closing sale price of the Company's Ordinary Shares for the 30</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trading days prior to the date the Company's Board of Directors approves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amendments, and for the second installment, based on the price at which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Company raises the Additional Raising Amount from specified financial sources. The</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amendments are subject to their approval by the general meeting of the Company's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shareholders, the Banks, the Investment Center, the Office of the Chief Scientist and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Israel Land Administration.</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Pursuant to the abovementioned amendments, the Company granted the primary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Wafer Partners an option to convert an aggregate of up to $13,201 of the long-term</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customers' advances into fully-paid Ordinary Shares of the Company, the amount of</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which shall be determined based on the average closing sale price of the Company's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Ordinary Shares for the 30 trading days prior to December 31, 2005. The option is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exercisable during January 2006. In case such conversion occurred, and provided that</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amount of shares issued is equivalent to or greater than 5% of the Company's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outstanding share capital as of the conversion date, the Company undertook to</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procure that the Company's non Wafer Partner shareholders shall maintain their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percentage of ordinary shares held in the Company immediately prior to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conversion of the long-term customers' advances. The price per share of the shares to</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be issued to the non Wafer Partner shareholders shall equal the conversion price.</w:t>
      </w:r>
    </w:p>
    <w:p>
      <w:pPr>
        <w:spacing w:after="0" w:line="12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ectPr>
          <w:pgSz w:w="11900" w:h="16838" w:orient="portrait"/>
          <w:cols w:equalWidth="0" w:num="1">
            <w:col w:w="10239"/>
          </w:cols>
          <w:pgMar w:left="220" w:top="125" w:right="1440" w:bottom="0" w:gutter="0" w:footer="0" w:header="0"/>
        </w:sectPr>
      </w:pPr>
    </w:p>
    <w:bookmarkStart w:id="58" w:name="page59"/>
    <w:bookmarkEnd w:id="58"/>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10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Relating to Fab 2 (Continued)</w:t>
      </w:r>
    </w:p>
    <w:p>
      <w:pPr>
        <w:spacing w:after="0" w:line="1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During 2002, the Company and the Wafer Partners entered into amendments to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agreements with the Company, according to which the Wafer Partners undertook to</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advance both their third and fourth milestone installment payments, prior to their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achievement, each in the aggregate amount of $36,669. In consideration for their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investment, the Wafer Partners were issued fully-paid Ordinary Shares of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Company equivalent to 60% of the aggregate amount invested by them.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remaining 40% of the advanced payments made by the Wafer Partners was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established as long-term customer advances to be credited, in general, against future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purchases by them. Under the amendments, the Ordinary Shares issued in</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consideration for the accelerated installments were issued based on the lower of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ATP and $12.50.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45" w:lineRule="exact"/>
        <w:rPr>
          <w:sz w:val="20"/>
          <w:szCs w:val="20"/>
          <w:color w:val="auto"/>
        </w:rPr>
      </w:pPr>
    </w:p>
    <w:p>
      <w:pPr>
        <w:ind w:left="1400" w:hanging="304"/>
        <w:spacing w:after="0"/>
        <w:tabs>
          <w:tab w:leader="none" w:pos="1400" w:val="left"/>
        </w:tabs>
        <w:numPr>
          <w:ilvl w:val="0"/>
          <w:numId w:val="10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Investments by Equity Investors</w:t>
      </w:r>
    </w:p>
    <w:p>
      <w:pPr>
        <w:spacing w:after="0" w:line="1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During 2001 and 2002, Israel Corporation Technologies (IC-Tech) Ltd., a wholly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owned subsidiary of Israel Corporation Ltd. and the principal shareholder of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Company ("IC-Tech"), Challenge Fund-Edgar II LP, a Delaware limited partnership</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("Challenge"), and Ontario Teachers' Pension Plan Board ("OTPP") (all together,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"Equity Investors") invested in the Company, pursuant to agreements described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below, an aggregate of $71,085, for the purchase of an aggregate of 10,166,701</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Ordinary Shares of the Company.</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December 2000, the Company entered into a share purchase agreement ("IC-Tech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Agreements") pursuant to which IC-Tech agreed to invest $50,000 to purchase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Ordinary Shares of the Company over a period of time in several mandatory closings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contemporaneous with the closings under the Wafer Partner Agreements and subject</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to the achievement of the same milestones, at a price of the lower of $30.00 and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ATP, provided that for any specific closing the ATP shall not be less than $12.50.</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Under the IC-Tech Agreements, IC-Tech has the right to waive the achievement of</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some or all of the milestones and other conditions precedent to its remaining</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investment. For additional investments made by IC-Tech in connection with a rights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offering, see Note14F.</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February 2001, the Company entered into a share purchase agreement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Challenge pursuant to which Challenge agreed to invest $5,000 in Fab 2 for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purchase of Ordinary Shares of the Company under terms substantially similar to</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those under the Company's agreements with IC-Tech.</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February 2003, IC-Tech and Challenge entered into amendments to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agreements with the Company, pursuant to which IC-Tech and Challenge agreed to</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advance their fifth milestone installment payment, in the amount of $8,067, regardless</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of its achievement. Of that amount, $4,840 shall be paid immediately after obtaining</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all the approvals for the amendments as outlined below, and the remaining $3,227</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shall be paid subject to obtaining all the approvals as outlined below and to raising by</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Company of an aggregate of $22,000 (which, in case an approval from the Banks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shall not be obtained, may increase up to $26,000) (the "Additional Raising Amount")</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from specified financial sources, no later than December 31, 2003.</w:t>
      </w:r>
    </w:p>
    <w:p>
      <w:pPr>
        <w:spacing w:after="0" w:line="12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10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Relating to Fab 2 (Continued)</w:t>
      </w:r>
    </w:p>
    <w:p>
      <w:pPr>
        <w:spacing w:after="0" w:line="1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consideration for their investments, for the first installment IC-Tech and Challenge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will be issued fully-paid Ordinary Shares of the Company, based on the average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closing sale price of the Company's Ordinary Shares for the 30 trading days prior to</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date the Company's Board of Directors approves the amendments, and for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second installment, based on the price at which the Company raises the Additional</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Raising Amount from specified financial sources. The amendments are subject to</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their approval by the general meeting of the Company's shareholders, the Banks,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Investment Center, the Office of the Chief Scientist and the Israel Land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Administration.</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Through April 2002, the Company, IC-Tech and Challenge entered into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to their agreements with the Company according to which, IC-Tech and Challenge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undertook to advance both their third and fourth milestone installment payments,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prior to their achievement. In consideration for their investment IC-Tech and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Challenge were issued fully-paid Ordinary Shares of the Company equivalent to</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100% of the aggregate amount invested by them. Under the amendments,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Ordinary Shares issued in consideration for the accelerated installments were issued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based on the lower of the ATP and $12.50.</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July 2002, the Company entered into a definitive agreement with OTPP for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investment, which was fully paid in October 2002, of $15,000 in the Company's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equity in consideration for 3,000,000 Ordinary Shares of the Company for $5.00 per</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share (the same as the subscription price per right in the rights offering described in</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Note 14F), and a warrant, exercisable for a four-year period, to purchase an additional</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1,350,000 Ordinary Shares of the Company, at an exercise price of $7.50 per share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(subject to customary adjustments). Pursuant to the agreement, OTPP may not sell</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these securities for a period of nine months from the closing date of the agreement</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(October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45" w:lineRule="exact"/>
        <w:rPr>
          <w:sz w:val="20"/>
          <w:szCs w:val="20"/>
          <w:color w:val="auto"/>
        </w:rPr>
      </w:pPr>
    </w:p>
    <w:p>
      <w:pPr>
        <w:ind w:left="1400" w:hanging="304"/>
        <w:spacing w:after="0"/>
        <w:tabs>
          <w:tab w:leader="none" w:pos="1400"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Facility Agreement</w:t>
      </w:r>
    </w:p>
    <w:p>
      <w:pPr>
        <w:spacing w:after="0" w:line="1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January 2001, the Company entered into a credit facility agreement with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leading Israeli banks ("Banks") entitling the Company to borrow an aggregate, as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amended in January 2002, of $500,000 to finance the construction and equipping of</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Fab 2 ("Facility Agreement"). The loans shall bear interest at a rate of Libor plus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approximately 1.5% per annum payable at the end of each quarter. The loans are</w:t>
      </w:r>
    </w:p>
    <w:p>
      <w:pPr>
        <w:sectPr>
          <w:pgSz w:w="11900" w:h="16908" w:orient="portrait"/>
          <w:cols w:equalWidth="0" w:num="1">
            <w:col w:w="10239"/>
          </w:cols>
          <w:pgMar w:left="220" w:top="289" w:right="1440" w:bottom="0" w:gutter="0" w:footer="0" w:header="0"/>
        </w:sectPr>
      </w:pPr>
    </w:p>
    <w:bookmarkStart w:id="59" w:name="page60"/>
    <w:bookmarkEnd w:id="59"/>
    <w:p>
      <w:pPr>
        <w:ind w:left="1380"/>
        <w:spacing w:after="0"/>
        <w:rPr>
          <w:sz w:val="20"/>
          <w:szCs w:val="20"/>
          <w:color w:val="auto"/>
        </w:rPr>
      </w:pPr>
      <w:r>
        <w:rPr>
          <w:rFonts w:ascii="Times New Roman" w:cs="Times New Roman" w:eastAsia="Times New Roman" w:hAnsi="Times New Roman"/>
          <w:sz w:val="14"/>
          <w:szCs w:val="14"/>
          <w:color w:val="auto"/>
        </w:rPr>
        <w:t>available for withdrawal through December 31, 2004 and are to be repaid in 16 or 12</w:t>
      </w:r>
    </w:p>
    <w:p>
      <w:pPr>
        <w:spacing w:after="0" w:line="2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equal consecutive quarterly installments, commencing two or three years, respective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to the number of installments, after the loan is received. The loans are subject to</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certain prepayment provisions. Unused amounts under the Facility Agreement, in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amount of $240,000 as of December 31, 2002, are subject to a quarterly commitment</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fee of 0.25% per annum.</w:t>
      </w:r>
    </w:p>
    <w:p>
      <w:pPr>
        <w:spacing w:after="0" w:line="12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Relating to Fab 2 (Continued)</w:t>
      </w:r>
    </w:p>
    <w:p>
      <w:pPr>
        <w:spacing w:after="0" w:line="1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According to the Facility Agreement with the Banks, as amended during 2002,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Company is obligated to raise $144,000 from specified financial sources, other than</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already committed funds by the Wafer Partners and Equity Investors, as follows: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by the end of 2002, an aggregate of $110,000 and by the end of 2003, an aggregate of</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$144,000. The Company submitted a request to the Banks for amending the Facility</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Agreement by deferring the raising dates to be as follows: by the end of 2002, an</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aggregate of $84,000; by the end of April 2003, an aggregate of $110,000; and during</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2004, an aggregate of $144,000. Based on discussions held subsequent to the balance-</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sheet date with the Banks, management estimates that obtaining such a deferral is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probable.</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According to the Facility Agreement, raising these amounts by the dates stated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material provision.</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According to the Facility Agreement, the Company is obligated to comply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certain financial ratios, primarily total shareholders' equity to total assets, and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substantial additional covenants in connection with the establishment of Fab 2 as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stipulated in such agreement, primarily production and capacity milestones. As of</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December 31, 2002, the Company was in full compliance with the financial ratios and</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covenants, except for raising an amount of $26,000 from specified financial sources</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by December 31, 2002 as provided by the Facility Agreement with the Banks. As of</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the approval date of the financial statements, an amount of $2,250 was raised towards</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the $26,000. As stated in the previous paragraph, the Company submitted a request to</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Banks for amending the Facility Agreement by deferring the raising date from</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December 31, 2002 to April 30, 2003, and management estimates that obtaining such</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an amendment is probable.</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Under the Facility Agreement and the terms of the Company's long-term loans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December 31, 2002, the Company agreed to register liens in favor of the Banks on</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substantially all its present and future assets.</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With regard to options granted to the Banks, see Note 14B(5)(a); with regard to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879475" cy="635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drawn towards the $500,000 credit facility, see Note 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45" w:lineRule="exact"/>
        <w:rPr>
          <w:sz w:val="20"/>
          <w:szCs w:val="20"/>
          <w:color w:val="auto"/>
        </w:rPr>
      </w:pPr>
    </w:p>
    <w:p>
      <w:pPr>
        <w:ind w:left="1400" w:hanging="304"/>
        <w:spacing w:after="0"/>
        <w:tabs>
          <w:tab w:leader="none" w:pos="1400"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Fab 2 Construction Agreement</w:t>
      </w:r>
    </w:p>
    <w:p>
      <w:pPr>
        <w:spacing w:after="0" w:line="1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August 2000, the Company entered into a fixed price turn-key agreement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contractor for the design and construction of Fab 2 in consideration of approximately</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$200,000, to be paid according to certain performance milestones stipulated in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agreement, over approximately two years. As of December 31, 2002, approximately</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$170,000 of that amount had already been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45" w:lineRule="exact"/>
        <w:rPr>
          <w:sz w:val="20"/>
          <w:szCs w:val="20"/>
          <w:color w:val="auto"/>
        </w:rPr>
      </w:pPr>
    </w:p>
    <w:p>
      <w:pPr>
        <w:ind w:left="1400" w:hanging="304"/>
        <w:spacing w:after="0"/>
        <w:tabs>
          <w:tab w:leader="none" w:pos="1400"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Approved Enterprise Status</w:t>
      </w:r>
    </w:p>
    <w:p>
      <w:pPr>
        <w:spacing w:after="0" w:line="1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December 2000, the Investment Center approved an investment program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connection with Fab 2 for expansion of the Company's plant. The approval certificate</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for the program provides for a benefit track entitling the Company to investment</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grants at a rate of 20% of qualified investments of up to</w:t>
      </w:r>
    </w:p>
    <w:p>
      <w:pPr>
        <w:spacing w:after="0" w:line="13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1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 (Continued)</w:t>
      </w:r>
    </w:p>
    <w:p>
      <w:pPr>
        <w:spacing w:after="0" w:line="78" w:lineRule="exact"/>
        <w:rPr>
          <w:sz w:val="20"/>
          <w:szCs w:val="20"/>
          <w:color w:val="auto"/>
        </w:rPr>
      </w:pPr>
    </w:p>
    <w:p>
      <w:pPr>
        <w:ind w:left="1100" w:hanging="264"/>
        <w:spacing w:after="0"/>
        <w:tabs>
          <w:tab w:leader="none" w:pos="1100"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Relating to Fab 2 (Continued)</w:t>
      </w:r>
    </w:p>
    <w:p>
      <w:pPr>
        <w:spacing w:after="0" w:line="14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$1,250,000. The grants are to be made in accordance with a timetable set forth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approval certificate for the program.</w:t>
      </w:r>
    </w:p>
    <w:p>
      <w:pPr>
        <w:spacing w:after="0" w:line="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Under the terms of the approval certificate, investments in respect of the Fab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approved enterprise program are to be completed by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62" w:lineRule="exact"/>
        <w:rPr>
          <w:sz w:val="20"/>
          <w:szCs w:val="20"/>
          <w:color w:val="auto"/>
        </w:rPr>
      </w:pPr>
    </w:p>
    <w:p>
      <w:pPr>
        <w:ind w:left="1400" w:hanging="304"/>
        <w:spacing w:after="0"/>
        <w:tabs>
          <w:tab w:leader="none" w:pos="1400" w:val="left"/>
        </w:tabs>
        <w:numPr>
          <w:ilvl w:val="0"/>
          <w:numId w:val="1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Agreement with the ILA</w:t>
      </w:r>
    </w:p>
    <w:p>
      <w:pPr>
        <w:spacing w:after="0" w:line="9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In November 2000, the Company entered into a Development Agreement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color w:val="auto"/>
        </w:rPr>
        <w:t>Israel Land Administration ("ILA") with respect to a parcel of land designated for the</w:t>
      </w:r>
    </w:p>
    <w:p>
      <w:pPr>
        <w:spacing w:after="0" w:line="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construction of Fab 2. Following the completion of the construction of Fab 2 on the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land, the Company will enter into a long-term lease agreement with the ILA for a</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period ending in 2049. The lease payments through 2049 relating to this lease have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been paid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62" w:lineRule="exact"/>
        <w:rPr>
          <w:sz w:val="20"/>
          <w:szCs w:val="20"/>
          <w:color w:val="auto"/>
        </w:rPr>
      </w:pPr>
    </w:p>
    <w:p>
      <w:pPr>
        <w:ind w:left="1400" w:hanging="304"/>
        <w:spacing w:after="0"/>
        <w:tabs>
          <w:tab w:leader="none" w:pos="1400" w:val="left"/>
        </w:tabs>
        <w:numPr>
          <w:ilvl w:val="0"/>
          <w:numId w:val="1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Hedging Activities</w:t>
      </w:r>
    </w:p>
    <w:p>
      <w:pPr>
        <w:spacing w:after="0" w:line="9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For hedging transactions and agreements the Company has entered into, see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18C.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ectPr>
          <w:pgSz w:w="11900" w:h="16838" w:orient="portrait"/>
          <w:cols w:equalWidth="0" w:num="1">
            <w:col w:w="10239"/>
          </w:cols>
          <w:pgMar w:left="220" w:top="125" w:right="1440" w:bottom="0" w:gutter="0" w:footer="0" w:header="0"/>
        </w:sectPr>
      </w:pPr>
    </w:p>
    <w:bookmarkStart w:id="60" w:name="page61"/>
    <w:bookmarkEnd w:id="60"/>
    <w:p>
      <w:pPr>
        <w:ind w:left="1400" w:hanging="304"/>
        <w:spacing w:after="0"/>
        <w:tabs>
          <w:tab w:leader="none" w:pos="1400" w:val="left"/>
        </w:tabs>
        <w:numPr>
          <w:ilvl w:val="0"/>
          <w:numId w:val="1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Agreements and Letters of Credit</w:t>
      </w:r>
    </w:p>
    <w:p>
      <w:pPr>
        <w:spacing w:after="0" w:line="9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Through December 31, 2002 the Company had entered into several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agreements related mainly to the construction, equipping and transfer of technology</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for Fab 2. The Company's aggregate commitment in connection with these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agreements as of such date, including the Fab 2 construction agreement described in</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paragraph (5) above, amounted to $125,130.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26840" cy="635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62" w:lineRule="exact"/>
        <w:rPr>
          <w:sz w:val="20"/>
          <w:szCs w:val="20"/>
          <w:color w:val="auto"/>
        </w:rPr>
      </w:pPr>
    </w:p>
    <w:p>
      <w:pPr>
        <w:ind w:left="1100" w:hanging="347"/>
        <w:spacing w:after="0"/>
        <w:tabs>
          <w:tab w:leader="none" w:pos="1100" w:val="left"/>
        </w:tabs>
        <w:numPr>
          <w:ilvl w:val="0"/>
          <w:numId w:val="1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License Agreements</w:t>
      </w:r>
    </w:p>
    <w:p>
      <w:pPr>
        <w:spacing w:after="0" w:line="184" w:lineRule="exact"/>
        <w:rPr>
          <w:rFonts w:ascii="Times New Roman" w:cs="Times New Roman" w:eastAsia="Times New Roman" w:hAnsi="Times New Roman"/>
          <w:sz w:val="14"/>
          <w:szCs w:val="14"/>
          <w:b w:val="1"/>
          <w:bCs w:val="1"/>
          <w:color w:val="auto"/>
        </w:rPr>
      </w:pPr>
    </w:p>
    <w:p>
      <w:pPr>
        <w:ind w:left="1400" w:right="4299" w:hanging="304"/>
        <w:spacing w:after="0" w:line="258" w:lineRule="auto"/>
        <w:tabs>
          <w:tab w:leader="none" w:pos="1400"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June 2000, the Company entered into a cross license agreement with a major technology company. According to the agreement, each party acquired a non-exclusive license under the other's patents. The Company agreed to pay an annual royalty through July 2005. The licenses terminate on December 31, 2005.</w:t>
      </w:r>
    </w:p>
    <w:p>
      <w:pPr>
        <w:spacing w:after="0" w:line="150" w:lineRule="exact"/>
        <w:rPr>
          <w:rFonts w:ascii="Times New Roman" w:cs="Times New Roman" w:eastAsia="Times New Roman" w:hAnsi="Times New Roman"/>
          <w:sz w:val="14"/>
          <w:szCs w:val="14"/>
          <w:color w:val="auto"/>
        </w:rPr>
      </w:pPr>
    </w:p>
    <w:p>
      <w:pPr>
        <w:ind w:left="1400" w:right="4079" w:hanging="304"/>
        <w:spacing w:after="0" w:line="276" w:lineRule="auto"/>
        <w:tabs>
          <w:tab w:leader="none" w:pos="1400"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December 2001, the Company and DSP Group Ltd. ("DSPG") entered into a license agreement, pursuant to which DSPG granted the Company a personal, non-exclusive, nontransferable license to use certain technology in the Company's products, in exchange for license fee and ongoing royalties to be paid by either the Company or its customers based on sales of products manufactured in Fab 2 based on the technology. In addition, the agreement provides for technical support by DSPG in connection with using the technology. The license terminates on December 31, 2007.</w:t>
      </w:r>
    </w:p>
    <w:p>
      <w:pPr>
        <w:spacing w:after="0" w:line="139" w:lineRule="exact"/>
        <w:rPr>
          <w:rFonts w:ascii="Times New Roman" w:cs="Times New Roman" w:eastAsia="Times New Roman" w:hAnsi="Times New Roman"/>
          <w:sz w:val="13"/>
          <w:szCs w:val="13"/>
          <w:color w:val="auto"/>
        </w:rPr>
      </w:pPr>
    </w:p>
    <w:p>
      <w:pPr>
        <w:ind w:left="1400" w:right="4219" w:hanging="304"/>
        <w:spacing w:after="0" w:line="252" w:lineRule="auto"/>
        <w:tabs>
          <w:tab w:leader="none" w:pos="1400" w:val="left"/>
        </w:tabs>
        <w:numPr>
          <w:ilvl w:val="1"/>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The agreement calls for certain amounts to be paid by the Japanese manufacturer to the Company following the signing of the agreement and subject to achievement of certain milestones, through a period ending 2005. Pursuant to the agreement, the Japanese manufacturer may allocate, subject to certain conditions stipulated in the agreement, part or all of the second 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-2403475</wp:posOffset>
            </wp:positionV>
            <wp:extent cx="3919855" cy="635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-1868170</wp:posOffset>
            </wp:positionV>
            <wp:extent cx="3919855" cy="635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-1015365</wp:posOffset>
            </wp:positionV>
            <wp:extent cx="3919855" cy="635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7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1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License Agreements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3919855" cy="635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6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total amounts paid by it to the Company as long-term customer advances to be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applied against future purchases made by the Japanese manufacturer through 2007.</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Sales for 2002 include a $8,056 revenue in relation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3926840" cy="635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45" w:lineRule="exact"/>
        <w:rPr>
          <w:sz w:val="20"/>
          <w:szCs w:val="20"/>
          <w:color w:val="auto"/>
        </w:rPr>
      </w:pPr>
    </w:p>
    <w:p>
      <w:pPr>
        <w:ind w:left="1100" w:hanging="347"/>
        <w:spacing w:after="0"/>
        <w:tabs>
          <w:tab w:leader="none" w:pos="1100" w:val="left"/>
        </w:tabs>
        <w:numPr>
          <w:ilvl w:val="0"/>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Leases</w:t>
      </w:r>
    </w:p>
    <w:p>
      <w:pPr>
        <w:spacing w:after="0" w:line="184" w:lineRule="exact"/>
        <w:rPr>
          <w:rFonts w:ascii="Times New Roman" w:cs="Times New Roman" w:eastAsia="Times New Roman" w:hAnsi="Times New Roman"/>
          <w:sz w:val="14"/>
          <w:szCs w:val="14"/>
          <w:b w:val="1"/>
          <w:bCs w:val="1"/>
          <w:color w:val="auto"/>
        </w:rPr>
      </w:pPr>
    </w:p>
    <w:p>
      <w:pPr>
        <w:ind w:left="1400" w:right="4059" w:hanging="304"/>
        <w:spacing w:after="0" w:line="256" w:lineRule="auto"/>
        <w:tabs>
          <w:tab w:leader="none" w:pos="140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51" w:lineRule="exact"/>
        <w:rPr>
          <w:rFonts w:ascii="Times New Roman" w:cs="Times New Roman" w:eastAsia="Times New Roman" w:hAnsi="Times New Roman"/>
          <w:sz w:val="14"/>
          <w:szCs w:val="14"/>
          <w:color w:val="auto"/>
        </w:rPr>
      </w:pPr>
    </w:p>
    <w:p>
      <w:pPr>
        <w:ind w:left="1400" w:right="4259" w:hanging="304"/>
        <w:spacing w:after="0" w:line="279" w:lineRule="auto"/>
        <w:tabs>
          <w:tab w:leader="none" w:pos="140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occupies certain other premises under various operating leases. The obligations under such leases were not material as of December 31, 2002.</w:t>
      </w:r>
    </w:p>
    <w:p>
      <w:pPr>
        <w:spacing w:after="0" w:line="135" w:lineRule="exact"/>
        <w:rPr>
          <w:rFonts w:ascii="Times New Roman" w:cs="Times New Roman" w:eastAsia="Times New Roman" w:hAnsi="Times New Roman"/>
          <w:sz w:val="14"/>
          <w:szCs w:val="14"/>
          <w:color w:val="auto"/>
        </w:rPr>
      </w:pPr>
    </w:p>
    <w:p>
      <w:pPr>
        <w:ind w:left="1400" w:hanging="304"/>
        <w:spacing w:after="0"/>
        <w:tabs>
          <w:tab w:leader="none" w:pos="1400"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also paragraph A(7) above.</w:t>
      </w:r>
    </w:p>
    <w:p>
      <w:pPr>
        <w:spacing w:after="0" w:line="180" w:lineRule="exact"/>
        <w:rPr>
          <w:rFonts w:ascii="Times New Roman" w:cs="Times New Roman" w:eastAsia="Times New Roman" w:hAnsi="Times New Roman"/>
          <w:sz w:val="14"/>
          <w:szCs w:val="14"/>
          <w:color w:val="auto"/>
        </w:rPr>
      </w:pPr>
    </w:p>
    <w:p>
      <w:pPr>
        <w:ind w:left="1100" w:hanging="347"/>
        <w:spacing w:after="0"/>
        <w:tabs>
          <w:tab w:leader="none" w:pos="1100" w:val="left"/>
        </w:tabs>
        <w:numPr>
          <w:ilvl w:val="0"/>
          <w:numId w:val="11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-1333500</wp:posOffset>
            </wp:positionV>
            <wp:extent cx="3919855" cy="635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-692785</wp:posOffset>
            </wp:positionV>
            <wp:extent cx="3919855" cy="635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-368935</wp:posOffset>
            </wp:positionV>
            <wp:extent cx="3919855" cy="635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3926840" cy="635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54" w:lineRule="exact"/>
        <w:rPr>
          <w:sz w:val="20"/>
          <w:szCs w:val="20"/>
          <w:color w:val="auto"/>
        </w:rPr>
      </w:pPr>
    </w:p>
    <w:p>
      <w:pPr>
        <w:ind w:left="1120" w:right="2819"/>
        <w:spacing w:after="0" w:line="254" w:lineRule="auto"/>
        <w:rPr>
          <w:sz w:val="20"/>
          <w:szCs w:val="20"/>
          <w:color w:val="auto"/>
        </w:rPr>
      </w:pPr>
      <w:r>
        <w:rPr>
          <w:rFonts w:ascii="Times New Roman" w:cs="Times New Roman" w:eastAsia="Times New Roman" w:hAnsi="Times New Roman"/>
          <w:sz w:val="14"/>
          <w:szCs w:val="14"/>
          <w:color w:val="auto"/>
        </w:rPr>
        <w:t>The Company from time to time enters into long-term purchase agreements with customers. Pursuant to such agreements, the Company is committed to sell, and the customer is committed to purchase (subject to reductions in certain circumstances), a specific monthly output derived from the start of processing of silicon wafers at prices which are stipulated in the agreements and are subject to periodic re-negotiations. From commencement of the Company's operations through December 31, 2002, a substantial portion of the Company's production has been sold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3926840" cy="635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9" w:lineRule="exact"/>
        <w:rPr>
          <w:sz w:val="20"/>
          <w:szCs w:val="20"/>
          <w:color w:val="auto"/>
        </w:rPr>
      </w:pPr>
    </w:p>
    <w:p>
      <w:pPr>
        <w:ind w:left="1100" w:hanging="347"/>
        <w:spacing w:after="0"/>
        <w:tabs>
          <w:tab w:leader="none" w:pos="1100" w:val="left"/>
        </w:tabs>
        <w:numPr>
          <w:ilvl w:val="0"/>
          <w:numId w:val="1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Profit Sharing Plan</w:t>
      </w:r>
    </w:p>
    <w:p>
      <w:pPr>
        <w:spacing w:after="0" w:line="174" w:lineRule="exact"/>
        <w:rPr>
          <w:sz w:val="20"/>
          <w:szCs w:val="20"/>
          <w:color w:val="auto"/>
        </w:rPr>
      </w:pPr>
    </w:p>
    <w:p>
      <w:pPr>
        <w:ind w:left="1120" w:right="3119"/>
        <w:spacing w:after="0" w:line="319" w:lineRule="auto"/>
        <w:rPr>
          <w:sz w:val="20"/>
          <w:szCs w:val="20"/>
          <w:color w:val="auto"/>
        </w:rPr>
      </w:pPr>
      <w:r>
        <w:rPr>
          <w:rFonts w:ascii="Times New Roman" w:cs="Times New Roman" w:eastAsia="Times New Roman" w:hAnsi="Times New Roman"/>
          <w:sz w:val="13"/>
          <w:szCs w:val="13"/>
          <w:color w:val="auto"/>
        </w:rPr>
        <w:t>The Company maintains an employee profit sharing plan. No amounts were provided for under this plan for periods presented in these financial statements, since the Company did not record profits for these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3926840" cy="635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 w:lineRule="exact"/>
        <w:rPr>
          <w:sz w:val="20"/>
          <w:szCs w:val="20"/>
          <w:color w:val="auto"/>
        </w:rPr>
      </w:pPr>
    </w:p>
    <w:p>
      <w:pPr>
        <w:ind w:left="1100" w:hanging="347"/>
        <w:spacing w:after="0"/>
        <w:tabs>
          <w:tab w:leader="none" w:pos="1100" w:val="left"/>
        </w:tabs>
        <w:numPr>
          <w:ilvl w:val="0"/>
          <w:numId w:val="1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Principal Agreements</w:t>
      </w:r>
    </w:p>
    <w:p>
      <w:pPr>
        <w:spacing w:after="0" w:line="184" w:lineRule="exact"/>
        <w:rPr>
          <w:rFonts w:ascii="Times New Roman" w:cs="Times New Roman" w:eastAsia="Times New Roman" w:hAnsi="Times New Roman"/>
          <w:sz w:val="14"/>
          <w:szCs w:val="14"/>
          <w:b w:val="1"/>
          <w:bCs w:val="1"/>
          <w:color w:val="auto"/>
        </w:rPr>
      </w:pPr>
    </w:p>
    <w:p>
      <w:pPr>
        <w:jc w:val="both"/>
        <w:ind w:left="1460" w:right="4079" w:hanging="364"/>
        <w:spacing w:after="0" w:line="263" w:lineRule="auto"/>
        <w:tabs>
          <w:tab w:leader="none" w:pos="146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2000, the Company and Macronix entered into an agreement according to which the Company waived in favor of Macronix certain exclusive semiconductor manufacturing rights it received from Saifun.</w:t>
      </w:r>
    </w:p>
    <w:p>
      <w:pPr>
        <w:spacing w:after="0" w:line="147" w:lineRule="exact"/>
        <w:rPr>
          <w:rFonts w:ascii="Times New Roman" w:cs="Times New Roman" w:eastAsia="Times New Roman" w:hAnsi="Times New Roman"/>
          <w:sz w:val="14"/>
          <w:szCs w:val="14"/>
          <w:color w:val="auto"/>
        </w:rPr>
      </w:pPr>
    </w:p>
    <w:p>
      <w:pPr>
        <w:ind w:left="1460" w:right="4099" w:hanging="364"/>
        <w:spacing w:after="0" w:line="253" w:lineRule="auto"/>
        <w:tabs>
          <w:tab w:leader="none" w:pos="146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an agreement between the Company and Saifun signed in October 1997, the Company has certain exclusive semiconductor manufacturing rights for certain licensed technology. The agreement also sets certain limitations on Saifun regarding future licensing of such technology (see (1) above). Pursuant to certain provisions of the agreement, the Company and Saifun are obligated, under certain circumstances, to pay each other royalties. For royalty amounts received and payable by the Company under the agreement, see Note 19B.</w:t>
      </w:r>
    </w:p>
    <w:p>
      <w:pPr>
        <w:spacing w:after="0" w:line="154" w:lineRule="exact"/>
        <w:rPr>
          <w:rFonts w:ascii="Times New Roman" w:cs="Times New Roman" w:eastAsia="Times New Roman" w:hAnsi="Times New Roman"/>
          <w:sz w:val="14"/>
          <w:szCs w:val="14"/>
          <w:color w:val="auto"/>
        </w:rPr>
      </w:pPr>
    </w:p>
    <w:p>
      <w:pPr>
        <w:ind w:left="1460" w:right="4159" w:hanging="364"/>
        <w:spacing w:after="0" w:line="293" w:lineRule="auto"/>
        <w:tabs>
          <w:tab w:leader="none" w:pos="1460" w:val="left"/>
        </w:tabs>
        <w:numPr>
          <w:ilvl w:val="1"/>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from time to time in the normal course of business, enters into long-term agreements with various entities for the joint development of products and processes utilizing technologies owned by both the other entities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-1679575</wp:posOffset>
            </wp:positionV>
            <wp:extent cx="3919855" cy="635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-1249680</wp:posOffset>
            </wp:positionV>
            <wp:extent cx="3919855" cy="635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-397510</wp:posOffset>
            </wp:positionV>
            <wp:extent cx="3919855" cy="635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5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F-27</w:t>
      </w:r>
    </w:p>
    <w:p>
      <w:pPr>
        <w:sectPr>
          <w:pgSz w:w="11900" w:h="16838" w:orient="portrait"/>
          <w:cols w:equalWidth="0" w:num="1">
            <w:col w:w="10239"/>
          </w:cols>
          <w:pgMar w:left="220" w:top="123" w:right="1440" w:bottom="0" w:gutter="0" w:footer="0" w:header="0"/>
        </w:sectPr>
      </w:pPr>
    </w:p>
    <w:bookmarkStart w:id="61" w:name="page62"/>
    <w:bookmarkEnd w:id="61"/>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128905</wp:posOffset>
            </wp:positionH>
            <wp:positionV relativeFrom="page">
              <wp:posOffset>248285</wp:posOffset>
            </wp:positionV>
            <wp:extent cx="5062220" cy="3873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5062220" cy="38735"/>
                    </a:xfrm>
                    <a:prstGeom prst="rect">
                      <a:avLst/>
                    </a:prstGeom>
                    <a:noFill/>
                  </pic:spPr>
                </pic:pic>
              </a:graphicData>
            </a:graphic>
          </wp:anchor>
        </w:drawing>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 COMMITMENTS AND CONTINGENCIES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Principal Agreements (Continued)</w:t>
      </w:r>
    </w:p>
    <w:p>
      <w:pPr>
        <w:spacing w:after="0" w:line="184" w:lineRule="exact"/>
        <w:rPr>
          <w:rFonts w:ascii="Times New Roman" w:cs="Times New Roman" w:eastAsia="Times New Roman" w:hAnsi="Times New Roman"/>
          <w:sz w:val="14"/>
          <w:szCs w:val="14"/>
          <w:b w:val="1"/>
          <w:bCs w:val="1"/>
          <w:color w:val="auto"/>
        </w:rPr>
      </w:pPr>
    </w:p>
    <w:p>
      <w:pPr>
        <w:ind w:left="1460" w:right="4459" w:hanging="364"/>
        <w:spacing w:after="0" w:line="279" w:lineRule="auto"/>
        <w:tabs>
          <w:tab w:leader="none" w:pos="1460"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maintains certain agreements with various intellectual property providers under which the Company is to pay certain royalties.</w:t>
      </w:r>
    </w:p>
    <w:p>
      <w:pPr>
        <w:spacing w:after="0" w:line="133" w:lineRule="exact"/>
        <w:rPr>
          <w:rFonts w:ascii="Times New Roman" w:cs="Times New Roman" w:eastAsia="Times New Roman" w:hAnsi="Times New Roman"/>
          <w:sz w:val="14"/>
          <w:szCs w:val="14"/>
          <w:color w:val="auto"/>
        </w:rPr>
      </w:pPr>
    </w:p>
    <w:p>
      <w:pPr>
        <w:ind w:left="1100" w:hanging="347"/>
        <w:spacing w:after="0"/>
        <w:tabs>
          <w:tab w:leader="none" w:pos="1100" w:val="left"/>
        </w:tabs>
        <w:numPr>
          <w:ilvl w:val="0"/>
          <w:numId w:val="1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Environmental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-474345</wp:posOffset>
            </wp:positionV>
            <wp:extent cx="3919855" cy="635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3926840" cy="635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54" w:lineRule="exact"/>
        <w:rPr>
          <w:sz w:val="20"/>
          <w:szCs w:val="20"/>
          <w:color w:val="auto"/>
        </w:rPr>
      </w:pPr>
    </w:p>
    <w:p>
      <w:pPr>
        <w:ind w:left="1120" w:right="2819"/>
        <w:spacing w:after="0" w:line="258" w:lineRule="auto"/>
        <w:rPr>
          <w:sz w:val="20"/>
          <w:szCs w:val="20"/>
          <w:color w:val="auto"/>
        </w:rPr>
      </w:pPr>
      <w:r>
        <w:rPr>
          <w:rFonts w:ascii="Times New Roman" w:cs="Times New Roman" w:eastAsia="Times New Roman" w:hAnsi="Times New Roman"/>
          <w:sz w:val="14"/>
          <w:szCs w:val="14"/>
          <w:color w:val="auto"/>
        </w:rPr>
        <w:t>The Company's operations are subject to a variety of laws and governmental regulations in Israel relating to the use, discharge and disposal of toxic or otherwise hazardous materials used in the production processes. Operating permits are required for the operations of the Company's facilities and these permits are subject to revocation, modification and renewal.</w:t>
      </w:r>
    </w:p>
    <w:p>
      <w:pPr>
        <w:spacing w:after="0" w:line="57" w:lineRule="exact"/>
        <w:rPr>
          <w:sz w:val="20"/>
          <w:szCs w:val="20"/>
          <w:color w:val="auto"/>
        </w:rPr>
      </w:pPr>
    </w:p>
    <w:p>
      <w:pPr>
        <w:ind w:left="1120" w:right="2879"/>
        <w:spacing w:after="0" w:line="256" w:lineRule="auto"/>
        <w:rPr>
          <w:sz w:val="20"/>
          <w:szCs w:val="20"/>
          <w:color w:val="auto"/>
        </w:rPr>
      </w:pPr>
      <w:r>
        <w:rPr>
          <w:rFonts w:ascii="Times New Roman" w:cs="Times New Roman" w:eastAsia="Times New Roman" w:hAnsi="Times New Roman"/>
          <w:sz w:val="14"/>
          <w:szCs w:val="14"/>
          <w:color w:val="auto"/>
        </w:rPr>
        <w:t>Government authorities have the power to enforce compliance with these regulations and permits and violators are subject to civil and criminal penalties, including fines, injunctions or both. As of December 31, 2002 the Company operated under a permit provided by the Ministry of Environmental Affairs in force as long as the Company is in compliance with its terms. In management's opinion, the Company is substantially in compliance with the material aspects of this permit and applicable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926840" cy="635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6" w:lineRule="exact"/>
        <w:rPr>
          <w:sz w:val="20"/>
          <w:szCs w:val="20"/>
          <w:color w:val="auto"/>
        </w:rPr>
      </w:pPr>
    </w:p>
    <w:p>
      <w:pPr>
        <w:ind w:left="1100" w:hanging="347"/>
        <w:spacing w:after="0"/>
        <w:tabs>
          <w:tab w:leader="none" w:pos="1100" w:val="left"/>
        </w:tabs>
        <w:numPr>
          <w:ilvl w:val="0"/>
          <w:numId w:val="1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Commitments</w:t>
      </w:r>
    </w:p>
    <w:p>
      <w:pPr>
        <w:spacing w:after="0" w:line="174" w:lineRule="exact"/>
        <w:rPr>
          <w:sz w:val="20"/>
          <w:szCs w:val="20"/>
          <w:color w:val="auto"/>
        </w:rPr>
      </w:pPr>
    </w:p>
    <w:p>
      <w:pPr>
        <w:ind w:left="1120" w:right="2879"/>
        <w:spacing w:after="0" w:line="258" w:lineRule="auto"/>
        <w:rPr>
          <w:sz w:val="20"/>
          <w:szCs w:val="20"/>
          <w:color w:val="auto"/>
        </w:rPr>
      </w:pPr>
      <w:r>
        <w:rPr>
          <w:rFonts w:ascii="Times New Roman" w:cs="Times New Roman" w:eastAsia="Times New Roman" w:hAnsi="Times New Roman"/>
          <w:sz w:val="14"/>
          <w:szCs w:val="14"/>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Ordinary Shares</w:t>
      </w:r>
    </w:p>
    <w:p>
      <w:pPr>
        <w:spacing w:after="0" w:line="174" w:lineRule="exact"/>
        <w:rPr>
          <w:sz w:val="20"/>
          <w:szCs w:val="20"/>
          <w:color w:val="auto"/>
        </w:rPr>
      </w:pPr>
    </w:p>
    <w:p>
      <w:pPr>
        <w:ind w:left="1120" w:right="2799"/>
        <w:spacing w:after="0" w:line="253" w:lineRule="auto"/>
        <w:rPr>
          <w:sz w:val="20"/>
          <w:szCs w:val="20"/>
          <w:color w:val="auto"/>
        </w:rPr>
      </w:pPr>
      <w:r>
        <w:rPr>
          <w:rFonts w:ascii="Times New Roman" w:cs="Times New Roman" w:eastAsia="Times New Roman" w:hAnsi="Times New Roman"/>
          <w:sz w:val="14"/>
          <w:szCs w:val="14"/>
          <w:color w:val="auto"/>
        </w:rPr>
        <w:t>As of December 31, 2002 and 2001, the Company had 70,000,000 authorized par value NIS 1.00 Ordinary Shares, of which 43,435,532 and 24,997,102, respectively, were issued and outstanding (net of 1,300,000 Ordinary Shares held by the Company as of such dates). As of December 31, 2002, the Company was engaged in agreements and arrangements to issue no fewer than 9,993,935 and no more than 10,370,379 additional Ordinary Shares of the Company. These amounts include Ordinary Shares to be issued under various agreements according to their provisions as of December 31, 2002 related to Fab 2 investors, the exercise of all options granted and issued to non-employees and the conversion of all the convertible debentures.</w:t>
      </w:r>
    </w:p>
    <w:p>
      <w:pPr>
        <w:spacing w:after="0" w:line="61" w:lineRule="exact"/>
        <w:rPr>
          <w:sz w:val="20"/>
          <w:szCs w:val="20"/>
          <w:color w:val="auto"/>
        </w:rPr>
      </w:pPr>
    </w:p>
    <w:p>
      <w:pPr>
        <w:ind w:left="1120" w:right="2799"/>
        <w:spacing w:after="0" w:line="258" w:lineRule="auto"/>
        <w:rPr>
          <w:sz w:val="20"/>
          <w:szCs w:val="20"/>
          <w:color w:val="auto"/>
        </w:rPr>
      </w:pPr>
      <w:r>
        <w:rPr>
          <w:rFonts w:ascii="Times New Roman" w:cs="Times New Roman" w:eastAsia="Times New Roman" w:hAnsi="Times New Roman"/>
          <w:sz w:val="14"/>
          <w:szCs w:val="14"/>
          <w:color w:val="auto"/>
        </w:rPr>
        <w:t>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19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SHAREHOLDERS' EQUITY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Option Plans</w:t>
      </w:r>
    </w:p>
    <w:p>
      <w:pPr>
        <w:spacing w:after="0" w:line="265" w:lineRule="exact"/>
        <w:rPr>
          <w:rFonts w:ascii="Times New Roman" w:cs="Times New Roman" w:eastAsia="Times New Roman" w:hAnsi="Times New Roman"/>
          <w:sz w:val="14"/>
          <w:szCs w:val="14"/>
          <w:b w:val="1"/>
          <w:bCs w:val="1"/>
          <w:color w:val="auto"/>
        </w:rPr>
      </w:pPr>
    </w:p>
    <w:p>
      <w:pPr>
        <w:ind w:left="1400" w:hanging="304"/>
        <w:spacing w:after="0"/>
        <w:tabs>
          <w:tab w:leader="none" w:pos="1400" w:val="left"/>
        </w:tabs>
        <w:numPr>
          <w:ilvl w:val="1"/>
          <w:numId w:val="1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Employee Share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3919855" cy="635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67310</wp:posOffset>
            </wp:positionV>
            <wp:extent cx="3933190" cy="635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3933190" cy="6350"/>
                    </a:xfrm>
                    <a:prstGeom prst="rect">
                      <a:avLst/>
                    </a:prstGeom>
                    <a:noFill/>
                  </pic:spPr>
                </pic:pic>
              </a:graphicData>
            </a:graphic>
          </wp:anchor>
        </w:drawing>
      </w:r>
    </w:p>
    <w:p>
      <w:pPr>
        <w:spacing w:after="0" w:line="163" w:lineRule="exact"/>
        <w:rPr>
          <w:sz w:val="20"/>
          <w:szCs w:val="20"/>
          <w:color w:val="auto"/>
        </w:rPr>
      </w:pPr>
    </w:p>
    <w:p>
      <w:pPr>
        <w:ind w:left="1740" w:right="4059" w:hanging="352"/>
        <w:spacing w:after="0" w:line="265" w:lineRule="auto"/>
        <w:tabs>
          <w:tab w:leader="none" w:pos="1740" w:val="left"/>
        </w:tabs>
        <w:numPr>
          <w:ilvl w:val="0"/>
          <w:numId w:val="1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General </w:t>
      </w:r>
      <w:r>
        <w:rPr>
          <w:rFonts w:ascii="Times New Roman" w:cs="Times New Roman" w:eastAsia="Times New Roman" w:hAnsi="Times New Roman"/>
          <w:sz w:val="14"/>
          <w:szCs w:val="14"/>
          <w:color w:val="auto"/>
        </w:rPr>
        <w:t>— The Company has granted to its employees options to purchase 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Ordinary Shares under several option plans adopted by the Company since 1994 through 2002.</w:t>
      </w:r>
    </w:p>
    <w:p>
      <w:pPr>
        <w:spacing w:after="0" w:line="114" w:lineRule="exact"/>
        <w:rPr>
          <w:sz w:val="20"/>
          <w:szCs w:val="20"/>
          <w:color w:val="auto"/>
        </w:rPr>
      </w:pPr>
    </w:p>
    <w:p>
      <w:pPr>
        <w:ind w:left="1720" w:right="4119"/>
        <w:spacing w:after="0" w:line="252" w:lineRule="auto"/>
        <w:rPr>
          <w:sz w:val="20"/>
          <w:szCs w:val="20"/>
          <w:color w:val="auto"/>
        </w:rPr>
      </w:pPr>
      <w:r>
        <w:rPr>
          <w:rFonts w:ascii="Times New Roman" w:cs="Times New Roman" w:eastAsia="Times New Roman" w:hAnsi="Times New Roman"/>
          <w:sz w:val="14"/>
          <w:szCs w:val="14"/>
          <w:color w:val="auto"/>
        </w:rPr>
        <w:t>The particular provisions of each plan and individual grant vary as to vesting period, exercise price, exercise period and other terms. Generally, the options are granted at an exercise price which equals to not less than 85% of the market value of the Ordinary Shares at the date of grant (through December 31, 2002, most of the options were granted at an exercise price equal to the market value of the underlying shares at the date of grant); vest over a three to four-year period according to various vesting schedules; and are not exercisable beyond ten years from the first grant date under each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-848995</wp:posOffset>
            </wp:positionV>
            <wp:extent cx="1083945" cy="635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08394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933190" cy="635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3933190" cy="6350"/>
                    </a:xfrm>
                    <a:prstGeom prst="rect">
                      <a:avLst/>
                    </a:prstGeom>
                    <a:noFill/>
                  </pic:spPr>
                </pic:pic>
              </a:graphicData>
            </a:graphic>
          </wp:anchor>
        </w:drawing>
      </w:r>
    </w:p>
    <w:p>
      <w:pPr>
        <w:spacing w:after="0" w:line="52" w:lineRule="exact"/>
        <w:rPr>
          <w:sz w:val="20"/>
          <w:szCs w:val="20"/>
          <w:color w:val="auto"/>
        </w:rPr>
      </w:pPr>
    </w:p>
    <w:p>
      <w:pPr>
        <w:ind w:left="1740" w:right="4079" w:hanging="352"/>
        <w:spacing w:after="0" w:line="272" w:lineRule="auto"/>
        <w:tabs>
          <w:tab w:leader="none" w:pos="1740" w:val="left"/>
        </w:tabs>
        <w:numPr>
          <w:ilvl w:val="0"/>
          <w:numId w:val="1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 xml:space="preserve">Options Granted to Certain Employees in May 1998 </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 April 2000,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Board of Directors of the Company approved certain changes in the terms of these options which would allow the determination as of such date of a fixed aggregate unearned compensation expense for all options granted under the plan. As a result, commencing April 2000, options under the plan are accounted for under "fixed plan" accounting. The aggregate unearned compensation related to the plan as of April 2000 of $2,142, is being amortized over the relevant amortization periods. The statement of operations for the year ended December 31, 2000 includes amortization of unearned compensation of $1,691, of which $1,103, $420, and $168, were recorded in cost of sales, research and development and marketing, general and administrative expenses, respectively. Total amortization for 2002 and 2001 amounted to $142 and $283, respectively.</w:t>
      </w:r>
    </w:p>
    <w:p>
      <w:pPr>
        <w:spacing w:after="0" w:line="142" w:lineRule="exact"/>
        <w:rPr>
          <w:rFonts w:ascii="Times New Roman" w:cs="Times New Roman" w:eastAsia="Times New Roman" w:hAnsi="Times New Roman"/>
          <w:sz w:val="13"/>
          <w:szCs w:val="13"/>
          <w:b w:val="1"/>
          <w:bCs w:val="1"/>
          <w:color w:val="auto"/>
        </w:rPr>
      </w:pPr>
    </w:p>
    <w:p>
      <w:pPr>
        <w:ind w:left="1720" w:right="4079" w:hanging="332"/>
        <w:spacing w:after="0" w:line="259" w:lineRule="auto"/>
        <w:tabs>
          <w:tab w:leader="none" w:pos="1720" w:val="left"/>
        </w:tabs>
        <w:numPr>
          <w:ilvl w:val="0"/>
          <w:numId w:val="1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Options Granted to a Director in 2000 and 2001 </w:t>
      </w:r>
      <w:r>
        <w:rPr>
          <w:rFonts w:ascii="Times New Roman" w:cs="Times New Roman" w:eastAsia="Times New Roman" w:hAnsi="Times New Roman"/>
          <w:sz w:val="14"/>
          <w:szCs w:val="14"/>
          <w:color w:val="auto"/>
        </w:rPr>
        <w:t>— During 2000 and 2001,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Audit Committee, the Board of Directors of the Company and the general meeting of the Company's shareholders approved the grant of options to purchase up to 50,000 and 21,500, respectively, Ordinary Shares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-489585</wp:posOffset>
            </wp:positionV>
            <wp:extent cx="3926840" cy="635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ectPr>
          <w:pgSz w:w="11900" w:h="16838" w:orient="portrait"/>
          <w:cols w:equalWidth="0" w:num="1">
            <w:col w:w="10239"/>
          </w:cols>
          <w:pgMar w:left="220" w:top="851" w:right="1440" w:bottom="0" w:gutter="0" w:footer="0" w:header="0"/>
        </w:sectPr>
      </w:pPr>
    </w:p>
    <w:bookmarkStart w:id="62" w:name="page63"/>
    <w:bookmarkEnd w:id="62"/>
    <w:p>
      <w:pPr>
        <w:spacing w:after="0" w:line="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Company to a director of the Company at an exercise price of $20.00 and</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$10.75, respectively, per share, the market price of the Company's shares on the</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dates of grant. The first third of the options vested upon grant and the remaining</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two thirds vest through August 2002 and August 2003, respectively. The options</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may be exercised for a period of three years from the date on which they</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become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3933190" cy="635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3933190" cy="6350"/>
                    </a:xfrm>
                    <a:prstGeom prst="rect">
                      <a:avLst/>
                    </a:prstGeom>
                    <a:noFill/>
                  </pic:spPr>
                </pic:pic>
              </a:graphicData>
            </a:graphic>
          </wp:anchor>
        </w:drawing>
      </w:r>
    </w:p>
    <w:p>
      <w:pPr>
        <w:spacing w:after="0" w:line="145" w:lineRule="exact"/>
        <w:rPr>
          <w:sz w:val="20"/>
          <w:szCs w:val="20"/>
          <w:color w:val="auto"/>
        </w:rPr>
      </w:pPr>
    </w:p>
    <w:p>
      <w:pPr>
        <w:ind w:left="1740" w:right="4079" w:hanging="352"/>
        <w:spacing w:after="0" w:line="253" w:lineRule="auto"/>
        <w:tabs>
          <w:tab w:leader="none" w:pos="1740" w:val="left"/>
        </w:tabs>
        <w:numPr>
          <w:ilvl w:val="0"/>
          <w:numId w:val="1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Options Granted to the Co-CEOs in October 1998 and May 2001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October 1998 and May 2001, the Board of Directors of the Company approved share option plans pursuant to which each of the Company's two Co-Chief Executive Officers was granted the right to purchase up to 300,000 and 100,000, respectively, Ordinary Shares of the Company at an exercise price of $7.00 and $11.81, respectively, the market price of the Company's shares on the dates of grant. Due to the fulfillment during 2000 of accelerated vesting criteria provided by the October 1998 plan, as</w:t>
      </w:r>
    </w:p>
    <w:p>
      <w:pPr>
        <w:spacing w:after="0" w:line="19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SHAREHOLDERS' EQUITY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Option Plans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3919855" cy="635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6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of December 31, 2002 all the options under this plan are fully vested and may</w:t>
      </w:r>
    </w:p>
    <w:p>
      <w:pPr>
        <w:spacing w:after="0" w:line="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be exercised for a period of five years from the date they became exercisable.</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Options granted under the May 2001 plan are exercisable for a period of ten</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4"/>
          <w:szCs w:val="14"/>
          <w:color w:val="auto"/>
        </w:rPr>
        <w:t>years, and vest over a four-year period according to various vesting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3926840" cy="635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45" w:lineRule="exact"/>
        <w:rPr>
          <w:sz w:val="20"/>
          <w:szCs w:val="20"/>
          <w:color w:val="auto"/>
        </w:rPr>
      </w:pPr>
    </w:p>
    <w:p>
      <w:pPr>
        <w:ind w:left="1720" w:right="4079" w:hanging="332"/>
        <w:spacing w:after="0" w:line="272" w:lineRule="auto"/>
        <w:tabs>
          <w:tab w:leader="none" w:pos="1720" w:val="left"/>
        </w:tabs>
        <w:numPr>
          <w:ilvl w:val="0"/>
          <w:numId w:val="129"/>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 xml:space="preserve">Options Granted in July 2001 to Non-Employee Directors </w:t>
      </w:r>
      <w:r>
        <w:rPr>
          <w:rFonts w:ascii="Times New Roman" w:cs="Times New Roman" w:eastAsia="Times New Roman" w:hAnsi="Times New Roman"/>
          <w:sz w:val="13"/>
          <w:szCs w:val="13"/>
          <w:color w:val="auto"/>
        </w:rPr>
        <w:t>— During 2001, the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Audit Committee, the Board of Directors of the Company and the general meeting of the Company's shareholders approved a stock option plan pursuant to which the Company's Board members will be granted options to purchase up to 400,000 Ordinary Shares of the Company (40,000 to each eligible director appointed to the Board of Directors) at an exercise price equal to the market price of the Company's shares on the grant dates (weighted average exercise price of approximately $8.48). As of December 31, 2002 280,000 options were outstanding under the plan. Options granted shall vest over a four-year period according to various vesting schedules, and may not be exercisable, in general, beyond five years from the date upon which they first become exercisable.</w:t>
      </w:r>
    </w:p>
    <w:p>
      <w:pPr>
        <w:spacing w:after="0" w:line="145" w:lineRule="exact"/>
        <w:rPr>
          <w:rFonts w:ascii="Times New Roman" w:cs="Times New Roman" w:eastAsia="Times New Roman" w:hAnsi="Times New Roman"/>
          <w:sz w:val="13"/>
          <w:szCs w:val="13"/>
          <w:b w:val="1"/>
          <w:bCs w:val="1"/>
          <w:color w:val="auto"/>
        </w:rPr>
      </w:pPr>
    </w:p>
    <w:p>
      <w:pPr>
        <w:ind w:left="1720" w:right="4259" w:hanging="332"/>
        <w:spacing w:after="0" w:line="265" w:lineRule="auto"/>
        <w:tabs>
          <w:tab w:leader="none" w:pos="1720" w:val="left"/>
        </w:tabs>
        <w:numPr>
          <w:ilvl w:val="0"/>
          <w:numId w:val="1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Options Available for Grant </w:t>
      </w:r>
      <w:r>
        <w:rPr>
          <w:rFonts w:ascii="Times New Roman" w:cs="Times New Roman" w:eastAsia="Times New Roman" w:hAnsi="Times New Roman"/>
          <w:sz w:val="14"/>
          <w:szCs w:val="14"/>
          <w:color w:val="auto"/>
        </w:rPr>
        <w:t>— As of January 1, 2003, there were 2,344,489</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options available for grant, which had not yet been designated for identified employees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3919855" cy="635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15" w:lineRule="exact"/>
        <w:rPr>
          <w:sz w:val="20"/>
          <w:szCs w:val="20"/>
          <w:color w:val="auto"/>
        </w:rPr>
      </w:pPr>
    </w:p>
    <w:p>
      <w:pPr>
        <w:ind w:left="1100" w:right="2859"/>
        <w:spacing w:after="0" w:line="252" w:lineRule="auto"/>
        <w:rPr>
          <w:sz w:val="20"/>
          <w:szCs w:val="20"/>
          <w:color w:val="auto"/>
        </w:rPr>
      </w:pPr>
      <w:r>
        <w:rPr>
          <w:rFonts w:ascii="Times New Roman" w:cs="Times New Roman" w:eastAsia="Times New Roman" w:hAnsi="Times New Roman"/>
          <w:sz w:val="14"/>
          <w:szCs w:val="14"/>
          <w:color w:val="auto"/>
        </w:rPr>
        <w:t>In September 2000, the Company's Board of Directors provided that on January 1 of each year commencing January 1, 2001 and ending January 1, 2005, the total number of options available for grant under all the Company's share option plans is to be increased by an amount equal to 4% of the outstanding Ordinary Shares of the Company on such date, provided that the maximum number of options available for grant at any time shall not exceed 12% of the outstanding Ordinary Shares of the Company, and that additional options may not be granted if the total number of unvested options outstanding under all the Company's share option plans exceeds 12% of the outstanding Ordinary Shares of the Company. Accordingly, in January 2003, 2002 and 2001, 1,737,421, 999,884 and 490,504 options, respectively, were added to the Company's share option plans, available for grant subject to the general terms described in paragraph (a)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3919855" cy="635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33" w:lineRule="exact"/>
        <w:rPr>
          <w:sz w:val="20"/>
          <w:szCs w:val="20"/>
          <w:color w:val="auto"/>
        </w:rPr>
      </w:pPr>
    </w:p>
    <w:p>
      <w:pPr>
        <w:ind w:left="1400" w:hanging="304"/>
        <w:spacing w:after="0"/>
        <w:tabs>
          <w:tab w:leader="none" w:pos="1400" w:val="left"/>
        </w:tabs>
        <w:numPr>
          <w:ilvl w:val="0"/>
          <w:numId w:val="13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the Status of all the Company's Employee Share Option Plans</w:t>
      </w:r>
    </w:p>
    <w:p>
      <w:pPr>
        <w:spacing w:after="0" w:line="15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A summary of the status of all the Company's employee share option plans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December 31, 2002, 2001 and 2000, as well as changes during each of the years then</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ended, is presented below (for options granted to the Banks and a consultant, see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paragraph B(5) below):</w:t>
      </w:r>
    </w:p>
    <w:p>
      <w:pPr>
        <w:spacing w:after="0" w:line="13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SHAREHOLDERS' EQUITY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3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Option Plans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4389120" cy="8572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4389120" cy="85725"/>
                    </a:xfrm>
                    <a:prstGeom prst="rect">
                      <a:avLst/>
                    </a:prstGeom>
                    <a:noFill/>
                  </pic:spPr>
                </pic:pic>
              </a:graphicData>
            </a:graphic>
          </wp:anchor>
        </w:drawing>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34"/>
        </w:trPr>
        <w:tc>
          <w:tcPr>
            <w:tcW w:w="1400" w:type="dxa"/>
            <w:vAlign w:val="bottom"/>
          </w:tcPr>
          <w:p>
            <w:pPr>
              <w:spacing w:after="0"/>
              <w:rPr>
                <w:sz w:val="11"/>
                <w:szCs w:val="11"/>
                <w:color w:val="auto"/>
              </w:rPr>
            </w:pPr>
          </w:p>
        </w:tc>
        <w:tc>
          <w:tcPr>
            <w:tcW w:w="1500" w:type="dxa"/>
            <w:vAlign w:val="bottom"/>
            <w:gridSpan w:val="4"/>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2002</w:t>
            </w:r>
          </w:p>
        </w:tc>
        <w:tc>
          <w:tcPr>
            <w:tcW w:w="1580" w:type="dxa"/>
            <w:vAlign w:val="bottom"/>
            <w:gridSpan w:val="5"/>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2001</w:t>
            </w:r>
          </w:p>
        </w:tc>
        <w:tc>
          <w:tcPr>
            <w:tcW w:w="1580" w:type="dxa"/>
            <w:vAlign w:val="bottom"/>
            <w:gridSpan w:val="5"/>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2000</w:t>
            </w:r>
          </w:p>
        </w:tc>
        <w:tc>
          <w:tcPr>
            <w:tcW w:w="0" w:type="dxa"/>
            <w:vAlign w:val="bottom"/>
          </w:tcPr>
          <w:p>
            <w:pPr>
              <w:spacing w:after="0"/>
              <w:rPr>
                <w:sz w:val="1"/>
                <w:szCs w:val="1"/>
                <w:color w:val="auto"/>
              </w:rPr>
            </w:pPr>
          </w:p>
        </w:tc>
      </w:tr>
      <w:tr>
        <w:trPr>
          <w:trHeight w:val="86"/>
        </w:trPr>
        <w:tc>
          <w:tcPr>
            <w:tcW w:w="1400" w:type="dxa"/>
            <w:vAlign w:val="bottom"/>
          </w:tcPr>
          <w:p>
            <w:pPr>
              <w:spacing w:after="0"/>
              <w:rPr>
                <w:sz w:val="7"/>
                <w:szCs w:val="7"/>
                <w:color w:val="auto"/>
              </w:rPr>
            </w:pPr>
          </w:p>
        </w:tc>
        <w:tc>
          <w:tcPr>
            <w:tcW w:w="6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Weighted</w:t>
            </w:r>
          </w:p>
        </w:tc>
        <w:tc>
          <w:tcPr>
            <w:tcW w:w="80" w:type="dxa"/>
            <w:vAlign w:val="bottom"/>
          </w:tcPr>
          <w:p>
            <w:pPr>
              <w:spacing w:after="0"/>
              <w:rPr>
                <w:sz w:val="7"/>
                <w:szCs w:val="7"/>
                <w:color w:val="auto"/>
              </w:rPr>
            </w:pPr>
          </w:p>
        </w:tc>
        <w:tc>
          <w:tcPr>
            <w:tcW w:w="7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Weighted</w:t>
            </w:r>
          </w:p>
        </w:tc>
        <w:tc>
          <w:tcPr>
            <w:tcW w:w="80" w:type="dxa"/>
            <w:vAlign w:val="bottom"/>
          </w:tcPr>
          <w:p>
            <w:pPr>
              <w:spacing w:after="0"/>
              <w:rPr>
                <w:sz w:val="7"/>
                <w:szCs w:val="7"/>
                <w:color w:val="auto"/>
              </w:rPr>
            </w:pPr>
          </w:p>
        </w:tc>
        <w:tc>
          <w:tcPr>
            <w:tcW w:w="7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8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Weighted</w:t>
            </w:r>
          </w:p>
        </w:tc>
        <w:tc>
          <w:tcPr>
            <w:tcW w:w="0" w:type="dxa"/>
            <w:vAlign w:val="bottom"/>
          </w:tcPr>
          <w:p>
            <w:pPr>
              <w:spacing w:after="0"/>
              <w:rPr>
                <w:sz w:val="1"/>
                <w:szCs w:val="1"/>
                <w:color w:val="auto"/>
              </w:rPr>
            </w:pPr>
          </w:p>
        </w:tc>
      </w:tr>
      <w:tr>
        <w:trPr>
          <w:trHeight w:val="115"/>
        </w:trPr>
        <w:tc>
          <w:tcPr>
            <w:tcW w:w="14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average</w:t>
            </w: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average</w:t>
            </w: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average</w:t>
            </w:r>
          </w:p>
        </w:tc>
        <w:tc>
          <w:tcPr>
            <w:tcW w:w="0" w:type="dxa"/>
            <w:vAlign w:val="bottom"/>
          </w:tcPr>
          <w:p>
            <w:pPr>
              <w:spacing w:after="0"/>
              <w:rPr>
                <w:sz w:val="1"/>
                <w:szCs w:val="1"/>
                <w:color w:val="auto"/>
              </w:rPr>
            </w:pPr>
          </w:p>
        </w:tc>
      </w:tr>
      <w:tr>
        <w:trPr>
          <w:trHeight w:val="115"/>
        </w:trPr>
        <w:tc>
          <w:tcPr>
            <w:tcW w:w="1400" w:type="dxa"/>
            <w:vAlign w:val="bottom"/>
          </w:tcPr>
          <w:p>
            <w:pPr>
              <w:spacing w:after="0"/>
              <w:rPr>
                <w:sz w:val="9"/>
                <w:szCs w:val="9"/>
                <w:color w:val="auto"/>
              </w:rPr>
            </w:pPr>
          </w:p>
        </w:tc>
        <w:tc>
          <w:tcPr>
            <w:tcW w:w="68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of share</w:t>
            </w:r>
          </w:p>
        </w:tc>
        <w:tc>
          <w:tcPr>
            <w:tcW w:w="10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80" w:type="dxa"/>
            <w:vAlign w:val="bottom"/>
          </w:tcPr>
          <w:p>
            <w:pPr>
              <w:spacing w:after="0"/>
              <w:rPr>
                <w:sz w:val="9"/>
                <w:szCs w:val="9"/>
                <w:color w:val="auto"/>
              </w:rPr>
            </w:pPr>
          </w:p>
        </w:tc>
        <w:tc>
          <w:tcPr>
            <w:tcW w:w="7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of share</w:t>
            </w: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exercise</w:t>
            </w:r>
          </w:p>
        </w:tc>
        <w:tc>
          <w:tcPr>
            <w:tcW w:w="80" w:type="dxa"/>
            <w:vAlign w:val="bottom"/>
          </w:tcPr>
          <w:p>
            <w:pPr>
              <w:spacing w:after="0"/>
              <w:rPr>
                <w:sz w:val="9"/>
                <w:szCs w:val="9"/>
                <w:color w:val="auto"/>
              </w:rPr>
            </w:pPr>
          </w:p>
        </w:tc>
        <w:tc>
          <w:tcPr>
            <w:tcW w:w="7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of share</w:t>
            </w: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exercise</w:t>
            </w:r>
          </w:p>
        </w:tc>
        <w:tc>
          <w:tcPr>
            <w:tcW w:w="0" w:type="dxa"/>
            <w:vAlign w:val="bottom"/>
          </w:tcPr>
          <w:p>
            <w:pPr>
              <w:spacing w:after="0"/>
              <w:rPr>
                <w:sz w:val="1"/>
                <w:szCs w:val="1"/>
                <w:color w:val="auto"/>
              </w:rPr>
            </w:pPr>
          </w:p>
        </w:tc>
      </w:tr>
      <w:tr>
        <w:trPr>
          <w:trHeight w:val="134"/>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Outstanding as of</w:t>
            </w: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options</w:t>
            </w:r>
          </w:p>
        </w:tc>
        <w:tc>
          <w:tcPr>
            <w:tcW w:w="10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price</w:t>
            </w:r>
          </w:p>
        </w:tc>
        <w:tc>
          <w:tcPr>
            <w:tcW w:w="80" w:type="dxa"/>
            <w:vAlign w:val="bottom"/>
          </w:tcPr>
          <w:p>
            <w:pPr>
              <w:spacing w:after="0"/>
              <w:rPr>
                <w:sz w:val="11"/>
                <w:szCs w:val="11"/>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options</w:t>
            </w:r>
          </w:p>
        </w:tc>
        <w:tc>
          <w:tcPr>
            <w:tcW w:w="8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price</w:t>
            </w:r>
          </w:p>
        </w:tc>
        <w:tc>
          <w:tcPr>
            <w:tcW w:w="80" w:type="dxa"/>
            <w:vAlign w:val="bottom"/>
          </w:tcPr>
          <w:p>
            <w:pPr>
              <w:spacing w:after="0"/>
              <w:rPr>
                <w:sz w:val="11"/>
                <w:szCs w:val="11"/>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options</w:t>
            </w:r>
          </w:p>
        </w:tc>
        <w:tc>
          <w:tcPr>
            <w:tcW w:w="8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42"/>
        </w:trPr>
        <w:tc>
          <w:tcPr>
            <w:tcW w:w="14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beginning of year</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3,717,770</w:t>
            </w:r>
          </w:p>
        </w:tc>
        <w:tc>
          <w:tcPr>
            <w:tcW w:w="80" w:type="dxa"/>
            <w:vAlign w:val="bottom"/>
          </w:tcPr>
          <w:p>
            <w:pPr>
              <w:spacing w:after="0"/>
              <w:rPr>
                <w:sz w:val="15"/>
                <w:szCs w:val="15"/>
                <w:color w:val="auto"/>
              </w:rPr>
            </w:pPr>
          </w:p>
        </w:tc>
        <w:tc>
          <w:tcPr>
            <w:tcW w:w="82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$11.94</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2,376,543</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$13.34</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1,894,773</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$ 8.08</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905,724</w:t>
            </w:r>
          </w:p>
        </w:tc>
        <w:tc>
          <w:tcPr>
            <w:tcW w:w="82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5.82</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1,583,722</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10.20</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871,300</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23.06</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Exercised</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(31,154)</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8.76</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(299,013)</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8.83</w:t>
            </w:r>
          </w:p>
        </w:tc>
        <w:tc>
          <w:tcPr>
            <w:tcW w:w="0" w:type="dxa"/>
            <w:vAlign w:val="bottom"/>
          </w:tcPr>
          <w:p>
            <w:pPr>
              <w:spacing w:after="0"/>
              <w:rPr>
                <w:sz w:val="1"/>
                <w:szCs w:val="1"/>
                <w:color w:val="auto"/>
              </w:rPr>
            </w:pPr>
          </w:p>
        </w:tc>
      </w:tr>
      <w:tr>
        <w:trPr>
          <w:trHeight w:val="198"/>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Terminated</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40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(375,596)</w:t>
            </w:r>
          </w:p>
        </w:tc>
        <w:tc>
          <w:tcPr>
            <w:tcW w:w="82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10.27</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(211,341)</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15.30</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(90,517)</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11.06</w:t>
            </w:r>
          </w:p>
        </w:tc>
        <w:tc>
          <w:tcPr>
            <w:tcW w:w="0" w:type="dxa"/>
            <w:vAlign w:val="bottom"/>
          </w:tcPr>
          <w:p>
            <w:pPr>
              <w:spacing w:after="0"/>
              <w:rPr>
                <w:sz w:val="1"/>
                <w:szCs w:val="1"/>
                <w:color w:val="auto"/>
              </w:rPr>
            </w:pPr>
          </w:p>
        </w:tc>
      </w:tr>
      <w:tr>
        <w:trPr>
          <w:trHeight w:val="142"/>
        </w:trPr>
        <w:tc>
          <w:tcPr>
            <w:tcW w:w="14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Outstanding as of</w:t>
            </w: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end of year</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4,247,898</w:t>
            </w:r>
          </w:p>
        </w:tc>
        <w:tc>
          <w:tcPr>
            <w:tcW w:w="80" w:type="dxa"/>
            <w:vAlign w:val="bottom"/>
          </w:tcPr>
          <w:p>
            <w:pPr>
              <w:spacing w:after="0"/>
              <w:rPr>
                <w:sz w:val="15"/>
                <w:szCs w:val="15"/>
                <w:color w:val="auto"/>
              </w:rPr>
            </w:pPr>
          </w:p>
        </w:tc>
        <w:tc>
          <w:tcPr>
            <w:tcW w:w="82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10.79</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3,717,770</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11.94</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2,376,543</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13.34</w:t>
            </w:r>
          </w:p>
        </w:tc>
        <w:tc>
          <w:tcPr>
            <w:tcW w:w="0" w:type="dxa"/>
            <w:vAlign w:val="bottom"/>
          </w:tcPr>
          <w:p>
            <w:pPr>
              <w:spacing w:after="0"/>
              <w:rPr>
                <w:sz w:val="1"/>
                <w:szCs w:val="1"/>
                <w:color w:val="auto"/>
              </w:rPr>
            </w:pPr>
          </w:p>
        </w:tc>
      </w:tr>
      <w:tr>
        <w:trPr>
          <w:trHeight w:val="20"/>
        </w:trPr>
        <w:tc>
          <w:tcPr>
            <w:tcW w:w="1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Options exercisable</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 of end of year</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1,299,531</w:t>
            </w:r>
          </w:p>
        </w:tc>
        <w:tc>
          <w:tcPr>
            <w:tcW w:w="80" w:type="dxa"/>
            <w:vAlign w:val="bottom"/>
          </w:tcPr>
          <w:p>
            <w:pPr>
              <w:spacing w:after="0"/>
              <w:rPr>
                <w:sz w:val="15"/>
                <w:szCs w:val="15"/>
                <w:color w:val="auto"/>
              </w:rPr>
            </w:pPr>
          </w:p>
        </w:tc>
        <w:tc>
          <w:tcPr>
            <w:tcW w:w="82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10.49</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1,080,867</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7.79</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1,146,972</w:t>
            </w:r>
          </w:p>
        </w:tc>
        <w:tc>
          <w:tcPr>
            <w:tcW w:w="800" w:type="dxa"/>
            <w:vAlign w:val="bottom"/>
            <w:gridSpan w:val="2"/>
          </w:tcPr>
          <w:p>
            <w:pPr>
              <w:jc w:val="right"/>
              <w:ind w:right="207"/>
              <w:spacing w:after="0"/>
              <w:rPr>
                <w:sz w:val="20"/>
                <w:szCs w:val="20"/>
                <w:color w:val="auto"/>
              </w:rPr>
            </w:pPr>
            <w:r>
              <w:rPr>
                <w:rFonts w:ascii="Times New Roman" w:cs="Times New Roman" w:eastAsia="Times New Roman" w:hAnsi="Times New Roman"/>
                <w:sz w:val="14"/>
                <w:szCs w:val="14"/>
                <w:color w:val="auto"/>
              </w:rPr>
              <w:t>9.08</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1535430</wp:posOffset>
            </wp:positionH>
            <wp:positionV relativeFrom="paragraph">
              <wp:posOffset>-1544955</wp:posOffset>
            </wp:positionV>
            <wp:extent cx="13335" cy="635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-1544955</wp:posOffset>
            </wp:positionV>
            <wp:extent cx="13335" cy="635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-1544955</wp:posOffset>
            </wp:positionV>
            <wp:extent cx="13335" cy="635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-1346200</wp:posOffset>
            </wp:positionV>
            <wp:extent cx="13335" cy="635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-1346200</wp:posOffset>
            </wp:positionV>
            <wp:extent cx="13335" cy="635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-1346200</wp:posOffset>
            </wp:positionV>
            <wp:extent cx="13335" cy="635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-1346200</wp:posOffset>
            </wp:positionV>
            <wp:extent cx="13335" cy="635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-1346200</wp:posOffset>
            </wp:positionV>
            <wp:extent cx="13335" cy="635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-1346200</wp:posOffset>
            </wp:positionV>
            <wp:extent cx="13335" cy="635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-1082040</wp:posOffset>
            </wp:positionV>
            <wp:extent cx="13335" cy="635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-1082040</wp:posOffset>
            </wp:positionV>
            <wp:extent cx="13335" cy="635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-1082040</wp:posOffset>
            </wp:positionV>
            <wp:extent cx="13335" cy="635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-1082040</wp:posOffset>
            </wp:positionV>
            <wp:extent cx="13335" cy="635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-1082040</wp:posOffset>
            </wp:positionV>
            <wp:extent cx="13335" cy="635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-1082040</wp:posOffset>
            </wp:positionV>
            <wp:extent cx="13335" cy="635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-903605</wp:posOffset>
            </wp:positionV>
            <wp:extent cx="13335" cy="635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-903605</wp:posOffset>
            </wp:positionV>
            <wp:extent cx="13335" cy="635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-903605</wp:posOffset>
            </wp:positionV>
            <wp:extent cx="13335" cy="635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-903605</wp:posOffset>
            </wp:positionV>
            <wp:extent cx="13335" cy="635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-903605</wp:posOffset>
            </wp:positionV>
            <wp:extent cx="13335" cy="635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-903605</wp:posOffset>
            </wp:positionV>
            <wp:extent cx="13335" cy="635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-777875</wp:posOffset>
            </wp:positionV>
            <wp:extent cx="13335" cy="635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-777875</wp:posOffset>
            </wp:positionV>
            <wp:extent cx="13335" cy="635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-777875</wp:posOffset>
            </wp:positionV>
            <wp:extent cx="13335" cy="635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-777875</wp:posOffset>
            </wp:positionV>
            <wp:extent cx="13335" cy="635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-777875</wp:posOffset>
            </wp:positionV>
            <wp:extent cx="13335" cy="635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-777875</wp:posOffset>
            </wp:positionV>
            <wp:extent cx="13335" cy="635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-652145</wp:posOffset>
            </wp:positionV>
            <wp:extent cx="13335" cy="635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-652145</wp:posOffset>
            </wp:positionV>
            <wp:extent cx="13335" cy="635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-652145</wp:posOffset>
            </wp:positionV>
            <wp:extent cx="13335" cy="635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-652145</wp:posOffset>
            </wp:positionV>
            <wp:extent cx="13335" cy="635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-652145</wp:posOffset>
            </wp:positionV>
            <wp:extent cx="13335" cy="635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-652145</wp:posOffset>
            </wp:positionV>
            <wp:extent cx="13335" cy="635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-526415</wp:posOffset>
            </wp:positionV>
            <wp:extent cx="13335" cy="635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-526415</wp:posOffset>
            </wp:positionV>
            <wp:extent cx="13335" cy="635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-526415</wp:posOffset>
            </wp:positionV>
            <wp:extent cx="13335" cy="635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-526415</wp:posOffset>
            </wp:positionV>
            <wp:extent cx="13335" cy="635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-526415</wp:posOffset>
            </wp:positionV>
            <wp:extent cx="13335" cy="635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-526415</wp:posOffset>
            </wp:positionV>
            <wp:extent cx="13335" cy="635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-347980</wp:posOffset>
            </wp:positionV>
            <wp:extent cx="13335" cy="635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-347980</wp:posOffset>
            </wp:positionV>
            <wp:extent cx="13335" cy="635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-347980</wp:posOffset>
            </wp:positionV>
            <wp:extent cx="13335" cy="635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-347980</wp:posOffset>
            </wp:positionV>
            <wp:extent cx="13335" cy="635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-347980</wp:posOffset>
            </wp:positionV>
            <wp:extent cx="13335" cy="635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-347980</wp:posOffset>
            </wp:positionV>
            <wp:extent cx="13335" cy="635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-116840</wp:posOffset>
            </wp:positionV>
            <wp:extent cx="13335" cy="635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2025015</wp:posOffset>
            </wp:positionH>
            <wp:positionV relativeFrom="paragraph">
              <wp:posOffset>-116840</wp:posOffset>
            </wp:positionV>
            <wp:extent cx="13335" cy="635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2540635</wp:posOffset>
            </wp:positionH>
            <wp:positionV relativeFrom="paragraph">
              <wp:posOffset>-116840</wp:posOffset>
            </wp:positionV>
            <wp:extent cx="13335" cy="635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-116840</wp:posOffset>
            </wp:positionV>
            <wp:extent cx="13335" cy="635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-116840</wp:posOffset>
            </wp:positionV>
            <wp:extent cx="13335" cy="635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-116840</wp:posOffset>
            </wp:positionV>
            <wp:extent cx="13335" cy="635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900" w:orient="portrait"/>
          <w:cols w:equalWidth="0" w:num="1">
            <w:col w:w="10239"/>
          </w:cols>
          <w:pgMar w:left="220" w:top="125" w:right="1440" w:bottom="0" w:gutter="0" w:footer="0" w:header="0"/>
        </w:sectPr>
      </w:pPr>
    </w:p>
    <w:bookmarkStart w:id="63" w:name="page64"/>
    <w:bookmarkEnd w:id="63"/>
    <w:p>
      <w:pPr>
        <w:ind w:left="1400" w:hanging="304"/>
        <w:spacing w:after="0"/>
        <w:tabs>
          <w:tab w:leader="none" w:pos="1400" w:val="left"/>
        </w:tabs>
        <w:numPr>
          <w:ilvl w:val="0"/>
          <w:numId w:val="13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3919855" cy="7302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3919855" cy="73025"/>
                    </a:xfrm>
                    <a:prstGeom prst="rect">
                      <a:avLst/>
                    </a:prstGeom>
                    <a:noFill/>
                  </pic:spPr>
                </pic:pic>
              </a:graphicData>
            </a:graphic>
          </wp:anchor>
        </w:drawing>
        <w:t>Summary of Information about Employee Share Options Outstanding</w:t>
      </w:r>
    </w:p>
    <w:p>
      <w:pPr>
        <w:spacing w:after="0" w:line="174"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14"/>
          <w:szCs w:val="14"/>
          <w:color w:val="auto"/>
        </w:rPr>
        <w:t>The following table summarizes information about employee share options outstanding as of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67" w:lineRule="exact"/>
        <w:rPr>
          <w:sz w:val="20"/>
          <w:szCs w:val="20"/>
          <w:color w:val="auto"/>
        </w:rPr>
      </w:pPr>
    </w:p>
    <w:tbl>
      <w:tblPr>
        <w:tblLayout w:type="fixed"/>
        <w:tblInd w:w="1100" w:type="dxa"/>
        <w:tblCellMar>
          <w:top w:w="0" w:type="dxa"/>
          <w:left w:w="0" w:type="dxa"/>
          <w:bottom w:w="0" w:type="dxa"/>
          <w:right w:w="0" w:type="dxa"/>
        </w:tblCellMar>
      </w:tblPr>
      <w:tr>
        <w:trPr>
          <w:trHeight w:val="126"/>
        </w:trPr>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Outstanding as of</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gridSpan w:val="4"/>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Exercisable as of</w:t>
            </w:r>
          </w:p>
        </w:tc>
        <w:tc>
          <w:tcPr>
            <w:tcW w:w="0" w:type="dxa"/>
            <w:vAlign w:val="bottom"/>
          </w:tcPr>
          <w:p>
            <w:pPr>
              <w:spacing w:after="0"/>
              <w:rPr>
                <w:sz w:val="1"/>
                <w:szCs w:val="1"/>
                <w:color w:val="auto"/>
              </w:rPr>
            </w:pPr>
          </w:p>
        </w:tc>
      </w:tr>
      <w:tr>
        <w:trPr>
          <w:trHeight w:val="134"/>
        </w:trPr>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December 31, 2002</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Borders>
              <w:bottom w:val="single" w:sz="8" w:color="auto"/>
            </w:tcBorders>
            <w:gridSpan w:val="4"/>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December 31, 2002</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tcPr>
          <w:p>
            <w:pPr>
              <w:jc w:val="center"/>
              <w:ind w:right="180"/>
              <w:spacing w:after="0" w:line="86" w:lineRule="exact"/>
              <w:rPr>
                <w:sz w:val="20"/>
                <w:szCs w:val="20"/>
                <w:color w:val="auto"/>
              </w:rPr>
            </w:pPr>
            <w:r>
              <w:rPr>
                <w:rFonts w:ascii="Times New Roman" w:cs="Times New Roman" w:eastAsia="Times New Roman" w:hAnsi="Times New Roman"/>
                <w:sz w:val="9"/>
                <w:szCs w:val="9"/>
                <w:b w:val="1"/>
                <w:bCs w:val="1"/>
                <w:color w:val="auto"/>
              </w:rPr>
              <w:t>Weighted</w:t>
            </w:r>
          </w:p>
        </w:tc>
        <w:tc>
          <w:tcPr>
            <w:tcW w:w="620" w:type="dxa"/>
            <w:vAlign w:val="bottom"/>
            <w:vMerge w:val="restart"/>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0" w:type="dxa"/>
            <w:vAlign w:val="bottom"/>
          </w:tcPr>
          <w:p>
            <w:pPr>
              <w:spacing w:after="0"/>
              <w:rPr>
                <w:sz w:val="1"/>
                <w:szCs w:val="1"/>
                <w:color w:val="auto"/>
              </w:rPr>
            </w:pPr>
          </w:p>
        </w:tc>
      </w:tr>
      <w:tr>
        <w:trPr>
          <w:trHeight w:val="115"/>
        </w:trPr>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tcPr>
          <w:p>
            <w:pPr>
              <w:ind w:left="160"/>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5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Range of</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9"/>
                <w:szCs w:val="9"/>
                <w:color w:val="auto"/>
              </w:rPr>
            </w:pPr>
          </w:p>
        </w:tc>
        <w:tc>
          <w:tcPr>
            <w:tcW w:w="860" w:type="dxa"/>
            <w:vAlign w:val="bottom"/>
            <w:gridSpan w:val="3"/>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w w:val="99"/>
              </w:rPr>
              <w:t>remaining</w:t>
            </w:r>
          </w:p>
        </w:tc>
        <w:tc>
          <w:tcPr>
            <w:tcW w:w="620" w:type="dxa"/>
            <w:vAlign w:val="bottom"/>
          </w:tcPr>
          <w:p>
            <w:pPr>
              <w:jc w:val="center"/>
              <w:ind w:right="35"/>
              <w:spacing w:after="0" w:line="115" w:lineRule="exact"/>
              <w:rPr>
                <w:sz w:val="20"/>
                <w:szCs w:val="20"/>
                <w:color w:val="auto"/>
              </w:rPr>
            </w:pPr>
            <w:r>
              <w:rPr>
                <w:rFonts w:ascii="Times New Roman" w:cs="Times New Roman" w:eastAsia="Times New Roman" w:hAnsi="Times New Roman"/>
                <w:sz w:val="11"/>
                <w:szCs w:val="11"/>
                <w:b w:val="1"/>
                <w:bCs w:val="1"/>
                <w:color w:val="auto"/>
                <w:w w:val="98"/>
              </w:rPr>
              <w:t>average</w:t>
            </w:r>
          </w:p>
        </w:tc>
        <w:tc>
          <w:tcPr>
            <w:tcW w:w="80" w:type="dxa"/>
            <w:vAlign w:val="bottom"/>
          </w:tcPr>
          <w:p>
            <w:pPr>
              <w:spacing w:after="0"/>
              <w:rPr>
                <w:sz w:val="9"/>
                <w:szCs w:val="9"/>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average</w:t>
            </w:r>
          </w:p>
        </w:tc>
        <w:tc>
          <w:tcPr>
            <w:tcW w:w="0" w:type="dxa"/>
            <w:vAlign w:val="bottom"/>
          </w:tcPr>
          <w:p>
            <w:pPr>
              <w:spacing w:after="0"/>
              <w:rPr>
                <w:sz w:val="1"/>
                <w:szCs w:val="1"/>
                <w:color w:val="auto"/>
              </w:rPr>
            </w:pPr>
          </w:p>
        </w:tc>
      </w:tr>
      <w:tr>
        <w:trPr>
          <w:trHeight w:val="115"/>
        </w:trPr>
        <w:tc>
          <w:tcPr>
            <w:tcW w:w="1560" w:type="dxa"/>
            <w:vAlign w:val="bottom"/>
            <w:gridSpan w:val="4"/>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3"/>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620" w:type="dxa"/>
            <w:vAlign w:val="bottom"/>
          </w:tcPr>
          <w:p>
            <w:pPr>
              <w:jc w:val="center"/>
              <w:ind w:right="35"/>
              <w:spacing w:after="0" w:line="115" w:lineRule="exact"/>
              <w:rPr>
                <w:sz w:val="20"/>
                <w:szCs w:val="20"/>
                <w:color w:val="auto"/>
              </w:rPr>
            </w:pPr>
            <w:r>
              <w:rPr>
                <w:rFonts w:ascii="Times New Roman" w:cs="Times New Roman" w:eastAsia="Times New Roman" w:hAnsi="Times New Roman"/>
                <w:sz w:val="11"/>
                <w:szCs w:val="11"/>
                <w:b w:val="1"/>
                <w:bCs w:val="1"/>
                <w:color w:val="auto"/>
                <w:w w:val="96"/>
              </w:rPr>
              <w:t>exercise</w:t>
            </w: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exercise</w:t>
            </w:r>
          </w:p>
        </w:tc>
        <w:tc>
          <w:tcPr>
            <w:tcW w:w="0" w:type="dxa"/>
            <w:vAlign w:val="bottom"/>
          </w:tcPr>
          <w:p>
            <w:pPr>
              <w:spacing w:after="0"/>
              <w:rPr>
                <w:sz w:val="1"/>
                <w:szCs w:val="1"/>
                <w:color w:val="auto"/>
              </w:rPr>
            </w:pPr>
          </w:p>
        </w:tc>
      </w:tr>
      <w:tr>
        <w:trPr>
          <w:trHeight w:val="134"/>
        </w:trPr>
        <w:tc>
          <w:tcPr>
            <w:tcW w:w="15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exercise prices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80" w:type="dxa"/>
            <w:vAlign w:val="bottom"/>
          </w:tcPr>
          <w:p>
            <w:pPr>
              <w:spacing w:after="0"/>
              <w:rPr>
                <w:sz w:val="11"/>
                <w:szCs w:val="11"/>
                <w:color w:val="auto"/>
              </w:rPr>
            </w:pPr>
          </w:p>
        </w:tc>
        <w:tc>
          <w:tcPr>
            <w:tcW w:w="8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life</w:t>
            </w:r>
          </w:p>
        </w:tc>
        <w:tc>
          <w:tcPr>
            <w:tcW w:w="620" w:type="dxa"/>
            <w:vAlign w:val="bottom"/>
          </w:tcPr>
          <w:p>
            <w:pPr>
              <w:jc w:val="center"/>
              <w:ind w:right="35"/>
              <w:spacing w:after="0"/>
              <w:rPr>
                <w:sz w:val="20"/>
                <w:szCs w:val="20"/>
                <w:color w:val="auto"/>
              </w:rPr>
            </w:pPr>
            <w:r>
              <w:rPr>
                <w:rFonts w:ascii="Times New Roman" w:cs="Times New Roman" w:eastAsia="Times New Roman" w:hAnsi="Times New Roman"/>
                <w:sz w:val="11"/>
                <w:szCs w:val="11"/>
                <w:b w:val="1"/>
                <w:bCs w:val="1"/>
                <w:color w:val="auto"/>
              </w:rPr>
              <w:t>price</w:t>
            </w:r>
          </w:p>
        </w:tc>
        <w:tc>
          <w:tcPr>
            <w:tcW w:w="80" w:type="dxa"/>
            <w:vAlign w:val="bottom"/>
          </w:tcPr>
          <w:p>
            <w:pPr>
              <w:spacing w:after="0"/>
              <w:rPr>
                <w:sz w:val="11"/>
                <w:szCs w:val="11"/>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exercisable</w:t>
            </w:r>
          </w:p>
        </w:tc>
        <w:tc>
          <w:tcPr>
            <w:tcW w:w="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21"/>
        </w:trPr>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top w:val="single" w:sz="8" w:color="auto"/>
            </w:tcBorders>
          </w:tcPr>
          <w:p>
            <w:pPr>
              <w:ind w:left="180"/>
              <w:spacing w:after="0" w:line="122" w:lineRule="exact"/>
              <w:rPr>
                <w:sz w:val="20"/>
                <w:szCs w:val="20"/>
                <w:color w:val="auto"/>
              </w:rPr>
            </w:pPr>
            <w:r>
              <w:rPr>
                <w:rFonts w:ascii="Times New Roman" w:cs="Times New Roman" w:eastAsia="Times New Roman" w:hAnsi="Times New Roman"/>
                <w:sz w:val="11"/>
                <w:szCs w:val="11"/>
                <w:color w:val="auto"/>
              </w:rPr>
              <w:t>(in years)</w:t>
            </w: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71"/>
              <w:spacing w:after="0"/>
              <w:rPr>
                <w:sz w:val="20"/>
                <w:szCs w:val="20"/>
                <w:color w:val="auto"/>
              </w:rPr>
            </w:pPr>
            <w:r>
              <w:rPr>
                <w:rFonts w:ascii="Times New Roman" w:cs="Times New Roman" w:eastAsia="Times New Roman" w:hAnsi="Times New Roman"/>
                <w:sz w:val="14"/>
                <w:szCs w:val="14"/>
                <w:color w:val="auto"/>
                <w:w w:val="97"/>
              </w:rPr>
              <w:t>5.96</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180,199</w:t>
            </w:r>
          </w:p>
        </w:tc>
        <w:tc>
          <w:tcPr>
            <w:tcW w:w="40" w:type="dxa"/>
            <w:vAlign w:val="bottom"/>
          </w:tcPr>
          <w:p>
            <w:pPr>
              <w:spacing w:after="0"/>
              <w:rPr>
                <w:sz w:val="15"/>
                <w:szCs w:val="15"/>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5.02</w:t>
            </w:r>
          </w:p>
        </w:tc>
        <w:tc>
          <w:tcPr>
            <w:tcW w:w="8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 -</w:t>
            </w:r>
          </w:p>
        </w:tc>
        <w:tc>
          <w:tcPr>
            <w:tcW w:w="100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6.94</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732,026</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 -</w:t>
            </w:r>
          </w:p>
        </w:tc>
        <w:tc>
          <w:tcPr>
            <w:tcW w:w="100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7.99</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740,850</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3.02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7.03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727,500</w:t>
            </w:r>
          </w:p>
        </w:tc>
        <w:tc>
          <w:tcPr>
            <w:tcW w:w="40" w:type="dxa"/>
            <w:vAlign w:val="bottom"/>
          </w:tcPr>
          <w:p>
            <w:pPr>
              <w:spacing w:after="0"/>
              <w:rPr>
                <w:sz w:val="17"/>
                <w:szCs w:val="17"/>
                <w:color w:val="auto"/>
              </w:rPr>
            </w:pPr>
          </w:p>
        </w:tc>
        <w:tc>
          <w:tcPr>
            <w:tcW w:w="80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19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 -</w:t>
            </w:r>
          </w:p>
        </w:tc>
        <w:tc>
          <w:tcPr>
            <w:tcW w:w="100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8.99</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623,766</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5.43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8.54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223,264</w:t>
            </w:r>
          </w:p>
        </w:tc>
        <w:tc>
          <w:tcPr>
            <w:tcW w:w="40" w:type="dxa"/>
            <w:vAlign w:val="bottom"/>
          </w:tcPr>
          <w:p>
            <w:pPr>
              <w:spacing w:after="0"/>
              <w:rPr>
                <w:sz w:val="17"/>
                <w:szCs w:val="17"/>
                <w:color w:val="auto"/>
              </w:rPr>
            </w:pPr>
          </w:p>
        </w:tc>
        <w:tc>
          <w:tcPr>
            <w:tcW w:w="80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19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3"/>
              </w:rPr>
              <w:t>- -</w:t>
            </w:r>
          </w:p>
        </w:tc>
        <w:tc>
          <w:tcPr>
            <w:tcW w:w="1000" w:type="dxa"/>
            <w:vAlign w:val="bottom"/>
          </w:tcPr>
          <w:p>
            <w:pPr>
              <w:jc w:val="right"/>
              <w:ind w:right="591"/>
              <w:spacing w:after="0"/>
              <w:rPr>
                <w:sz w:val="20"/>
                <w:szCs w:val="20"/>
                <w:color w:val="auto"/>
              </w:rPr>
            </w:pPr>
            <w:r>
              <w:rPr>
                <w:rFonts w:ascii="Times New Roman" w:cs="Times New Roman" w:eastAsia="Times New Roman" w:hAnsi="Times New Roman"/>
                <w:sz w:val="14"/>
                <w:szCs w:val="14"/>
                <w:color w:val="auto"/>
              </w:rPr>
              <w:t>9.81</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68,094</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9.22</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56,844</w:t>
            </w:r>
          </w:p>
        </w:tc>
        <w:tc>
          <w:tcPr>
            <w:tcW w:w="80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19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10.00</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- 10.89</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928,871</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8.26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10.42</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35,996</w:t>
            </w:r>
          </w:p>
        </w:tc>
        <w:tc>
          <w:tcPr>
            <w:tcW w:w="80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10.49</w:t>
            </w:r>
          </w:p>
        </w:tc>
        <w:tc>
          <w:tcPr>
            <w:tcW w:w="0" w:type="dxa"/>
            <w:vAlign w:val="bottom"/>
          </w:tcPr>
          <w:p>
            <w:pPr>
              <w:spacing w:after="0"/>
              <w:rPr>
                <w:sz w:val="1"/>
                <w:szCs w:val="1"/>
                <w:color w:val="auto"/>
              </w:rPr>
            </w:pPr>
          </w:p>
        </w:tc>
      </w:tr>
      <w:tr>
        <w:trPr>
          <w:trHeight w:val="198"/>
        </w:trPr>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11.81 - - 11.81</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8.41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11.81</w:t>
            </w: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12.13</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- 17.19</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103,512</w:t>
            </w:r>
          </w:p>
        </w:tc>
        <w:tc>
          <w:tcPr>
            <w:tcW w:w="40" w:type="dxa"/>
            <w:vAlign w:val="bottom"/>
          </w:tcPr>
          <w:p>
            <w:pPr>
              <w:spacing w:after="0"/>
              <w:rPr>
                <w:sz w:val="17"/>
                <w:szCs w:val="17"/>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6.49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13.47</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44,842</w:t>
            </w:r>
          </w:p>
        </w:tc>
        <w:tc>
          <w:tcPr>
            <w:tcW w:w="80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r>
        <w:trPr>
          <w:trHeight w:val="19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18.75</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- 18.75</w:t>
            </w:r>
          </w:p>
        </w:tc>
        <w:tc>
          <w:tcPr>
            <w:tcW w:w="8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87,000</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18.75</w:t>
            </w:r>
          </w:p>
        </w:tc>
        <w:tc>
          <w:tcPr>
            <w:tcW w:w="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2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8"/>
              </w:rPr>
              <w:t>20.00</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- 25.00</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583,580</w:t>
            </w:r>
          </w:p>
        </w:tc>
        <w:tc>
          <w:tcPr>
            <w:tcW w:w="4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24.48</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211,085</w:t>
            </w:r>
          </w:p>
        </w:tc>
        <w:tc>
          <w:tcPr>
            <w:tcW w:w="800" w:type="dxa"/>
            <w:vAlign w:val="bottom"/>
            <w:gridSpan w:val="2"/>
          </w:tcPr>
          <w:p>
            <w:pPr>
              <w:jc w:val="right"/>
              <w:ind w:right="198"/>
              <w:spacing w:after="0"/>
              <w:rPr>
                <w:sz w:val="20"/>
                <w:szCs w:val="20"/>
                <w:color w:val="auto"/>
              </w:rPr>
            </w:pPr>
            <w:r>
              <w:rPr>
                <w:rFonts w:ascii="Times New Roman" w:cs="Times New Roman" w:eastAsia="Times New Roman" w:hAnsi="Times New Roman"/>
                <w:sz w:val="14"/>
                <w:szCs w:val="14"/>
                <w:color w:val="auto"/>
              </w:rPr>
              <w:t>24.13</w:t>
            </w:r>
          </w:p>
        </w:tc>
        <w:tc>
          <w:tcPr>
            <w:tcW w:w="0" w:type="dxa"/>
            <w:vAlign w:val="bottom"/>
          </w:tcPr>
          <w:p>
            <w:pPr>
              <w:spacing w:after="0"/>
              <w:rPr>
                <w:sz w:val="1"/>
                <w:szCs w:val="1"/>
                <w:color w:val="auto"/>
              </w:rPr>
            </w:pPr>
          </w:p>
        </w:tc>
      </w:tr>
      <w:tr>
        <w:trPr>
          <w:trHeight w:val="157"/>
        </w:trPr>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4,247,898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1,299,531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-977900</wp:posOffset>
            </wp:positionV>
            <wp:extent cx="694055" cy="1968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-2002155</wp:posOffset>
            </wp:positionV>
            <wp:extent cx="3212465" cy="635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321246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-1922780</wp:posOffset>
            </wp:positionV>
            <wp:extent cx="13335" cy="635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-1922780</wp:posOffset>
            </wp:positionV>
            <wp:extent cx="13335" cy="635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-1664970</wp:posOffset>
            </wp:positionV>
            <wp:extent cx="13335" cy="635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-1664970</wp:posOffset>
            </wp:positionV>
            <wp:extent cx="13335" cy="635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-1664970</wp:posOffset>
            </wp:positionV>
            <wp:extent cx="13335" cy="635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-1664970</wp:posOffset>
            </wp:positionV>
            <wp:extent cx="13335" cy="635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-1664970</wp:posOffset>
            </wp:positionV>
            <wp:extent cx="13335" cy="635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-1433830</wp:posOffset>
            </wp:positionV>
            <wp:extent cx="13335" cy="635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-1433830</wp:posOffset>
            </wp:positionV>
            <wp:extent cx="13335" cy="635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-1433830</wp:posOffset>
            </wp:positionV>
            <wp:extent cx="13335" cy="635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-1321435</wp:posOffset>
            </wp:positionV>
            <wp:extent cx="13335" cy="635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-1321435</wp:posOffset>
            </wp:positionV>
            <wp:extent cx="13335" cy="635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-1321435</wp:posOffset>
            </wp:positionV>
            <wp:extent cx="13335" cy="635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-1321435</wp:posOffset>
            </wp:positionV>
            <wp:extent cx="13335" cy="635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-1321435</wp:posOffset>
            </wp:positionV>
            <wp:extent cx="13335" cy="635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-1195705</wp:posOffset>
            </wp:positionV>
            <wp:extent cx="13335" cy="635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-1195705</wp:posOffset>
            </wp:positionV>
            <wp:extent cx="13335" cy="635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-1195705</wp:posOffset>
            </wp:positionV>
            <wp:extent cx="13335" cy="635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-1195705</wp:posOffset>
            </wp:positionV>
            <wp:extent cx="13335" cy="635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-1195705</wp:posOffset>
            </wp:positionV>
            <wp:extent cx="13335" cy="635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-1069975</wp:posOffset>
            </wp:positionV>
            <wp:extent cx="13335" cy="635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-1069975</wp:posOffset>
            </wp:positionV>
            <wp:extent cx="13335" cy="635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-1069975</wp:posOffset>
            </wp:positionV>
            <wp:extent cx="13335" cy="635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-1069975</wp:posOffset>
            </wp:positionV>
            <wp:extent cx="13335" cy="635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-1069975</wp:posOffset>
            </wp:positionV>
            <wp:extent cx="13335" cy="635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-944880</wp:posOffset>
            </wp:positionV>
            <wp:extent cx="13335" cy="635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-944880</wp:posOffset>
            </wp:positionV>
            <wp:extent cx="13335" cy="635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-944880</wp:posOffset>
            </wp:positionV>
            <wp:extent cx="13335" cy="635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-944880</wp:posOffset>
            </wp:positionV>
            <wp:extent cx="13335" cy="635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-944880</wp:posOffset>
            </wp:positionV>
            <wp:extent cx="13335" cy="635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-819150</wp:posOffset>
            </wp:positionV>
            <wp:extent cx="13335" cy="635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-819150</wp:posOffset>
            </wp:positionV>
            <wp:extent cx="13335" cy="635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-819150</wp:posOffset>
            </wp:positionV>
            <wp:extent cx="13335" cy="635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-819150</wp:posOffset>
            </wp:positionV>
            <wp:extent cx="13335" cy="635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-819150</wp:posOffset>
            </wp:positionV>
            <wp:extent cx="13335" cy="635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-693420</wp:posOffset>
            </wp:positionV>
            <wp:extent cx="13335" cy="635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-693420</wp:posOffset>
            </wp:positionV>
            <wp:extent cx="13335" cy="635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-693420</wp:posOffset>
            </wp:positionV>
            <wp:extent cx="13335" cy="635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-693420</wp:posOffset>
            </wp:positionV>
            <wp:extent cx="13335" cy="635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-693420</wp:posOffset>
            </wp:positionV>
            <wp:extent cx="13335" cy="635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-567690</wp:posOffset>
            </wp:positionV>
            <wp:extent cx="13335" cy="635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-567690</wp:posOffset>
            </wp:positionV>
            <wp:extent cx="13335" cy="635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-567690</wp:posOffset>
            </wp:positionV>
            <wp:extent cx="13335" cy="635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-567690</wp:posOffset>
            </wp:positionV>
            <wp:extent cx="13335" cy="635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-567690</wp:posOffset>
            </wp:positionV>
            <wp:extent cx="13335" cy="635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-441960</wp:posOffset>
            </wp:positionV>
            <wp:extent cx="13335" cy="635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-441960</wp:posOffset>
            </wp:positionV>
            <wp:extent cx="13335" cy="635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-441960</wp:posOffset>
            </wp:positionV>
            <wp:extent cx="13335" cy="635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-441960</wp:posOffset>
            </wp:positionV>
            <wp:extent cx="13335" cy="635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-441960</wp:posOffset>
            </wp:positionV>
            <wp:extent cx="13335" cy="635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-316865</wp:posOffset>
            </wp:positionV>
            <wp:extent cx="13335" cy="635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-316865</wp:posOffset>
            </wp:positionV>
            <wp:extent cx="13335" cy="635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-316865</wp:posOffset>
            </wp:positionV>
            <wp:extent cx="13335" cy="635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-316865</wp:posOffset>
            </wp:positionV>
            <wp:extent cx="13335" cy="635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-316865</wp:posOffset>
            </wp:positionV>
            <wp:extent cx="13335" cy="635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-191135</wp:posOffset>
            </wp:positionV>
            <wp:extent cx="13335" cy="635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-191135</wp:posOffset>
            </wp:positionV>
            <wp:extent cx="13335" cy="635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-191135</wp:posOffset>
            </wp:positionV>
            <wp:extent cx="13335" cy="635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-191135</wp:posOffset>
            </wp:positionV>
            <wp:extent cx="13335" cy="635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-191135</wp:posOffset>
            </wp:positionV>
            <wp:extent cx="13335" cy="635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1635125</wp:posOffset>
            </wp:positionH>
            <wp:positionV relativeFrom="paragraph">
              <wp:posOffset>-65405</wp:posOffset>
            </wp:positionV>
            <wp:extent cx="13335" cy="635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-65405</wp:posOffset>
            </wp:positionV>
            <wp:extent cx="13335" cy="635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2573655</wp:posOffset>
            </wp:positionH>
            <wp:positionV relativeFrom="paragraph">
              <wp:posOffset>-65405</wp:posOffset>
            </wp:positionV>
            <wp:extent cx="13335" cy="635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-65405</wp:posOffset>
            </wp:positionV>
            <wp:extent cx="13335" cy="635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-65405</wp:posOffset>
            </wp:positionV>
            <wp:extent cx="13335" cy="635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6350" cy="6604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1" w:lineRule="exact"/>
        <w:rPr>
          <w:sz w:val="20"/>
          <w:szCs w:val="20"/>
          <w:color w:val="auto"/>
        </w:rPr>
      </w:pPr>
    </w:p>
    <w:p>
      <w:pPr>
        <w:ind w:left="1420" w:hanging="292"/>
        <w:spacing w:after="0"/>
        <w:tabs>
          <w:tab w:leader="none" w:pos="1420" w:val="left"/>
        </w:tabs>
        <w:numPr>
          <w:ilvl w:val="0"/>
          <w:numId w:val="1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Weighted Average Grant-Date Fair Value of Options Granted to Employees</w:t>
      </w:r>
    </w:p>
    <w:p>
      <w:pPr>
        <w:spacing w:after="0" w:line="153" w:lineRule="exact"/>
        <w:rPr>
          <w:rFonts w:ascii="Times New Roman" w:cs="Times New Roman" w:eastAsia="Times New Roman" w:hAnsi="Times New Roman"/>
          <w:sz w:val="14"/>
          <w:szCs w:val="14"/>
          <w:b w:val="1"/>
          <w:bCs w:val="1"/>
          <w:color w:val="auto"/>
        </w:rPr>
      </w:pPr>
    </w:p>
    <w:p>
      <w:pPr>
        <w:ind w:left="1420" w:right="4099"/>
        <w:spacing w:after="0" w:line="25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weighted average grant-date fair value of the 905,724, 1,583,722 and 871,300 options granted during 2002, 2001 and 2000 to employees and directors amounted to $2.83, $6.95 and $18.85 per option, respectively. The Company utilized the Black-Scholes option pricing model to estimate fair value, utilizing the following assumptions for the years 2002, 2001 and 2000 (all in weighted averages):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-535305</wp:posOffset>
            </wp:positionV>
            <wp:extent cx="905510" cy="635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905510" cy="6350"/>
                    </a:xfrm>
                    <a:prstGeom prst="rect">
                      <a:avLst/>
                    </a:prstGeom>
                    <a:noFill/>
                  </pic:spPr>
                </pic:pic>
              </a:graphicData>
            </a:graphic>
          </wp:anchor>
        </w:drawing>
      </w:r>
    </w:p>
    <w:p>
      <w:pPr>
        <w:spacing w:after="0" w:line="9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SHAREHOLDERS' EQUITY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tbl>
      <w:tblPr>
        <w:tblLayout w:type="fixed"/>
        <w:tblInd w:w="760" w:type="dxa"/>
        <w:tblCellMar>
          <w:top w:w="0" w:type="dxa"/>
          <w:left w:w="0" w:type="dxa"/>
          <w:bottom w:w="0" w:type="dxa"/>
          <w:right w:w="0" w:type="dxa"/>
        </w:tblCellMar>
      </w:tblPr>
      <w:tr>
        <w:trPr>
          <w:trHeight w:val="184"/>
        </w:trPr>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w:t>
            </w:r>
          </w:p>
        </w:tc>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Share Option Plans (Continued)</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240" w:type="dxa"/>
            <w:vAlign w:val="bottom"/>
          </w:tcPr>
          <w:p>
            <w:pPr>
              <w:spacing w:after="0"/>
              <w:rPr>
                <w:sz w:val="24"/>
                <w:szCs w:val="24"/>
                <w:color w:val="auto"/>
              </w:rPr>
            </w:pPr>
          </w:p>
        </w:tc>
        <w:tc>
          <w:tcPr>
            <w:tcW w:w="31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Risk-free interest rate</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2002</w:t>
            </w:r>
          </w:p>
        </w:tc>
        <w:tc>
          <w:tcPr>
            <w:tcW w:w="700" w:type="dxa"/>
            <w:vAlign w:val="bottom"/>
            <w:gridSpan w:val="2"/>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2001</w:t>
            </w:r>
          </w:p>
        </w:tc>
        <w:tc>
          <w:tcPr>
            <w:tcW w:w="700" w:type="dxa"/>
            <w:vAlign w:val="bottom"/>
            <w:gridSpan w:val="2"/>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2000</w:t>
            </w:r>
          </w:p>
        </w:tc>
        <w:tc>
          <w:tcPr>
            <w:tcW w:w="0" w:type="dxa"/>
            <w:vAlign w:val="bottom"/>
          </w:tcPr>
          <w:p>
            <w:pPr>
              <w:spacing w:after="0"/>
              <w:rPr>
                <w:sz w:val="1"/>
                <w:szCs w:val="1"/>
                <w:color w:val="auto"/>
              </w:rPr>
            </w:pPr>
          </w:p>
        </w:tc>
      </w:tr>
      <w:tr>
        <w:trPr>
          <w:trHeight w:val="172"/>
        </w:trPr>
        <w:tc>
          <w:tcPr>
            <w:tcW w:w="24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4.25%</w:t>
            </w: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5.50%</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life of options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4.82 years</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4.80 years</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5.05 years</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annual volatility</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87%</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Expected dividend yield</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None</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-647700</wp:posOffset>
            </wp:positionV>
            <wp:extent cx="6350" cy="6604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-257175</wp:posOffset>
            </wp:positionV>
            <wp:extent cx="694055" cy="1968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709295</wp:posOffset>
            </wp:positionH>
            <wp:positionV relativeFrom="paragraph">
              <wp:posOffset>-581025</wp:posOffset>
            </wp:positionV>
            <wp:extent cx="3199130" cy="635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3199130" cy="635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-535305</wp:posOffset>
            </wp:positionV>
            <wp:extent cx="13335" cy="635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-535305</wp:posOffset>
            </wp:positionV>
            <wp:extent cx="13335" cy="635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-535305</wp:posOffset>
            </wp:positionV>
            <wp:extent cx="13335" cy="635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-422910</wp:posOffset>
            </wp:positionV>
            <wp:extent cx="13335" cy="635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-422910</wp:posOffset>
            </wp:positionV>
            <wp:extent cx="13335" cy="635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-422910</wp:posOffset>
            </wp:positionV>
            <wp:extent cx="13335" cy="635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-297180</wp:posOffset>
            </wp:positionV>
            <wp:extent cx="13335" cy="635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-297180</wp:posOffset>
            </wp:positionV>
            <wp:extent cx="13335" cy="635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-297180</wp:posOffset>
            </wp:positionV>
            <wp:extent cx="13335" cy="635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-171450</wp:posOffset>
            </wp:positionV>
            <wp:extent cx="13335" cy="635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-171450</wp:posOffset>
            </wp:positionV>
            <wp:extent cx="13335" cy="635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-171450</wp:posOffset>
            </wp:positionV>
            <wp:extent cx="13335" cy="635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-45720</wp:posOffset>
            </wp:positionV>
            <wp:extent cx="13335" cy="635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-45720</wp:posOffset>
            </wp:positionV>
            <wp:extent cx="13335" cy="635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-45720</wp:posOffset>
            </wp:positionV>
            <wp:extent cx="13335" cy="635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wp:posOffset>
            </wp:positionV>
            <wp:extent cx="3919855" cy="73025"/>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3919855" cy="73025"/>
                    </a:xfrm>
                    <a:prstGeom prst="rect">
                      <a:avLst/>
                    </a:prstGeom>
                    <a:noFill/>
                  </pic:spPr>
                </pic:pic>
              </a:graphicData>
            </a:graphic>
          </wp:anchor>
        </w:drawing>
      </w:r>
    </w:p>
    <w:p>
      <w:pPr>
        <w:spacing w:after="0" w:line="275" w:lineRule="exact"/>
        <w:rPr>
          <w:sz w:val="20"/>
          <w:szCs w:val="20"/>
          <w:color w:val="auto"/>
        </w:rPr>
      </w:pPr>
    </w:p>
    <w:p>
      <w:pPr>
        <w:ind w:left="1460" w:hanging="364"/>
        <w:spacing w:after="0"/>
        <w:tabs>
          <w:tab w:leader="none" w:pos="1460" w:val="left"/>
        </w:tabs>
        <w:numPr>
          <w:ilvl w:val="0"/>
          <w:numId w:val="1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Non-Employee Share Options</w:t>
      </w:r>
    </w:p>
    <w:p>
      <w:pPr>
        <w:spacing w:after="0" w:line="182" w:lineRule="exact"/>
        <w:rPr>
          <w:rFonts w:ascii="Times New Roman" w:cs="Times New Roman" w:eastAsia="Times New Roman" w:hAnsi="Times New Roman"/>
          <w:sz w:val="14"/>
          <w:szCs w:val="14"/>
          <w:b w:val="1"/>
          <w:bCs w:val="1"/>
          <w:color w:val="auto"/>
        </w:rPr>
      </w:pPr>
    </w:p>
    <w:p>
      <w:pPr>
        <w:ind w:left="1760" w:right="4099" w:hanging="310"/>
        <w:spacing w:after="0" w:line="255" w:lineRule="auto"/>
        <w:tabs>
          <w:tab w:leader="none" w:pos="1760" w:val="left"/>
        </w:tabs>
        <w:numPr>
          <w:ilvl w:val="1"/>
          <w:numId w:val="1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Banks </w:t>
      </w:r>
      <w:r>
        <w:rPr>
          <w:rFonts w:ascii="Times New Roman" w:cs="Times New Roman" w:eastAsia="Times New Roman" w:hAnsi="Times New Roman"/>
          <w:sz w:val="14"/>
          <w:szCs w:val="14"/>
          <w:color w:val="auto"/>
        </w:rPr>
        <w:t>— In January 2001, as part of the Facility Agreement described in Note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13A(4), the Banks received an aggregate of 400,000 options to purchase Ordinary Shares of the Company (200,000 each) at an exercise price, as amended in December 2001, of $6.20 per share. As of December 31, 2002, all of the options are fully vested. The options are exercisable for a five-year period ending January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-699770</wp:posOffset>
            </wp:positionV>
            <wp:extent cx="3919855" cy="635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01" w:lineRule="exact"/>
        <w:rPr>
          <w:sz w:val="20"/>
          <w:szCs w:val="20"/>
          <w:color w:val="auto"/>
        </w:rPr>
      </w:pPr>
    </w:p>
    <w:p>
      <w:pPr>
        <w:ind w:left="1740" w:right="4079"/>
        <w:spacing w:after="0" w:line="256" w:lineRule="auto"/>
        <w:rPr>
          <w:sz w:val="20"/>
          <w:szCs w:val="20"/>
          <w:color w:val="auto"/>
        </w:rPr>
      </w:pPr>
      <w:r>
        <w:rPr>
          <w:rFonts w:ascii="Times New Roman" w:cs="Times New Roman" w:eastAsia="Times New Roman" w:hAnsi="Times New Roman"/>
          <w:sz w:val="14"/>
          <w:szCs w:val="14"/>
          <w:color w:val="auto"/>
        </w:rPr>
        <w:t>In lieu of paying the exercise price in cash as described below, the Banks are entitled to exercise the options on a "cashless" basis, i.e. by forfeiting all or part of the option in exchange for ordinary shares equal to the aggregate fair market value of the shares underlying the options forfeited less the aggregate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-535305</wp:posOffset>
            </wp:positionV>
            <wp:extent cx="1097280" cy="635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097280" cy="6350"/>
                    </a:xfrm>
                    <a:prstGeom prst="rect">
                      <a:avLst/>
                    </a:prstGeom>
                    <a:noFill/>
                  </pic:spPr>
                </pic:pic>
              </a:graphicData>
            </a:graphic>
          </wp:anchor>
        </w:drawing>
      </w:r>
    </w:p>
    <w:p>
      <w:pPr>
        <w:spacing w:after="0" w:line="17" w:lineRule="exact"/>
        <w:rPr>
          <w:sz w:val="20"/>
          <w:szCs w:val="20"/>
          <w:color w:val="auto"/>
        </w:rPr>
      </w:pPr>
    </w:p>
    <w:p>
      <w:pPr>
        <w:ind w:left="1740" w:right="4079"/>
        <w:spacing w:after="0" w:line="258" w:lineRule="auto"/>
        <w:rPr>
          <w:sz w:val="20"/>
          <w:szCs w:val="20"/>
          <w:color w:val="auto"/>
        </w:rPr>
      </w:pPr>
      <w:r>
        <w:rPr>
          <w:rFonts w:ascii="Times New Roman" w:cs="Times New Roman" w:eastAsia="Times New Roman" w:hAnsi="Times New Roman"/>
          <w:sz w:val="14"/>
          <w:szCs w:val="14"/>
          <w:color w:val="auto"/>
        </w:rPr>
        <w:t>The cost of the option award granted to the Banks, determined based on the fair value at the grant and amendment dates in accordance with SFAS 123, amounted to a total of $5,466. Such amount is amortized as financing expense over the terms of the loans under the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-429895</wp:posOffset>
            </wp:positionV>
            <wp:extent cx="1097280" cy="635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09728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-6350</wp:posOffset>
            </wp:positionV>
            <wp:extent cx="3919855" cy="635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46" w:lineRule="exact"/>
        <w:rPr>
          <w:sz w:val="20"/>
          <w:szCs w:val="20"/>
          <w:color w:val="auto"/>
        </w:rPr>
      </w:pPr>
    </w:p>
    <w:p>
      <w:pPr>
        <w:ind w:left="1760" w:right="4159" w:hanging="310"/>
        <w:spacing w:after="0" w:line="251" w:lineRule="auto"/>
        <w:tabs>
          <w:tab w:leader="none" w:pos="1760" w:val="left"/>
        </w:tabs>
        <w:numPr>
          <w:ilvl w:val="0"/>
          <w:numId w:val="13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Consultant </w:t>
      </w:r>
      <w:r>
        <w:rPr>
          <w:rFonts w:ascii="Times New Roman" w:cs="Times New Roman" w:eastAsia="Times New Roman" w:hAnsi="Times New Roman"/>
          <w:sz w:val="14"/>
          <w:szCs w:val="14"/>
          <w:color w:val="auto"/>
        </w:rPr>
        <w:t>— In return for services provided to the Company by a consultant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connection with obtaining certain agreements relating to Fab 2, the Company awarded the consultant with options, which were fully expired in August 2001. The cost of the options award granted to the consultant, determined based on the fair value at the relevant measurement dates in accordance with SFAS 123, amounted to $1,576. Of that amount $524 was attributed to the technology transfer agreement with Toshiba and would be amortized over relevant terms of such agreement (Note 13A(1)). The remaining $1,052 was attributed to issuance of Ordinary Shares to certain Wafer Partners and was included in paid-in capital as equity investment received from the Wafer Partners (Note 13A(2)).</w:t>
      </w:r>
    </w:p>
    <w:p>
      <w:pPr>
        <w:spacing w:after="0" w:line="12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The Company utilized the Black-Scholes option pricing model to estimate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of options granted to non-employees, utilizing the assumptions similar to those</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presented in paragraph B(4)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45" w:lineRule="exact"/>
        <w:rPr>
          <w:sz w:val="20"/>
          <w:szCs w:val="20"/>
          <w:color w:val="auto"/>
        </w:rPr>
      </w:pPr>
    </w:p>
    <w:p>
      <w:pPr>
        <w:ind w:left="1460" w:hanging="364"/>
        <w:spacing w:after="0"/>
        <w:tabs>
          <w:tab w:leader="none" w:pos="1460" w:val="left"/>
        </w:tabs>
        <w:numPr>
          <w:ilvl w:val="0"/>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 Forma Loss Per Share According to SFAS 123 and SFAS 148</w:t>
      </w:r>
    </w:p>
    <w:p>
      <w:pPr>
        <w:spacing w:after="0" w:line="153" w:lineRule="exact"/>
        <w:rPr>
          <w:rFonts w:ascii="Times New Roman" w:cs="Times New Roman" w:eastAsia="Times New Roman" w:hAnsi="Times New Roman"/>
          <w:sz w:val="14"/>
          <w:szCs w:val="14"/>
          <w:b w:val="1"/>
          <w:bCs w:val="1"/>
          <w:color w:val="auto"/>
        </w:rPr>
      </w:pPr>
    </w:p>
    <w:p>
      <w:pPr>
        <w:ind w:left="1460" w:right="4079"/>
        <w:spacing w:after="0" w:line="25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Had compensation cost for the Company's share option plans been determined based on fair value at the grant dates for all awards made in 2002, 2001 and 2000 in accordance with SFAS 123, as amended by SFAS 148, the Company's pro forma loss per share would have been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-429895</wp:posOffset>
            </wp:positionV>
            <wp:extent cx="925195" cy="635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925195" cy="6350"/>
                    </a:xfrm>
                    <a:prstGeom prst="rect">
                      <a:avLst/>
                    </a:prstGeom>
                    <a:noFill/>
                  </pic:spPr>
                </pic:pic>
              </a:graphicData>
            </a:graphic>
          </wp:anchor>
        </w:drawing>
      </w:r>
    </w:p>
    <w:p>
      <w:pPr>
        <w:spacing w:after="0" w:line="8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F-32</w:t>
      </w:r>
    </w:p>
    <w:p>
      <w:pPr>
        <w:sectPr>
          <w:pgSz w:w="11900" w:h="16838" w:orient="portrait"/>
          <w:cols w:equalWidth="0" w:num="1">
            <w:col w:w="10239"/>
          </w:cols>
          <w:pgMar w:left="220" w:top="404" w:right="1440" w:bottom="0" w:gutter="0" w:footer="0" w:header="0"/>
        </w:sectPr>
      </w:pPr>
    </w:p>
    <w:bookmarkStart w:id="64" w:name="page65"/>
    <w:bookmarkEnd w:id="64"/>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128905</wp:posOffset>
            </wp:positionH>
            <wp:positionV relativeFrom="page">
              <wp:posOffset>248285</wp:posOffset>
            </wp:positionV>
            <wp:extent cx="5062220" cy="3873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5062220" cy="38735"/>
                    </a:xfrm>
                    <a:prstGeom prst="rect">
                      <a:avLst/>
                    </a:prstGeom>
                    <a:noFill/>
                  </pic:spPr>
                </pic:pic>
              </a:graphicData>
            </a:graphic>
          </wp:anchor>
        </w:drawing>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SHAREHOLDERS' EQUITY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Option Plans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6350" cy="6604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749300</wp:posOffset>
            </wp:positionH>
            <wp:positionV relativeFrom="paragraph">
              <wp:posOffset>133350</wp:posOffset>
            </wp:positionV>
            <wp:extent cx="3067050" cy="635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3067050" cy="6350"/>
                    </a:xfrm>
                    <a:prstGeom prst="rect">
                      <a:avLst/>
                    </a:prstGeom>
                    <a:noFill/>
                  </pic:spPr>
                </pic:pic>
              </a:graphicData>
            </a:graphic>
          </wp:anchor>
        </w:drawing>
      </w:r>
    </w:p>
    <w:p>
      <w:pPr>
        <w:spacing w:after="0" w:line="202" w:lineRule="exact"/>
        <w:rPr>
          <w:sz w:val="20"/>
          <w:szCs w:val="20"/>
          <w:color w:val="auto"/>
        </w:rPr>
      </w:pPr>
    </w:p>
    <w:tbl>
      <w:tblPr>
        <w:tblLayout w:type="fixed"/>
        <w:tblInd w:w="760" w:type="dxa"/>
        <w:tblCellMar>
          <w:top w:w="0" w:type="dxa"/>
          <w:left w:w="0" w:type="dxa"/>
          <w:bottom w:w="0" w:type="dxa"/>
          <w:right w:w="0" w:type="dxa"/>
        </w:tblCellMar>
      </w:tblPr>
      <w:tr>
        <w:trPr>
          <w:trHeight w:val="134"/>
        </w:trPr>
        <w:tc>
          <w:tcPr>
            <w:tcW w:w="240" w:type="dxa"/>
            <w:vAlign w:val="bottom"/>
          </w:tcPr>
          <w:p>
            <w:pPr>
              <w:spacing w:after="0"/>
              <w:rPr>
                <w:sz w:val="11"/>
                <w:szCs w:val="11"/>
                <w:color w:val="auto"/>
              </w:rPr>
            </w:pPr>
          </w:p>
        </w:tc>
        <w:tc>
          <w:tcPr>
            <w:tcW w:w="3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Pro forma loss</w:t>
            </w: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2002</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2001</w:t>
            </w: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2000</w:t>
            </w: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for the year, 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color w:val="auto"/>
                <w:w w:val="91"/>
              </w:rPr>
              <w:t>(51,402)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6"/>
              </w:rPr>
              <w:t>(38,522)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2"/>
              </w:rPr>
              <w:t>(3,989)</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Less — stock-based compensation determined under</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40" w:type="dxa"/>
            <w:vAlign w:val="bottom"/>
          </w:tcPr>
          <w:p>
            <w:pPr>
              <w:spacing w:after="0"/>
              <w:rPr>
                <w:sz w:val="15"/>
                <w:szCs w:val="15"/>
                <w:color w:val="auto"/>
              </w:rPr>
            </w:pPr>
          </w:p>
        </w:tc>
        <w:tc>
          <w:tcPr>
            <w:tcW w:w="32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APB-25</w:t>
            </w:r>
          </w:p>
        </w:tc>
        <w:tc>
          <w:tcPr>
            <w:tcW w:w="10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1,691</w:t>
            </w: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 — stock-based compensation determined under</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32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SFAS 123</w:t>
            </w:r>
          </w:p>
        </w:tc>
        <w:tc>
          <w:tcPr>
            <w:tcW w:w="100" w:type="dxa"/>
            <w:vAlign w:val="bottom"/>
          </w:tcPr>
          <w:p>
            <w:pPr>
              <w:spacing w:after="0"/>
              <w:rPr>
                <w:sz w:val="17"/>
                <w:szCs w:val="17"/>
                <w:color w:val="auto"/>
              </w:rPr>
            </w:pPr>
          </w:p>
        </w:tc>
        <w:tc>
          <w:tcPr>
            <w:tcW w:w="5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color w:val="auto"/>
              </w:rPr>
              <w:t>(7,476)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(6,209)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2"/>
              </w:rPr>
              <w:t>(3,207)</w:t>
            </w:r>
          </w:p>
        </w:tc>
        <w:tc>
          <w:tcPr>
            <w:tcW w:w="0" w:type="dxa"/>
            <w:vAlign w:val="bottom"/>
          </w:tcPr>
          <w:p>
            <w:pPr>
              <w:spacing w:after="0"/>
              <w:rPr>
                <w:sz w:val="1"/>
                <w:szCs w:val="1"/>
                <w:color w:val="auto"/>
              </w:rPr>
            </w:pPr>
          </w:p>
        </w:tc>
      </w:tr>
      <w:tr>
        <w:trPr>
          <w:trHeight w:val="157"/>
        </w:trPr>
        <w:tc>
          <w:tcPr>
            <w:tcW w:w="240" w:type="dxa"/>
            <w:vAlign w:val="bottom"/>
          </w:tcPr>
          <w:p>
            <w:pPr>
              <w:spacing w:after="0"/>
              <w:rPr>
                <w:sz w:val="13"/>
                <w:szCs w:val="13"/>
                <w:color w:val="auto"/>
              </w:rPr>
            </w:pPr>
          </w:p>
        </w:tc>
        <w:tc>
          <w:tcPr>
            <w:tcW w:w="3200" w:type="dxa"/>
            <w:vAlign w:val="bottom"/>
          </w:tcPr>
          <w:p>
            <w:pPr>
              <w:ind w:left="180"/>
              <w:spacing w:after="0" w:line="157" w:lineRule="exact"/>
              <w:rPr>
                <w:sz w:val="20"/>
                <w:szCs w:val="20"/>
                <w:color w:val="auto"/>
              </w:rPr>
            </w:pPr>
            <w:r>
              <w:rPr>
                <w:rFonts w:ascii="Times New Roman" w:cs="Times New Roman" w:eastAsia="Times New Roman" w:hAnsi="Times New Roman"/>
                <w:sz w:val="14"/>
                <w:szCs w:val="14"/>
                <w:color w:val="auto"/>
              </w:rPr>
              <w:t>Pro forma loss</w:t>
            </w:r>
          </w:p>
        </w:tc>
        <w:tc>
          <w:tcPr>
            <w:tcW w:w="1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40" w:type="dxa"/>
            <w:vAlign w:val="bottom"/>
            <w:tcBorders>
              <w:top w:val="single" w:sz="8" w:color="auto"/>
            </w:tcBorders>
            <w:gridSpan w:val="2"/>
          </w:tcPr>
          <w:p>
            <w:pPr>
              <w:jc w:val="right"/>
              <w:spacing w:after="0" w:line="157" w:lineRule="exact"/>
              <w:rPr>
                <w:sz w:val="20"/>
                <w:szCs w:val="20"/>
                <w:color w:val="auto"/>
              </w:rPr>
            </w:pPr>
            <w:r>
              <w:rPr>
                <w:rFonts w:ascii="Times New Roman" w:cs="Times New Roman" w:eastAsia="Times New Roman" w:hAnsi="Times New Roman"/>
                <w:sz w:val="14"/>
                <w:szCs w:val="14"/>
                <w:color w:val="auto"/>
                <w:w w:val="92"/>
              </w:rPr>
              <w:t>(58,736</w:t>
            </w: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67281"/>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(44,448</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3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3"/>
              </w:rPr>
              <w:t>(5,505</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Pro forma basic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2"/>
                <w:szCs w:val="12"/>
                <w:color w:val="auto"/>
              </w:rPr>
            </w:pPr>
          </w:p>
        </w:tc>
        <w:tc>
          <w:tcPr>
            <w:tcW w:w="3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3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color w:val="auto"/>
              </w:rPr>
              <w:t>(1.63)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Pro forma</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3200" w:type="dxa"/>
            <w:vAlign w:val="bottom"/>
            <w:vMerge w:val="continue"/>
          </w:tcPr>
          <w:p>
            <w:pPr>
              <w:spacing w:after="0"/>
              <w:rPr>
                <w:sz w:val="11"/>
                <w:szCs w:val="11"/>
                <w:color w:val="auto"/>
              </w:rPr>
            </w:pPr>
          </w:p>
        </w:tc>
        <w:tc>
          <w:tcPr>
            <w:tcW w:w="1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(1.87</w:t>
            </w:r>
          </w:p>
        </w:tc>
        <w:tc>
          <w:tcPr>
            <w:tcW w:w="8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(2.27</w:t>
            </w:r>
          </w:p>
        </w:tc>
        <w:tc>
          <w:tcPr>
            <w:tcW w:w="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(0.59</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w:t>
            </w:r>
          </w:p>
        </w:tc>
        <w:tc>
          <w:tcPr>
            <w:tcW w:w="3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40" w:type="dxa"/>
            <w:vAlign w:val="bottom"/>
            <w:vMerge w:val="continue"/>
          </w:tcPr>
          <w:p>
            <w:pPr>
              <w:spacing w:after="0"/>
              <w:rPr>
                <w:sz w:val="24"/>
                <w:szCs w:val="24"/>
                <w:color w:val="auto"/>
              </w:rPr>
            </w:pPr>
          </w:p>
        </w:tc>
        <w:tc>
          <w:tcPr>
            <w:tcW w:w="3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-865505</wp:posOffset>
            </wp:positionV>
            <wp:extent cx="694055" cy="1968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-1499870</wp:posOffset>
            </wp:positionV>
            <wp:extent cx="13335" cy="635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-1499870</wp:posOffset>
            </wp:positionV>
            <wp:extent cx="13335" cy="635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-1499870</wp:posOffset>
            </wp:positionV>
            <wp:extent cx="13335" cy="635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-1387475</wp:posOffset>
            </wp:positionV>
            <wp:extent cx="13335" cy="635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-1387475</wp:posOffset>
            </wp:positionV>
            <wp:extent cx="13335" cy="635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-1387475</wp:posOffset>
            </wp:positionV>
            <wp:extent cx="13335" cy="635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-1262380</wp:posOffset>
            </wp:positionV>
            <wp:extent cx="13335" cy="635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-1262380</wp:posOffset>
            </wp:positionV>
            <wp:extent cx="13335" cy="635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-1262380</wp:posOffset>
            </wp:positionV>
            <wp:extent cx="13335" cy="635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-1083945</wp:posOffset>
            </wp:positionV>
            <wp:extent cx="13335" cy="635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-1083945</wp:posOffset>
            </wp:positionV>
            <wp:extent cx="13335" cy="635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-1083945</wp:posOffset>
            </wp:positionV>
            <wp:extent cx="13335" cy="635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-852170</wp:posOffset>
            </wp:positionV>
            <wp:extent cx="13335" cy="635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-852170</wp:posOffset>
            </wp:positionV>
            <wp:extent cx="13335" cy="635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-852170</wp:posOffset>
            </wp:positionV>
            <wp:extent cx="13335" cy="635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-673735</wp:posOffset>
            </wp:positionV>
            <wp:extent cx="13335" cy="635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-673735</wp:posOffset>
            </wp:positionV>
            <wp:extent cx="13335" cy="635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-673735</wp:posOffset>
            </wp:positionV>
            <wp:extent cx="13335" cy="635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-548005</wp:posOffset>
            </wp:positionV>
            <wp:extent cx="13335" cy="635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-548005</wp:posOffset>
            </wp:positionV>
            <wp:extent cx="13335" cy="635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-548005</wp:posOffset>
            </wp:positionV>
            <wp:extent cx="13335" cy="635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-422910</wp:posOffset>
            </wp:positionV>
            <wp:extent cx="13335" cy="635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-422910</wp:posOffset>
            </wp:positionV>
            <wp:extent cx="13335" cy="635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-422910</wp:posOffset>
            </wp:positionV>
            <wp:extent cx="13335" cy="635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-297180</wp:posOffset>
            </wp:positionV>
            <wp:extent cx="13335" cy="635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-297180</wp:posOffset>
            </wp:positionV>
            <wp:extent cx="13335" cy="635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-297180</wp:posOffset>
            </wp:positionV>
            <wp:extent cx="13335" cy="635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-231140</wp:posOffset>
            </wp:positionV>
            <wp:extent cx="3926840" cy="73025"/>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3926840" cy="73025"/>
                    </a:xfrm>
                    <a:prstGeom prst="rect">
                      <a:avLst/>
                    </a:prstGeom>
                    <a:noFill/>
                  </pic:spPr>
                </pic:pic>
              </a:graphicData>
            </a:graphic>
          </wp:anchor>
        </w:drawing>
      </w:r>
    </w:p>
    <w:p>
      <w:pPr>
        <w:spacing w:after="0" w:line="131" w:lineRule="exact"/>
        <w:rPr>
          <w:sz w:val="20"/>
          <w:szCs w:val="20"/>
          <w:color w:val="auto"/>
        </w:rPr>
      </w:pPr>
    </w:p>
    <w:p>
      <w:pPr>
        <w:ind w:left="1120" w:right="2819"/>
        <w:spacing w:after="0" w:line="258" w:lineRule="auto"/>
        <w:rPr>
          <w:sz w:val="20"/>
          <w:szCs w:val="20"/>
          <w:color w:val="auto"/>
        </w:rPr>
      </w:pPr>
      <w:r>
        <w:rPr>
          <w:rFonts w:ascii="Times New Roman" w:cs="Times New Roman" w:eastAsia="Times New Roman" w:hAnsi="Times New Roman"/>
          <w:sz w:val="14"/>
          <w:szCs w:val="14"/>
          <w:color w:val="auto"/>
        </w:rPr>
        <w:t>During 1998, the Board of Directors of the Company authorized, subject to certain conditions, the purchase of up to 1,400,000 Ordinary Shares to facilitate the exercise of employee stock options under the Company's share option plans. During 1999 and 1998, the Company funded the purchase by a trustee of 142,500 and 1,157,500, respectively, of the Company's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926840" cy="635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6" w:lineRule="exact"/>
        <w:rPr>
          <w:sz w:val="20"/>
          <w:szCs w:val="20"/>
          <w:color w:val="auto"/>
        </w:rPr>
      </w:pPr>
    </w:p>
    <w:p>
      <w:pPr>
        <w:ind w:left="1100" w:hanging="347"/>
        <w:spacing w:after="0"/>
        <w:tabs>
          <w:tab w:leader="none" w:pos="1100"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Dividend Distributions</w:t>
      </w:r>
    </w:p>
    <w:p>
      <w:pPr>
        <w:spacing w:after="0" w:line="174" w:lineRule="exact"/>
        <w:rPr>
          <w:sz w:val="20"/>
          <w:szCs w:val="20"/>
          <w:color w:val="auto"/>
        </w:rPr>
      </w:pPr>
    </w:p>
    <w:p>
      <w:pPr>
        <w:ind w:left="1120" w:right="2799"/>
        <w:spacing w:after="0" w:line="263" w:lineRule="auto"/>
        <w:rPr>
          <w:sz w:val="20"/>
          <w:szCs w:val="20"/>
          <w:color w:val="auto"/>
        </w:rPr>
      </w:pPr>
      <w:r>
        <w:rPr>
          <w:rFonts w:ascii="Times New Roman" w:cs="Times New Roman" w:eastAsia="Times New Roman" w:hAnsi="Times New Roman"/>
          <w:sz w:val="14"/>
          <w:szCs w:val="14"/>
          <w:color w:val="auto"/>
        </w:rPr>
        <w:t>According to the Facility Agreement (Note 13A(4)), the Company undertook not to distribute any dividends prior to January 1, 2006. Any dividend distributions after that date shall be subject to provisions stipulated in such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926840" cy="635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2" w:lineRule="exact"/>
        <w:rPr>
          <w:sz w:val="20"/>
          <w:szCs w:val="20"/>
          <w:color w:val="auto"/>
        </w:rPr>
      </w:pPr>
    </w:p>
    <w:p>
      <w:pPr>
        <w:ind w:left="1100" w:hanging="347"/>
        <w:spacing w:after="0"/>
        <w:tabs>
          <w:tab w:leader="none" w:pos="1100" w:val="left"/>
        </w:tabs>
        <w:numPr>
          <w:ilvl w:val="0"/>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Sale of Securities</w:t>
      </w:r>
    </w:p>
    <w:p>
      <w:pPr>
        <w:spacing w:after="0" w:line="174" w:lineRule="exact"/>
        <w:rPr>
          <w:sz w:val="20"/>
          <w:szCs w:val="20"/>
          <w:color w:val="auto"/>
        </w:rPr>
      </w:pPr>
    </w:p>
    <w:p>
      <w:pPr>
        <w:jc w:val="both"/>
        <w:ind w:left="1120" w:right="2859"/>
        <w:spacing w:after="0" w:line="263" w:lineRule="auto"/>
        <w:rPr>
          <w:sz w:val="20"/>
          <w:szCs w:val="20"/>
          <w:color w:val="auto"/>
        </w:rPr>
      </w:pPr>
      <w:r>
        <w:rPr>
          <w:rFonts w:ascii="Times New Roman" w:cs="Times New Roman" w:eastAsia="Times New Roman" w:hAnsi="Times New Roman"/>
          <w:sz w:val="14"/>
          <w:szCs w:val="14"/>
          <w:color w:val="auto"/>
        </w:rPr>
        <w:t>In January, 2002, the Company issued, based on a prospectus published in January, 2002 in Israel, the following securities, which are listed on the Tel Aviv Stock Exchange, for initial proceeds of approximately $23,200. Costs related to the prospectus and issuance of the securities were approximately $1,750.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939540" cy="635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3939540" cy="6350"/>
                    </a:xfrm>
                    <a:prstGeom prst="rect">
                      <a:avLst/>
                    </a:prstGeom>
                    <a:noFill/>
                  </pic:spPr>
                </pic:pic>
              </a:graphicData>
            </a:graphic>
          </wp:anchor>
        </w:drawing>
      </w:r>
    </w:p>
    <w:p>
      <w:pPr>
        <w:spacing w:after="0" w:line="42" w:lineRule="exact"/>
        <w:rPr>
          <w:sz w:val="20"/>
          <w:szCs w:val="20"/>
          <w:color w:val="auto"/>
        </w:rPr>
      </w:pPr>
    </w:p>
    <w:p>
      <w:pPr>
        <w:ind w:left="1440" w:right="4499" w:hanging="344"/>
        <w:spacing w:after="0" w:line="282" w:lineRule="auto"/>
        <w:tabs>
          <w:tab w:leader="none" w:pos="1440"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Convertible Debentures </w:t>
      </w:r>
      <w:r>
        <w:rPr>
          <w:rFonts w:ascii="Times New Roman" w:cs="Times New Roman" w:eastAsia="Times New Roman" w:hAnsi="Times New Roman"/>
          <w:sz w:val="14"/>
          <w:szCs w:val="14"/>
          <w:color w:val="auto"/>
        </w:rPr>
        <w:t>— NIS 110,579,800 principal amount of convertible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debentures, under terms described in Note 11.</w:t>
      </w:r>
    </w:p>
    <w:p>
      <w:pPr>
        <w:spacing w:after="0" w:line="131" w:lineRule="exact"/>
        <w:rPr>
          <w:rFonts w:ascii="Times New Roman" w:cs="Times New Roman" w:eastAsia="Times New Roman" w:hAnsi="Times New Roman"/>
          <w:sz w:val="14"/>
          <w:szCs w:val="14"/>
          <w:b w:val="1"/>
          <w:bCs w:val="1"/>
          <w:color w:val="auto"/>
        </w:rPr>
      </w:pPr>
    </w:p>
    <w:p>
      <w:pPr>
        <w:ind w:left="1440" w:right="4039" w:hanging="344"/>
        <w:spacing w:after="0" w:line="259" w:lineRule="auto"/>
        <w:tabs>
          <w:tab w:leader="none" w:pos="1440"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Options (Series 1) </w:t>
      </w:r>
      <w:r>
        <w:rPr>
          <w:rFonts w:ascii="Times New Roman" w:cs="Times New Roman" w:eastAsia="Times New Roman" w:hAnsi="Times New Roman"/>
          <w:sz w:val="14"/>
          <w:szCs w:val="14"/>
          <w:color w:val="auto"/>
        </w:rPr>
        <w:t>— 2,211,596 options (Series 1) for no consideration. Each option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(Series 1) is exercisable into one Ordinary Share of the Company until January 20, 2006 for an exercise price of NIS 39 (subject to customary adjustments), linked to the CPI (as of December 31, 2002 – NIS 41.65, $8.79).</w:t>
      </w:r>
    </w:p>
    <w:p>
      <w:pPr>
        <w:spacing w:after="0" w:line="148" w:lineRule="exact"/>
        <w:rPr>
          <w:rFonts w:ascii="Times New Roman" w:cs="Times New Roman" w:eastAsia="Times New Roman" w:hAnsi="Times New Roman"/>
          <w:sz w:val="14"/>
          <w:szCs w:val="14"/>
          <w:b w:val="1"/>
          <w:bCs w:val="1"/>
          <w:color w:val="auto"/>
        </w:rPr>
      </w:pPr>
    </w:p>
    <w:p>
      <w:pPr>
        <w:ind w:left="1440" w:right="4199" w:hanging="344"/>
        <w:spacing w:after="0" w:line="265" w:lineRule="auto"/>
        <w:tabs>
          <w:tab w:leader="none" w:pos="1440"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i w:val="1"/>
          <w:iCs w:val="1"/>
          <w:color w:val="auto"/>
        </w:rPr>
        <w:t xml:space="preserve">Options (Series A) </w:t>
      </w:r>
      <w:r>
        <w:rPr>
          <w:rFonts w:ascii="Times New Roman" w:cs="Times New Roman" w:eastAsia="Times New Roman" w:hAnsi="Times New Roman"/>
          <w:sz w:val="14"/>
          <w:szCs w:val="14"/>
          <w:color w:val="auto"/>
        </w:rPr>
        <w:t>— 552,899 options (Series A) for no consideration, to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additional debentures. These options, none of which were exercised, expired in March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-922020</wp:posOffset>
            </wp:positionV>
            <wp:extent cx="3939540" cy="635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393954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-386715</wp:posOffset>
            </wp:positionV>
            <wp:extent cx="3939540" cy="635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3939540" cy="6350"/>
                    </a:xfrm>
                    <a:prstGeom prst="rect">
                      <a:avLst/>
                    </a:prstGeom>
                    <a:noFill/>
                  </pic:spPr>
                </pic:pic>
              </a:graphicData>
            </a:graphic>
          </wp:anchor>
        </w:drawing>
      </w:r>
    </w:p>
    <w:p>
      <w:pPr>
        <w:spacing w:after="0" w:line="11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See Note 20E for the disclosure of the accounting treatment of the sale of these securities under U.S. GAAP.</w:t>
      </w:r>
    </w:p>
    <w:p>
      <w:pPr>
        <w:spacing w:after="0" w:line="22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 SHAREHOLDERS' EQUITY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Rights Offering</w:t>
      </w:r>
    </w:p>
    <w:p>
      <w:pPr>
        <w:spacing w:after="0" w:line="174" w:lineRule="exact"/>
        <w:rPr>
          <w:sz w:val="20"/>
          <w:szCs w:val="20"/>
          <w:color w:val="auto"/>
        </w:rPr>
      </w:pPr>
    </w:p>
    <w:p>
      <w:pPr>
        <w:ind w:left="1120" w:right="2799"/>
        <w:spacing w:after="0" w:line="252" w:lineRule="auto"/>
        <w:rPr>
          <w:sz w:val="20"/>
          <w:szCs w:val="20"/>
          <w:color w:val="auto"/>
        </w:rPr>
      </w:pPr>
      <w:r>
        <w:rPr>
          <w:rFonts w:ascii="Times New Roman" w:cs="Times New Roman" w:eastAsia="Times New Roman" w:hAnsi="Times New Roman"/>
          <w:sz w:val="14"/>
          <w:szCs w:val="14"/>
          <w:color w:val="auto"/>
        </w:rPr>
        <w:t>In October 2002, the Company issued, based on a right offering prospectus published in September 2002 in Israel and in the U.S., 4,098,365 Ordinary Shares of the Company and 1,844,262 warrants to purchase Ordinary Shares of the Company, in consideration for an aggregate of immediate proceeds of $20,492. Of these amounts, 4,086,038 Ordinary Shares and 1,838,715 warrants were issued to Wafer Partners and Equity Investors in consideration for an aggregate of $20,430. Each warrant may be exercised for the purchase of one Ordinary Share at an exercise price of $7.50 for a period ending on October 31, 2006. The securities issued are listed on the NASDAQ and the Tel Aviv Stock Exchange. Costs in relation to the prospectus and the issuance of the securities were approximately $800.</w:t>
      </w:r>
    </w:p>
    <w:p>
      <w:pPr>
        <w:spacing w:after="0" w:line="63" w:lineRule="exact"/>
        <w:rPr>
          <w:sz w:val="20"/>
          <w:szCs w:val="20"/>
          <w:color w:val="auto"/>
        </w:rPr>
      </w:pPr>
    </w:p>
    <w:p>
      <w:pPr>
        <w:ind w:left="1120" w:right="2839"/>
        <w:spacing w:after="0" w:line="256" w:lineRule="auto"/>
        <w:rPr>
          <w:sz w:val="20"/>
          <w:szCs w:val="20"/>
          <w:color w:val="auto"/>
        </w:rPr>
      </w:pPr>
      <w:r>
        <w:rPr>
          <w:rFonts w:ascii="Times New Roman" w:cs="Times New Roman" w:eastAsia="Times New Roman" w:hAnsi="Times New Roman"/>
          <w:sz w:val="14"/>
          <w:szCs w:val="14"/>
          <w:color w:val="auto"/>
        </w:rPr>
        <w:t>The rights were distributed in an offering of rights to all shareholders of the Company and employees, who held options entitling them to participate in the rights offering. Each recipient received one right for each 4.94 Ordinary Shares or employee options that he held on September 30, 2002. Each full right entitled the recipient to purchase, at a subscription price of $5.00, one Ordinary Share and 0.45 of a warrant. All rights not exercised expired in October, 2002.</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INFORMATION ON GEOGRAPHIC AREAS AND MAJOR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Sales by Geographic Area </w:t>
      </w:r>
      <w:r>
        <w:rPr>
          <w:rFonts w:ascii="Times New Roman" w:cs="Times New Roman" w:eastAsia="Times New Roman" w:hAnsi="Times New Roman"/>
          <w:sz w:val="14"/>
          <w:szCs w:val="14"/>
          <w:color w:val="auto"/>
        </w:rPr>
        <w:t>(as percentage of total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3741420" cy="85725"/>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3741420" cy="85725"/>
                    </a:xfrm>
                    <a:prstGeom prst="rect">
                      <a:avLst/>
                    </a:prstGeom>
                    <a:noFill/>
                  </pic:spPr>
                </pic:pic>
              </a:graphicData>
            </a:graphic>
          </wp:anchor>
        </w:drawing>
      </w:r>
    </w:p>
    <w:p>
      <w:pPr>
        <w:spacing w:after="0" w:line="202" w:lineRule="exact"/>
        <w:rPr>
          <w:sz w:val="20"/>
          <w:szCs w:val="20"/>
          <w:color w:val="auto"/>
        </w:rPr>
      </w:pPr>
    </w:p>
    <w:tbl>
      <w:tblPr>
        <w:tblLayout w:type="fixed"/>
        <w:tblInd w:w="1380" w:type="dxa"/>
        <w:tblCellMar>
          <w:top w:w="0" w:type="dxa"/>
          <w:left w:w="0" w:type="dxa"/>
          <w:bottom w:w="0" w:type="dxa"/>
          <w:right w:w="0" w:type="dxa"/>
        </w:tblCellMar>
      </w:tblPr>
      <w:tr>
        <w:trPr>
          <w:trHeight w:val="134"/>
        </w:trPr>
        <w:tc>
          <w:tcPr>
            <w:tcW w:w="3020" w:type="dxa"/>
            <w:vAlign w:val="bottom"/>
          </w:tcPr>
          <w:p>
            <w:pPr>
              <w:spacing w:after="0"/>
              <w:rPr>
                <w:sz w:val="11"/>
                <w:szCs w:val="11"/>
                <w:color w:val="auto"/>
              </w:rPr>
            </w:pPr>
          </w:p>
        </w:tc>
        <w:tc>
          <w:tcPr>
            <w:tcW w:w="13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4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2002</w:t>
            </w:r>
          </w:p>
        </w:tc>
        <w:tc>
          <w:tcPr>
            <w:tcW w:w="500" w:type="dxa"/>
            <w:vAlign w:val="bottom"/>
            <w:gridSpan w:val="2"/>
          </w:tcPr>
          <w:p>
            <w:pPr>
              <w:jc w:val="right"/>
              <w:ind w:right="31"/>
              <w:spacing w:after="0"/>
              <w:rPr>
                <w:sz w:val="20"/>
                <w:szCs w:val="20"/>
                <w:color w:val="auto"/>
              </w:rPr>
            </w:pPr>
            <w:r>
              <w:rPr>
                <w:rFonts w:ascii="Times New Roman" w:cs="Times New Roman" w:eastAsia="Times New Roman" w:hAnsi="Times New Roman"/>
                <w:sz w:val="11"/>
                <w:szCs w:val="11"/>
                <w:b w:val="1"/>
                <w:bCs w:val="1"/>
                <w:color w:val="auto"/>
              </w:rPr>
              <w:t>2001</w:t>
            </w:r>
          </w:p>
        </w:tc>
        <w:tc>
          <w:tcPr>
            <w:tcW w:w="480" w:type="dxa"/>
            <w:vAlign w:val="bottom"/>
            <w:gridSpan w:val="2"/>
          </w:tcPr>
          <w:p>
            <w:pPr>
              <w:jc w:val="right"/>
              <w:ind w:right="11"/>
              <w:spacing w:after="0"/>
              <w:rPr>
                <w:sz w:val="20"/>
                <w:szCs w:val="20"/>
                <w:color w:val="auto"/>
              </w:rPr>
            </w:pPr>
            <w:r>
              <w:rPr>
                <w:rFonts w:ascii="Times New Roman" w:cs="Times New Roman" w:eastAsia="Times New Roman" w:hAnsi="Times New Roman"/>
                <w:sz w:val="11"/>
                <w:szCs w:val="11"/>
                <w:b w:val="1"/>
                <w:bCs w:val="1"/>
                <w:color w:val="auto"/>
              </w:rPr>
              <w:t>2000</w:t>
            </w:r>
          </w:p>
        </w:tc>
        <w:tc>
          <w:tcPr>
            <w:tcW w:w="0" w:type="dxa"/>
            <w:vAlign w:val="bottom"/>
          </w:tcPr>
          <w:p>
            <w:pPr>
              <w:spacing w:after="0"/>
              <w:rPr>
                <w:sz w:val="1"/>
                <w:szCs w:val="1"/>
                <w:color w:val="auto"/>
              </w:rPr>
            </w:pPr>
          </w:p>
        </w:tc>
      </w:tr>
      <w:tr>
        <w:trPr>
          <w:trHeight w:val="172"/>
        </w:trPr>
        <w:tc>
          <w:tcPr>
            <w:tcW w:w="3020" w:type="dxa"/>
            <w:vAlign w:val="bottom"/>
            <w:vMerge w:val="continue"/>
          </w:tcPr>
          <w:p>
            <w:pPr>
              <w:spacing w:after="0"/>
              <w:rPr>
                <w:sz w:val="14"/>
                <w:szCs w:val="14"/>
                <w:color w:val="auto"/>
              </w:rPr>
            </w:pPr>
          </w:p>
        </w:tc>
        <w:tc>
          <w:tcPr>
            <w:tcW w:w="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spacing w:after="0"/>
              <w:rPr>
                <w:sz w:val="14"/>
                <w:szCs w:val="14"/>
                <w:color w:val="auto"/>
              </w:rPr>
            </w:pPr>
          </w:p>
        </w:tc>
        <w:tc>
          <w:tcPr>
            <w:tcW w:w="4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Far East – in 2002, primarily Japan; in 2001 and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2000, primarily Taiwan</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25</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18</w:t>
            </w:r>
          </w:p>
        </w:tc>
        <w:tc>
          <w:tcPr>
            <w:tcW w:w="48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8"/>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Europe</w:t>
            </w:r>
          </w:p>
        </w:tc>
        <w:tc>
          <w:tcPr>
            <w:tcW w:w="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11</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10</w:t>
            </w:r>
          </w:p>
        </w:tc>
        <w:tc>
          <w:tcPr>
            <w:tcW w:w="48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-607695</wp:posOffset>
            </wp:positionV>
            <wp:extent cx="13335" cy="635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-607695</wp:posOffset>
            </wp:positionV>
            <wp:extent cx="13335" cy="635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-514985</wp:posOffset>
            </wp:positionV>
            <wp:extent cx="13335" cy="635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-514985</wp:posOffset>
            </wp:positionV>
            <wp:extent cx="13335" cy="635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-514985</wp:posOffset>
            </wp:positionV>
            <wp:extent cx="13335" cy="635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-514985</wp:posOffset>
            </wp:positionV>
            <wp:extent cx="13335" cy="635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-402590</wp:posOffset>
            </wp:positionV>
            <wp:extent cx="13335" cy="635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-402590</wp:posOffset>
            </wp:positionV>
            <wp:extent cx="13335" cy="635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-402590</wp:posOffset>
            </wp:positionV>
            <wp:extent cx="13335" cy="635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-402590</wp:posOffset>
            </wp:positionV>
            <wp:extent cx="13335" cy="635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-224155</wp:posOffset>
            </wp:positionV>
            <wp:extent cx="13335" cy="635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-224155</wp:posOffset>
            </wp:positionV>
            <wp:extent cx="13335" cy="635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-224155</wp:posOffset>
            </wp:positionV>
            <wp:extent cx="13335" cy="635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-224155</wp:posOffset>
            </wp:positionV>
            <wp:extent cx="13335" cy="635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-45720</wp:posOffset>
            </wp:positionV>
            <wp:extent cx="13335" cy="635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-45720</wp:posOffset>
            </wp:positionV>
            <wp:extent cx="13335" cy="635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-45720</wp:posOffset>
            </wp:positionV>
            <wp:extent cx="13335" cy="635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-45720</wp:posOffset>
            </wp:positionV>
            <wp:extent cx="13335" cy="635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2738755</wp:posOffset>
            </wp:positionH>
            <wp:positionV relativeFrom="paragraph">
              <wp:posOffset>19685</wp:posOffset>
            </wp:positionV>
            <wp:extent cx="13335" cy="635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19685</wp:posOffset>
            </wp:positionV>
            <wp:extent cx="13335" cy="635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3360420</wp:posOffset>
            </wp:positionH>
            <wp:positionV relativeFrom="paragraph">
              <wp:posOffset>19685</wp:posOffset>
            </wp:positionV>
            <wp:extent cx="13335" cy="635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19685</wp:posOffset>
            </wp:positionV>
            <wp:extent cx="13335" cy="635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851" w:right="1440" w:bottom="0" w:gutter="0" w:footer="0" w:header="0"/>
        </w:sectPr>
      </w:pPr>
    </w:p>
    <w:bookmarkStart w:id="65" w:name="page66"/>
    <w:bookmarkEnd w:id="65"/>
    <w:tbl>
      <w:tblPr>
        <w:tblLayout w:type="fixed"/>
        <w:tblInd w:w="1380" w:type="dxa"/>
        <w:tblCellMar>
          <w:top w:w="0" w:type="dxa"/>
          <w:left w:w="0" w:type="dxa"/>
          <w:bottom w:w="0" w:type="dxa"/>
          <w:right w:w="0" w:type="dxa"/>
        </w:tblCellMar>
      </w:tblPr>
      <w:tr>
        <w:trPr>
          <w:trHeight w:val="182"/>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Israel</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-125095</wp:posOffset>
            </wp:positionV>
            <wp:extent cx="945515" cy="9906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945515" cy="990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26840" cy="7302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3926840" cy="73025"/>
                    </a:xfrm>
                    <a:prstGeom prst="rect">
                      <a:avLst/>
                    </a:prstGeom>
                    <a:noFill/>
                  </pic:spPr>
                </pic:pic>
              </a:graphicData>
            </a:graphic>
          </wp:anchor>
        </w:drawing>
      </w:r>
    </w:p>
    <w:p>
      <w:pPr>
        <w:spacing w:after="0" w:line="161" w:lineRule="exact"/>
        <w:rPr>
          <w:sz w:val="20"/>
          <w:szCs w:val="20"/>
          <w:color w:val="auto"/>
        </w:rPr>
      </w:pPr>
    </w:p>
    <w:p>
      <w:pPr>
        <w:ind w:left="1100" w:right="4079" w:hanging="347"/>
        <w:spacing w:after="0" w:line="282" w:lineRule="auto"/>
        <w:tabs>
          <w:tab w:leader="none" w:pos="1100" w:val="left"/>
        </w:tabs>
        <w:numPr>
          <w:ilvl w:val="0"/>
          <w:numId w:val="1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Long-Lived Assets by Geographic Area </w:t>
      </w:r>
      <w:r>
        <w:rPr>
          <w:rFonts w:ascii="Times New Roman" w:cs="Times New Roman" w:eastAsia="Times New Roman" w:hAnsi="Times New Roman"/>
          <w:sz w:val="14"/>
          <w:szCs w:val="14"/>
          <w:color w:val="auto"/>
        </w:rPr>
        <w:t>— Substantially all of the Company's long-lived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assets are located in Israel.</w:t>
      </w:r>
    </w:p>
    <w:p>
      <w:pPr>
        <w:spacing w:after="0" w:line="131" w:lineRule="exact"/>
        <w:rPr>
          <w:rFonts w:ascii="Times New Roman" w:cs="Times New Roman" w:eastAsia="Times New Roman" w:hAnsi="Times New Roman"/>
          <w:sz w:val="14"/>
          <w:szCs w:val="14"/>
          <w:b w:val="1"/>
          <w:bCs w:val="1"/>
          <w:color w:val="auto"/>
        </w:rPr>
      </w:pPr>
    </w:p>
    <w:p>
      <w:pPr>
        <w:ind w:left="1100" w:hanging="347"/>
        <w:spacing w:after="0"/>
        <w:tabs>
          <w:tab w:leader="none" w:pos="1100" w:val="left"/>
        </w:tabs>
        <w:numPr>
          <w:ilvl w:val="0"/>
          <w:numId w:val="1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Major Customers </w:t>
      </w:r>
      <w:r>
        <w:rPr>
          <w:rFonts w:ascii="Times New Roman" w:cs="Times New Roman" w:eastAsia="Times New Roman" w:hAnsi="Times New Roman"/>
          <w:sz w:val="14"/>
          <w:szCs w:val="14"/>
          <w:color w:val="auto"/>
        </w:rPr>
        <w:t>(as percentage of total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3926840" cy="635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392684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67310</wp:posOffset>
            </wp:positionV>
            <wp:extent cx="6350" cy="6604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1" w:lineRule="exact"/>
        <w:rPr>
          <w:sz w:val="20"/>
          <w:szCs w:val="20"/>
          <w:color w:val="auto"/>
        </w:rPr>
      </w:pPr>
    </w:p>
    <w:p>
      <w:pPr>
        <w:jc w:val="center"/>
        <w:ind w:left="2980" w:right="1820"/>
        <w:spacing w:after="0" w:line="235" w:lineRule="auto"/>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927735</wp:posOffset>
            </wp:positionH>
            <wp:positionV relativeFrom="paragraph">
              <wp:posOffset>-151130</wp:posOffset>
            </wp:positionV>
            <wp:extent cx="2756535" cy="635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27565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-71755</wp:posOffset>
            </wp:positionV>
            <wp:extent cx="13335" cy="635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-71755</wp:posOffset>
            </wp:positionV>
            <wp:extent cx="13335" cy="635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tbl>
      <w:tblPr>
        <w:tblLayout w:type="fixed"/>
        <w:tblInd w:w="1460" w:type="dxa"/>
        <w:tblCellMar>
          <w:top w:w="0" w:type="dxa"/>
          <w:left w:w="0" w:type="dxa"/>
          <w:bottom w:w="0" w:type="dxa"/>
          <w:right w:w="0" w:type="dxa"/>
        </w:tblCellMar>
      </w:tblPr>
      <w:tr>
        <w:trPr>
          <w:trHeight w:val="126"/>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Customer A</w:t>
            </w:r>
          </w:p>
        </w:tc>
        <w:tc>
          <w:tcPr>
            <w:tcW w:w="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2002</w:t>
            </w: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2001</w:t>
            </w: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2000</w:t>
            </w:r>
          </w:p>
        </w:tc>
        <w:tc>
          <w:tcPr>
            <w:tcW w:w="0" w:type="dxa"/>
            <w:vAlign w:val="bottom"/>
          </w:tcPr>
          <w:p>
            <w:pPr>
              <w:spacing w:after="0"/>
              <w:rPr>
                <w:sz w:val="1"/>
                <w:szCs w:val="1"/>
                <w:color w:val="auto"/>
              </w:rPr>
            </w:pPr>
          </w:p>
        </w:tc>
      </w:tr>
      <w:tr>
        <w:trPr>
          <w:trHeight w:val="172"/>
        </w:trPr>
        <w:tc>
          <w:tcPr>
            <w:tcW w:w="3040" w:type="dxa"/>
            <w:vAlign w:val="bottom"/>
            <w:vMerge w:val="continue"/>
          </w:tcPr>
          <w:p>
            <w:pPr>
              <w:spacing w:after="0"/>
              <w:rPr>
                <w:sz w:val="14"/>
                <w:szCs w:val="14"/>
                <w:color w:val="auto"/>
              </w:rPr>
            </w:pPr>
          </w:p>
        </w:tc>
        <w:tc>
          <w:tcPr>
            <w:tcW w:w="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4"/>
                <w:szCs w:val="14"/>
                <w:color w:val="auto"/>
              </w:rPr>
            </w:pPr>
          </w:p>
        </w:tc>
        <w:tc>
          <w:tcPr>
            <w:tcW w:w="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Customer B</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3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Customer C</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13</w:t>
            </w:r>
          </w:p>
        </w:tc>
        <w:tc>
          <w:tcPr>
            <w:tcW w:w="4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17</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Customer D</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Other customers (*)</w:t>
            </w:r>
          </w:p>
        </w:tc>
        <w:tc>
          <w:tcPr>
            <w:tcW w:w="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21</w:t>
            </w:r>
          </w:p>
        </w:tc>
        <w:tc>
          <w:tcPr>
            <w:tcW w:w="4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color w:val="auto"/>
              </w:rPr>
              <w:t>28</w:t>
            </w:r>
          </w:p>
        </w:tc>
        <w:tc>
          <w:tcPr>
            <w:tcW w:w="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-336550</wp:posOffset>
            </wp:positionV>
            <wp:extent cx="694055" cy="1968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-660400</wp:posOffset>
            </wp:positionV>
            <wp:extent cx="13335" cy="635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-660400</wp:posOffset>
            </wp:positionV>
            <wp:extent cx="13335" cy="635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-660400</wp:posOffset>
            </wp:positionV>
            <wp:extent cx="13335" cy="635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-660400</wp:posOffset>
            </wp:positionV>
            <wp:extent cx="13335" cy="635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-548005</wp:posOffset>
            </wp:positionV>
            <wp:extent cx="13335" cy="635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-548005</wp:posOffset>
            </wp:positionV>
            <wp:extent cx="13335" cy="635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-548005</wp:posOffset>
            </wp:positionV>
            <wp:extent cx="13335" cy="635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-548005</wp:posOffset>
            </wp:positionV>
            <wp:extent cx="13335" cy="635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-422910</wp:posOffset>
            </wp:positionV>
            <wp:extent cx="13335" cy="635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-422910</wp:posOffset>
            </wp:positionV>
            <wp:extent cx="13335" cy="635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-422910</wp:posOffset>
            </wp:positionV>
            <wp:extent cx="13335" cy="635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-422910</wp:posOffset>
            </wp:positionV>
            <wp:extent cx="13335" cy="635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-297180</wp:posOffset>
            </wp:positionV>
            <wp:extent cx="13335" cy="635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-297180</wp:posOffset>
            </wp:positionV>
            <wp:extent cx="13335" cy="635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-297180</wp:posOffset>
            </wp:positionV>
            <wp:extent cx="13335" cy="635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-297180</wp:posOffset>
            </wp:positionV>
            <wp:extent cx="13335" cy="635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-171450</wp:posOffset>
            </wp:positionV>
            <wp:extent cx="13335" cy="635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-171450</wp:posOffset>
            </wp:positionV>
            <wp:extent cx="13335" cy="635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-171450</wp:posOffset>
            </wp:positionV>
            <wp:extent cx="13335" cy="635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-171450</wp:posOffset>
            </wp:positionV>
            <wp:extent cx="13335" cy="635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-45720</wp:posOffset>
            </wp:positionV>
            <wp:extent cx="13335" cy="635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3069590</wp:posOffset>
            </wp:positionH>
            <wp:positionV relativeFrom="paragraph">
              <wp:posOffset>-45720</wp:posOffset>
            </wp:positionV>
            <wp:extent cx="13335" cy="635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-45720</wp:posOffset>
            </wp:positionV>
            <wp:extent cx="13335" cy="635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3611245</wp:posOffset>
            </wp:positionH>
            <wp:positionV relativeFrom="paragraph">
              <wp:posOffset>-45720</wp:posOffset>
            </wp:positionV>
            <wp:extent cx="13335" cy="635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79375</wp:posOffset>
            </wp:positionV>
            <wp:extent cx="13335" cy="635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145415</wp:posOffset>
            </wp:positionV>
            <wp:extent cx="4620895" cy="139065"/>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4620895" cy="13906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400" w:right="4359" w:hanging="304"/>
        <w:spacing w:after="0" w:line="248" w:lineRule="auto"/>
        <w:tabs>
          <w:tab w:leader="none" w:pos="1400" w:val="left"/>
        </w:tabs>
        <w:numPr>
          <w:ilvl w:val="0"/>
          <w:numId w:val="1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 sales to five different customers each of whom accounted for between 2% and 7% of sales during 2002; to five customers (2%-8%) during 2001; and to five customers (2%-6%) during 2000.</w:t>
      </w:r>
    </w:p>
    <w:p>
      <w:pPr>
        <w:spacing w:after="0" w:line="137" w:lineRule="exact"/>
        <w:rPr>
          <w:sz w:val="20"/>
          <w:szCs w:val="20"/>
          <w:color w:val="auto"/>
        </w:rPr>
      </w:pPr>
    </w:p>
    <w:p>
      <w:pPr>
        <w:ind w:left="1120" w:right="3039"/>
        <w:spacing w:after="0" w:line="279" w:lineRule="auto"/>
        <w:rPr>
          <w:sz w:val="20"/>
          <w:szCs w:val="20"/>
          <w:color w:val="auto"/>
        </w:rPr>
      </w:pPr>
      <w:r>
        <w:rPr>
          <w:rFonts w:ascii="Times New Roman" w:cs="Times New Roman" w:eastAsia="Times New Roman" w:hAnsi="Times New Roman"/>
          <w:sz w:val="14"/>
          <w:szCs w:val="14"/>
          <w:color w:val="auto"/>
        </w:rPr>
        <w:t>As of December 31, 2002 and 2001, the above major customers constituted the majority of the trade accounts receivable reflected on the balance sheets.</w:t>
      </w:r>
    </w:p>
    <w:p>
      <w:pPr>
        <w:spacing w:after="0" w:line="17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FINANCIAL INCOME (EXPENSE), NET</w:t>
      </w:r>
    </w:p>
    <w:p>
      <w:pPr>
        <w:spacing w:after="0" w:line="9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Financial income (expense), net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893820" cy="7302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3893820" cy="73025"/>
                    </a:xfrm>
                    <a:prstGeom prst="rect">
                      <a:avLst/>
                    </a:prstGeom>
                    <a:noFill/>
                  </pic:spPr>
                </pic:pic>
              </a:graphicData>
            </a:graphic>
          </wp:anchor>
        </w:drawing>
      </w:r>
    </w:p>
    <w:p>
      <w:pPr>
        <w:spacing w:after="0" w:line="200" w:lineRule="exact"/>
        <w:rPr>
          <w:sz w:val="20"/>
          <w:szCs w:val="20"/>
          <w:color w:val="auto"/>
        </w:rPr>
      </w:pPr>
    </w:p>
    <w:tbl>
      <w:tblPr>
        <w:tblLayout w:type="fixed"/>
        <w:tblInd w:w="820" w:type="dxa"/>
        <w:tblCellMar>
          <w:top w:w="0" w:type="dxa"/>
          <w:left w:w="0" w:type="dxa"/>
          <w:bottom w:w="0" w:type="dxa"/>
          <w:right w:w="0" w:type="dxa"/>
        </w:tblCellMar>
      </w:tblPr>
      <w:tr>
        <w:trPr>
          <w:trHeight w:val="134"/>
        </w:trPr>
        <w:tc>
          <w:tcPr>
            <w:tcW w:w="3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Financial expenses (primarily bank loan interest)</w:t>
            </w:r>
          </w:p>
        </w:tc>
        <w:tc>
          <w:tcPr>
            <w:tcW w:w="80" w:type="dxa"/>
            <w:vAlign w:val="bottom"/>
          </w:tcPr>
          <w:p>
            <w:pPr>
              <w:spacing w:after="0"/>
              <w:rPr>
                <w:sz w:val="10"/>
                <w:szCs w:val="10"/>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2002</w:t>
            </w:r>
          </w:p>
        </w:tc>
        <w:tc>
          <w:tcPr>
            <w:tcW w:w="8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2000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360" w:type="dxa"/>
            <w:vAlign w:val="bottom"/>
            <w:vMerge w:val="continue"/>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w w:val="91"/>
              </w:rPr>
              <w:t>(11,669)</w:t>
            </w:r>
          </w:p>
        </w:tc>
        <w:tc>
          <w:tcPr>
            <w:tcW w:w="80" w:type="dxa"/>
            <w:vAlign w:val="bottom"/>
          </w:tcPr>
          <w:p>
            <w:pPr>
              <w:spacing w:after="0"/>
              <w:rPr>
                <w:sz w:val="14"/>
                <w:szCs w:val="14"/>
                <w:color w:val="auto"/>
              </w:rPr>
            </w:pPr>
          </w:p>
        </w:tc>
        <w:tc>
          <w:tcPr>
            <w:tcW w:w="5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6"/>
              </w:rPr>
              <w:t>$(3,365)</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(923)</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Financial expenses in relation</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convertible debentures</w:t>
            </w:r>
          </w:p>
        </w:tc>
        <w:tc>
          <w:tcPr>
            <w:tcW w:w="8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(1,101)</w:t>
            </w:r>
          </w:p>
        </w:tc>
        <w:tc>
          <w:tcPr>
            <w:tcW w:w="8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Less capitalized interest – Note 6A(3)</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10,260</w:t>
            </w: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3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(2,510)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Financial income (primarily bank deposit interest)</w:t>
            </w: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3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Financing income (expense), net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(2,104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9"/>
              </w:rPr>
              <w:t>$ 1,465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1,394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-441960</wp:posOffset>
            </wp:positionV>
            <wp:extent cx="515620" cy="1968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515620" cy="19685"/>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-1003935</wp:posOffset>
            </wp:positionV>
            <wp:extent cx="13335" cy="635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-1003935</wp:posOffset>
            </wp:positionV>
            <wp:extent cx="13335" cy="635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-911860</wp:posOffset>
            </wp:positionV>
            <wp:extent cx="13335" cy="635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-911860</wp:posOffset>
            </wp:positionV>
            <wp:extent cx="13335" cy="635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-911860</wp:posOffset>
            </wp:positionV>
            <wp:extent cx="13335" cy="635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-911860</wp:posOffset>
            </wp:positionV>
            <wp:extent cx="13335" cy="635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-799465</wp:posOffset>
            </wp:positionV>
            <wp:extent cx="13335" cy="635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-799465</wp:posOffset>
            </wp:positionV>
            <wp:extent cx="13335" cy="635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-799465</wp:posOffset>
            </wp:positionV>
            <wp:extent cx="13335" cy="635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-799465</wp:posOffset>
            </wp:positionV>
            <wp:extent cx="13335" cy="635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-621030</wp:posOffset>
            </wp:positionV>
            <wp:extent cx="13335" cy="635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-621030</wp:posOffset>
            </wp:positionV>
            <wp:extent cx="13335" cy="635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-621030</wp:posOffset>
            </wp:positionV>
            <wp:extent cx="13335" cy="635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-621030</wp:posOffset>
            </wp:positionV>
            <wp:extent cx="13335" cy="635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-441960</wp:posOffset>
            </wp:positionV>
            <wp:extent cx="13335" cy="635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-441960</wp:posOffset>
            </wp:positionV>
            <wp:extent cx="13335" cy="635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-441960</wp:posOffset>
            </wp:positionV>
            <wp:extent cx="13335" cy="635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-441960</wp:posOffset>
            </wp:positionV>
            <wp:extent cx="13335" cy="635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-316865</wp:posOffset>
            </wp:positionV>
            <wp:extent cx="13335" cy="635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-316865</wp:posOffset>
            </wp:positionV>
            <wp:extent cx="13335" cy="635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-316865</wp:posOffset>
            </wp:positionV>
            <wp:extent cx="13335" cy="635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-316865</wp:posOffset>
            </wp:positionV>
            <wp:extent cx="13335" cy="635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-191135</wp:posOffset>
            </wp:positionV>
            <wp:extent cx="13335" cy="635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-191135</wp:posOffset>
            </wp:positionV>
            <wp:extent cx="13335" cy="635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-191135</wp:posOffset>
            </wp:positionV>
            <wp:extent cx="13335" cy="635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-191135</wp:posOffset>
            </wp:positionV>
            <wp:extent cx="13335" cy="635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-65405</wp:posOffset>
            </wp:positionV>
            <wp:extent cx="13335" cy="635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-65405</wp:posOffset>
            </wp:positionV>
            <wp:extent cx="13335" cy="635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-65405</wp:posOffset>
            </wp:positionV>
            <wp:extent cx="13335" cy="635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-65405</wp:posOffset>
            </wp:positionV>
            <wp:extent cx="13335" cy="635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59690</wp:posOffset>
            </wp:positionV>
            <wp:extent cx="13335" cy="635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3023235</wp:posOffset>
            </wp:positionH>
            <wp:positionV relativeFrom="paragraph">
              <wp:posOffset>59690</wp:posOffset>
            </wp:positionV>
            <wp:extent cx="13335" cy="635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59690</wp:posOffset>
            </wp:positionV>
            <wp:extent cx="13335" cy="635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3783330</wp:posOffset>
            </wp:positionH>
            <wp:positionV relativeFrom="paragraph">
              <wp:posOffset>59690</wp:posOffset>
            </wp:positionV>
            <wp:extent cx="13335" cy="635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524510</wp:posOffset>
            </wp:positionH>
            <wp:positionV relativeFrom="paragraph">
              <wp:posOffset>125730</wp:posOffset>
            </wp:positionV>
            <wp:extent cx="6350" cy="6604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Approved Enterprise Status</w:t>
      </w:r>
    </w:p>
    <w:p>
      <w:pPr>
        <w:spacing w:after="0" w:line="174" w:lineRule="exact"/>
        <w:rPr>
          <w:sz w:val="20"/>
          <w:szCs w:val="20"/>
          <w:color w:val="auto"/>
        </w:rPr>
      </w:pPr>
    </w:p>
    <w:p>
      <w:pPr>
        <w:ind w:left="1120" w:right="3199"/>
        <w:spacing w:after="0" w:line="263" w:lineRule="auto"/>
        <w:rPr>
          <w:sz w:val="20"/>
          <w:szCs w:val="20"/>
          <w:color w:val="auto"/>
        </w:rPr>
      </w:pPr>
      <w:r>
        <w:rPr>
          <w:rFonts w:ascii="Times New Roman" w:cs="Times New Roman" w:eastAsia="Times New Roman" w:hAnsi="Times New Roman"/>
          <w:sz w:val="14"/>
          <w:szCs w:val="14"/>
          <w:color w:val="auto"/>
        </w:rPr>
        <w:t>Substantially all of the Company's existing facilities as of December 31, 2002 have been granted approved enterprise status, as provided by the Israeli Law for the Encouragement of Capital Investments - 1959 ("Investments Law") (see Note 6B).</w:t>
      </w:r>
    </w:p>
    <w:p>
      <w:pPr>
        <w:spacing w:after="0" w:line="54" w:lineRule="exact"/>
        <w:rPr>
          <w:sz w:val="20"/>
          <w:szCs w:val="20"/>
          <w:color w:val="auto"/>
        </w:rPr>
      </w:pPr>
    </w:p>
    <w:p>
      <w:pPr>
        <w:ind w:left="1120" w:right="2799"/>
        <w:spacing w:after="0" w:line="254" w:lineRule="auto"/>
        <w:rPr>
          <w:sz w:val="20"/>
          <w:szCs w:val="20"/>
          <w:color w:val="auto"/>
        </w:rPr>
      </w:pPr>
      <w:r>
        <w:rPr>
          <w:rFonts w:ascii="Times New Roman" w:cs="Times New Roman" w:eastAsia="Times New Roman" w:hAnsi="Times New Roman"/>
          <w:sz w:val="14"/>
          <w:szCs w:val="14"/>
          <w:color w:val="auto"/>
        </w:rPr>
        <w:t>The tax benefits derived from approved enterprise status relate only to taxable income attributable to approved enterprise investments. Pursuant to the Investments Law and the approval certificates for the Company's approved enterprise programs, the Company's income attributable to its various approved enterprise investments is taxed at a rate of up to 25% through periods ending between 2003 and 2012. Taxable income attributable to Fab 2 shall be tax-exempt for the first two years it arises. The portion of the Company's taxable income that is not attributable to approved enterprise investments is taxed at a rate of 36% (regular "Company Tax").</w:t>
      </w:r>
    </w:p>
    <w:p>
      <w:pPr>
        <w:spacing w:after="0" w:line="60" w:lineRule="exact"/>
        <w:rPr>
          <w:sz w:val="20"/>
          <w:szCs w:val="20"/>
          <w:color w:val="auto"/>
        </w:rPr>
      </w:pPr>
    </w:p>
    <w:p>
      <w:pPr>
        <w:ind w:left="1120" w:right="2819"/>
        <w:spacing w:after="0" w:line="254" w:lineRule="auto"/>
        <w:rPr>
          <w:sz w:val="20"/>
          <w:szCs w:val="20"/>
          <w:color w:val="auto"/>
        </w:rPr>
      </w:pPr>
      <w:r>
        <w:rPr>
          <w:rFonts w:ascii="Times New Roman" w:cs="Times New Roman" w:eastAsia="Times New Roman" w:hAnsi="Times New Roman"/>
          <w:sz w:val="14"/>
          <w:szCs w:val="14"/>
          <w:color w:val="auto"/>
        </w:rPr>
        <w:t>The tax benefits are also conditioned upon fulfillment of the requirements stipulated by the Investments Law and the regulations promulgated there 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Note 6B).</w:t>
      </w:r>
    </w:p>
    <w:p>
      <w:pPr>
        <w:spacing w:after="0" w:line="20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INCOME TAXES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Components of Deferred Tax Asset/Liability</w:t>
      </w:r>
    </w:p>
    <w:p>
      <w:pPr>
        <w:spacing w:after="0" w:line="174" w:lineRule="exact"/>
        <w:rPr>
          <w:sz w:val="20"/>
          <w:szCs w:val="20"/>
          <w:color w:val="auto"/>
        </w:rPr>
      </w:pPr>
    </w:p>
    <w:p>
      <w:pPr>
        <w:ind w:left="1120" w:right="2959"/>
        <w:spacing w:after="0" w:line="279" w:lineRule="auto"/>
        <w:rPr>
          <w:sz w:val="20"/>
          <w:szCs w:val="20"/>
          <w:color w:val="auto"/>
        </w:rPr>
      </w:pPr>
      <w:r>
        <w:rPr>
          <w:rFonts w:ascii="Times New Roman" w:cs="Times New Roman" w:eastAsia="Times New Roman" w:hAnsi="Times New Roman"/>
          <w:sz w:val="14"/>
          <w:szCs w:val="14"/>
          <w:color w:val="auto"/>
        </w:rPr>
        <w:t>The following is a summary of the components of the deferred tax benefit and liability reflected on the balance sheets as of the respective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3827145" cy="85725"/>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3827145" cy="85725"/>
                    </a:xfrm>
                    <a:prstGeom prst="rect">
                      <a:avLst/>
                    </a:prstGeom>
                    <a:noFill/>
                  </pic:spPr>
                </pic:pic>
              </a:graphicData>
            </a:graphic>
          </wp:anchor>
        </w:drawing>
      </w:r>
    </w:p>
    <w:p>
      <w:pPr>
        <w:spacing w:after="0" w:line="153" w:lineRule="exact"/>
        <w:rPr>
          <w:sz w:val="20"/>
          <w:szCs w:val="20"/>
          <w:color w:val="auto"/>
        </w:rPr>
      </w:pPr>
    </w:p>
    <w:tbl>
      <w:tblPr>
        <w:tblLayout w:type="fixed"/>
        <w:tblInd w:w="1160" w:type="dxa"/>
        <w:tblCellMar>
          <w:top w:w="0" w:type="dxa"/>
          <w:left w:w="0" w:type="dxa"/>
          <w:bottom w:w="0" w:type="dxa"/>
          <w:right w:w="0" w:type="dxa"/>
        </w:tblCellMar>
      </w:tblPr>
      <w:tr>
        <w:trPr>
          <w:trHeight w:val="134"/>
        </w:trPr>
        <w:tc>
          <w:tcPr>
            <w:tcW w:w="16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26"/>
        </w:trPr>
        <w:tc>
          <w:tcPr>
            <w:tcW w:w="1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8"/>
              </w:rPr>
              <w:t>Deferred tax benefit – current</w:t>
            </w:r>
          </w:p>
        </w:tc>
        <w:tc>
          <w:tcPr>
            <w:tcW w:w="2020" w:type="dxa"/>
            <w:vAlign w:val="bottom"/>
            <w:vMerge w:val="restart"/>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2002</w:t>
            </w:r>
          </w:p>
        </w:tc>
        <w:tc>
          <w:tcPr>
            <w:tcW w:w="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2001</w:t>
            </w: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660" w:type="dxa"/>
            <w:vAlign w:val="bottom"/>
            <w:tcBorders>
              <w:bottom w:val="single" w:sz="8" w:color="auto"/>
            </w:tcBorders>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vacation pay</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440</w:t>
            </w:r>
          </w:p>
        </w:tc>
        <w:tc>
          <w:tcPr>
            <w:tcW w:w="0" w:type="dxa"/>
            <w:vAlign w:val="bottom"/>
          </w:tcPr>
          <w:p>
            <w:pPr>
              <w:spacing w:after="0"/>
              <w:rPr>
                <w:sz w:val="1"/>
                <w:szCs w:val="1"/>
                <w:color w:val="auto"/>
              </w:rPr>
            </w:pPr>
          </w:p>
        </w:tc>
      </w:tr>
      <w:tr>
        <w:trPr>
          <w:trHeight w:val="218"/>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72"/>
        </w:trPr>
        <w:tc>
          <w:tcPr>
            <w:tcW w:w="1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-636905</wp:posOffset>
            </wp:positionV>
            <wp:extent cx="13335" cy="635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-544195</wp:posOffset>
            </wp:positionV>
            <wp:extent cx="13335" cy="635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-544195</wp:posOffset>
            </wp:positionV>
            <wp:extent cx="13335" cy="635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-431800</wp:posOffset>
            </wp:positionV>
            <wp:extent cx="13335" cy="635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-431800</wp:posOffset>
            </wp:positionV>
            <wp:extent cx="13335" cy="635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-306705</wp:posOffset>
            </wp:positionV>
            <wp:extent cx="13335" cy="635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-306705</wp:posOffset>
            </wp:positionV>
            <wp:extent cx="13335" cy="635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-180975</wp:posOffset>
            </wp:positionV>
            <wp:extent cx="13335" cy="635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-180975</wp:posOffset>
            </wp:positionV>
            <wp:extent cx="13335" cy="635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-55245</wp:posOffset>
            </wp:positionV>
            <wp:extent cx="13335" cy="635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-55245</wp:posOffset>
            </wp:positionV>
            <wp:extent cx="13335" cy="635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10160</wp:posOffset>
            </wp:positionV>
            <wp:extent cx="13335" cy="635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10160</wp:posOffset>
            </wp:positionV>
            <wp:extent cx="13335" cy="635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125" w:right="1440" w:bottom="0" w:gutter="0" w:footer="0" w:header="0"/>
        </w:sectPr>
      </w:pPr>
    </w:p>
    <w:bookmarkStart w:id="66" w:name="page67"/>
    <w:bookmarkEnd w:id="66"/>
    <w:tbl>
      <w:tblPr>
        <w:tblLayout w:type="fixed"/>
        <w:tblInd w:w="1160" w:type="dxa"/>
        <w:tblCellMar>
          <w:top w:w="0" w:type="dxa"/>
          <w:left w:w="0" w:type="dxa"/>
          <w:bottom w:w="0" w:type="dxa"/>
          <w:right w:w="0" w:type="dxa"/>
        </w:tblCellMar>
      </w:tblPr>
      <w:tr>
        <w:trPr>
          <w:trHeight w:val="182"/>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80" w:type="dxa"/>
            <w:vAlign w:val="bottom"/>
          </w:tcPr>
          <w:p>
            <w:pPr>
              <w:spacing w:after="0"/>
              <w:rPr>
                <w:sz w:val="15"/>
                <w:szCs w:val="15"/>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(664)</w:t>
            </w:r>
          </w:p>
        </w:tc>
        <w:tc>
          <w:tcPr>
            <w:tcW w:w="8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41"/>
        </w:trPr>
        <w:tc>
          <w:tcPr>
            <w:tcW w:w="3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 current deferred tax benefit</w:t>
            </w: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highlight w:val="white"/>
                <w:w w:val="85"/>
              </w:rPr>
              <w:t>—</w:t>
            </w: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highlight w:val="white"/>
                <w:w w:val="85"/>
              </w:rPr>
              <w:t>—</w:t>
            </w:r>
          </w:p>
        </w:tc>
        <w:tc>
          <w:tcPr>
            <w:tcW w:w="0" w:type="dxa"/>
            <w:vAlign w:val="bottom"/>
          </w:tcPr>
          <w:p>
            <w:pPr>
              <w:spacing w:after="0"/>
              <w:rPr>
                <w:sz w:val="1"/>
                <w:szCs w:val="1"/>
                <w:color w:val="auto"/>
              </w:rPr>
            </w:pPr>
          </w:p>
        </w:tc>
      </w:tr>
      <w:tr>
        <w:trPr>
          <w:trHeight w:val="136"/>
        </w:trPr>
        <w:tc>
          <w:tcPr>
            <w:tcW w:w="3680" w:type="dxa"/>
            <w:vAlign w:val="bottom"/>
            <w:gridSpan w:val="2"/>
            <w:vMerge w:val="continue"/>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line="147" w:lineRule="exact"/>
              <w:rPr>
                <w:sz w:val="20"/>
                <w:szCs w:val="20"/>
                <w:color w:val="auto"/>
              </w:rPr>
            </w:pPr>
            <w:r>
              <w:rPr>
                <w:rFonts w:ascii="Times New Roman" w:cs="Times New Roman" w:eastAsia="Times New Roman" w:hAnsi="Times New Roman"/>
                <w:sz w:val="14"/>
                <w:szCs w:val="14"/>
                <w:color w:val="auto"/>
              </w:rPr>
              <w:t>Net deferred tax benefit – long-term</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6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Deferred tax asset –</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operating loss carryforward</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19,094</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14,844</w:t>
            </w:r>
          </w:p>
        </w:tc>
        <w:tc>
          <w:tcPr>
            <w:tcW w:w="0" w:type="dxa"/>
            <w:vAlign w:val="bottom"/>
          </w:tcPr>
          <w:p>
            <w:pPr>
              <w:spacing w:after="0"/>
              <w:rPr>
                <w:sz w:val="1"/>
                <w:szCs w:val="1"/>
                <w:color w:val="auto"/>
              </w:rPr>
            </w:pPr>
          </w:p>
        </w:tc>
      </w:tr>
      <w:tr>
        <w:trPr>
          <w:trHeight w:val="198"/>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1,614</w:t>
            </w:r>
          </w:p>
        </w:tc>
        <w:tc>
          <w:tcPr>
            <w:tcW w:w="0" w:type="dxa"/>
            <w:vAlign w:val="bottom"/>
          </w:tcPr>
          <w:p>
            <w:pPr>
              <w:spacing w:after="0"/>
              <w:rPr>
                <w:sz w:val="1"/>
                <w:szCs w:val="1"/>
                <w:color w:val="auto"/>
              </w:rPr>
            </w:pPr>
          </w:p>
        </w:tc>
      </w:tr>
      <w:tr>
        <w:trPr>
          <w:trHeight w:val="198"/>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Liability for employee rights upon severance</w:t>
            </w:r>
          </w:p>
        </w:tc>
        <w:tc>
          <w:tcPr>
            <w:tcW w:w="8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18"/>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22,634</w:t>
            </w: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17,197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8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w w:val="96"/>
              </w:rPr>
              <w:t>(17,229)</w:t>
            </w:r>
          </w:p>
        </w:tc>
        <w:tc>
          <w:tcPr>
            <w:tcW w:w="8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6"/>
              </w:rPr>
              <w:t>(12,348)</w:t>
            </w: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tax liability – Depreciation</w:t>
            </w:r>
          </w:p>
        </w:tc>
        <w:tc>
          <w:tcPr>
            <w:tcW w:w="8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(5,405)</w:t>
            </w:r>
          </w:p>
        </w:tc>
        <w:tc>
          <w:tcPr>
            <w:tcW w:w="8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0" w:type="dxa"/>
            <w:vAlign w:val="bottom"/>
          </w:tcPr>
          <w:p>
            <w:pPr>
              <w:spacing w:after="0"/>
              <w:rPr>
                <w:sz w:val="1"/>
                <w:szCs w:val="1"/>
                <w:color w:val="auto"/>
              </w:rPr>
            </w:pPr>
          </w:p>
        </w:tc>
      </w:tr>
      <w:tr>
        <w:trPr>
          <w:trHeight w:val="157"/>
        </w:trPr>
        <w:tc>
          <w:tcPr>
            <w:tcW w:w="3680" w:type="dxa"/>
            <w:vAlign w:val="bottom"/>
            <w:gridSpan w:val="2"/>
          </w:tcPr>
          <w:p>
            <w:pPr>
              <w:ind w:left="280"/>
              <w:spacing w:after="0" w:line="157" w:lineRule="exact"/>
              <w:rPr>
                <w:sz w:val="20"/>
                <w:szCs w:val="20"/>
                <w:color w:val="auto"/>
              </w:rPr>
            </w:pPr>
            <w:r>
              <w:rPr>
                <w:rFonts w:ascii="Times New Roman" w:cs="Times New Roman" w:eastAsia="Times New Roman" w:hAnsi="Times New Roman"/>
                <w:sz w:val="14"/>
                <w:szCs w:val="14"/>
                <w:color w:val="auto"/>
              </w:rPr>
              <w:t>Total net long-term deferred tax benefit</w:t>
            </w:r>
          </w:p>
        </w:tc>
        <w:tc>
          <w:tcPr>
            <w:tcW w:w="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-1447165</wp:posOffset>
            </wp:positionV>
            <wp:extent cx="13335" cy="635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-1447165</wp:posOffset>
            </wp:positionV>
            <wp:extent cx="13335" cy="635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-1321435</wp:posOffset>
            </wp:positionV>
            <wp:extent cx="13335" cy="635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-1321435</wp:posOffset>
            </wp:positionV>
            <wp:extent cx="13335" cy="635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-1195705</wp:posOffset>
            </wp:positionV>
            <wp:extent cx="13335" cy="635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-1195705</wp:posOffset>
            </wp:positionV>
            <wp:extent cx="13335" cy="635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-1069975</wp:posOffset>
            </wp:positionV>
            <wp:extent cx="13335" cy="635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-1069975</wp:posOffset>
            </wp:positionV>
            <wp:extent cx="13335" cy="635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-944880</wp:posOffset>
            </wp:positionV>
            <wp:extent cx="13335" cy="635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-944880</wp:posOffset>
            </wp:positionV>
            <wp:extent cx="13335" cy="635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-819150</wp:posOffset>
            </wp:positionV>
            <wp:extent cx="13335" cy="635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-819150</wp:posOffset>
            </wp:positionV>
            <wp:extent cx="13335" cy="635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-693420</wp:posOffset>
            </wp:positionV>
            <wp:extent cx="13335" cy="635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-693420</wp:posOffset>
            </wp:positionV>
            <wp:extent cx="13335" cy="635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-567690</wp:posOffset>
            </wp:positionV>
            <wp:extent cx="13335" cy="635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-567690</wp:posOffset>
            </wp:positionV>
            <wp:extent cx="13335" cy="635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-441960</wp:posOffset>
            </wp:positionV>
            <wp:extent cx="13335" cy="635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-441960</wp:posOffset>
            </wp:positionV>
            <wp:extent cx="13335" cy="635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-316865</wp:posOffset>
            </wp:positionV>
            <wp:extent cx="13335" cy="635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-316865</wp:posOffset>
            </wp:positionV>
            <wp:extent cx="13335" cy="635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-191135</wp:posOffset>
            </wp:positionV>
            <wp:extent cx="13335" cy="635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-191135</wp:posOffset>
            </wp:positionV>
            <wp:extent cx="13335" cy="635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-65405</wp:posOffset>
            </wp:positionV>
            <wp:extent cx="13335" cy="635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-65405</wp:posOffset>
            </wp:positionV>
            <wp:extent cx="13335" cy="635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26840" cy="73025"/>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3926840" cy="73025"/>
                    </a:xfrm>
                    <a:prstGeom prst="rect">
                      <a:avLst/>
                    </a:prstGeom>
                    <a:noFill/>
                  </pic:spPr>
                </pic:pic>
              </a:graphicData>
            </a:graphic>
          </wp:anchor>
        </w:drawing>
      </w:r>
    </w:p>
    <w:p>
      <w:pPr>
        <w:spacing w:after="0" w:line="161" w:lineRule="exact"/>
        <w:rPr>
          <w:sz w:val="20"/>
          <w:szCs w:val="20"/>
          <w:color w:val="auto"/>
        </w:rPr>
      </w:pPr>
    </w:p>
    <w:p>
      <w:pPr>
        <w:ind w:left="1100" w:hanging="347"/>
        <w:spacing w:after="0"/>
        <w:tabs>
          <w:tab w:leader="none" w:pos="1100" w:val="left"/>
        </w:tabs>
        <w:numPr>
          <w:ilvl w:val="0"/>
          <w:numId w:val="14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Effective Income Tax Rates</w:t>
      </w:r>
    </w:p>
    <w:p>
      <w:pPr>
        <w:spacing w:after="0" w:line="17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The reconciliation of the statutory tax rate to the Company's effective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827145" cy="7302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3827145" cy="73025"/>
                    </a:xfrm>
                    <a:prstGeom prst="rect">
                      <a:avLst/>
                    </a:prstGeom>
                    <a:noFill/>
                  </pic:spPr>
                </pic:pic>
              </a:graphicData>
            </a:graphic>
          </wp:anchor>
        </w:drawing>
      </w:r>
    </w:p>
    <w:p>
      <w:pPr>
        <w:spacing w:after="0" w:line="200" w:lineRule="exact"/>
        <w:rPr>
          <w:sz w:val="20"/>
          <w:szCs w:val="20"/>
          <w:color w:val="auto"/>
        </w:rPr>
      </w:pPr>
    </w:p>
    <w:tbl>
      <w:tblPr>
        <w:tblLayout w:type="fixed"/>
        <w:tblInd w:w="1100" w:type="dxa"/>
        <w:tblCellMar>
          <w:top w:w="0" w:type="dxa"/>
          <w:left w:w="0" w:type="dxa"/>
          <w:bottom w:w="0" w:type="dxa"/>
          <w:right w:w="0" w:type="dxa"/>
        </w:tblCellMar>
      </w:tblPr>
      <w:tr>
        <w:trPr>
          <w:trHeight w:val="134"/>
        </w:trPr>
        <w:tc>
          <w:tcPr>
            <w:tcW w:w="36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26"/>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Israeli statutory rate</w:t>
            </w:r>
          </w:p>
        </w:tc>
        <w:tc>
          <w:tcPr>
            <w:tcW w:w="420" w:type="dxa"/>
            <w:vAlign w:val="bottom"/>
            <w:gridSpan w:val="2"/>
          </w:tcPr>
          <w:p>
            <w:pPr>
              <w:jc w:val="right"/>
              <w:ind w:right="45"/>
              <w:spacing w:after="0"/>
              <w:rPr>
                <w:sz w:val="20"/>
                <w:szCs w:val="20"/>
                <w:color w:val="auto"/>
              </w:rPr>
            </w:pPr>
            <w:r>
              <w:rPr>
                <w:rFonts w:ascii="Times New Roman" w:cs="Times New Roman" w:eastAsia="Times New Roman" w:hAnsi="Times New Roman"/>
                <w:sz w:val="11"/>
                <w:szCs w:val="11"/>
                <w:b w:val="1"/>
                <w:bCs w:val="1"/>
                <w:color w:val="auto"/>
              </w:rPr>
              <w:t>2002</w:t>
            </w:r>
          </w:p>
        </w:tc>
        <w:tc>
          <w:tcPr>
            <w:tcW w:w="500" w:type="dxa"/>
            <w:vAlign w:val="bottom"/>
            <w:gridSpan w:val="3"/>
          </w:tcPr>
          <w:p>
            <w:pPr>
              <w:jc w:val="center"/>
              <w:ind w:left="15"/>
              <w:spacing w:after="0"/>
              <w:rPr>
                <w:sz w:val="20"/>
                <w:szCs w:val="20"/>
                <w:color w:val="auto"/>
              </w:rPr>
            </w:pPr>
            <w:r>
              <w:rPr>
                <w:rFonts w:ascii="Times New Roman" w:cs="Times New Roman" w:eastAsia="Times New Roman" w:hAnsi="Times New Roman"/>
                <w:sz w:val="11"/>
                <w:szCs w:val="11"/>
                <w:b w:val="1"/>
                <w:bCs w:val="1"/>
                <w:color w:val="auto"/>
                <w:w w:val="99"/>
              </w:rPr>
              <w:t>2001</w:t>
            </w: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2000</w:t>
            </w:r>
          </w:p>
        </w:tc>
        <w:tc>
          <w:tcPr>
            <w:tcW w:w="0" w:type="dxa"/>
            <w:vAlign w:val="bottom"/>
          </w:tcPr>
          <w:p>
            <w:pPr>
              <w:spacing w:after="0"/>
              <w:rPr>
                <w:sz w:val="1"/>
                <w:szCs w:val="1"/>
                <w:color w:val="auto"/>
              </w:rPr>
            </w:pPr>
          </w:p>
        </w:tc>
      </w:tr>
      <w:tr>
        <w:trPr>
          <w:trHeight w:val="172"/>
        </w:trPr>
        <w:tc>
          <w:tcPr>
            <w:tcW w:w="3680" w:type="dxa"/>
            <w:vAlign w:val="bottom"/>
            <w:vMerge w:val="continue"/>
          </w:tcPr>
          <w:p>
            <w:pPr>
              <w:spacing w:after="0"/>
              <w:rPr>
                <w:sz w:val="14"/>
                <w:szCs w:val="14"/>
                <w:color w:val="auto"/>
              </w:rPr>
            </w:pPr>
          </w:p>
        </w:tc>
        <w:tc>
          <w:tcPr>
            <w:tcW w:w="4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4"/>
                <w:szCs w:val="14"/>
                <w:color w:val="auto"/>
              </w:rPr>
            </w:pPr>
          </w:p>
        </w:tc>
        <w:tc>
          <w:tcPr>
            <w:tcW w:w="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4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3"/>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Reduced tax rate for approved enterprise</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5"/>
                <w:szCs w:val="15"/>
                <w:color w:val="auto"/>
              </w:rPr>
            </w:pP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Tax benefits for which deferred taxes were not recorded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7"/>
                <w:szCs w:val="17"/>
                <w:color w:val="auto"/>
              </w:rPr>
            </w:pPr>
          </w:p>
        </w:tc>
        <w:tc>
          <w:tcPr>
            <w:tcW w:w="5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Prior years additional income tax</w:t>
            </w:r>
          </w:p>
        </w:tc>
        <w:tc>
          <w:tcPr>
            <w:tcW w:w="420" w:type="dxa"/>
            <w:vAlign w:val="bottom"/>
            <w:gridSpan w:val="2"/>
          </w:tcPr>
          <w:p>
            <w:pPr>
              <w:jc w:val="right"/>
              <w:ind w:right="145"/>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Permanent differences and other, net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680" w:type="dxa"/>
            <w:vAlign w:val="bottom"/>
          </w:tcPr>
          <w:p>
            <w:pPr>
              <w:spacing w:after="0"/>
              <w:rPr>
                <w:sz w:val="13"/>
                <w:szCs w:val="13"/>
                <w:color w:val="auto"/>
              </w:rPr>
            </w:pPr>
          </w:p>
        </w:tc>
        <w:tc>
          <w:tcPr>
            <w:tcW w:w="420" w:type="dxa"/>
            <w:vAlign w:val="bottom"/>
            <w:gridSpan w:val="2"/>
          </w:tcPr>
          <w:p>
            <w:pPr>
              <w:jc w:val="right"/>
              <w:ind w:right="25"/>
              <w:spacing w:after="0" w:line="15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4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color w:val="auto"/>
                <w:w w:val="93"/>
              </w:rPr>
              <w:t>—%</w:t>
            </w:r>
          </w:p>
        </w:tc>
        <w:tc>
          <w:tcPr>
            <w:tcW w:w="100" w:type="dxa"/>
            <w:vAlign w:val="bottom"/>
            <w:vMerge w:val="continue"/>
          </w:tcPr>
          <w:p>
            <w:pPr>
              <w:spacing w:after="0"/>
              <w:rPr>
                <w:sz w:val="13"/>
                <w:szCs w:val="13"/>
                <w:color w:val="auto"/>
              </w:rPr>
            </w:pPr>
          </w:p>
        </w:tc>
        <w:tc>
          <w:tcPr>
            <w:tcW w:w="420" w:type="dxa"/>
            <w:vAlign w:val="bottom"/>
            <w:gridSpan w:val="2"/>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-448945</wp:posOffset>
            </wp:positionV>
            <wp:extent cx="694055" cy="1968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-898525</wp:posOffset>
            </wp:positionV>
            <wp:extent cx="13335" cy="635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-805815</wp:posOffset>
            </wp:positionV>
            <wp:extent cx="13335" cy="635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-805815</wp:posOffset>
            </wp:positionV>
            <wp:extent cx="13335" cy="635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-805815</wp:posOffset>
            </wp:positionV>
            <wp:extent cx="13335" cy="635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-693420</wp:posOffset>
            </wp:positionV>
            <wp:extent cx="13335" cy="635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-693420</wp:posOffset>
            </wp:positionV>
            <wp:extent cx="13335" cy="635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-693420</wp:posOffset>
            </wp:positionV>
            <wp:extent cx="13335" cy="635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-567690</wp:posOffset>
            </wp:positionV>
            <wp:extent cx="13335" cy="635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-567690</wp:posOffset>
            </wp:positionV>
            <wp:extent cx="13335" cy="635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-567690</wp:posOffset>
            </wp:positionV>
            <wp:extent cx="13335" cy="635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-441960</wp:posOffset>
            </wp:positionV>
            <wp:extent cx="13335" cy="635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-441960</wp:posOffset>
            </wp:positionV>
            <wp:extent cx="13335" cy="635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-441960</wp:posOffset>
            </wp:positionV>
            <wp:extent cx="13335" cy="635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-316865</wp:posOffset>
            </wp:positionV>
            <wp:extent cx="13335" cy="635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-316865</wp:posOffset>
            </wp:positionV>
            <wp:extent cx="13335" cy="635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-316865</wp:posOffset>
            </wp:positionV>
            <wp:extent cx="13335" cy="635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-191135</wp:posOffset>
            </wp:positionV>
            <wp:extent cx="13335" cy="635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-191135</wp:posOffset>
            </wp:positionV>
            <wp:extent cx="13335" cy="635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-191135</wp:posOffset>
            </wp:positionV>
            <wp:extent cx="13335" cy="635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-65405</wp:posOffset>
            </wp:positionV>
            <wp:extent cx="13335" cy="635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3300730</wp:posOffset>
            </wp:positionH>
            <wp:positionV relativeFrom="paragraph">
              <wp:posOffset>-65405</wp:posOffset>
            </wp:positionV>
            <wp:extent cx="13335" cy="635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-65405</wp:posOffset>
            </wp:positionV>
            <wp:extent cx="13335" cy="635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26840" cy="73025"/>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3926840" cy="73025"/>
                    </a:xfrm>
                    <a:prstGeom prst="rect">
                      <a:avLst/>
                    </a:prstGeom>
                    <a:noFill/>
                  </pic:spPr>
                </pic:pic>
              </a:graphicData>
            </a:graphic>
          </wp:anchor>
        </w:drawing>
      </w:r>
    </w:p>
    <w:p>
      <w:pPr>
        <w:spacing w:after="0" w:line="161" w:lineRule="exact"/>
        <w:rPr>
          <w:sz w:val="20"/>
          <w:szCs w:val="20"/>
          <w:color w:val="auto"/>
        </w:rPr>
      </w:pPr>
    </w:p>
    <w:p>
      <w:pPr>
        <w:ind w:left="1100" w:hanging="347"/>
        <w:spacing w:after="0"/>
        <w:tabs>
          <w:tab w:leader="none" w:pos="1100"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Net Operating Loss Carryforward</w:t>
      </w:r>
    </w:p>
    <w:p>
      <w:pPr>
        <w:spacing w:after="0" w:line="174" w:lineRule="exact"/>
        <w:rPr>
          <w:sz w:val="20"/>
          <w:szCs w:val="20"/>
          <w:color w:val="auto"/>
        </w:rPr>
      </w:pPr>
    </w:p>
    <w:p>
      <w:pPr>
        <w:ind w:left="1120" w:right="2899"/>
        <w:spacing w:after="0" w:line="279" w:lineRule="auto"/>
        <w:rPr>
          <w:sz w:val="20"/>
          <w:szCs w:val="20"/>
          <w:color w:val="auto"/>
        </w:rPr>
      </w:pPr>
      <w:r>
        <w:rPr>
          <w:rFonts w:ascii="Times New Roman" w:cs="Times New Roman" w:eastAsia="Times New Roman" w:hAnsi="Times New Roman"/>
          <w:sz w:val="14"/>
          <w:szCs w:val="14"/>
          <w:color w:val="auto"/>
        </w:rPr>
        <w:t>As of December 31, 2002, the Company had net operating loss carryforwards for tax purposes of approximately $95,000, which may be carried forward for an unlimited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926840" cy="635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31" w:lineRule="exact"/>
        <w:rPr>
          <w:sz w:val="20"/>
          <w:szCs w:val="20"/>
          <w:color w:val="auto"/>
        </w:rPr>
      </w:pPr>
    </w:p>
    <w:p>
      <w:pPr>
        <w:ind w:left="1100" w:hanging="347"/>
        <w:spacing w:after="0"/>
        <w:tabs>
          <w:tab w:leader="none" w:pos="1100"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Final Tax Assessments</w:t>
      </w:r>
    </w:p>
    <w:p>
      <w:pPr>
        <w:spacing w:after="0" w:line="17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The Company possesses final tax assessments through the year 1998.</w:t>
      </w:r>
    </w:p>
    <w:p>
      <w:pPr>
        <w:spacing w:after="0" w:line="22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FINANCIAL INSTRUMENTS</w:t>
      </w:r>
    </w:p>
    <w:p>
      <w:pPr>
        <w:spacing w:after="0" w:line="91" w:lineRule="exact"/>
        <w:rPr>
          <w:sz w:val="20"/>
          <w:szCs w:val="20"/>
          <w:color w:val="auto"/>
        </w:rPr>
      </w:pPr>
    </w:p>
    <w:p>
      <w:pPr>
        <w:ind w:left="760" w:right="3239"/>
        <w:spacing w:after="0" w:line="258" w:lineRule="auto"/>
        <w:rPr>
          <w:sz w:val="20"/>
          <w:szCs w:val="20"/>
          <w:color w:val="auto"/>
        </w:rPr>
      </w:pPr>
      <w:r>
        <w:rPr>
          <w:rFonts w:ascii="Times New Roman" w:cs="Times New Roman" w:eastAsia="Times New Roman" w:hAnsi="Times New Roman"/>
          <w:sz w:val="14"/>
          <w:szCs w:val="14"/>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57" w:lineRule="exact"/>
        <w:rPr>
          <w:sz w:val="20"/>
          <w:szCs w:val="20"/>
          <w:color w:val="auto"/>
        </w:rPr>
      </w:pPr>
    </w:p>
    <w:p>
      <w:pPr>
        <w:ind w:left="760" w:right="3499"/>
        <w:spacing w:after="0" w:line="263" w:lineRule="auto"/>
        <w:rPr>
          <w:sz w:val="20"/>
          <w:szCs w:val="20"/>
          <w:color w:val="auto"/>
        </w:rPr>
      </w:pPr>
      <w:r>
        <w:rPr>
          <w:rFonts w:ascii="Times New Roman" w:cs="Times New Roman" w:eastAsia="Times New Roman" w:hAnsi="Times New Roman"/>
          <w:sz w:val="14"/>
          <w:szCs w:val="14"/>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See Note 20C for disclosure related to the Company's derivatives financial instruments in accordance with U.S.</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26840" cy="635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62" w:lineRule="exact"/>
        <w:rPr>
          <w:sz w:val="20"/>
          <w:szCs w:val="20"/>
          <w:color w:val="auto"/>
        </w:rPr>
      </w:pPr>
    </w:p>
    <w:p>
      <w:pPr>
        <w:ind w:left="1100" w:hanging="347"/>
        <w:spacing w:after="0"/>
        <w:tabs>
          <w:tab w:leader="none" w:pos="1100" w:val="left"/>
        </w:tabs>
        <w:numPr>
          <w:ilvl w:val="0"/>
          <w:numId w:val="1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Hedging Activities</w:t>
      </w:r>
    </w:p>
    <w:p>
      <w:pPr>
        <w:spacing w:after="0" w:line="174" w:lineRule="exact"/>
        <w:rPr>
          <w:sz w:val="20"/>
          <w:szCs w:val="20"/>
          <w:color w:val="auto"/>
        </w:rPr>
      </w:pPr>
    </w:p>
    <w:p>
      <w:pPr>
        <w:ind w:left="1120" w:right="2839"/>
        <w:spacing w:after="0" w:line="276" w:lineRule="auto"/>
        <w:rPr>
          <w:sz w:val="20"/>
          <w:szCs w:val="20"/>
          <w:color w:val="auto"/>
        </w:rPr>
      </w:pPr>
      <w:r>
        <w:rPr>
          <w:rFonts w:ascii="Times New Roman" w:cs="Times New Roman" w:eastAsia="Times New Roman" w:hAnsi="Times New Roman"/>
          <w:sz w:val="13"/>
          <w:szCs w:val="13"/>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46" w:lineRule="exact"/>
        <w:rPr>
          <w:sz w:val="20"/>
          <w:szCs w:val="20"/>
          <w:color w:val="auto"/>
        </w:rPr>
      </w:pPr>
    </w:p>
    <w:p>
      <w:pPr>
        <w:ind w:left="1120" w:right="2799"/>
        <w:spacing w:after="0" w:line="252" w:lineRule="auto"/>
        <w:rPr>
          <w:sz w:val="20"/>
          <w:szCs w:val="20"/>
          <w:color w:val="auto"/>
        </w:rPr>
      </w:pPr>
      <w:r>
        <w:rPr>
          <w:rFonts w:ascii="Times New Roman" w:cs="Times New Roman" w:eastAsia="Times New Roman" w:hAnsi="Times New Roman"/>
          <w:sz w:val="14"/>
          <w:szCs w:val="14"/>
          <w:color w:val="auto"/>
        </w:rPr>
        <w:t>In addition, the Company, from time to time, enters into agreements to hedge variable interest rate exposure on long-term loans (see Note 10).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earnings on a straight-line basis. When the related debt is issued in connection with the acquisition of assets not yet placed into operations, interest costs and gains and losses on the derivative contracts are capitalized to the related asset.</w:t>
      </w:r>
    </w:p>
    <w:p>
      <w:pPr>
        <w:spacing w:after="0" w:line="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The Company does not hold or issue derivative financial instruments for non-hedging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926840" cy="635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7" w:lineRule="exact"/>
        <w:rPr>
          <w:sz w:val="20"/>
          <w:szCs w:val="20"/>
          <w:color w:val="auto"/>
        </w:rPr>
      </w:pPr>
    </w:p>
    <w:p>
      <w:pPr>
        <w:ind w:left="1100" w:hanging="347"/>
        <w:spacing w:after="0"/>
        <w:tabs>
          <w:tab w:leader="none" w:pos="1100" w:val="left"/>
        </w:tabs>
        <w:numPr>
          <w:ilvl w:val="0"/>
          <w:numId w:val="1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Credit Risk of Financial Instruments, Including Derivatives</w:t>
      </w:r>
    </w:p>
    <w:p>
      <w:pPr>
        <w:spacing w:after="0" w:line="174" w:lineRule="exact"/>
        <w:rPr>
          <w:sz w:val="20"/>
          <w:szCs w:val="20"/>
          <w:color w:val="auto"/>
        </w:rPr>
      </w:pPr>
    </w:p>
    <w:p>
      <w:pPr>
        <w:ind w:left="1120" w:right="2879"/>
        <w:spacing w:after="0" w:line="279" w:lineRule="auto"/>
        <w:rPr>
          <w:sz w:val="20"/>
          <w:szCs w:val="20"/>
          <w:color w:val="auto"/>
        </w:rPr>
      </w:pPr>
      <w:r>
        <w:rPr>
          <w:rFonts w:ascii="Times New Roman" w:cs="Times New Roman" w:eastAsia="Times New Roman" w:hAnsi="Times New Roman"/>
          <w:sz w:val="14"/>
          <w:szCs w:val="14"/>
          <w:color w:val="auto"/>
        </w:rPr>
        <w:t>The face or contract amounts of derivatives do not represent amounts exchanged by the parties and, accordingly, are not a measure of the exposure of the Company through its use of derivatives.</w:t>
      </w:r>
    </w:p>
    <w:p>
      <w:pPr>
        <w:spacing w:after="0" w:line="17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ectPr>
          <w:pgSz w:w="11900" w:h="16838" w:orient="portrait"/>
          <w:cols w:equalWidth="0" w:num="1">
            <w:col w:w="10239"/>
          </w:cols>
          <w:pgMar w:left="220" w:top="125" w:right="1440" w:bottom="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color w:val="auto"/>
        </w:rPr>
        <w:t>NOTE 18 — FINANCIAL INSTRUMENTS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Credit Risk of Financial Instruments, Including Derivatives (Continued)</w:t>
      </w:r>
    </w:p>
    <w:p>
      <w:pPr>
        <w:spacing w:after="0" w:line="174" w:lineRule="exact"/>
        <w:rPr>
          <w:sz w:val="20"/>
          <w:szCs w:val="20"/>
          <w:color w:val="auto"/>
        </w:rPr>
      </w:pPr>
    </w:p>
    <w:p>
      <w:pPr>
        <w:ind w:left="1120" w:right="2799"/>
        <w:spacing w:after="0" w:line="254" w:lineRule="auto"/>
        <w:rPr>
          <w:sz w:val="20"/>
          <w:szCs w:val="20"/>
          <w:color w:val="auto"/>
        </w:rPr>
      </w:pPr>
      <w:r>
        <w:rPr>
          <w:rFonts w:ascii="Times New Roman" w:cs="Times New Roman" w:eastAsia="Times New Roman" w:hAnsi="Times New Roman"/>
          <w:sz w:val="14"/>
          <w:szCs w:val="14"/>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 Substantially all remaining financial instruments held by the Company are due from governmental entities and, accordingly, the Company's credit risk in respect thereof is negligible.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3926840" cy="635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9" w:lineRule="exact"/>
        <w:rPr>
          <w:sz w:val="20"/>
          <w:szCs w:val="20"/>
          <w:color w:val="auto"/>
        </w:rPr>
      </w:pPr>
    </w:p>
    <w:p>
      <w:pPr>
        <w:ind w:left="1100" w:hanging="347"/>
        <w:spacing w:after="0"/>
        <w:tabs>
          <w:tab w:leader="none" w:pos="1100" w:val="left"/>
        </w:tabs>
        <w:numPr>
          <w:ilvl w:val="0"/>
          <w:numId w:val="1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Presentation of Hedging Activities in the Financial Statements</w:t>
      </w:r>
    </w:p>
    <w:p>
      <w:pPr>
        <w:spacing w:after="0" w:line="184" w:lineRule="exact"/>
        <w:rPr>
          <w:rFonts w:ascii="Times New Roman" w:cs="Times New Roman" w:eastAsia="Times New Roman" w:hAnsi="Times New Roman"/>
          <w:sz w:val="14"/>
          <w:szCs w:val="14"/>
          <w:b w:val="1"/>
          <w:bCs w:val="1"/>
          <w:color w:val="auto"/>
        </w:rPr>
      </w:pPr>
    </w:p>
    <w:p>
      <w:pPr>
        <w:ind w:left="1400" w:right="4119" w:hanging="304"/>
        <w:spacing w:after="0" w:line="253" w:lineRule="auto"/>
        <w:tabs>
          <w:tab w:leader="none" w:pos="1400"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2002, the Company had an outstanding foreign exchange agreements (options) to hedge exposure related to the purchase of machinery and equipment in an aggregate of $44,032 (as of December 31, 2001 – $0). The agreements resulted in 2002 in a gain of $3,062 of which $2,770 was capitalized to fixed assets; in 2001 – in a loss of $4,462 from forward transactions of which $4,564 was capitalized to fixed assets; in 2000 – in a gain of $115 from foreign exchange agreements and options which were reflected primarily in cost of sales.</w:t>
      </w:r>
    </w:p>
    <w:p>
      <w:pPr>
        <w:spacing w:after="0" w:line="154" w:lineRule="exact"/>
        <w:rPr>
          <w:rFonts w:ascii="Times New Roman" w:cs="Times New Roman" w:eastAsia="Times New Roman" w:hAnsi="Times New Roman"/>
          <w:sz w:val="14"/>
          <w:szCs w:val="14"/>
          <w:color w:val="auto"/>
        </w:rPr>
      </w:pPr>
    </w:p>
    <w:p>
      <w:pPr>
        <w:ind w:left="1400" w:right="4139" w:hanging="304"/>
        <w:spacing w:after="0" w:line="277" w:lineRule="auto"/>
        <w:tabs>
          <w:tab w:leader="none" w:pos="1400" w:val="left"/>
        </w:tabs>
        <w:numPr>
          <w:ilvl w:val="1"/>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December 31, 2002, the Company had an outstanding agreements to hedge interest rate exposure on loans to be withdrawn under the Facility Agreement, the aggregate amount of which was $212,000, all of which is attributable to Fab 2 (as of December 31, 2001 - $172,000 of which $152,000 is attributable to Fab 2). These agreements resulted in 2002 in a loss of $3,707 of which $3,593 was capitalized to property and equipment (as of December 31, 2001 - $463 and $344, respectively).</w:t>
      </w:r>
    </w:p>
    <w:p>
      <w:pPr>
        <w:spacing w:after="0" w:line="139" w:lineRule="exact"/>
        <w:rPr>
          <w:rFonts w:ascii="Times New Roman" w:cs="Times New Roman" w:eastAsia="Times New Roman" w:hAnsi="Times New Roman"/>
          <w:sz w:val="13"/>
          <w:szCs w:val="13"/>
          <w:color w:val="auto"/>
        </w:rPr>
      </w:pPr>
    </w:p>
    <w:p>
      <w:pPr>
        <w:ind w:left="1100" w:hanging="347"/>
        <w:spacing w:after="0"/>
        <w:tabs>
          <w:tab w:leader="none" w:pos="1100" w:val="left"/>
        </w:tabs>
        <w:numPr>
          <w:ilvl w:val="0"/>
          <w:numId w:val="1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-1750060</wp:posOffset>
            </wp:positionV>
            <wp:extent cx="3919855" cy="635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-897255</wp:posOffset>
            </wp:positionV>
            <wp:extent cx="3919855" cy="635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3926840" cy="635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54" w:lineRule="exact"/>
        <w:rPr>
          <w:sz w:val="20"/>
          <w:szCs w:val="20"/>
          <w:color w:val="auto"/>
        </w:rPr>
      </w:pPr>
    </w:p>
    <w:p>
      <w:pPr>
        <w:ind w:left="1120" w:right="2859"/>
        <w:spacing w:after="0" w:line="258" w:lineRule="auto"/>
        <w:rPr>
          <w:sz w:val="20"/>
          <w:szCs w:val="20"/>
          <w:color w:val="auto"/>
        </w:rPr>
      </w:pPr>
      <w:r>
        <w:rPr>
          <w:rFonts w:ascii="Times New Roman" w:cs="Times New Roman" w:eastAsia="Times New Roman" w:hAnsi="Times New Roman"/>
          <w:sz w:val="14"/>
          <w:szCs w:val="14"/>
          <w:color w:val="auto"/>
        </w:rPr>
        <w:t>The estimated fair values of the Company's financial instruments, excluding the Company's agreements to hedge interest rate exposure on long-term loans, did not materially differ from their respective carrying amounts as of December 31, 2002 and 2001. The fair value of the interest rate hedging transactions as of December 31, 2002 would have resulted in an unrealized capitalizable loss of $11,952 (in 2001- $3,605).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RELATED PARTIES BALANCES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6350" cy="6604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8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1"/>
          <w:szCs w:val="11"/>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-74295</wp:posOffset>
            </wp:positionV>
            <wp:extent cx="2776220" cy="635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2776220" cy="6350"/>
                    </a:xfrm>
                    <a:prstGeom prst="rect">
                      <a:avLst/>
                    </a:prstGeom>
                    <a:noFill/>
                  </pic:spPr>
                </pic:pic>
              </a:graphicData>
            </a:graphic>
          </wp:anchor>
        </w:drawing>
      </w:r>
    </w:p>
    <w:p>
      <w:pPr>
        <w:jc w:val="center"/>
        <w:ind w:right="-700"/>
        <w:spacing w:after="0" w:line="230" w:lineRule="auto"/>
        <w:rPr>
          <w:sz w:val="20"/>
          <w:szCs w:val="20"/>
          <w:color w:val="auto"/>
        </w:rPr>
      </w:pPr>
      <w:r>
        <w:rPr>
          <w:rFonts w:ascii="Times New Roman" w:cs="Times New Roman" w:eastAsia="Times New Roman" w:hAnsi="Times New Roman"/>
          <w:sz w:val="11"/>
          <w:szCs w:val="11"/>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3188335</wp:posOffset>
            </wp:positionH>
            <wp:positionV relativeFrom="paragraph">
              <wp:posOffset>-71755</wp:posOffset>
            </wp:positionV>
            <wp:extent cx="13335" cy="635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296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2140" w:type="dxa"/>
            <w:vAlign w:val="bottom"/>
          </w:tcPr>
          <w:p>
            <w:pPr>
              <w:spacing w:after="0"/>
              <w:rPr>
                <w:sz w:val="10"/>
                <w:szCs w:val="10"/>
                <w:color w:val="auto"/>
              </w:rPr>
            </w:pPr>
          </w:p>
        </w:tc>
        <w:tc>
          <w:tcPr>
            <w:tcW w:w="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2002</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2001</w:t>
            </w:r>
          </w:p>
        </w:tc>
        <w:tc>
          <w:tcPr>
            <w:tcW w:w="40" w:type="dxa"/>
            <w:vAlign w:val="bottom"/>
            <w:tcBorders>
              <w:top w:val="single" w:sz="8" w:color="auto"/>
            </w:tcBorders>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960" w:type="dxa"/>
            <w:vAlign w:val="bottom"/>
            <w:vMerge w:val="continue"/>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220" w:type="dxa"/>
            <w:vAlign w:val="bottom"/>
            <w:tcBorders>
              <w:top w:val="single" w:sz="8" w:color="auto"/>
            </w:tcBorders>
            <w:gridSpan w:val="2"/>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w w:val="85"/>
              </w:rPr>
              <w:t>583</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gridSpan w:val="2"/>
          </w:tcPr>
          <w:p>
            <w:pPr>
              <w:jc w:val="right"/>
              <w:ind w:right="40"/>
              <w:spacing w:after="0" w:line="157" w:lineRule="exact"/>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410</w:t>
            </w: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ind w:left="1440"/>
              <w:spacing w:after="0"/>
              <w:rPr>
                <w:sz w:val="20"/>
                <w:szCs w:val="20"/>
                <w:color w:val="auto"/>
              </w:rPr>
            </w:pPr>
            <w:r>
              <w:rPr>
                <w:rFonts w:ascii="Times New Roman" w:cs="Times New Roman" w:eastAsia="Times New Roman" w:hAnsi="Times New Roman"/>
                <w:sz w:val="14"/>
                <w:szCs w:val="14"/>
                <w:color w:val="auto"/>
              </w:rPr>
              <w:t>Current liabilities</w:t>
            </w:r>
          </w:p>
        </w:tc>
        <w:tc>
          <w:tcPr>
            <w:tcW w:w="214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96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6</w:t>
            </w:r>
          </w:p>
        </w:tc>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128</w:t>
            </w:r>
          </w:p>
        </w:tc>
        <w:tc>
          <w:tcPr>
            <w:tcW w:w="40" w:type="dxa"/>
            <w:vAlign w:val="bottom"/>
            <w:vMerge w:val="continue"/>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960" w:type="dxa"/>
            <w:vAlign w:val="bottom"/>
          </w:tcPr>
          <w:p>
            <w:pPr>
              <w:spacing w:after="0"/>
              <w:rPr>
                <w:sz w:val="24"/>
                <w:szCs w:val="24"/>
                <w:color w:val="auto"/>
              </w:rPr>
            </w:pPr>
          </w:p>
        </w:tc>
        <w:tc>
          <w:tcPr>
            <w:tcW w:w="2220" w:type="dxa"/>
            <w:vAlign w:val="bottom"/>
            <w:gridSpan w:val="2"/>
          </w:tcPr>
          <w:p>
            <w:pPr>
              <w:jc w:val="right"/>
              <w:ind w:right="1815"/>
              <w:spacing w:after="0"/>
              <w:rPr>
                <w:sz w:val="20"/>
                <w:szCs w:val="20"/>
                <w:color w:val="auto"/>
              </w:rPr>
            </w:pPr>
            <w:r>
              <w:rPr>
                <w:rFonts w:ascii="Times New Roman" w:cs="Times New Roman" w:eastAsia="Times New Roman" w:hAnsi="Times New Roman"/>
                <w:sz w:val="14"/>
                <w:szCs w:val="14"/>
                <w:color w:val="auto"/>
              </w:rPr>
              <w:t>F-38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9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-25400</wp:posOffset>
            </wp:positionV>
            <wp:extent cx="31750" cy="3873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-25400</wp:posOffset>
            </wp:positionV>
            <wp:extent cx="31750" cy="3873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213360</wp:posOffset>
            </wp:positionH>
            <wp:positionV relativeFrom="paragraph">
              <wp:posOffset>-825500</wp:posOffset>
            </wp:positionV>
            <wp:extent cx="694055" cy="1968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-964565</wp:posOffset>
            </wp:positionV>
            <wp:extent cx="13335" cy="635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-964565</wp:posOffset>
            </wp:positionV>
            <wp:extent cx="13335" cy="635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-852170</wp:posOffset>
            </wp:positionV>
            <wp:extent cx="13335" cy="635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-852170</wp:posOffset>
            </wp:positionV>
            <wp:extent cx="13335" cy="635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-726440</wp:posOffset>
            </wp:positionV>
            <wp:extent cx="13335" cy="635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-726440</wp:posOffset>
            </wp:positionV>
            <wp:extent cx="13335" cy="635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3188335</wp:posOffset>
            </wp:positionH>
            <wp:positionV relativeFrom="paragraph">
              <wp:posOffset>-600710</wp:posOffset>
            </wp:positionV>
            <wp:extent cx="13335" cy="635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-600710</wp:posOffset>
            </wp:positionV>
            <wp:extent cx="13335" cy="635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907415</wp:posOffset>
            </wp:positionH>
            <wp:positionV relativeFrom="paragraph">
              <wp:posOffset>-534670</wp:posOffset>
            </wp:positionV>
            <wp:extent cx="6350" cy="6604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RELATED PARTIES BALANCES AND TRANSACTIONS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6350" cy="6604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815340</wp:posOffset>
            </wp:positionH>
            <wp:positionV relativeFrom="paragraph">
              <wp:posOffset>133350</wp:posOffset>
            </wp:positionV>
            <wp:extent cx="2961640" cy="635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2961640" cy="6350"/>
                    </a:xfrm>
                    <a:prstGeom prst="rect">
                      <a:avLst/>
                    </a:prstGeom>
                    <a:noFill/>
                  </pic:spPr>
                </pic:pic>
              </a:graphicData>
            </a:graphic>
          </wp:anchor>
        </w:drawing>
      </w:r>
    </w:p>
    <w:p>
      <w:pPr>
        <w:spacing w:after="0" w:line="202" w:lineRule="exact"/>
        <w:rPr>
          <w:sz w:val="20"/>
          <w:szCs w:val="20"/>
          <w:color w:val="auto"/>
        </w:rPr>
      </w:pPr>
    </w:p>
    <w:tbl>
      <w:tblPr>
        <w:tblLayout w:type="fixed"/>
        <w:tblInd w:w="1280" w:type="dxa"/>
        <w:tblCellMar>
          <w:top w:w="0" w:type="dxa"/>
          <w:left w:w="0" w:type="dxa"/>
          <w:bottom w:w="0" w:type="dxa"/>
          <w:right w:w="0" w:type="dxa"/>
        </w:tblCellMar>
      </w:tblPr>
      <w:tr>
        <w:trPr>
          <w:trHeight w:val="134"/>
        </w:trPr>
        <w:tc>
          <w:tcPr>
            <w:tcW w:w="3360" w:type="dxa"/>
            <w:vAlign w:val="bottom"/>
          </w:tcPr>
          <w:p>
            <w:pPr>
              <w:spacing w:after="0"/>
              <w:rPr>
                <w:sz w:val="11"/>
                <w:szCs w:val="11"/>
                <w:color w:val="auto"/>
              </w:rPr>
            </w:pPr>
          </w:p>
        </w:tc>
        <w:tc>
          <w:tcPr>
            <w:tcW w:w="1340" w:type="dxa"/>
            <w:vAlign w:val="bottom"/>
            <w:tcBorders>
              <w:bottom w:val="single" w:sz="8" w:color="auto"/>
            </w:tcBorders>
            <w:gridSpan w:val="1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Sales</w:t>
            </w:r>
          </w:p>
        </w:tc>
        <w:tc>
          <w:tcPr>
            <w:tcW w:w="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2002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2001</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360" w:type="dxa"/>
            <w:vAlign w:val="bottom"/>
            <w:vMerge w:val="continue"/>
          </w:tcPr>
          <w:p>
            <w:pPr>
              <w:spacing w:after="0"/>
              <w:rPr>
                <w:sz w:val="13"/>
                <w:szCs w:val="13"/>
                <w:color w:val="auto"/>
              </w:rPr>
            </w:pPr>
          </w:p>
        </w:tc>
        <w:tc>
          <w:tcPr>
            <w:tcW w:w="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320" w:type="dxa"/>
            <w:vAlign w:val="bottom"/>
            <w:tcBorders>
              <w:top w:val="single" w:sz="8" w:color="auto"/>
            </w:tcBorders>
            <w:gridSpan w:val="2"/>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w w:val="88"/>
              </w:rPr>
              <w:t>3,836</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340" w:type="dxa"/>
            <w:vAlign w:val="bottom"/>
            <w:tcBorders>
              <w:top w:val="single" w:sz="8" w:color="auto"/>
            </w:tcBorders>
            <w:gridSpan w:val="2"/>
          </w:tcPr>
          <w:p>
            <w:pPr>
              <w:jc w:val="right"/>
              <w:ind w:right="20"/>
              <w:spacing w:after="0" w:line="157" w:lineRule="exact"/>
              <w:rPr>
                <w:sz w:val="20"/>
                <w:szCs w:val="20"/>
                <w:color w:val="auto"/>
              </w:rPr>
            </w:pPr>
            <w:r>
              <w:rPr>
                <w:rFonts w:ascii="Times New Roman" w:cs="Times New Roman" w:eastAsia="Times New Roman" w:hAnsi="Times New Roman"/>
                <w:sz w:val="14"/>
                <w:szCs w:val="14"/>
                <w:color w:val="auto"/>
                <w:w w:val="95"/>
              </w:rPr>
              <w:t>4,339</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Management fees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w w:val="85"/>
              </w:rPr>
              <w:t>480</w:t>
            </w: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480</w:t>
            </w:r>
          </w:p>
        </w:tc>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Purchases of raw materials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w w:val="95"/>
              </w:rPr>
              <w:t>2,460</w:t>
            </w: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209</w:t>
            </w:r>
          </w:p>
        </w:tc>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Development costs — Note 5B</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102</w:t>
            </w:r>
          </w:p>
        </w:tc>
        <w:tc>
          <w:tcPr>
            <w:tcW w:w="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225</w:t>
            </w: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Expense reimbursements</w:t>
            </w: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278</w:t>
            </w:r>
          </w:p>
        </w:tc>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color w:val="auto"/>
              </w:rPr>
              <w:t>290</w:t>
            </w: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Royalties received — Note 13F(2)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500</w:t>
            </w:r>
          </w:p>
        </w:tc>
        <w:tc>
          <w:tcPr>
            <w:tcW w:w="2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2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200</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Royalties paid/payable — Note 13F(2)</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3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300</w:t>
            </w:r>
          </w:p>
        </w:tc>
        <w:tc>
          <w:tcPr>
            <w:tcW w:w="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20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187</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-514985</wp:posOffset>
            </wp:positionV>
            <wp:extent cx="694055" cy="19685"/>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-1024255</wp:posOffset>
            </wp:positionV>
            <wp:extent cx="13335" cy="635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-931545</wp:posOffset>
            </wp:positionV>
            <wp:extent cx="13335" cy="635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-931545</wp:posOffset>
            </wp:positionV>
            <wp:extent cx="13335" cy="635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-931545</wp:posOffset>
            </wp:positionV>
            <wp:extent cx="13335" cy="635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-819150</wp:posOffset>
            </wp:positionV>
            <wp:extent cx="13335" cy="635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-819150</wp:posOffset>
            </wp:positionV>
            <wp:extent cx="13335" cy="635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-819150</wp:posOffset>
            </wp:positionV>
            <wp:extent cx="13335" cy="635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-693420</wp:posOffset>
            </wp:positionV>
            <wp:extent cx="13335" cy="635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-693420</wp:posOffset>
            </wp:positionV>
            <wp:extent cx="13335" cy="635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-693420</wp:posOffset>
            </wp:positionV>
            <wp:extent cx="13335" cy="635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-567690</wp:posOffset>
            </wp:positionV>
            <wp:extent cx="13335" cy="635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-567690</wp:posOffset>
            </wp:positionV>
            <wp:extent cx="13335" cy="635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-567690</wp:posOffset>
            </wp:positionV>
            <wp:extent cx="13335" cy="635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-441960</wp:posOffset>
            </wp:positionV>
            <wp:extent cx="13335" cy="635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-441960</wp:posOffset>
            </wp:positionV>
            <wp:extent cx="13335" cy="635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-441960</wp:posOffset>
            </wp:positionV>
            <wp:extent cx="13335" cy="635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-316865</wp:posOffset>
            </wp:positionV>
            <wp:extent cx="13335" cy="635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-316865</wp:posOffset>
            </wp:positionV>
            <wp:extent cx="13335" cy="635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-316865</wp:posOffset>
            </wp:positionV>
            <wp:extent cx="13335" cy="635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-191135</wp:posOffset>
            </wp:positionV>
            <wp:extent cx="13335" cy="635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-191135</wp:posOffset>
            </wp:positionV>
            <wp:extent cx="13335" cy="635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-191135</wp:posOffset>
            </wp:positionV>
            <wp:extent cx="13335" cy="635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2890520</wp:posOffset>
            </wp:positionH>
            <wp:positionV relativeFrom="paragraph">
              <wp:posOffset>-65405</wp:posOffset>
            </wp:positionV>
            <wp:extent cx="13335" cy="635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3215005</wp:posOffset>
            </wp:positionH>
            <wp:positionV relativeFrom="paragraph">
              <wp:posOffset>-65405</wp:posOffset>
            </wp:positionV>
            <wp:extent cx="13335" cy="635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3538855</wp:posOffset>
            </wp:positionH>
            <wp:positionV relativeFrom="paragraph">
              <wp:posOffset>-65405</wp:posOffset>
            </wp:positionV>
            <wp:extent cx="13335" cy="635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19855" cy="73025"/>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3919855" cy="73025"/>
                    </a:xfrm>
                    <a:prstGeom prst="rect">
                      <a:avLst/>
                    </a:prstGeom>
                    <a:noFill/>
                  </pic:spPr>
                </pic:pic>
              </a:graphicData>
            </a:graphic>
          </wp:anchor>
        </w:drawing>
      </w:r>
    </w:p>
    <w:p>
      <w:pPr>
        <w:spacing w:after="0" w:line="163" w:lineRule="exact"/>
        <w:rPr>
          <w:sz w:val="20"/>
          <w:szCs w:val="20"/>
          <w:color w:val="auto"/>
        </w:rPr>
      </w:pPr>
    </w:p>
    <w:p>
      <w:pPr>
        <w:ind w:left="1120" w:right="4099" w:hanging="305"/>
        <w:spacing w:after="0" w:line="279" w:lineRule="auto"/>
        <w:tabs>
          <w:tab w:leader="none" w:pos="1120" w:val="left"/>
        </w:tabs>
        <w:numPr>
          <w:ilvl w:val="0"/>
          <w:numId w:val="1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For commitments and contingencies relating to Fab 2 Wafer Partners and Equity Investors agreements — see Note 13A.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MATERIAL DIFFERENCES BETWEEN ISRAEL AND U.S. GAAP</w:t>
      </w:r>
    </w:p>
    <w:p>
      <w:pPr>
        <w:spacing w:after="0" w:line="91" w:lineRule="exact"/>
        <w:rPr>
          <w:sz w:val="20"/>
          <w:szCs w:val="20"/>
          <w:color w:val="auto"/>
        </w:rPr>
      </w:pPr>
    </w:p>
    <w:p>
      <w:pPr>
        <w:jc w:val="both"/>
        <w:ind w:left="760" w:right="3319"/>
        <w:spacing w:after="0" w:line="263" w:lineRule="auto"/>
        <w:rPr>
          <w:sz w:val="20"/>
          <w:szCs w:val="20"/>
          <w:color w:val="auto"/>
        </w:rPr>
      </w:pPr>
      <w:r>
        <w:rPr>
          <w:rFonts w:ascii="Times New Roman" w:cs="Times New Roman" w:eastAsia="Times New Roman" w:hAnsi="Times New Roman"/>
          <w:sz w:val="14"/>
          <w:szCs w:val="14"/>
          <w:color w:val="auto"/>
        </w:rPr>
        <w:t>With regard to the Company's financial statements, the material differences between GAAP in Israel and in the U.S. relate to the following. See F below for the presentation of the Company's balance sheets as of December 31, 2002 and 2001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926840" cy="635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2" w:lineRule="exact"/>
        <w:rPr>
          <w:sz w:val="20"/>
          <w:szCs w:val="20"/>
          <w:color w:val="auto"/>
        </w:rPr>
      </w:pPr>
    </w:p>
    <w:p>
      <w:pPr>
        <w:ind w:left="1100" w:right="4399" w:hanging="347"/>
        <w:spacing w:after="0" w:line="282" w:lineRule="auto"/>
        <w:tabs>
          <w:tab w:leader="none" w:pos="1100" w:val="left"/>
        </w:tabs>
        <w:numPr>
          <w:ilvl w:val="0"/>
          <w:numId w:val="1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Presentation of Cash and Short-Term and Long-Term Interest-Bearing Deposits Designated for Investments Relating to Fab 2</w:t>
      </w:r>
    </w:p>
    <w:p>
      <w:pPr>
        <w:spacing w:after="0" w:line="123" w:lineRule="exact"/>
        <w:rPr>
          <w:sz w:val="20"/>
          <w:szCs w:val="20"/>
          <w:color w:val="auto"/>
        </w:rPr>
      </w:pPr>
    </w:p>
    <w:p>
      <w:pPr>
        <w:ind w:left="1120" w:right="2859"/>
        <w:spacing w:after="0" w:line="256" w:lineRule="auto"/>
        <w:rPr>
          <w:sz w:val="20"/>
          <w:szCs w:val="20"/>
          <w:color w:val="auto"/>
        </w:rPr>
      </w:pPr>
      <w:r>
        <w:rPr>
          <w:rFonts w:ascii="Times New Roman" w:cs="Times New Roman" w:eastAsia="Times New Roman" w:hAnsi="Times New Roman"/>
          <w:sz w:val="14"/>
          <w:szCs w:val="14"/>
          <w:color w:val="auto"/>
        </w:rPr>
        <w:t>In accordance with U.S. GAAP, cash, short-term and long-term interest-bearing deposits designated for investments relating to Fab 2 should be excluded from current assets and long-term investments and presented separately as a non-current asset. Accordingly, as of December 31, 2002, $51,338 and $11,893 were reclassified, respectively, from current assets and long-term investments to a long-term asset. As of December 31, 2001 an amount of $3,548 was reclassified from current assets to a non-current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926840" cy="635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6" w:lineRule="exact"/>
        <w:rPr>
          <w:sz w:val="20"/>
          <w:szCs w:val="20"/>
          <w:color w:val="auto"/>
        </w:rPr>
      </w:pPr>
    </w:p>
    <w:p>
      <w:pPr>
        <w:ind w:left="1100" w:hanging="347"/>
        <w:spacing w:after="0"/>
        <w:tabs>
          <w:tab w:leader="none" w:pos="1100" w:val="left"/>
        </w:tabs>
        <w:numPr>
          <w:ilvl w:val="0"/>
          <w:numId w:val="15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Presentation of Net Long-Term Liabilities in Respect of Employees</w:t>
      </w:r>
    </w:p>
    <w:p>
      <w:pPr>
        <w:spacing w:after="0" w:line="174" w:lineRule="exact"/>
        <w:rPr>
          <w:sz w:val="20"/>
          <w:szCs w:val="20"/>
          <w:color w:val="auto"/>
        </w:rPr>
      </w:pPr>
    </w:p>
    <w:p>
      <w:pPr>
        <w:ind w:left="1120" w:right="2819"/>
        <w:spacing w:after="0" w:line="258" w:lineRule="auto"/>
        <w:rPr>
          <w:sz w:val="20"/>
          <w:szCs w:val="20"/>
          <w:color w:val="auto"/>
        </w:rPr>
      </w:pPr>
      <w:r>
        <w:rPr>
          <w:rFonts w:ascii="Times New Roman" w:cs="Times New Roman" w:eastAsia="Times New Roman" w:hAnsi="Times New Roman"/>
          <w:sz w:val="14"/>
          <w:szCs w:val="14"/>
          <w:color w:val="auto"/>
        </w:rPr>
        <w:t>Under U.S. GAAP, assets and liabilities relating to severance arrangements are to be presented separately and are not to be offset, while according to Israeli GAAP such an offset is required. Accordingly, an amount of $12,368 and $10,334 as of December 31, 2002 and 2001, respectively, was reclassified from other long-term liabilities to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926840" cy="635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6" w:lineRule="exact"/>
        <w:rPr>
          <w:sz w:val="20"/>
          <w:szCs w:val="20"/>
          <w:color w:val="auto"/>
        </w:rPr>
      </w:pPr>
    </w:p>
    <w:p>
      <w:pPr>
        <w:ind w:left="1100" w:hanging="347"/>
        <w:spacing w:after="0"/>
        <w:tabs>
          <w:tab w:leader="none" w:pos="1100" w:val="left"/>
        </w:tabs>
        <w:numPr>
          <w:ilvl w:val="0"/>
          <w:numId w:val="15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Hedging Activities in accordance with U.S. GAAP (SFAS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3919855" cy="635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ectPr>
          <w:pgSz w:w="11900" w:h="16838" w:orient="portrait"/>
          <w:cols w:equalWidth="0" w:num="1">
            <w:col w:w="10239"/>
          </w:cols>
          <w:pgMar w:left="220" w:top="289" w:right="1440" w:bottom="0" w:gutter="0" w:footer="0" w:header="0"/>
        </w:sectPr>
      </w:pPr>
    </w:p>
    <w:bookmarkStart w:id="68" w:name="page69"/>
    <w:bookmarkEnd w:id="68"/>
    <w:p>
      <w:pPr>
        <w:ind w:left="1400" w:right="4099" w:hanging="304"/>
        <w:spacing w:after="0" w:line="256" w:lineRule="auto"/>
        <w:tabs>
          <w:tab w:leader="none" w:pos="1400"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9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MATERIAL DIFFERENCES BETWEEN ISRAEL AND U.S. GAAP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6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Hedging Activities in accordance with U.S. GAAP (SFAS 133)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3919855" cy="635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6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SFAS 133 requires that all derivatives be recorded in the financial statements at their</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fair value at the date of the financial statements. The changes in the fair value of the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derivatives are charged to the statement of operations or to other comprehensive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income, as appropriate in the circumstances. The Company's derivatives consist</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mainly of foreign currency forward transactions and options and interest rate</w:t>
      </w:r>
    </w:p>
    <w:p>
      <w:pPr>
        <w:spacing w:after="0" w:line="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instruments (collars).</w:t>
      </w:r>
    </w:p>
    <w:p>
      <w:pPr>
        <w:spacing w:after="0" w:line="12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Prior to the adoption of SFAS 133, the Company accounted for hedging activities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879475" cy="635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879475" cy="6350"/>
                    </a:xfrm>
                    <a:prstGeom prst="rect">
                      <a:avLst/>
                    </a:prstGeom>
                    <a:noFill/>
                  </pic:spPr>
                </pic:pic>
              </a:graphicData>
            </a:graphic>
          </wp:anchor>
        </w:drawing>
      </w:r>
    </w:p>
    <w:p>
      <w:pPr>
        <w:spacing w:after="0" w:line="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U.S. GAAP purposes according to the policy described in Notes 2M and 18A. Based</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on the hedging activities the Company had prior to January 1, 2001, the financial</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statements of the Company were not materially affected by the initial adoption of</w:t>
      </w:r>
    </w:p>
    <w:p>
      <w:pPr>
        <w:spacing w:after="0" w:line="6"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SFAS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3919855" cy="635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64" w:lineRule="exact"/>
        <w:rPr>
          <w:sz w:val="20"/>
          <w:szCs w:val="20"/>
          <w:color w:val="auto"/>
        </w:rPr>
      </w:pPr>
    </w:p>
    <w:p>
      <w:pPr>
        <w:ind w:left="1400" w:right="4099" w:hanging="304"/>
        <w:spacing w:after="0" w:line="272" w:lineRule="auto"/>
        <w:tabs>
          <w:tab w:leader="none" w:pos="140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contracts hedges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reclassified to results of operations concurrent with the recognition of depreciation on the equipment. For outstanding foreign exchange agreements as of December 31, 2002 and 2001, see Note 18C(1).</w:t>
      </w:r>
    </w:p>
    <w:p>
      <w:pPr>
        <w:spacing w:after="0" w:line="145" w:lineRule="exact"/>
        <w:rPr>
          <w:rFonts w:ascii="Times New Roman" w:cs="Times New Roman" w:eastAsia="Times New Roman" w:hAnsi="Times New Roman"/>
          <w:sz w:val="13"/>
          <w:szCs w:val="13"/>
          <w:color w:val="auto"/>
        </w:rPr>
      </w:pPr>
    </w:p>
    <w:p>
      <w:pPr>
        <w:ind w:left="1400" w:right="4059"/>
        <w:spacing w:after="0" w:line="25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Company uses interest rate collars with a knock-out feature to hedge its Libor-based variable long-term debt cash flow exposure. The knock-out feature was set above the cap level. The Company determined that the probability that the cap will be knocked-out is remote and thus expected that the hedge will be highly effective. The Company assessed and measured the effectiveness of the hedge, at inception and throughout the hedge, based on total changes in cash flows of the collar, and reported all changes in fair value in other comprehensive income. Amounts presented in other comprehensive income are reclassified to operations or capitalized to property and equipment, as applicable (see Note 2G), as interest payment become due. For outstanding contracts as of December 31, 2002 and 2001, see Note 18C(2).</w:t>
      </w:r>
    </w:p>
    <w:p>
      <w:pPr>
        <w:spacing w:after="0" w:line="158" w:lineRule="exact"/>
        <w:rPr>
          <w:rFonts w:ascii="Times New Roman" w:cs="Times New Roman" w:eastAsia="Times New Roman" w:hAnsi="Times New Roman"/>
          <w:sz w:val="13"/>
          <w:szCs w:val="13"/>
          <w:color w:val="auto"/>
        </w:rPr>
      </w:pPr>
    </w:p>
    <w:p>
      <w:pPr>
        <w:ind w:left="1400" w:right="4099"/>
        <w:spacing w:after="0" w:line="26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Capitalized costs with regard to all these hedging activities to be expensed in 2003 are immaterial, since they are connected with the establishment and equipping of Fab 2, the operation of which is expected to commence in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-1555750</wp:posOffset>
            </wp:positionV>
            <wp:extent cx="3919855" cy="635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-385445</wp:posOffset>
            </wp:positionV>
            <wp:extent cx="3919855" cy="635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MATERIAL DIFFERENCES BETWEEN ISRAEL AND U.S. GAAP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Hedging Activities in accordance with U.S. GAAP (SFAS 133) (Continued)</w:t>
      </w:r>
    </w:p>
    <w:p>
      <w:pPr>
        <w:spacing w:after="0" w:line="184" w:lineRule="exact"/>
        <w:rPr>
          <w:rFonts w:ascii="Times New Roman" w:cs="Times New Roman" w:eastAsia="Times New Roman" w:hAnsi="Times New Roman"/>
          <w:sz w:val="14"/>
          <w:szCs w:val="14"/>
          <w:b w:val="1"/>
          <w:bCs w:val="1"/>
          <w:color w:val="auto"/>
        </w:rPr>
      </w:pPr>
    </w:p>
    <w:p>
      <w:pPr>
        <w:ind w:left="1400" w:right="4079" w:hanging="304"/>
        <w:spacing w:after="0" w:line="252" w:lineRule="auto"/>
        <w:tabs>
          <w:tab w:leader="none" w:pos="1400" w:val="left"/>
        </w:tabs>
        <w:numPr>
          <w:ilvl w:val="1"/>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SFAS 133 and SFAS 138 and the related interpretations thereon with respect to the Company's hedging transactions as of December 31, 2002 would have resulted in: an increase in the Company's current liabilities in the amount of $128; an increase in other long-term liabilities in the amount of $11,952; an increase in other comprehensive loss for the year ended December 31, 2002 of $9,638 and in the accumulated other comprehensive loss component of equity as of such date in the amount of $17,837; and in a decrease of $5,727 in property and equipment, net as of December 31, 2002.</w:t>
      </w:r>
    </w:p>
    <w:p>
      <w:pPr>
        <w:spacing w:after="0" w:line="155" w:lineRule="exact"/>
        <w:rPr>
          <w:rFonts w:ascii="Times New Roman" w:cs="Times New Roman" w:eastAsia="Times New Roman" w:hAnsi="Times New Roman"/>
          <w:sz w:val="14"/>
          <w:szCs w:val="14"/>
          <w:color w:val="auto"/>
        </w:rPr>
      </w:pPr>
    </w:p>
    <w:p>
      <w:pPr>
        <w:ind w:left="1100" w:hanging="347"/>
        <w:spacing w:after="0"/>
        <w:tabs>
          <w:tab w:leader="none" w:pos="1100" w:val="left"/>
        </w:tabs>
        <w:numPr>
          <w:ilvl w:val="0"/>
          <w:numId w:val="1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Implementation of SFAS 123 and SFAS 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-1108710</wp:posOffset>
            </wp:positionV>
            <wp:extent cx="3919855" cy="635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-150495</wp:posOffset>
            </wp:positionV>
            <wp:extent cx="3926840" cy="635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54" w:lineRule="exact"/>
        <w:rPr>
          <w:sz w:val="20"/>
          <w:szCs w:val="20"/>
          <w:color w:val="auto"/>
        </w:rPr>
      </w:pPr>
    </w:p>
    <w:p>
      <w:pPr>
        <w:ind w:left="1120" w:right="2899"/>
        <w:spacing w:after="0" w:line="256" w:lineRule="auto"/>
        <w:rPr>
          <w:sz w:val="20"/>
          <w:szCs w:val="20"/>
          <w:color w:val="auto"/>
        </w:rPr>
      </w:pPr>
      <w:r>
        <w:rPr>
          <w:rFonts w:ascii="Times New Roman" w:cs="Times New Roman" w:eastAsia="Times New Roman" w:hAnsi="Times New Roman"/>
          <w:sz w:val="14"/>
          <w:szCs w:val="14"/>
          <w:color w:val="auto"/>
        </w:rPr>
        <w:t>Had compensation cost for the Company's share option plans been determined based on fair value at the grant dates for awards made in 2002, 2001 and 2000 in accordance with SFAS 123, as amended by SFAS 148, the Company's pro forma loss and loss per share would have been as follows (for further information with regard to the Company's share option plans and the assumptions for utilizing the Black-Scholes pricing model, see Note 14B(4)):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3900170" cy="85725"/>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3900170" cy="85725"/>
                    </a:xfrm>
                    <a:prstGeom prst="rect">
                      <a:avLst/>
                    </a:prstGeom>
                    <a:noFill/>
                  </pic:spPr>
                </pic:pic>
              </a:graphicData>
            </a:graphic>
          </wp:anchor>
        </w:drawing>
      </w:r>
    </w:p>
    <w:p>
      <w:pPr>
        <w:spacing w:after="0" w:line="168" w:lineRule="exact"/>
        <w:rPr>
          <w:sz w:val="20"/>
          <w:szCs w:val="20"/>
          <w:color w:val="auto"/>
        </w:rPr>
      </w:pPr>
    </w:p>
    <w:tbl>
      <w:tblPr>
        <w:tblLayout w:type="fixed"/>
        <w:tblInd w:w="1120" w:type="dxa"/>
        <w:tblCellMar>
          <w:top w:w="0" w:type="dxa"/>
          <w:left w:w="0" w:type="dxa"/>
          <w:bottom w:w="0" w:type="dxa"/>
          <w:right w:w="0" w:type="dxa"/>
        </w:tblCellMar>
      </w:tblPr>
      <w:tr>
        <w:trPr>
          <w:trHeight w:val="134"/>
        </w:trPr>
        <w:tc>
          <w:tcPr>
            <w:tcW w:w="3040" w:type="dxa"/>
            <w:vAlign w:val="bottom"/>
          </w:tcPr>
          <w:p>
            <w:pPr>
              <w:spacing w:after="0"/>
              <w:rPr>
                <w:sz w:val="11"/>
                <w:szCs w:val="11"/>
                <w:color w:val="auto"/>
              </w:rPr>
            </w:pPr>
          </w:p>
        </w:tc>
        <w:tc>
          <w:tcPr>
            <w:tcW w:w="188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26"/>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 loss</w:t>
            </w: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2002</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2001</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2000</w:t>
            </w:r>
          </w:p>
        </w:tc>
        <w:tc>
          <w:tcPr>
            <w:tcW w:w="0" w:type="dxa"/>
            <w:vAlign w:val="bottom"/>
          </w:tcPr>
          <w:p>
            <w:pPr>
              <w:spacing w:after="0"/>
              <w:rPr>
                <w:sz w:val="1"/>
                <w:szCs w:val="1"/>
                <w:color w:val="auto"/>
              </w:rPr>
            </w:pPr>
          </w:p>
        </w:tc>
      </w:tr>
      <w:tr>
        <w:trPr>
          <w:trHeight w:val="157"/>
        </w:trPr>
        <w:tc>
          <w:tcPr>
            <w:tcW w:w="3040" w:type="dxa"/>
            <w:vAlign w:val="bottom"/>
            <w:vMerge w:val="continue"/>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Loss for the year, as reported</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$(51,402)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$(38,522)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$(3,989)</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Less – stock-based compensation determined under</w:t>
            </w:r>
          </w:p>
        </w:tc>
        <w:tc>
          <w:tcPr>
            <w:tcW w:w="60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142</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283</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-501650</wp:posOffset>
            </wp:positionV>
            <wp:extent cx="13335" cy="635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-501650</wp:posOffset>
            </wp:positionV>
            <wp:extent cx="13335" cy="635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-409575</wp:posOffset>
            </wp:positionV>
            <wp:extent cx="13335" cy="635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-409575</wp:posOffset>
            </wp:positionV>
            <wp:extent cx="13335" cy="635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-409575</wp:posOffset>
            </wp:positionV>
            <wp:extent cx="13335" cy="635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-409575</wp:posOffset>
            </wp:positionV>
            <wp:extent cx="13335" cy="635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-297180</wp:posOffset>
            </wp:positionV>
            <wp:extent cx="13335" cy="635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-297180</wp:posOffset>
            </wp:positionV>
            <wp:extent cx="13335" cy="635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-297180</wp:posOffset>
            </wp:positionV>
            <wp:extent cx="13335" cy="635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-297180</wp:posOffset>
            </wp:positionV>
            <wp:extent cx="13335" cy="635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-171450</wp:posOffset>
            </wp:positionV>
            <wp:extent cx="13335" cy="635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-171450</wp:posOffset>
            </wp:positionV>
            <wp:extent cx="13335" cy="635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-171450</wp:posOffset>
            </wp:positionV>
            <wp:extent cx="13335" cy="635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-171450</wp:posOffset>
            </wp:positionV>
            <wp:extent cx="13335" cy="635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-105410</wp:posOffset>
            </wp:positionV>
            <wp:extent cx="13335" cy="635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-105410</wp:posOffset>
            </wp:positionV>
            <wp:extent cx="13335" cy="635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-105410</wp:posOffset>
            </wp:positionV>
            <wp:extent cx="13335" cy="635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-105410</wp:posOffset>
            </wp:positionV>
            <wp:extent cx="13335" cy="635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125" w:right="1440" w:bottom="0" w:gutter="0" w:footer="0" w:header="0"/>
        </w:sectPr>
      </w:pPr>
    </w:p>
    <w:bookmarkStart w:id="69" w:name="page70"/>
    <w:bookmarkEnd w:id="69"/>
    <w:tbl>
      <w:tblPr>
        <w:tblLayout w:type="fixed"/>
        <w:tblInd w:w="760" w:type="dxa"/>
        <w:tblCellMar>
          <w:top w:w="0" w:type="dxa"/>
          <w:left w:w="0" w:type="dxa"/>
          <w:bottom w:w="0" w:type="dxa"/>
          <w:right w:w="0" w:type="dxa"/>
        </w:tblCellMar>
      </w:tblPr>
      <w:tr>
        <w:trPr>
          <w:trHeight w:val="182"/>
        </w:trPr>
        <w:tc>
          <w:tcPr>
            <w:tcW w:w="240" w:type="dxa"/>
            <w:vAlign w:val="bottom"/>
          </w:tcPr>
          <w:p>
            <w:pPr>
              <w:spacing w:after="0"/>
              <w:rPr>
                <w:sz w:val="15"/>
                <w:szCs w:val="15"/>
                <w:color w:val="auto"/>
              </w:rPr>
            </w:pPr>
          </w:p>
        </w:tc>
        <w:tc>
          <w:tcPr>
            <w:tcW w:w="3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APB-25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 w:type="dxa"/>
            <w:vAlign w:val="bottom"/>
          </w:tcPr>
          <w:p>
            <w:pPr>
              <w:spacing w:after="0"/>
              <w:rPr>
                <w:sz w:val="15"/>
                <w:szCs w:val="15"/>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 – stock-based compensation determined under</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40" w:type="dxa"/>
            <w:vAlign w:val="bottom"/>
          </w:tcPr>
          <w:p>
            <w:pPr>
              <w:spacing w:after="0"/>
              <w:rPr>
                <w:sz w:val="17"/>
                <w:szCs w:val="17"/>
                <w:color w:val="auto"/>
              </w:rPr>
            </w:pPr>
          </w:p>
        </w:tc>
        <w:tc>
          <w:tcPr>
            <w:tcW w:w="3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SFAS 123</w:t>
            </w:r>
          </w:p>
        </w:tc>
        <w:tc>
          <w:tcPr>
            <w:tcW w:w="80" w:type="dxa"/>
            <w:vAlign w:val="bottom"/>
          </w:tcPr>
          <w:p>
            <w:pPr>
              <w:spacing w:after="0"/>
              <w:rPr>
                <w:sz w:val="17"/>
                <w:szCs w:val="17"/>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(7,476)</w:t>
            </w:r>
          </w:p>
        </w:tc>
        <w:tc>
          <w:tcPr>
            <w:tcW w:w="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(6,209)</w:t>
            </w:r>
          </w:p>
        </w:tc>
        <w:tc>
          <w:tcPr>
            <w:tcW w:w="6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7"/>
              </w:rPr>
              <w:t>(3,207)</w:t>
            </w:r>
          </w:p>
        </w:tc>
        <w:tc>
          <w:tcPr>
            <w:tcW w:w="0" w:type="dxa"/>
            <w:vAlign w:val="bottom"/>
          </w:tcPr>
          <w:p>
            <w:pPr>
              <w:spacing w:after="0"/>
              <w:rPr>
                <w:sz w:val="1"/>
                <w:szCs w:val="1"/>
                <w:color w:val="auto"/>
              </w:rPr>
            </w:pPr>
          </w:p>
        </w:tc>
      </w:tr>
      <w:tr>
        <w:trPr>
          <w:trHeight w:val="157"/>
        </w:trPr>
        <w:tc>
          <w:tcPr>
            <w:tcW w:w="240" w:type="dxa"/>
            <w:vAlign w:val="bottom"/>
          </w:tcPr>
          <w:p>
            <w:pPr>
              <w:spacing w:after="0"/>
              <w:rPr>
                <w:sz w:val="13"/>
                <w:szCs w:val="13"/>
                <w:color w:val="auto"/>
              </w:rPr>
            </w:pPr>
          </w:p>
        </w:tc>
        <w:tc>
          <w:tcPr>
            <w:tcW w:w="3160" w:type="dxa"/>
            <w:vAlign w:val="bottom"/>
          </w:tcPr>
          <w:p>
            <w:pPr>
              <w:ind w:left="120"/>
              <w:spacing w:after="0" w:line="157" w:lineRule="exact"/>
              <w:rPr>
                <w:sz w:val="20"/>
                <w:szCs w:val="20"/>
                <w:color w:val="auto"/>
              </w:rPr>
            </w:pPr>
            <w:r>
              <w:rPr>
                <w:rFonts w:ascii="Times New Roman" w:cs="Times New Roman" w:eastAsia="Times New Roman" w:hAnsi="Times New Roman"/>
                <w:sz w:val="14"/>
                <w:szCs w:val="14"/>
                <w:color w:val="auto"/>
              </w:rPr>
              <w:t>Pro forma loss</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2"/>
              </w:rPr>
              <w:t>(58,736</w:t>
            </w:r>
          </w:p>
        </w:tc>
        <w:tc>
          <w:tcPr>
            <w:tcW w:w="180" w:type="dxa"/>
            <w:vAlign w:val="bottom"/>
            <w:gridSpan w:val="2"/>
          </w:tcPr>
          <w:p>
            <w:pPr>
              <w:jc w:val="right"/>
              <w:ind w:right="80"/>
              <w:spacing w:after="0" w:line="157"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2"/>
              </w:rPr>
              <w:t>(44,448</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36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3"/>
              </w:rPr>
              <w:t>(5,505</w:t>
            </w:r>
          </w:p>
        </w:tc>
        <w:tc>
          <w:tcPr>
            <w:tcW w:w="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Pro forma basic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4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40" w:type="dxa"/>
            <w:vAlign w:val="bottom"/>
          </w:tcPr>
          <w:p>
            <w:pPr>
              <w:spacing w:after="0"/>
              <w:rPr>
                <w:sz w:val="17"/>
                <w:szCs w:val="17"/>
                <w:color w:val="auto"/>
              </w:rPr>
            </w:pPr>
          </w:p>
        </w:tc>
        <w:tc>
          <w:tcPr>
            <w:tcW w:w="3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 reported</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(1.63)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1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Pro forma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line="20" w:lineRule="exact"/>
              <w:rPr>
                <w:sz w:val="1"/>
                <w:szCs w:val="1"/>
                <w:color w:val="auto"/>
              </w:rPr>
            </w:pPr>
          </w:p>
        </w:tc>
      </w:tr>
      <w:tr>
        <w:trPr>
          <w:trHeight w:val="138"/>
        </w:trPr>
        <w:tc>
          <w:tcPr>
            <w:tcW w:w="240" w:type="dxa"/>
            <w:vAlign w:val="bottom"/>
          </w:tcPr>
          <w:p>
            <w:pPr>
              <w:spacing w:after="0"/>
              <w:rPr>
                <w:sz w:val="11"/>
                <w:szCs w:val="11"/>
                <w:color w:val="auto"/>
              </w:rPr>
            </w:pPr>
          </w:p>
        </w:tc>
        <w:tc>
          <w:tcPr>
            <w:tcW w:w="316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gridSpan w:val="2"/>
          </w:tcPr>
          <w:p>
            <w:pPr>
              <w:jc w:val="right"/>
              <w:spacing w:after="0" w:line="138" w:lineRule="exact"/>
              <w:rPr>
                <w:sz w:val="20"/>
                <w:szCs w:val="20"/>
                <w:color w:val="auto"/>
              </w:rPr>
            </w:pPr>
            <w:r>
              <w:rPr>
                <w:rFonts w:ascii="Times New Roman" w:cs="Times New Roman" w:eastAsia="Times New Roman" w:hAnsi="Times New Roman"/>
                <w:sz w:val="14"/>
                <w:szCs w:val="14"/>
                <w:color w:val="auto"/>
              </w:rPr>
              <w:t>(1.87</w:t>
            </w:r>
          </w:p>
        </w:tc>
        <w:tc>
          <w:tcPr>
            <w:tcW w:w="16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(2.27</w:t>
            </w:r>
          </w:p>
        </w:tc>
        <w:tc>
          <w:tcPr>
            <w:tcW w:w="180" w:type="dxa"/>
            <w:vAlign w:val="bottom"/>
            <w:vMerge w:val="continue"/>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rPr>
              <w:t>(0.59</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w:t>
            </w:r>
          </w:p>
        </w:tc>
        <w:tc>
          <w:tcPr>
            <w:tcW w:w="31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Sale of Securities</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40" w:type="dxa"/>
            <w:vAlign w:val="bottom"/>
            <w:vMerge w:val="continue"/>
          </w:tcPr>
          <w:p>
            <w:pPr>
              <w:spacing w:after="0"/>
              <w:rPr>
                <w:sz w:val="24"/>
                <w:szCs w:val="24"/>
                <w:color w:val="auto"/>
              </w:rPr>
            </w:pPr>
          </w:p>
        </w:tc>
        <w:tc>
          <w:tcPr>
            <w:tcW w:w="3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2586990</wp:posOffset>
            </wp:positionH>
            <wp:positionV relativeFrom="paragraph">
              <wp:posOffset>-977900</wp:posOffset>
            </wp:positionV>
            <wp:extent cx="13335" cy="635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-977900</wp:posOffset>
            </wp:positionV>
            <wp:extent cx="13335" cy="635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-977900</wp:posOffset>
            </wp:positionV>
            <wp:extent cx="13335" cy="635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-977900</wp:posOffset>
            </wp:positionV>
            <wp:extent cx="13335" cy="635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-799465</wp:posOffset>
            </wp:positionV>
            <wp:extent cx="13335" cy="635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-799465</wp:posOffset>
            </wp:positionV>
            <wp:extent cx="13335" cy="635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-799465</wp:posOffset>
            </wp:positionV>
            <wp:extent cx="13335" cy="635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-799465</wp:posOffset>
            </wp:positionV>
            <wp:extent cx="13335" cy="635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-673735</wp:posOffset>
            </wp:positionV>
            <wp:extent cx="13335" cy="635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-673735</wp:posOffset>
            </wp:positionV>
            <wp:extent cx="13335" cy="635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-673735</wp:posOffset>
            </wp:positionV>
            <wp:extent cx="13335" cy="635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-673735</wp:posOffset>
            </wp:positionV>
            <wp:extent cx="13335" cy="635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-548005</wp:posOffset>
            </wp:positionV>
            <wp:extent cx="13335" cy="635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-548005</wp:posOffset>
            </wp:positionV>
            <wp:extent cx="13335" cy="635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-548005</wp:posOffset>
            </wp:positionV>
            <wp:extent cx="13335" cy="635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-548005</wp:posOffset>
            </wp:positionV>
            <wp:extent cx="13335" cy="635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-422910</wp:posOffset>
            </wp:positionV>
            <wp:extent cx="13335" cy="635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-422910</wp:posOffset>
            </wp:positionV>
            <wp:extent cx="13335" cy="635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-422910</wp:posOffset>
            </wp:positionV>
            <wp:extent cx="13335" cy="635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-422910</wp:posOffset>
            </wp:positionV>
            <wp:extent cx="13335" cy="635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2586990</wp:posOffset>
            </wp:positionH>
            <wp:positionV relativeFrom="paragraph">
              <wp:posOffset>-297180</wp:posOffset>
            </wp:positionV>
            <wp:extent cx="13335" cy="635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3016250</wp:posOffset>
            </wp:positionH>
            <wp:positionV relativeFrom="paragraph">
              <wp:posOffset>-297180</wp:posOffset>
            </wp:positionV>
            <wp:extent cx="13335" cy="635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3446145</wp:posOffset>
            </wp:positionH>
            <wp:positionV relativeFrom="paragraph">
              <wp:posOffset>-297180</wp:posOffset>
            </wp:positionV>
            <wp:extent cx="13335" cy="635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-297180</wp:posOffset>
            </wp:positionV>
            <wp:extent cx="13335" cy="635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-231140</wp:posOffset>
            </wp:positionV>
            <wp:extent cx="3926840" cy="73025"/>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3926840" cy="73025"/>
                    </a:xfrm>
                    <a:prstGeom prst="rect">
                      <a:avLst/>
                    </a:prstGeom>
                    <a:noFill/>
                  </pic:spPr>
                </pic:pic>
              </a:graphicData>
            </a:graphic>
          </wp:anchor>
        </w:drawing>
      </w:r>
    </w:p>
    <w:p>
      <w:pPr>
        <w:spacing w:after="0" w:line="131" w:lineRule="exact"/>
        <w:rPr>
          <w:sz w:val="20"/>
          <w:szCs w:val="20"/>
          <w:color w:val="auto"/>
        </w:rPr>
      </w:pPr>
    </w:p>
    <w:p>
      <w:pPr>
        <w:ind w:left="1120" w:right="2779"/>
        <w:spacing w:after="0" w:line="276" w:lineRule="auto"/>
        <w:rPr>
          <w:sz w:val="20"/>
          <w:szCs w:val="20"/>
          <w:color w:val="auto"/>
        </w:rPr>
      </w:pPr>
      <w:r>
        <w:rPr>
          <w:rFonts w:ascii="Times New Roman" w:cs="Times New Roman" w:eastAsia="Times New Roman" w:hAnsi="Times New Roman"/>
          <w:sz w:val="13"/>
          <w:szCs w:val="13"/>
          <w:color w:val="auto"/>
        </w:rPr>
        <w:t>Under Accounting Principles Board Opinion No. 14 ("APB 14"), the proceeds from the sale of the securities described in Notes 11 and 14E are to be allocated to each of the securities issued based on their relative fair value, while according to Israel GAAP such treatment is not required. Complying with APB 14, based on the average market value of each of the securities issued in the first three days following their issuance, would have resulted in an increase in shareholders' equity in the amount of $2,363 (net of $196 related issuance expenses), and a decrease in convertible debentures in the amount of $2,559. The effect of amortization of the discount on the convertible debentures under U.S. GAAP for the year ended December 31, 2002 would have been immaterial.</w:t>
      </w:r>
    </w:p>
    <w:p>
      <w:pPr>
        <w:spacing w:after="0" w:line="18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MATERIAL DIFFERENCES BETWEEN ISRAEL AND U.S. GAAP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6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Balance Sheets in accordance with U.S. GAAP</w:t>
      </w:r>
    </w:p>
    <w:p>
      <w:pPr>
        <w:spacing w:after="0" w:line="17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Following are the condensed consolidated balance sheets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900170" cy="73025"/>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3900170" cy="73025"/>
                    </a:xfrm>
                    <a:prstGeom prst="rect">
                      <a:avLst/>
                    </a:prstGeom>
                    <a:noFill/>
                  </pic:spPr>
                </pic:pic>
              </a:graphicData>
            </a:graphic>
          </wp:anchor>
        </w:drawing>
      </w:r>
    </w:p>
    <w:p>
      <w:pPr>
        <w:spacing w:after="0" w:line="200" w:lineRule="exact"/>
        <w:rPr>
          <w:sz w:val="20"/>
          <w:szCs w:val="20"/>
          <w:color w:val="auto"/>
        </w:rPr>
      </w:pPr>
    </w:p>
    <w:tbl>
      <w:tblPr>
        <w:tblLayout w:type="fixed"/>
        <w:tblInd w:w="1060" w:type="dxa"/>
        <w:tblCellMar>
          <w:top w:w="0" w:type="dxa"/>
          <w:left w:w="0" w:type="dxa"/>
          <w:bottom w:w="0" w:type="dxa"/>
          <w:right w:w="0" w:type="dxa"/>
        </w:tblCellMar>
      </w:tblPr>
      <w:tr>
        <w:trPr>
          <w:trHeight w:val="134"/>
        </w:trPr>
        <w:tc>
          <w:tcPr>
            <w:tcW w:w="3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0" w:type="dxa"/>
            <w:vAlign w:val="bottom"/>
          </w:tcPr>
          <w:p>
            <w:pPr>
              <w:spacing w:after="0"/>
              <w:rPr>
                <w:sz w:val="1"/>
                <w:szCs w:val="1"/>
                <w:color w:val="auto"/>
              </w:rPr>
            </w:pPr>
          </w:p>
        </w:tc>
      </w:tr>
      <w:tr>
        <w:trPr>
          <w:trHeight w:val="126"/>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2002</w:t>
            </w:r>
          </w:p>
        </w:tc>
        <w:tc>
          <w:tcPr>
            <w:tcW w:w="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1"/>
                <w:szCs w:val="11"/>
                <w:b w:val="1"/>
                <w:bCs w:val="1"/>
                <w:color w:val="auto"/>
              </w:rPr>
              <w:t>2001</w:t>
            </w: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88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487,347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336,160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95,017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Cash and short-term and long-term interest-bearing deposits</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designated for investments relating to Fab 2</w:t>
            </w: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8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722,706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477,824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88,282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87,360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253,000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115,000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Convertible debentures</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liability in respect of customers' advances</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 (*)</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282,890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244,636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8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722,706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477,824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-1883410</wp:posOffset>
            </wp:positionV>
            <wp:extent cx="13335" cy="635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-1790700</wp:posOffset>
            </wp:positionV>
            <wp:extent cx="13335" cy="635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-1790700</wp:posOffset>
            </wp:positionV>
            <wp:extent cx="13335" cy="635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-1678305</wp:posOffset>
            </wp:positionV>
            <wp:extent cx="13335" cy="635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-1678305</wp:posOffset>
            </wp:positionV>
            <wp:extent cx="13335" cy="635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-1552575</wp:posOffset>
            </wp:positionV>
            <wp:extent cx="13335" cy="635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-1552575</wp:posOffset>
            </wp:positionV>
            <wp:extent cx="13335" cy="635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-1427480</wp:posOffset>
            </wp:positionV>
            <wp:extent cx="13335" cy="635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-1427480</wp:posOffset>
            </wp:positionV>
            <wp:extent cx="13335" cy="635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-1301750</wp:posOffset>
            </wp:positionV>
            <wp:extent cx="13335" cy="635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-1301750</wp:posOffset>
            </wp:positionV>
            <wp:extent cx="13335" cy="635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-1123315</wp:posOffset>
            </wp:positionV>
            <wp:extent cx="13335" cy="635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-1123315</wp:posOffset>
            </wp:positionV>
            <wp:extent cx="13335" cy="635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-944880</wp:posOffset>
            </wp:positionV>
            <wp:extent cx="13335" cy="635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-944880</wp:posOffset>
            </wp:positionV>
            <wp:extent cx="13335" cy="635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-819150</wp:posOffset>
            </wp:positionV>
            <wp:extent cx="13335" cy="635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-819150</wp:posOffset>
            </wp:positionV>
            <wp:extent cx="13335" cy="635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-693420</wp:posOffset>
            </wp:positionV>
            <wp:extent cx="13335" cy="635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-693420</wp:posOffset>
            </wp:positionV>
            <wp:extent cx="13335" cy="635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-567690</wp:posOffset>
            </wp:positionV>
            <wp:extent cx="13335" cy="635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-567690</wp:posOffset>
            </wp:positionV>
            <wp:extent cx="13335" cy="635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-441960</wp:posOffset>
            </wp:positionV>
            <wp:extent cx="13335" cy="635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-441960</wp:posOffset>
            </wp:positionV>
            <wp:extent cx="13335" cy="635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-316865</wp:posOffset>
            </wp:positionV>
            <wp:extent cx="13335" cy="635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-316865</wp:posOffset>
            </wp:positionV>
            <wp:extent cx="13335" cy="635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-191135</wp:posOffset>
            </wp:positionV>
            <wp:extent cx="13335" cy="635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-191135</wp:posOffset>
            </wp:positionV>
            <wp:extent cx="13335" cy="635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3089275</wp:posOffset>
            </wp:positionH>
            <wp:positionV relativeFrom="paragraph">
              <wp:posOffset>-65405</wp:posOffset>
            </wp:positionV>
            <wp:extent cx="13335" cy="635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3505835</wp:posOffset>
            </wp:positionH>
            <wp:positionV relativeFrom="paragraph">
              <wp:posOffset>-65405</wp:posOffset>
            </wp:positionV>
            <wp:extent cx="13335" cy="635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676275</wp:posOffset>
            </wp:positionH>
            <wp:positionV relativeFrom="paragraph">
              <wp:posOffset>0</wp:posOffset>
            </wp:positionV>
            <wp:extent cx="6350" cy="6604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66040</wp:posOffset>
            </wp:positionV>
            <wp:extent cx="4620895" cy="112395"/>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4620895" cy="112395"/>
                    </a:xfrm>
                    <a:prstGeom prst="rect">
                      <a:avLst/>
                    </a:prstGeom>
                    <a:noFill/>
                  </pic:spPr>
                </pic:pic>
              </a:graphicData>
            </a:graphic>
          </wp:anchor>
        </w:drawing>
      </w:r>
    </w:p>
    <w:p>
      <w:pPr>
        <w:spacing w:after="0" w:line="244" w:lineRule="exact"/>
        <w:rPr>
          <w:sz w:val="20"/>
          <w:szCs w:val="20"/>
          <w:color w:val="auto"/>
        </w:rPr>
      </w:pPr>
    </w:p>
    <w:p>
      <w:pPr>
        <w:ind w:left="900" w:hanging="158"/>
        <w:spacing w:after="0"/>
        <w:tabs>
          <w:tab w:leader="none" w:pos="900" w:val="left"/>
        </w:tabs>
        <w:numPr>
          <w:ilvl w:val="0"/>
          <w:numId w:val="16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balance as of December 31, 2002 includes accumulated other comprehensive loss of</w:t>
      </w:r>
    </w:p>
    <w:p>
      <w:pPr>
        <w:ind w:left="900" w:right="5159"/>
        <w:spacing w:after="0" w:line="232"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$17,837 and net proceeds on account of options (Series 1) in the amount of $2,363 (see also E above); as of December 31, 2001—accumulated other comprehensive loss of $8,199.</w:t>
      </w:r>
    </w:p>
    <w:p>
      <w:pPr>
        <w:spacing w:after="0" w:line="149" w:lineRule="exact"/>
        <w:rPr>
          <w:rFonts w:ascii="Times New Roman" w:cs="Times New Roman" w:eastAsia="Times New Roman" w:hAnsi="Times New Roman"/>
          <w:sz w:val="11"/>
          <w:szCs w:val="11"/>
          <w:color w:val="auto"/>
        </w:rPr>
      </w:pPr>
    </w:p>
    <w:p>
      <w:pPr>
        <w:ind w:left="1100" w:hanging="347"/>
        <w:spacing w:after="0"/>
        <w:tabs>
          <w:tab w:leader="none" w:pos="1100" w:val="left"/>
        </w:tabs>
        <w:numPr>
          <w:ilvl w:val="1"/>
          <w:numId w:val="16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Statements of Operations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3926840" cy="635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54" w:lineRule="exact"/>
        <w:rPr>
          <w:sz w:val="20"/>
          <w:szCs w:val="20"/>
          <w:color w:val="auto"/>
        </w:rPr>
      </w:pPr>
    </w:p>
    <w:p>
      <w:pPr>
        <w:ind w:left="1120" w:right="2839"/>
        <w:spacing w:after="0" w:line="256" w:lineRule="auto"/>
        <w:rPr>
          <w:sz w:val="20"/>
          <w:szCs w:val="20"/>
          <w:color w:val="auto"/>
        </w:rPr>
      </w:pPr>
      <w:r>
        <w:rPr>
          <w:rFonts w:ascii="Times New Roman" w:cs="Times New Roman" w:eastAsia="Times New Roman" w:hAnsi="Times New Roman"/>
          <w:sz w:val="14"/>
          <w:szCs w:val="14"/>
          <w:color w:val="auto"/>
        </w:rPr>
        <w:t>Complying with SFAS 133 and SFAS 138 would not have affected the results of operations for the years ended December 31, 2002 and 2000. The effect on the results of operations for the years ended December 31, 2001 as a result of complying with SFAS 133 and SFAS 138 would be additional financing income (and a reduction of the loss) in the amount of $30. Accordingly, the Company's loss for the years ended December 31, 2001 would have been $38,492.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926840" cy="635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6" w:lineRule="exact"/>
        <w:rPr>
          <w:sz w:val="20"/>
          <w:szCs w:val="20"/>
          <w:color w:val="auto"/>
        </w:rPr>
      </w:pPr>
    </w:p>
    <w:p>
      <w:pPr>
        <w:ind w:left="1100" w:hanging="347"/>
        <w:spacing w:after="0"/>
        <w:tabs>
          <w:tab w:leader="none" w:pos="1100" w:val="left"/>
        </w:tabs>
        <w:numPr>
          <w:ilvl w:val="0"/>
          <w:numId w:val="16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Comprehensive Income in Accordance with U.S. GAAP (SFAS 130)</w:t>
      </w:r>
    </w:p>
    <w:p>
      <w:pPr>
        <w:spacing w:after="0" w:line="174" w:lineRule="exact"/>
        <w:rPr>
          <w:sz w:val="20"/>
          <w:szCs w:val="20"/>
          <w:color w:val="auto"/>
        </w:rPr>
      </w:pPr>
    </w:p>
    <w:p>
      <w:pPr>
        <w:ind w:left="1120" w:right="2839"/>
        <w:spacing w:after="0" w:line="256" w:lineRule="auto"/>
        <w:rPr>
          <w:sz w:val="20"/>
          <w:szCs w:val="20"/>
          <w:color w:val="auto"/>
        </w:rPr>
      </w:pPr>
      <w:r>
        <w:rPr>
          <w:rFonts w:ascii="Times New Roman" w:cs="Times New Roman" w:eastAsia="Times New Roman" w:hAnsi="Times New Roman"/>
          <w:sz w:val="14"/>
          <w:szCs w:val="14"/>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w:t>
      </w:r>
    </w:p>
    <w:p>
      <w:pPr>
        <w:spacing w:after="0" w:line="19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MATERIAL DIFFERENCES BETWEEN ISRAEL AND U.S. GAAP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20" w:right="4399" w:hanging="367"/>
        <w:spacing w:after="0" w:line="574" w:lineRule="auto"/>
        <w:tabs>
          <w:tab w:leader="none" w:pos="1099" w:val="left"/>
        </w:tabs>
        <w:numPr>
          <w:ilvl w:val="0"/>
          <w:numId w:val="16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Comprehensive Income in Accordance with U.S. GAAP (SFAS 130) (Continued) </w:t>
      </w:r>
      <w:r>
        <w:rPr>
          <w:rFonts w:ascii="Times New Roman" w:cs="Times New Roman" w:eastAsia="Times New Roman" w:hAnsi="Times New Roman"/>
          <w:sz w:val="13"/>
          <w:szCs w:val="13"/>
          <w:color w:val="auto"/>
        </w:rPr>
        <w:t>Following are statements of comprehensive loss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3979545" cy="85725"/>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3979545" cy="85725"/>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134"/>
        </w:trPr>
        <w:tc>
          <w:tcPr>
            <w:tcW w:w="3340" w:type="dxa"/>
            <w:vAlign w:val="bottom"/>
          </w:tcPr>
          <w:p>
            <w:pPr>
              <w:spacing w:after="0"/>
              <w:rPr>
                <w:sz w:val="11"/>
                <w:szCs w:val="11"/>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Year ended December 31,</w:t>
            </w:r>
          </w:p>
        </w:tc>
        <w:tc>
          <w:tcPr>
            <w:tcW w:w="0" w:type="dxa"/>
            <w:vAlign w:val="bottom"/>
          </w:tcPr>
          <w:p>
            <w:pPr>
              <w:spacing w:after="0"/>
              <w:rPr>
                <w:sz w:val="1"/>
                <w:szCs w:val="1"/>
                <w:color w:val="auto"/>
              </w:rPr>
            </w:pPr>
          </w:p>
        </w:tc>
      </w:tr>
      <w:tr>
        <w:trPr>
          <w:trHeight w:val="126"/>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Loss for the year according to U.S. GAAP</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2002</w:t>
            </w:r>
          </w:p>
        </w:tc>
        <w:tc>
          <w:tcPr>
            <w:tcW w:w="680" w:type="dxa"/>
            <w:vAlign w:val="bottom"/>
            <w:gridSpan w:val="2"/>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2001</w:t>
            </w:r>
          </w:p>
        </w:tc>
        <w:tc>
          <w:tcPr>
            <w:tcW w:w="620" w:type="dxa"/>
            <w:vAlign w:val="bottom"/>
            <w:gridSpan w:val="2"/>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2000</w:t>
            </w:r>
          </w:p>
        </w:tc>
        <w:tc>
          <w:tcPr>
            <w:tcW w:w="0" w:type="dxa"/>
            <w:vAlign w:val="bottom"/>
          </w:tcPr>
          <w:p>
            <w:pPr>
              <w:spacing w:after="0"/>
              <w:rPr>
                <w:sz w:val="1"/>
                <w:szCs w:val="1"/>
                <w:color w:val="auto"/>
              </w:rPr>
            </w:pPr>
          </w:p>
        </w:tc>
      </w:tr>
      <w:tr>
        <w:trPr>
          <w:trHeight w:val="172"/>
        </w:trPr>
        <w:tc>
          <w:tcPr>
            <w:tcW w:w="3340" w:type="dxa"/>
            <w:vAlign w:val="bottom"/>
            <w:vMerge w:val="continue"/>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$(51,402)</w:t>
            </w:r>
          </w:p>
        </w:tc>
        <w:tc>
          <w:tcPr>
            <w:tcW w:w="8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$(38,492)</w:t>
            </w:r>
          </w:p>
        </w:tc>
        <w:tc>
          <w:tcPr>
            <w:tcW w:w="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3"/>
              </w:rPr>
              <w:t>$ (3,989)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-260350</wp:posOffset>
            </wp:positionV>
            <wp:extent cx="13335" cy="635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-167640</wp:posOffset>
            </wp:positionV>
            <wp:extent cx="13335" cy="635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-167640</wp:posOffset>
            </wp:positionV>
            <wp:extent cx="13335" cy="635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-167640</wp:posOffset>
            </wp:positionV>
            <wp:extent cx="13335" cy="635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-55245</wp:posOffset>
            </wp:positionV>
            <wp:extent cx="13335" cy="635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-55245</wp:posOffset>
            </wp:positionV>
            <wp:extent cx="13335" cy="635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-55245</wp:posOffset>
            </wp:positionV>
            <wp:extent cx="13335" cy="635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-33020</wp:posOffset>
            </wp:positionV>
            <wp:extent cx="13335" cy="635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-33020</wp:posOffset>
            </wp:positionV>
            <wp:extent cx="13335" cy="635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-33020</wp:posOffset>
            </wp:positionV>
            <wp:extent cx="13335" cy="635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33020</wp:posOffset>
            </wp:positionV>
            <wp:extent cx="13335" cy="635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33020</wp:posOffset>
            </wp:positionV>
            <wp:extent cx="13335" cy="635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33020</wp:posOffset>
            </wp:positionV>
            <wp:extent cx="13335" cy="635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125" w:right="1440" w:bottom="0" w:gutter="0" w:footer="0" w:header="0"/>
        </w:sectPr>
      </w:pPr>
    </w:p>
    <w:bookmarkStart w:id="70" w:name="page71"/>
    <w:bookmarkEnd w:id="70"/>
    <w:tbl>
      <w:tblPr>
        <w:tblLayout w:type="fixed"/>
        <w:tblInd w:w="1100" w:type="dxa"/>
        <w:tblCellMar>
          <w:top w:w="0" w:type="dxa"/>
          <w:left w:w="0" w:type="dxa"/>
          <w:bottom w:w="0" w:type="dxa"/>
          <w:right w:w="0" w:type="dxa"/>
        </w:tblCellMar>
      </w:tblPr>
      <w:tr>
        <w:trPr>
          <w:trHeight w:val="167"/>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securities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12,563</w:t>
            </w:r>
          </w:p>
        </w:tc>
      </w:tr>
      <w:tr>
        <w:trPr>
          <w:trHeight w:val="182"/>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arising during the year</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Realized gain on securities</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arising during the year</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(9,550)</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Adjustment of unrealized gain</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3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on securities arising during previous year</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(3,013)</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Unrealized losses on derivatives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(9,638)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(8,199)</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157"/>
        </w:trPr>
        <w:tc>
          <w:tcPr>
            <w:tcW w:w="33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Net comprehensive income (loss) for the year</w:t>
            </w:r>
          </w:p>
        </w:tc>
        <w:tc>
          <w:tcPr>
            <w:tcW w:w="52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(61,040</w:t>
            </w:r>
          </w:p>
        </w:tc>
        <w:tc>
          <w:tcPr>
            <w:tcW w:w="1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(59,254</w:t>
            </w:r>
          </w:p>
        </w:tc>
        <w:tc>
          <w:tcPr>
            <w:tcW w:w="160" w:type="dxa"/>
            <w:vAlign w:val="bottom"/>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4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$ 8,574</w:t>
            </w:r>
          </w:p>
        </w:tc>
        <w:tc>
          <w:tcPr>
            <w:tcW w:w="20" w:type="dxa"/>
            <w:vAlign w:val="bottom"/>
          </w:tcPr>
          <w:p>
            <w:pPr>
              <w:spacing w:after="0"/>
              <w:rPr>
                <w:sz w:val="13"/>
                <w:szCs w:val="13"/>
                <w:color w:val="auto"/>
              </w:rPr>
            </w:pPr>
          </w:p>
        </w:tc>
      </w:tr>
      <w:tr>
        <w:trPr>
          <w:trHeight w:val="20"/>
        </w:trPr>
        <w:tc>
          <w:tcPr>
            <w:tcW w:w="3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-600710</wp:posOffset>
            </wp:positionV>
            <wp:extent cx="13335" cy="635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-600710</wp:posOffset>
            </wp:positionV>
            <wp:extent cx="13335" cy="635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-600710</wp:posOffset>
            </wp:positionV>
            <wp:extent cx="13335" cy="635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-369570</wp:posOffset>
            </wp:positionV>
            <wp:extent cx="13335" cy="635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-369570</wp:posOffset>
            </wp:positionV>
            <wp:extent cx="13335" cy="635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-369570</wp:posOffset>
            </wp:positionV>
            <wp:extent cx="13335" cy="635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-191135</wp:posOffset>
            </wp:positionV>
            <wp:extent cx="13335" cy="635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-191135</wp:posOffset>
            </wp:positionV>
            <wp:extent cx="13335" cy="635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-191135</wp:posOffset>
            </wp:positionV>
            <wp:extent cx="13335" cy="635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-65405</wp:posOffset>
            </wp:positionV>
            <wp:extent cx="13335" cy="635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-65405</wp:posOffset>
            </wp:positionV>
            <wp:extent cx="13335" cy="635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-65405</wp:posOffset>
            </wp:positionV>
            <wp:extent cx="13335" cy="635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26840" cy="73025"/>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40">
                      <a:extLst>
                        <a:ext uri="{28A0092B-C50C-407E-A947-70E740481C1C}"/>
                      </a:extLst>
                    </a:blip>
                    <a:srcRect/>
                    <a:stretch>
                      <a:fillRect/>
                    </a:stretch>
                  </pic:blipFill>
                  <pic:spPr bwMode="auto">
                    <a:xfrm>
                      <a:off x="0" y="0"/>
                      <a:ext cx="3926840" cy="73025"/>
                    </a:xfrm>
                    <a:prstGeom prst="rect">
                      <a:avLst/>
                    </a:prstGeom>
                    <a:noFill/>
                  </pic:spPr>
                </pic:pic>
              </a:graphicData>
            </a:graphic>
          </wp:anchor>
        </w:drawing>
      </w:r>
    </w:p>
    <w:p>
      <w:pPr>
        <w:spacing w:after="0" w:line="161" w:lineRule="exact"/>
        <w:rPr>
          <w:sz w:val="20"/>
          <w:szCs w:val="20"/>
          <w:color w:val="auto"/>
        </w:rPr>
      </w:pPr>
    </w:p>
    <w:p>
      <w:pPr>
        <w:ind w:left="1100" w:hanging="347"/>
        <w:spacing w:after="0"/>
        <w:tabs>
          <w:tab w:leader="none" w:pos="1100" w:val="left"/>
        </w:tabs>
        <w:numPr>
          <w:ilvl w:val="0"/>
          <w:numId w:val="16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Loss per share data in accordance with U.S. GAAP (SFAS 128)</w:t>
      </w:r>
    </w:p>
    <w:p>
      <w:pPr>
        <w:spacing w:after="0" w:line="174" w:lineRule="exact"/>
        <w:rPr>
          <w:sz w:val="20"/>
          <w:szCs w:val="20"/>
          <w:color w:val="auto"/>
        </w:rPr>
      </w:pPr>
    </w:p>
    <w:p>
      <w:pPr>
        <w:ind w:left="1120" w:right="3279"/>
        <w:spacing w:after="0" w:line="279" w:lineRule="auto"/>
        <w:rPr>
          <w:sz w:val="20"/>
          <w:szCs w:val="20"/>
          <w:color w:val="auto"/>
        </w:rPr>
      </w:pPr>
      <w:r>
        <w:rPr>
          <w:rFonts w:ascii="Times New Roman" w:cs="Times New Roman" w:eastAsia="Times New Roman" w:hAnsi="Times New Roman"/>
          <w:sz w:val="14"/>
          <w:szCs w:val="14"/>
          <w:color w:val="auto"/>
        </w:rPr>
        <w:t>In accordance with U.S. GAAP (SFAS 128, including the implementation of SFAS 133 and SFAS 138 as described above), the basic and diluted loss per share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3939540" cy="73025"/>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41">
                      <a:extLst>
                        <a:ext uri="{28A0092B-C50C-407E-A947-70E740481C1C}"/>
                      </a:extLst>
                    </a:blip>
                    <a:srcRect/>
                    <a:stretch>
                      <a:fillRect/>
                    </a:stretch>
                  </pic:blipFill>
                  <pic:spPr bwMode="auto">
                    <a:xfrm>
                      <a:off x="0" y="0"/>
                      <a:ext cx="3939540" cy="73025"/>
                    </a:xfrm>
                    <a:prstGeom prst="rect">
                      <a:avLst/>
                    </a:prstGeom>
                    <a:noFill/>
                  </pic:spPr>
                </pic:pic>
              </a:graphicData>
            </a:graphic>
          </wp:anchor>
        </w:drawing>
      </w:r>
    </w:p>
    <w:p>
      <w:pPr>
        <w:spacing w:after="0" w:line="15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4445</wp:posOffset>
            </wp:positionV>
            <wp:extent cx="958215" cy="635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42">
                      <a:extLst>
                        <a:ext uri="{28A0092B-C50C-407E-A947-70E740481C1C}"/>
                      </a:extLst>
                    </a:blip>
                    <a:srcRect/>
                    <a:stretch>
                      <a:fillRect/>
                    </a:stretch>
                  </pic:blipFill>
                  <pic:spPr bwMode="auto">
                    <a:xfrm>
                      <a:off x="0" y="0"/>
                      <a:ext cx="95821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-41275</wp:posOffset>
            </wp:positionV>
            <wp:extent cx="13335" cy="635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43">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ind w:left="4880"/>
        <w:spacing w:after="0"/>
        <w:tabs>
          <w:tab w:leader="none" w:pos="5400" w:val="left"/>
          <w:tab w:leader="none" w:pos="5920" w:val="left"/>
        </w:tabs>
        <w:rPr>
          <w:sz w:val="20"/>
          <w:szCs w:val="20"/>
          <w:color w:val="auto"/>
        </w:rPr>
      </w:pPr>
      <w:r>
        <w:rPr>
          <w:rFonts w:ascii="Times New Roman" w:cs="Times New Roman" w:eastAsia="Times New Roman" w:hAnsi="Times New Roman"/>
          <w:sz w:val="11"/>
          <w:szCs w:val="11"/>
          <w:b w:val="1"/>
          <w:bCs w:val="1"/>
          <w:color w:val="auto"/>
        </w:rPr>
        <w:t>2002</w:t>
      </w:r>
      <w:r>
        <w:rPr>
          <w:sz w:val="20"/>
          <w:szCs w:val="20"/>
          <w:color w:val="auto"/>
        </w:rPr>
        <w:tab/>
      </w:r>
      <w:r>
        <w:rPr>
          <w:rFonts w:ascii="Times New Roman" w:cs="Times New Roman" w:eastAsia="Times New Roman" w:hAnsi="Times New Roman"/>
          <w:sz w:val="11"/>
          <w:szCs w:val="11"/>
          <w:b w:val="1"/>
          <w:bCs w:val="1"/>
          <w:color w:val="auto"/>
        </w:rPr>
        <w:t>2001</w:t>
      </w:r>
      <w:r>
        <w:rPr>
          <w:sz w:val="20"/>
          <w:szCs w:val="20"/>
          <w:color w:val="auto"/>
        </w:rPr>
        <w:tab/>
      </w:r>
      <w:r>
        <w:rPr>
          <w:rFonts w:ascii="Times New Roman" w:cs="Times New Roman" w:eastAsia="Times New Roman" w:hAnsi="Times New Roman"/>
          <w:sz w:val="11"/>
          <w:szCs w:val="11"/>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2976880</wp:posOffset>
            </wp:positionH>
            <wp:positionV relativeFrom="paragraph">
              <wp:posOffset>-41275</wp:posOffset>
            </wp:positionV>
            <wp:extent cx="13335" cy="635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-41275</wp:posOffset>
            </wp:positionV>
            <wp:extent cx="13335" cy="635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-41275</wp:posOffset>
            </wp:positionV>
            <wp:extent cx="13335" cy="635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6">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7" w:lineRule="exact"/>
        <w:rPr>
          <w:sz w:val="20"/>
          <w:szCs w:val="20"/>
          <w:color w:val="auto"/>
        </w:rPr>
      </w:pPr>
    </w:p>
    <w:tbl>
      <w:tblPr>
        <w:tblLayout w:type="fixed"/>
        <w:tblInd w:w="1100" w:type="dxa"/>
        <w:tblCellMar>
          <w:top w:w="0" w:type="dxa"/>
          <w:left w:w="0" w:type="dxa"/>
          <w:bottom w:w="0" w:type="dxa"/>
          <w:right w:w="0" w:type="dxa"/>
        </w:tblCellMar>
      </w:tblPr>
      <w:tr>
        <w:trPr>
          <w:trHeight w:val="20"/>
        </w:trPr>
        <w:tc>
          <w:tcPr>
            <w:tcW w:w="368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680" w:type="dxa"/>
            <w:vAlign w:val="bottom"/>
          </w:tcPr>
          <w:p>
            <w:pPr>
              <w:spacing w:after="0" w:line="137" w:lineRule="exact"/>
              <w:rPr>
                <w:sz w:val="20"/>
                <w:szCs w:val="20"/>
                <w:color w:val="auto"/>
              </w:rPr>
            </w:pPr>
            <w:r>
              <w:rPr>
                <w:rFonts w:ascii="Times New Roman" w:cs="Times New Roman" w:eastAsia="Times New Roman" w:hAnsi="Times New Roman"/>
                <w:sz w:val="14"/>
                <w:szCs w:val="14"/>
                <w:color w:val="auto"/>
              </w:rPr>
              <w:t>Basic loss per share</w:t>
            </w:r>
          </w:p>
        </w:tc>
        <w:tc>
          <w:tcPr>
            <w:tcW w:w="440" w:type="dxa"/>
            <w:vAlign w:val="bottom"/>
            <w:gridSpan w:val="2"/>
          </w:tcPr>
          <w:p>
            <w:pPr>
              <w:jc w:val="right"/>
              <w:ind w:right="34"/>
              <w:spacing w:after="0" w:line="137" w:lineRule="exact"/>
              <w:rPr>
                <w:sz w:val="20"/>
                <w:szCs w:val="20"/>
                <w:color w:val="auto"/>
              </w:rPr>
            </w:pPr>
            <w:r>
              <w:rPr>
                <w:rFonts w:ascii="Times New Roman" w:cs="Times New Roman" w:eastAsia="Times New Roman" w:hAnsi="Times New Roman"/>
                <w:sz w:val="14"/>
                <w:szCs w:val="14"/>
                <w:u w:val="single" w:color="auto"/>
                <w:color w:val="auto"/>
                <w:w w:val="92"/>
              </w:rPr>
              <w:t>$</w:t>
            </w:r>
            <w:r>
              <w:rPr>
                <w:rFonts w:ascii="Times New Roman" w:cs="Times New Roman" w:eastAsia="Times New Roman" w:hAnsi="Times New Roman"/>
                <w:sz w:val="14"/>
                <w:szCs w:val="14"/>
                <w:color w:val="auto"/>
                <w:w w:val="92"/>
              </w:rPr>
              <w:t>(1.63)</w:t>
            </w:r>
          </w:p>
        </w:tc>
        <w:tc>
          <w:tcPr>
            <w:tcW w:w="80" w:type="dxa"/>
            <w:vAlign w:val="bottom"/>
          </w:tcPr>
          <w:p>
            <w:pPr>
              <w:spacing w:after="0"/>
              <w:rPr>
                <w:sz w:val="11"/>
                <w:szCs w:val="11"/>
                <w:color w:val="auto"/>
              </w:rPr>
            </w:pPr>
          </w:p>
        </w:tc>
        <w:tc>
          <w:tcPr>
            <w:tcW w:w="44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(1.95)</w:t>
            </w:r>
          </w:p>
        </w:tc>
        <w:tc>
          <w:tcPr>
            <w:tcW w:w="54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Diluted loss per share</w:t>
            </w:r>
          </w:p>
        </w:tc>
        <w:tc>
          <w:tcPr>
            <w:tcW w:w="3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ind w:right="34"/>
              <w:spacing w:after="0"/>
              <w:rPr>
                <w:sz w:val="20"/>
                <w:szCs w:val="20"/>
                <w:color w:val="auto"/>
              </w:rPr>
            </w:pPr>
            <w:r>
              <w:rPr>
                <w:rFonts w:ascii="Times New Roman" w:cs="Times New Roman" w:eastAsia="Times New Roman" w:hAnsi="Times New Roman"/>
                <w:sz w:val="1"/>
                <w:szCs w:val="1"/>
                <w:color w:val="auto"/>
                <w:w w:val="4294967281"/>
              </w:rPr>
              <w:t>)</w:t>
            </w:r>
          </w:p>
        </w:tc>
        <w:tc>
          <w:tcPr>
            <w:tcW w:w="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38"/>
        </w:trPr>
        <w:tc>
          <w:tcPr>
            <w:tcW w:w="3680" w:type="dxa"/>
            <w:vAlign w:val="bottom"/>
            <w:vMerge w:val="continue"/>
          </w:tcPr>
          <w:p>
            <w:pPr>
              <w:spacing w:after="0"/>
              <w:rPr>
                <w:sz w:val="11"/>
                <w:szCs w:val="11"/>
                <w:color w:val="auto"/>
              </w:rPr>
            </w:pPr>
          </w:p>
        </w:tc>
        <w:tc>
          <w:tcPr>
            <w:tcW w:w="38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(1.63</w:t>
            </w:r>
          </w:p>
        </w:tc>
        <w:tc>
          <w:tcPr>
            <w:tcW w:w="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(1.95</w:t>
            </w:r>
          </w:p>
        </w:tc>
        <w:tc>
          <w:tcPr>
            <w:tcW w:w="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36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(0.33</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4055" cy="19685"/>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7">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-191135</wp:posOffset>
            </wp:positionV>
            <wp:extent cx="13335" cy="635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-191135</wp:posOffset>
            </wp:positionV>
            <wp:extent cx="13335" cy="635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-191135</wp:posOffset>
            </wp:positionV>
            <wp:extent cx="13335" cy="635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-65405</wp:posOffset>
            </wp:positionV>
            <wp:extent cx="13335" cy="635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-65405</wp:posOffset>
            </wp:positionV>
            <wp:extent cx="13335" cy="635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-65405</wp:posOffset>
            </wp:positionV>
            <wp:extent cx="13335" cy="6350"/>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6350" cy="6604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5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3" w:lineRule="exact"/>
        <w:rPr>
          <w:sz w:val="20"/>
          <w:szCs w:val="20"/>
          <w:color w:val="auto"/>
        </w:rPr>
      </w:pPr>
    </w:p>
    <w:p>
      <w:pPr>
        <w:ind w:left="1120" w:right="2819"/>
        <w:spacing w:after="0" w:line="250" w:lineRule="auto"/>
        <w:rPr>
          <w:sz w:val="20"/>
          <w:szCs w:val="20"/>
          <w:color w:val="auto"/>
        </w:rPr>
      </w:pPr>
      <w:r>
        <w:rPr>
          <w:rFonts w:ascii="Times New Roman" w:cs="Times New Roman" w:eastAsia="Times New Roman" w:hAnsi="Times New Roman"/>
          <w:sz w:val="14"/>
          <w:szCs w:val="14"/>
          <w:color w:val="auto"/>
        </w:rPr>
        <w:t>The following tables provide a reconciliation of the numerators and denominators of the basic and diluted per share computations for 2002, 2001 and 2000 in accordance with U.S. GAAP. The loss per share for each year presented according to U.S. GAAP may differ from the corresponding amount under Israeli GAAP due to different methods for determining the weighted average number of ordinary shares outstanding and the loss used to compute loss per share. According to Israeli GAAP, the weighted average number of ordinary shares outstanding for each period presented include retroactive effect for the beginning of each period of shares issued upon exercise of share options and upon conversion into shares of convertible debentures during such period, and give effect to shares issuable from options whose exercise is probable and to shares issuable from convertible debentures whose conversion is probable based on specific calculations. According to U.S. GAAP, the amount of shares underlying the options and convertible debentures is accounted for according to the treasury method, regardless of the probability of the exercise of the options or the conversion into shares of the convertible debentures. According to Israeli GAAP, the loss to compute loss per share may include imputed interest income on the exercise price of options exercised during the year and of in-the-money options and convertible debentures, an inclusion which is not required by U.S. GAAP.</w:t>
      </w:r>
    </w:p>
    <w:p>
      <w:pPr>
        <w:spacing w:after="0" w:line="21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MATERIAL DIFFERENCES BETWEEN ISRAEL AND U.S. GAAP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20" w:right="4659" w:hanging="367"/>
        <w:spacing w:after="0" w:line="514" w:lineRule="auto"/>
        <w:tabs>
          <w:tab w:leader="none" w:pos="1099" w:val="left"/>
        </w:tabs>
        <w:numPr>
          <w:ilvl w:val="0"/>
          <w:numId w:val="16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Loss per share data in accordance with U.S. GAAP (SFAS 128) (Continued) </w:t>
      </w:r>
      <w:r>
        <w:rPr>
          <w:rFonts w:ascii="Times New Roman" w:cs="Times New Roman" w:eastAsia="Times New Roman" w:hAnsi="Times New Roman"/>
          <w:sz w:val="14"/>
          <w:szCs w:val="14"/>
          <w:b w:val="1"/>
          <w:bCs w:val="1"/>
          <w:i w:val="1"/>
          <w:iCs w:val="1"/>
          <w:color w:val="auto"/>
        </w:rPr>
        <w:t>Reconciliation for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6350" cy="6604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7">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-3810</wp:posOffset>
            </wp:positionV>
            <wp:extent cx="3437255" cy="635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8">
                      <a:extLst>
                        <a:ext uri="{28A0092B-C50C-407E-A947-70E740481C1C}"/>
                      </a:extLst>
                    </a:blip>
                    <a:srcRect/>
                    <a:stretch>
                      <a:fillRect/>
                    </a:stretch>
                  </pic:blipFill>
                  <pic:spPr bwMode="auto">
                    <a:xfrm>
                      <a:off x="0" y="0"/>
                      <a:ext cx="3437255" cy="635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134"/>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8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Year ended December 31, 2002</w:t>
            </w:r>
          </w:p>
        </w:tc>
        <w:tc>
          <w:tcPr>
            <w:tcW w:w="0" w:type="dxa"/>
            <w:vAlign w:val="bottom"/>
          </w:tcPr>
          <w:p>
            <w:pPr>
              <w:spacing w:after="0"/>
              <w:rPr>
                <w:sz w:val="1"/>
                <w:szCs w:val="1"/>
                <w:color w:val="auto"/>
              </w:rPr>
            </w:pPr>
          </w:p>
        </w:tc>
      </w:tr>
      <w:tr>
        <w:trPr>
          <w:trHeight w:val="86"/>
        </w:trPr>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Loss</w:t>
            </w:r>
          </w:p>
        </w:tc>
        <w:tc>
          <w:tcPr>
            <w:tcW w:w="80" w:type="dxa"/>
            <w:vAlign w:val="bottom"/>
          </w:tcPr>
          <w:p>
            <w:pPr>
              <w:spacing w:after="0"/>
              <w:rPr>
                <w:sz w:val="7"/>
                <w:szCs w:val="7"/>
                <w:color w:val="auto"/>
              </w:rPr>
            </w:pPr>
          </w:p>
        </w:tc>
        <w:tc>
          <w:tcPr>
            <w:tcW w:w="800" w:type="dxa"/>
            <w:vAlign w:val="bottom"/>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7"/>
                <w:szCs w:val="7"/>
                <w:color w:val="auto"/>
              </w:rPr>
            </w:pPr>
          </w:p>
        </w:tc>
        <w:tc>
          <w:tcPr>
            <w:tcW w:w="46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9"/>
                <w:szCs w:val="9"/>
                <w:b w:val="1"/>
                <w:bCs w:val="1"/>
                <w:color w:val="auto"/>
              </w:rPr>
              <w:t>Per-</w:t>
            </w:r>
          </w:p>
        </w:tc>
        <w:tc>
          <w:tcPr>
            <w:tcW w:w="0" w:type="dxa"/>
            <w:vAlign w:val="bottom"/>
          </w:tcPr>
          <w:p>
            <w:pPr>
              <w:spacing w:after="0"/>
              <w:rPr>
                <w:sz w:val="1"/>
                <w:szCs w:val="1"/>
                <w:color w:val="auto"/>
              </w:rPr>
            </w:pPr>
          </w:p>
        </w:tc>
      </w:tr>
      <w:tr>
        <w:trPr>
          <w:trHeight w:val="115"/>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7"/>
              </w:rPr>
              <w:t>Basic Loss Per Share</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9"/>
                <w:szCs w:val="9"/>
                <w:color w:val="auto"/>
              </w:rPr>
            </w:pPr>
          </w:p>
        </w:tc>
        <w:tc>
          <w:tcPr>
            <w:tcW w:w="46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share</w:t>
            </w:r>
          </w:p>
        </w:tc>
        <w:tc>
          <w:tcPr>
            <w:tcW w:w="0" w:type="dxa"/>
            <w:vAlign w:val="bottom"/>
          </w:tcPr>
          <w:p>
            <w:pPr>
              <w:spacing w:after="0"/>
              <w:rPr>
                <w:sz w:val="1"/>
                <w:szCs w:val="1"/>
                <w:color w:val="auto"/>
              </w:rPr>
            </w:pPr>
          </w:p>
        </w:tc>
      </w:tr>
      <w:tr>
        <w:trPr>
          <w:trHeight w:val="87"/>
        </w:trPr>
        <w:tc>
          <w:tcPr>
            <w:tcW w:w="118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(Numerator)</w:t>
            </w:r>
          </w:p>
        </w:tc>
        <w:tc>
          <w:tcPr>
            <w:tcW w:w="80" w:type="dxa"/>
            <w:vAlign w:val="bottom"/>
          </w:tcPr>
          <w:p>
            <w:pPr>
              <w:spacing w:after="0"/>
              <w:rPr>
                <w:sz w:val="7"/>
                <w:szCs w:val="7"/>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(Denominator)</w:t>
            </w:r>
          </w:p>
        </w:tc>
        <w:tc>
          <w:tcPr>
            <w:tcW w:w="80" w:type="dxa"/>
            <w:vAlign w:val="bottom"/>
          </w:tcPr>
          <w:p>
            <w:pPr>
              <w:spacing w:after="0"/>
              <w:rPr>
                <w:sz w:val="7"/>
                <w:szCs w:val="7"/>
                <w:color w:val="auto"/>
              </w:rPr>
            </w:pPr>
          </w:p>
        </w:tc>
        <w:tc>
          <w:tcPr>
            <w:tcW w:w="4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37"/>
        </w:trPr>
        <w:tc>
          <w:tcPr>
            <w:tcW w:w="3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Loss available to ordinary shareholders</w:t>
            </w:r>
          </w:p>
        </w:tc>
        <w:tc>
          <w:tcPr>
            <w:tcW w:w="860" w:type="dxa"/>
            <w:vAlign w:val="bottom"/>
            <w:tcBorders>
              <w:bottom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3020" w:type="dxa"/>
            <w:vAlign w:val="bottom"/>
            <w:gridSpan w:val="4"/>
            <w:vMerge w:val="continue"/>
          </w:tcPr>
          <w:p>
            <w:pPr>
              <w:spacing w:after="0"/>
              <w:rPr>
                <w:sz w:val="13"/>
                <w:szCs w:val="13"/>
                <w:color w:val="auto"/>
              </w:rPr>
            </w:pPr>
          </w:p>
        </w:tc>
        <w:tc>
          <w:tcPr>
            <w:tcW w:w="860" w:type="dxa"/>
            <w:vAlign w:val="bottom"/>
            <w:gridSpan w:val="2"/>
          </w:tcPr>
          <w:p>
            <w:pPr>
              <w:jc w:val="right"/>
              <w:ind w:right="220"/>
              <w:spacing w:after="0" w:line="157" w:lineRule="exact"/>
              <w:rPr>
                <w:sz w:val="20"/>
                <w:szCs w:val="20"/>
                <w:color w:val="auto"/>
              </w:rPr>
            </w:pPr>
            <w:r>
              <w:rPr>
                <w:rFonts w:ascii="Times New Roman" w:cs="Times New Roman" w:eastAsia="Times New Roman" w:hAnsi="Times New Roman"/>
                <w:sz w:val="14"/>
                <w:szCs w:val="14"/>
                <w:color w:val="auto"/>
              </w:rPr>
              <w:t>$(51,402)</w:t>
            </w:r>
          </w:p>
        </w:tc>
        <w:tc>
          <w:tcPr>
            <w:tcW w:w="80" w:type="dxa"/>
            <w:vAlign w:val="bottom"/>
          </w:tcPr>
          <w:p>
            <w:pPr>
              <w:spacing w:after="0"/>
              <w:rPr>
                <w:sz w:val="13"/>
                <w:szCs w:val="13"/>
                <w:color w:val="auto"/>
              </w:rPr>
            </w:pPr>
          </w:p>
        </w:tc>
        <w:tc>
          <w:tcPr>
            <w:tcW w:w="800" w:type="dxa"/>
            <w:vAlign w:val="bottom"/>
            <w:gridSpan w:val="2"/>
          </w:tcPr>
          <w:p>
            <w:pPr>
              <w:jc w:val="right"/>
              <w:ind w:right="260"/>
              <w:spacing w:after="0" w:line="157" w:lineRule="exact"/>
              <w:rPr>
                <w:sz w:val="20"/>
                <w:szCs w:val="20"/>
                <w:color w:val="auto"/>
              </w:rPr>
            </w:pPr>
            <w:r>
              <w:rPr>
                <w:rFonts w:ascii="Times New Roman" w:cs="Times New Roman" w:eastAsia="Times New Roman" w:hAnsi="Times New Roman"/>
                <w:sz w:val="14"/>
                <w:szCs w:val="14"/>
                <w:color w:val="auto"/>
              </w:rPr>
              <w:t>31,523</w:t>
            </w:r>
          </w:p>
        </w:tc>
        <w:tc>
          <w:tcPr>
            <w:tcW w:w="80" w:type="dxa"/>
            <w:vAlign w:val="bottom"/>
          </w:tcPr>
          <w:p>
            <w:pPr>
              <w:spacing w:after="0"/>
              <w:rPr>
                <w:sz w:val="13"/>
                <w:szCs w:val="13"/>
                <w:color w:val="auto"/>
              </w:rPr>
            </w:pPr>
          </w:p>
        </w:tc>
        <w:tc>
          <w:tcPr>
            <w:tcW w:w="460" w:type="dxa"/>
            <w:vAlign w:val="bottom"/>
            <w:gridSpan w:val="2"/>
          </w:tcPr>
          <w:p>
            <w:pPr>
              <w:jc w:val="right"/>
              <w:ind w:right="40"/>
              <w:spacing w:after="0" w:line="157" w:lineRule="exact"/>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(1.63)</w:t>
            </w:r>
          </w:p>
        </w:tc>
        <w:tc>
          <w:tcPr>
            <w:tcW w:w="0" w:type="dxa"/>
            <w:vAlign w:val="bottom"/>
          </w:tcPr>
          <w:p>
            <w:pPr>
              <w:spacing w:after="0"/>
              <w:rPr>
                <w:sz w:val="1"/>
                <w:szCs w:val="1"/>
                <w:color w:val="auto"/>
              </w:rPr>
            </w:pPr>
          </w:p>
        </w:tc>
      </w:tr>
      <w:tr>
        <w:trPr>
          <w:trHeight w:val="20"/>
        </w:trPr>
        <w:tc>
          <w:tcPr>
            <w:tcW w:w="156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4"/>
                <w:szCs w:val="14"/>
                <w:color w:val="auto"/>
                <w:w w:val="97"/>
              </w:rPr>
              <w:t>Effect of Dilutive Securities</w:t>
            </w:r>
          </w:p>
        </w:tc>
        <w:tc>
          <w:tcPr>
            <w:tcW w:w="146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60" w:type="dxa"/>
            <w:vAlign w:val="bottom"/>
            <w:tcBorders>
              <w:bottom w:val="single" w:sz="8" w:color="auto"/>
            </w:tcBorders>
            <w:gridSpan w:val="3"/>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Convertible debentures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Options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280" w:type="dxa"/>
            <w:vAlign w:val="bottom"/>
            <w:tcBorders>
              <w:bottom w:val="single" w:sz="8" w:color="auto"/>
            </w:tcBorders>
            <w:gridSpan w:val="2"/>
          </w:tcPr>
          <w:p>
            <w:pPr>
              <w:spacing w:after="0" w:line="126" w:lineRule="exact"/>
              <w:rPr>
                <w:sz w:val="20"/>
                <w:szCs w:val="20"/>
                <w:color w:val="auto"/>
              </w:rPr>
            </w:pPr>
            <w:r>
              <w:rPr>
                <w:rFonts w:ascii="Times New Roman" w:cs="Times New Roman" w:eastAsia="Times New Roman" w:hAnsi="Times New Roman"/>
                <w:sz w:val="14"/>
                <w:szCs w:val="14"/>
                <w:color w:val="auto"/>
                <w:w w:val="97"/>
              </w:rPr>
              <w:t>Diluted Loss Per Share</w:t>
            </w:r>
          </w:p>
        </w:tc>
        <w:tc>
          <w:tcPr>
            <w:tcW w:w="1740" w:type="dxa"/>
            <w:vAlign w:val="bottom"/>
            <w:gridSpan w:val="2"/>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Loss available to ordinary shareholders after</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assumed conversions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$(51,402)</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31,523</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-567690</wp:posOffset>
            </wp:positionV>
            <wp:extent cx="694055" cy="19685"/>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9">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-1136650</wp:posOffset>
            </wp:positionV>
            <wp:extent cx="13335" cy="635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-1136650</wp:posOffset>
            </wp:positionV>
            <wp:extent cx="13335" cy="635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-977900</wp:posOffset>
            </wp:positionV>
            <wp:extent cx="13335" cy="635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-977900</wp:posOffset>
            </wp:positionV>
            <wp:extent cx="13335" cy="635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-977900</wp:posOffset>
            </wp:positionV>
            <wp:extent cx="13335" cy="635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-977900</wp:posOffset>
            </wp:positionV>
            <wp:extent cx="13335" cy="635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-799465</wp:posOffset>
            </wp:positionV>
            <wp:extent cx="13335" cy="635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-799465</wp:posOffset>
            </wp:positionV>
            <wp:extent cx="13335" cy="635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-799465</wp:posOffset>
            </wp:positionV>
            <wp:extent cx="13335" cy="635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-799465</wp:posOffset>
            </wp:positionV>
            <wp:extent cx="13335" cy="635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-673735</wp:posOffset>
            </wp:positionV>
            <wp:extent cx="13335" cy="635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-673735</wp:posOffset>
            </wp:positionV>
            <wp:extent cx="13335" cy="635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-673735</wp:posOffset>
            </wp:positionV>
            <wp:extent cx="13335" cy="635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-673735</wp:posOffset>
            </wp:positionV>
            <wp:extent cx="13335" cy="635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-548005</wp:posOffset>
            </wp:positionV>
            <wp:extent cx="13335" cy="635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-548005</wp:posOffset>
            </wp:positionV>
            <wp:extent cx="13335" cy="635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-548005</wp:posOffset>
            </wp:positionV>
            <wp:extent cx="13335" cy="635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-548005</wp:posOffset>
            </wp:positionV>
            <wp:extent cx="13335" cy="635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-422275</wp:posOffset>
            </wp:positionV>
            <wp:extent cx="13335" cy="6350"/>
            <wp:wrapNone/>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-422275</wp:posOffset>
            </wp:positionV>
            <wp:extent cx="13335" cy="6350"/>
            <wp:wrapNone/>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-422275</wp:posOffset>
            </wp:positionV>
            <wp:extent cx="13335" cy="6350"/>
            <wp:wrapNone/>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-422275</wp:posOffset>
            </wp:positionV>
            <wp:extent cx="13335" cy="6350"/>
            <wp:wrapNone/>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-296545</wp:posOffset>
            </wp:positionV>
            <wp:extent cx="13335" cy="6350"/>
            <wp:wrapNone/>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-296545</wp:posOffset>
            </wp:positionV>
            <wp:extent cx="13335" cy="6350"/>
            <wp:wrapNone/>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-296545</wp:posOffset>
            </wp:positionV>
            <wp:extent cx="13335" cy="6350"/>
            <wp:wrapNone/>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-296545</wp:posOffset>
            </wp:positionV>
            <wp:extent cx="13335" cy="6350"/>
            <wp:wrapNone/>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-118110</wp:posOffset>
            </wp:positionV>
            <wp:extent cx="13335" cy="6350"/>
            <wp:wrapNone/>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3161665</wp:posOffset>
            </wp:positionH>
            <wp:positionV relativeFrom="paragraph">
              <wp:posOffset>-118110</wp:posOffset>
            </wp:positionV>
            <wp:extent cx="13335" cy="6350"/>
            <wp:wrapNone/>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-118110</wp:posOffset>
            </wp:positionV>
            <wp:extent cx="13335" cy="6350"/>
            <wp:wrapNone/>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-118110</wp:posOffset>
            </wp:positionV>
            <wp:extent cx="13335" cy="6350"/>
            <wp:wrapNone/>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6350" cy="66040"/>
            <wp:wrapNone/>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9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3" w:lineRule="exact"/>
        <w:rPr>
          <w:sz w:val="20"/>
          <w:szCs w:val="20"/>
          <w:color w:val="auto"/>
        </w:rPr>
      </w:pPr>
    </w:p>
    <w:p>
      <w:pPr>
        <w:ind w:left="1120" w:right="2819"/>
        <w:spacing w:after="0" w:line="253" w:lineRule="auto"/>
        <w:rPr>
          <w:sz w:val="20"/>
          <w:szCs w:val="20"/>
          <w:color w:val="auto"/>
        </w:rPr>
      </w:pPr>
      <w:r>
        <w:rPr>
          <w:rFonts w:ascii="Times New Roman" w:cs="Times New Roman" w:eastAsia="Times New Roman" w:hAnsi="Times New Roman"/>
          <w:sz w:val="14"/>
          <w:szCs w:val="14"/>
          <w:color w:val="auto"/>
        </w:rPr>
        <w:t>Options to purchase 10,053,578 Ordinary Shares at an average exercise price of $9.12 per share were outstanding during 2002 but were not included in the computation of diluted loss per share because their effect was anti-dilutive. The options, which as of December 31, 2002 expire between April 2005 and December 2012 (weighted average remaining contractual life of 4.9 years), were still outstanding as of such date. Convertible debentures, convertible into 2,697,068 Ordinary Shares, were outstanding during 2002 but were not included in the computation of diluted loss per share since their effect is anti-dilutive. The convertible debentures may be converted until December 31, 2008 into Ordinary Shares.</w:t>
      </w:r>
    </w:p>
    <w:p>
      <w:pPr>
        <w:sectPr>
          <w:pgSz w:w="11900" w:h="16838" w:orient="portrait"/>
          <w:cols w:equalWidth="0" w:num="1">
            <w:col w:w="10239"/>
          </w:cols>
          <w:pgMar w:left="220" w:top="125" w:right="1440" w:bottom="612" w:gutter="0" w:footer="0" w:header="0"/>
        </w:sectPr>
      </w:pPr>
    </w:p>
    <w:p>
      <w:pPr>
        <w:spacing w:after="0" w:line="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b w:val="1"/>
          <w:bCs w:val="1"/>
          <w:i w:val="1"/>
          <w:iCs w:val="1"/>
          <w:color w:val="auto"/>
        </w:rPr>
        <w:t>Reconciliation for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6350" cy="66040"/>
            <wp:wrapNone/>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91">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126365</wp:posOffset>
            </wp:positionV>
            <wp:extent cx="1864360" cy="6350"/>
            <wp:wrapNone/>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92">
                      <a:extLst>
                        <a:ext uri="{28A0092B-C50C-407E-A947-70E740481C1C}"/>
                      </a:extLst>
                    </a:blip>
                    <a:srcRect/>
                    <a:stretch>
                      <a:fillRect/>
                    </a:stretch>
                  </pic:blipFill>
                  <pic:spPr bwMode="auto">
                    <a:xfrm>
                      <a:off x="0" y="0"/>
                      <a:ext cx="186436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u w:val="single" w:color="auto"/>
          <w:color w:val="auto"/>
        </w:rPr>
        <w:t>Basic Loss Per Share</w:t>
      </w:r>
    </w:p>
    <w:p>
      <w:pPr>
        <w:spacing w:after="0" w:line="3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Loss available to ordinary shareholders</w:t>
      </w:r>
    </w:p>
    <w:p>
      <w:pPr>
        <w:spacing w:after="0" w:line="37" w:lineRule="exact"/>
        <w:rPr>
          <w:sz w:val="20"/>
          <w:szCs w:val="20"/>
          <w:color w:val="auto"/>
        </w:rPr>
      </w:pPr>
    </w:p>
    <w:p>
      <w:pPr>
        <w:spacing w:after="0"/>
        <w:rPr>
          <w:sz w:val="20"/>
          <w:szCs w:val="20"/>
          <w:color w:val="auto"/>
        </w:rPr>
      </w:pPr>
      <w:r>
        <w:rPr>
          <w:sz w:val="1"/>
          <w:szCs w:val="1"/>
          <w:color w:val="auto"/>
        </w:rPr>
        <w:drawing>
          <wp:inline distT="0" distB="0" distL="0" distR="0">
            <wp:extent cx="694055" cy="19685"/>
            <wp:effectExtent l="0" t="0" r="0" b="0"/>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93">
                      <a:extLst>
                        <a:ext uri="{28A0092B-C50C-407E-A947-70E740481C1C}"/>
                      </a:extLst>
                    </a:blip>
                    <a:srcRect/>
                    <a:stretch>
                      <a:fillRect/>
                    </a:stretch>
                  </pic:blipFill>
                  <pic:spPr bwMode="auto">
                    <a:xfrm>
                      <a:off x="0" y="0"/>
                      <a:ext cx="694055" cy="19685"/>
                    </a:xfrm>
                    <a:prstGeom prst="rect">
                      <a:avLst/>
                    </a:prstGeom>
                    <a:noFill/>
                    <a:ln>
                      <a:noFill/>
                    </a:ln>
                  </pic:spPr>
                </pic:pic>
              </a:graphicData>
            </a:graphic>
          </wp:inline>
        </w:drawing>
      </w:r>
      <w:r>
        <w:rPr>
          <w:rFonts w:ascii="Times New Roman" w:cs="Times New Roman" w:eastAsia="Times New Roman" w:hAnsi="Times New Roman"/>
          <w:sz w:val="14"/>
          <w:szCs w:val="14"/>
          <w:u w:val="single" w:color="auto"/>
          <w:color w:val="auto"/>
        </w:rPr>
        <w:t>Effect of Dilutive Securities</w:t>
      </w:r>
    </w:p>
    <w:p>
      <w:pPr>
        <w:spacing w:after="0" w:line="3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Options</w:t>
      </w:r>
    </w:p>
    <w:p>
      <w:pPr>
        <w:spacing w:after="0" w:line="3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u w:val="single" w:color="auto"/>
          <w:color w:val="auto"/>
        </w:rPr>
        <w:t>Diluted Loss Per Share</w:t>
      </w:r>
    </w:p>
    <w:p>
      <w:pPr>
        <w:spacing w:after="0" w:line="37" w:lineRule="exact"/>
        <w:rPr>
          <w:sz w:val="20"/>
          <w:szCs w:val="20"/>
          <w:color w:val="auto"/>
        </w:rPr>
      </w:pPr>
    </w:p>
    <w:p>
      <w:pPr>
        <w:ind w:left="1240" w:hanging="138"/>
        <w:spacing w:after="0" w:line="279" w:lineRule="auto"/>
        <w:rPr>
          <w:sz w:val="20"/>
          <w:szCs w:val="20"/>
          <w:color w:val="auto"/>
        </w:rPr>
      </w:pPr>
      <w:r>
        <w:rPr>
          <w:rFonts w:ascii="Times New Roman" w:cs="Times New Roman" w:eastAsia="Times New Roman" w:hAnsi="Times New Roman"/>
          <w:sz w:val="14"/>
          <w:szCs w:val="14"/>
          <w:color w:val="auto"/>
        </w:rPr>
        <w:t>Loss available to ordinary shareholders after assumed conversions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3175</wp:posOffset>
            </wp:positionV>
            <wp:extent cx="6350" cy="66040"/>
            <wp:wrapNone/>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9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b w:val="1"/>
          <w:bCs w:val="1"/>
          <w:color w:val="auto"/>
        </w:rPr>
        <w:t>Year ended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-87630</wp:posOffset>
            </wp:positionV>
            <wp:extent cx="66040" cy="6350"/>
            <wp:wrapNone/>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5">
                      <a:extLst>
                        <a:ext uri="{28A0092B-C50C-407E-A947-70E740481C1C}"/>
                      </a:extLst>
                    </a:blip>
                    <a:srcRect/>
                    <a:stretch>
                      <a:fillRect/>
                    </a:stretch>
                  </pic:blipFill>
                  <pic:spPr bwMode="auto">
                    <a:xfrm>
                      <a:off x="0" y="0"/>
                      <a:ext cx="66040" cy="6350"/>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-87630</wp:posOffset>
            </wp:positionV>
            <wp:extent cx="6350" cy="6350"/>
            <wp:wrapNone/>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-87630</wp:posOffset>
            </wp:positionV>
            <wp:extent cx="6350" cy="6350"/>
            <wp:wrapNone/>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-87630</wp:posOffset>
            </wp:positionV>
            <wp:extent cx="59690" cy="6350"/>
            <wp:wrapNone/>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8">
                      <a:extLst>
                        <a:ext uri="{28A0092B-C50C-407E-A947-70E740481C1C}"/>
                      </a:extLst>
                    </a:blip>
                    <a:srcRect/>
                    <a:stretch>
                      <a:fillRect/>
                    </a:stretch>
                  </pic:blipFill>
                  <pic:spPr bwMode="auto">
                    <a:xfrm>
                      <a:off x="0" y="0"/>
                      <a:ext cx="59690" cy="635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-87630</wp:posOffset>
            </wp:positionV>
            <wp:extent cx="6350" cy="6350"/>
            <wp:wrapNone/>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942340</wp:posOffset>
            </wp:positionH>
            <wp:positionV relativeFrom="paragraph">
              <wp:posOffset>-87630</wp:posOffset>
            </wp:positionV>
            <wp:extent cx="6350" cy="6350"/>
            <wp:wrapNone/>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40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-87630</wp:posOffset>
            </wp:positionV>
            <wp:extent cx="59690" cy="6350"/>
            <wp:wrapNone/>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401">
                      <a:extLst>
                        <a:ext uri="{28A0092B-C50C-407E-A947-70E740481C1C}"/>
                      </a:extLst>
                    </a:blip>
                    <a:srcRect/>
                    <a:stretch>
                      <a:fillRect/>
                    </a:stretch>
                  </pic:blipFill>
                  <pic:spPr bwMode="auto">
                    <a:xfrm>
                      <a:off x="0" y="0"/>
                      <a:ext cx="59690" cy="6350"/>
                    </a:xfrm>
                    <a:prstGeom prst="rect">
                      <a:avLst/>
                    </a:prstGeom>
                    <a:noFill/>
                  </pic:spPr>
                </pic:pic>
              </a:graphicData>
            </a:graphic>
          </wp:anchor>
        </w:drawing>
        <w:drawing>
          <wp:anchor simplePos="0" relativeHeight="251657728" behindDoc="1" locked="0" layoutInCell="0" allowOverlap="1">
            <wp:simplePos x="0" y="0"/>
            <wp:positionH relativeFrom="column">
              <wp:posOffset>1206500</wp:posOffset>
            </wp:positionH>
            <wp:positionV relativeFrom="paragraph">
              <wp:posOffset>-87630</wp:posOffset>
            </wp:positionV>
            <wp:extent cx="6350" cy="6350"/>
            <wp:wrapNone/>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40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1391920</wp:posOffset>
            </wp:positionH>
            <wp:positionV relativeFrom="paragraph">
              <wp:posOffset>-87630</wp:posOffset>
            </wp:positionV>
            <wp:extent cx="6350" cy="6350"/>
            <wp:wrapNone/>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40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-87630</wp:posOffset>
            </wp:positionV>
            <wp:extent cx="73025" cy="6350"/>
            <wp:wrapNone/>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404">
                      <a:extLst>
                        <a:ext uri="{28A0092B-C50C-407E-A947-70E740481C1C}"/>
                      </a:extLst>
                    </a:blip>
                    <a:srcRect/>
                    <a:stretch>
                      <a:fillRect/>
                    </a:stretch>
                  </pic:blipFill>
                  <pic:spPr bwMode="auto">
                    <a:xfrm>
                      <a:off x="0" y="0"/>
                      <a:ext cx="7302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-41275</wp:posOffset>
            </wp:positionV>
            <wp:extent cx="13335" cy="6350"/>
            <wp:wrapNone/>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-41275</wp:posOffset>
            </wp:positionV>
            <wp:extent cx="13335" cy="6350"/>
            <wp:wrapNone/>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6">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86"/>
        </w:trPr>
        <w:tc>
          <w:tcPr>
            <w:tcW w:w="860" w:type="dxa"/>
            <w:vAlign w:val="bottom"/>
            <w:tcBorders>
              <w:top w:val="single" w:sz="8" w:color="auto"/>
            </w:tcBorders>
            <w:gridSpan w:val="2"/>
            <w:vMerge w:val="restart"/>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Loss</w:t>
            </w: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gridSpan w:val="2"/>
          </w:tcPr>
          <w:p>
            <w:pPr>
              <w:jc w:val="right"/>
              <w:ind w:right="120"/>
              <w:spacing w:after="0" w:line="86" w:lineRule="exact"/>
              <w:rPr>
                <w:sz w:val="20"/>
                <w:szCs w:val="20"/>
                <w:color w:val="auto"/>
              </w:rPr>
            </w:pPr>
            <w:r>
              <w:rPr>
                <w:rFonts w:ascii="Times New Roman" w:cs="Times New Roman" w:eastAsia="Times New Roman" w:hAnsi="Times New Roman"/>
                <w:sz w:val="9"/>
                <w:szCs w:val="9"/>
                <w:b w:val="1"/>
                <w:bCs w:val="1"/>
                <w:color w:val="auto"/>
              </w:rPr>
              <w:t>Per-</w:t>
            </w:r>
          </w:p>
        </w:tc>
        <w:tc>
          <w:tcPr>
            <w:tcW w:w="0" w:type="dxa"/>
            <w:vAlign w:val="bottom"/>
          </w:tcPr>
          <w:p>
            <w:pPr>
              <w:spacing w:after="0"/>
              <w:rPr>
                <w:sz w:val="1"/>
                <w:szCs w:val="1"/>
                <w:color w:val="auto"/>
              </w:rPr>
            </w:pPr>
          </w:p>
        </w:tc>
      </w:tr>
      <w:tr>
        <w:trPr>
          <w:trHeight w:val="115"/>
        </w:trPr>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9"/>
                <w:szCs w:val="9"/>
                <w:color w:val="auto"/>
              </w:rPr>
            </w:pPr>
          </w:p>
        </w:tc>
        <w:tc>
          <w:tcPr>
            <w:tcW w:w="46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share</w:t>
            </w:r>
          </w:p>
        </w:tc>
        <w:tc>
          <w:tcPr>
            <w:tcW w:w="0" w:type="dxa"/>
            <w:vAlign w:val="bottom"/>
          </w:tcPr>
          <w:p>
            <w:pPr>
              <w:spacing w:after="0"/>
              <w:rPr>
                <w:sz w:val="1"/>
                <w:szCs w:val="1"/>
                <w:color w:val="auto"/>
              </w:rPr>
            </w:pPr>
          </w:p>
        </w:tc>
      </w:tr>
      <w:tr>
        <w:trPr>
          <w:trHeight w:val="134"/>
        </w:trPr>
        <w:tc>
          <w:tcPr>
            <w:tcW w:w="8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(Numerator)</w:t>
            </w:r>
          </w:p>
        </w:tc>
        <w:tc>
          <w:tcPr>
            <w:tcW w:w="80" w:type="dxa"/>
            <w:vAlign w:val="bottom"/>
          </w:tcPr>
          <w:p>
            <w:pPr>
              <w:spacing w:after="0"/>
              <w:rPr>
                <w:sz w:val="11"/>
                <w:szCs w:val="11"/>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(Denominator)</w:t>
            </w:r>
          </w:p>
        </w:tc>
        <w:tc>
          <w:tcPr>
            <w:tcW w:w="80" w:type="dxa"/>
            <w:vAlign w:val="bottom"/>
          </w:tcPr>
          <w:p>
            <w:pPr>
              <w:spacing w:after="0"/>
              <w:rPr>
                <w:sz w:val="11"/>
                <w:szCs w:val="11"/>
                <w:color w:val="auto"/>
              </w:rPr>
            </w:pPr>
          </w:p>
        </w:tc>
        <w:tc>
          <w:tcPr>
            <w:tcW w:w="4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355"/>
        </w:trPr>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$(38,492)</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19,724</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0"/>
        </w:trPr>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600" w:type="dxa"/>
            <w:vAlign w:val="bottom"/>
            <w:vMerge w:val="continue"/>
          </w:tcPr>
          <w:p>
            <w:pPr>
              <w:spacing w:after="0"/>
              <w:rPr>
                <w:sz w:val="24"/>
                <w:szCs w:val="24"/>
                <w:color w:val="auto"/>
              </w:rPr>
            </w:pPr>
          </w:p>
        </w:tc>
        <w:tc>
          <w:tcPr>
            <w:tcW w:w="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$(38,492)</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19,724</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-977900</wp:posOffset>
            </wp:positionV>
            <wp:extent cx="13335" cy="6350"/>
            <wp:wrapNone/>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-977900</wp:posOffset>
            </wp:positionV>
            <wp:extent cx="13335" cy="6350"/>
            <wp:wrapNone/>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-977900</wp:posOffset>
            </wp:positionV>
            <wp:extent cx="13335" cy="6350"/>
            <wp:wrapNone/>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-977900</wp:posOffset>
            </wp:positionV>
            <wp:extent cx="13335" cy="6350"/>
            <wp:wrapNone/>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-799465</wp:posOffset>
            </wp:positionV>
            <wp:extent cx="13335" cy="6350"/>
            <wp:wrapNone/>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-799465</wp:posOffset>
            </wp:positionV>
            <wp:extent cx="13335" cy="6350"/>
            <wp:wrapNone/>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-799465</wp:posOffset>
            </wp:positionV>
            <wp:extent cx="13335" cy="6350"/>
            <wp:wrapNone/>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-799465</wp:posOffset>
            </wp:positionV>
            <wp:extent cx="13335" cy="6350"/>
            <wp:wrapNone/>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-673735</wp:posOffset>
            </wp:positionV>
            <wp:extent cx="13335" cy="6350"/>
            <wp:wrapNone/>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-673735</wp:posOffset>
            </wp:positionV>
            <wp:extent cx="13335" cy="6350"/>
            <wp:wrapNone/>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-673735</wp:posOffset>
            </wp:positionV>
            <wp:extent cx="13335" cy="6350"/>
            <wp:wrapNone/>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-673735</wp:posOffset>
            </wp:positionV>
            <wp:extent cx="13335" cy="6350"/>
            <wp:wrapNone/>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-548005</wp:posOffset>
            </wp:positionV>
            <wp:extent cx="13335" cy="6350"/>
            <wp:wrapNone/>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-548005</wp:posOffset>
            </wp:positionV>
            <wp:extent cx="13335" cy="6350"/>
            <wp:wrapNone/>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-548005</wp:posOffset>
            </wp:positionV>
            <wp:extent cx="13335" cy="6350"/>
            <wp:wrapNone/>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-548005</wp:posOffset>
            </wp:positionV>
            <wp:extent cx="13335" cy="6350"/>
            <wp:wrapNone/>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-422275</wp:posOffset>
            </wp:positionV>
            <wp:extent cx="13335" cy="6350"/>
            <wp:wrapNone/>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-422275</wp:posOffset>
            </wp:positionV>
            <wp:extent cx="13335" cy="6350"/>
            <wp:wrapNone/>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-422275</wp:posOffset>
            </wp:positionV>
            <wp:extent cx="13335" cy="6350"/>
            <wp:wrapNone/>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-422275</wp:posOffset>
            </wp:positionV>
            <wp:extent cx="13335" cy="6350"/>
            <wp:wrapNone/>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-296545</wp:posOffset>
            </wp:positionV>
            <wp:extent cx="13335" cy="6350"/>
            <wp:wrapNone/>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-296545</wp:posOffset>
            </wp:positionV>
            <wp:extent cx="13335" cy="6350"/>
            <wp:wrapNone/>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-296545</wp:posOffset>
            </wp:positionV>
            <wp:extent cx="13335" cy="6350"/>
            <wp:wrapNone/>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-296545</wp:posOffset>
            </wp:positionV>
            <wp:extent cx="13335" cy="6350"/>
            <wp:wrapNone/>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-48895</wp:posOffset>
            </wp:positionH>
            <wp:positionV relativeFrom="paragraph">
              <wp:posOffset>-118110</wp:posOffset>
            </wp:positionV>
            <wp:extent cx="13335" cy="6350"/>
            <wp:wrapNone/>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-118110</wp:posOffset>
            </wp:positionV>
            <wp:extent cx="13335" cy="6350"/>
            <wp:wrapNone/>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1107440</wp:posOffset>
            </wp:positionH>
            <wp:positionV relativeFrom="paragraph">
              <wp:posOffset>-118110</wp:posOffset>
            </wp:positionV>
            <wp:extent cx="13335" cy="6350"/>
            <wp:wrapNone/>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-118110</wp:posOffset>
            </wp:positionV>
            <wp:extent cx="13335" cy="6350"/>
            <wp:wrapNone/>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3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3560" w:space="560"/>
            <w:col w:w="6119"/>
          </w:cols>
          <w:pgMar w:left="220" w:top="125" w:right="1440" w:bottom="612" w:gutter="0" w:footer="0" w:header="0"/>
          <w:type w:val="continuous"/>
        </w:sectPr>
      </w:pPr>
    </w:p>
    <w:p>
      <w:pPr>
        <w:ind w:left="1120" w:right="2819"/>
        <w:spacing w:after="0" w:line="258" w:lineRule="auto"/>
        <w:rPr>
          <w:sz w:val="20"/>
          <w:szCs w:val="20"/>
          <w:color w:val="auto"/>
        </w:rPr>
      </w:pPr>
      <w:r>
        <w:rPr>
          <w:rFonts w:ascii="Times New Roman" w:cs="Times New Roman" w:eastAsia="Times New Roman" w:hAnsi="Times New Roman"/>
          <w:sz w:val="14"/>
          <w:szCs w:val="14"/>
          <w:color w:val="auto"/>
        </w:rPr>
        <w:t>Options to purchase 4,117,770 Ordinary Shares at an average exercise price of $11.39 per share were outstanding during 2001 but were not included in the computation of diluted loss per share because their effect was anti-dilutive. The options, which as of December 31, 2001 expire between April 2005 and December 2011 (weighted average remaining contractual life of 6.84 years), were still outstanding as of such date.</w:t>
      </w:r>
    </w:p>
    <w:p>
      <w:pPr>
        <w:spacing w:after="0" w:line="19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125" w:right="1440" w:bottom="612" w:gutter="0" w:footer="0" w:header="0"/>
          <w:type w:val="continuous"/>
        </w:sectPr>
      </w:pPr>
    </w:p>
    <w:bookmarkStart w:id="71" w:name="page72"/>
    <w:bookmarkEnd w:id="71"/>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 xml:space="preserve">NOTES TO CONSOLIDATED FINANCIAL STATEMENTS </w:t>
      </w:r>
      <w:r>
        <w:rPr>
          <w:rFonts w:ascii="Times New Roman" w:cs="Times New Roman" w:eastAsia="Times New Roman" w:hAnsi="Times New Roman"/>
          <w:sz w:val="13"/>
          <w:szCs w:val="13"/>
          <w:b w:val="1"/>
          <w:bCs w:val="1"/>
          <w:color w:val="auto"/>
        </w:rPr>
        <w:t>(Continued)</w:t>
      </w:r>
    </w:p>
    <w:p>
      <w:pPr>
        <w:spacing w:after="0" w:line="1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20 — MATERIAL DIFFERENCES BETWEEN ISRAEL AND U.S. GAAP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20" w:right="4659" w:hanging="367"/>
        <w:spacing w:after="0" w:line="514" w:lineRule="auto"/>
        <w:tabs>
          <w:tab w:leader="none" w:pos="1099" w:val="left"/>
        </w:tabs>
        <w:numPr>
          <w:ilvl w:val="0"/>
          <w:numId w:val="17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Loss per share data in accordance with U.S. GAAP (SFAS 128) (Continued) </w:t>
      </w:r>
      <w:r>
        <w:rPr>
          <w:rFonts w:ascii="Times New Roman" w:cs="Times New Roman" w:eastAsia="Times New Roman" w:hAnsi="Times New Roman"/>
          <w:sz w:val="14"/>
          <w:szCs w:val="14"/>
          <w:b w:val="1"/>
          <w:bCs w:val="1"/>
          <w:i w:val="1"/>
          <w:iCs w:val="1"/>
          <w:color w:val="auto"/>
        </w:rPr>
        <w:t>Reconciliation for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6350" cy="66040"/>
            <wp:wrapNone/>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7">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-3810</wp:posOffset>
            </wp:positionV>
            <wp:extent cx="3390900" cy="6350"/>
            <wp:wrapNone/>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8">
                      <a:extLst>
                        <a:ext uri="{28A0092B-C50C-407E-A947-70E740481C1C}"/>
                      </a:extLst>
                    </a:blip>
                    <a:srcRect/>
                    <a:stretch>
                      <a:fillRect/>
                    </a:stretch>
                  </pic:blipFill>
                  <pic:spPr bwMode="auto">
                    <a:xfrm>
                      <a:off x="0" y="0"/>
                      <a:ext cx="3390900" cy="635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134"/>
        </w:trPr>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Year ended December 31, 2000</w:t>
            </w:r>
          </w:p>
        </w:tc>
        <w:tc>
          <w:tcPr>
            <w:tcW w:w="0" w:type="dxa"/>
            <w:vAlign w:val="bottom"/>
          </w:tcPr>
          <w:p>
            <w:pPr>
              <w:spacing w:after="0"/>
              <w:rPr>
                <w:sz w:val="1"/>
                <w:szCs w:val="1"/>
                <w:color w:val="auto"/>
              </w:rPr>
            </w:pPr>
          </w:p>
        </w:tc>
      </w:tr>
      <w:tr>
        <w:trPr>
          <w:trHeight w:val="86"/>
        </w:trPr>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80" w:type="dxa"/>
            <w:vAlign w:val="bottom"/>
          </w:tcPr>
          <w:p>
            <w:pPr>
              <w:spacing w:after="0"/>
              <w:rPr>
                <w:sz w:val="7"/>
                <w:szCs w:val="7"/>
                <w:color w:val="auto"/>
              </w:rPr>
            </w:pPr>
          </w:p>
        </w:tc>
        <w:tc>
          <w:tcPr>
            <w:tcW w:w="820" w:type="dxa"/>
            <w:vAlign w:val="bottom"/>
            <w:gridSpan w:val="2"/>
          </w:tcPr>
          <w:p>
            <w:pPr>
              <w:jc w:val="center"/>
              <w:spacing w:after="0" w:line="86" w:lineRule="exact"/>
              <w:rPr>
                <w:sz w:val="20"/>
                <w:szCs w:val="20"/>
                <w:color w:val="auto"/>
              </w:rPr>
            </w:pPr>
            <w:r>
              <w:rPr>
                <w:rFonts w:ascii="Times New Roman" w:cs="Times New Roman" w:eastAsia="Times New Roman" w:hAnsi="Times New Roman"/>
                <w:sz w:val="9"/>
                <w:szCs w:val="9"/>
                <w:b w:val="1"/>
                <w:bCs w:val="1"/>
                <w:color w:val="auto"/>
              </w:rPr>
              <w:t>Shares</w:t>
            </w:r>
          </w:p>
        </w:tc>
        <w:tc>
          <w:tcPr>
            <w:tcW w:w="80" w:type="dxa"/>
            <w:vAlign w:val="bottom"/>
          </w:tcPr>
          <w:p>
            <w:pPr>
              <w:spacing w:after="0"/>
              <w:rPr>
                <w:sz w:val="7"/>
                <w:szCs w:val="7"/>
                <w:color w:val="auto"/>
              </w:rPr>
            </w:pPr>
          </w:p>
        </w:tc>
        <w:tc>
          <w:tcPr>
            <w:tcW w:w="440" w:type="dxa"/>
            <w:vAlign w:val="bottom"/>
            <w:gridSpan w:val="2"/>
          </w:tcPr>
          <w:p>
            <w:pPr>
              <w:jc w:val="right"/>
              <w:ind w:right="120"/>
              <w:spacing w:after="0" w:line="86" w:lineRule="exact"/>
              <w:rPr>
                <w:sz w:val="20"/>
                <w:szCs w:val="20"/>
                <w:color w:val="auto"/>
              </w:rPr>
            </w:pPr>
            <w:r>
              <w:rPr>
                <w:rFonts w:ascii="Times New Roman" w:cs="Times New Roman" w:eastAsia="Times New Roman" w:hAnsi="Times New Roman"/>
                <w:sz w:val="9"/>
                <w:szCs w:val="9"/>
                <w:b w:val="1"/>
                <w:bCs w:val="1"/>
                <w:color w:val="auto"/>
              </w:rPr>
              <w:t>Per-</w:t>
            </w:r>
          </w:p>
        </w:tc>
        <w:tc>
          <w:tcPr>
            <w:tcW w:w="0" w:type="dxa"/>
            <w:vAlign w:val="bottom"/>
          </w:tcPr>
          <w:p>
            <w:pPr>
              <w:spacing w:after="0"/>
              <w:rPr>
                <w:sz w:val="1"/>
                <w:szCs w:val="1"/>
                <w:color w:val="auto"/>
              </w:rPr>
            </w:pPr>
          </w:p>
        </w:tc>
      </w:tr>
      <w:tr>
        <w:trPr>
          <w:trHeight w:val="115"/>
        </w:trPr>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(in thousands)</w:t>
            </w:r>
          </w:p>
        </w:tc>
        <w:tc>
          <w:tcPr>
            <w:tcW w:w="80" w:type="dxa"/>
            <w:vAlign w:val="bottom"/>
          </w:tcPr>
          <w:p>
            <w:pPr>
              <w:spacing w:after="0"/>
              <w:rPr>
                <w:sz w:val="9"/>
                <w:szCs w:val="9"/>
                <w:color w:val="auto"/>
              </w:rPr>
            </w:pPr>
          </w:p>
        </w:tc>
        <w:tc>
          <w:tcPr>
            <w:tcW w:w="44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share</w:t>
            </w:r>
          </w:p>
        </w:tc>
        <w:tc>
          <w:tcPr>
            <w:tcW w:w="0" w:type="dxa"/>
            <w:vAlign w:val="bottom"/>
          </w:tcPr>
          <w:p>
            <w:pPr>
              <w:spacing w:after="0"/>
              <w:rPr>
                <w:sz w:val="1"/>
                <w:szCs w:val="1"/>
                <w:color w:val="auto"/>
              </w:rPr>
            </w:pPr>
          </w:p>
        </w:tc>
      </w:tr>
      <w:tr>
        <w:trPr>
          <w:trHeight w:val="134"/>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7"/>
              </w:rPr>
              <w:t>Basic Loss Per Share</w:t>
            </w:r>
          </w:p>
        </w:tc>
        <w:tc>
          <w:tcPr>
            <w:tcW w:w="1840" w:type="dxa"/>
            <w:vAlign w:val="bottom"/>
            <w:gridSpan w:val="3"/>
            <w:vMerge w:val="restart"/>
          </w:tcPr>
          <w:p>
            <w:pPr>
              <w:spacing w:after="0"/>
              <w:rPr>
                <w:sz w:val="11"/>
                <w:szCs w:val="11"/>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(Numerator)</w:t>
            </w:r>
          </w:p>
        </w:tc>
        <w:tc>
          <w:tcPr>
            <w:tcW w:w="80" w:type="dxa"/>
            <w:vAlign w:val="bottom"/>
          </w:tcPr>
          <w:p>
            <w:pPr>
              <w:spacing w:after="0"/>
              <w:rPr>
                <w:sz w:val="11"/>
                <w:szCs w:val="11"/>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(Denominator)</w:t>
            </w:r>
          </w:p>
        </w:tc>
        <w:tc>
          <w:tcPr>
            <w:tcW w:w="80" w:type="dxa"/>
            <w:vAlign w:val="bottom"/>
          </w:tcPr>
          <w:p>
            <w:pPr>
              <w:spacing w:after="0"/>
              <w:rPr>
                <w:sz w:val="11"/>
                <w:szCs w:val="11"/>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31"/>
        </w:trPr>
        <w:tc>
          <w:tcPr>
            <w:tcW w:w="1180" w:type="dxa"/>
            <w:vAlign w:val="bottom"/>
            <w:tcBorders>
              <w:bottom w:val="single" w:sz="8" w:color="auto"/>
            </w:tcBorders>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3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Loss available to ordinary shareholders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$(3,989)</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12,186</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20"/>
        </w:trPr>
        <w:tc>
          <w:tcPr>
            <w:tcW w:w="1560" w:type="dxa"/>
            <w:vAlign w:val="bottom"/>
            <w:gridSpan w:val="3"/>
            <w:vMerge w:val="restart"/>
          </w:tcPr>
          <w:p>
            <w:pPr>
              <w:spacing w:after="0" w:line="147" w:lineRule="exact"/>
              <w:rPr>
                <w:sz w:val="20"/>
                <w:szCs w:val="20"/>
                <w:color w:val="auto"/>
              </w:rPr>
            </w:pPr>
            <w:r>
              <w:rPr>
                <w:rFonts w:ascii="Times New Roman" w:cs="Times New Roman" w:eastAsia="Times New Roman" w:hAnsi="Times New Roman"/>
                <w:sz w:val="14"/>
                <w:szCs w:val="14"/>
                <w:color w:val="auto"/>
                <w:w w:val="97"/>
              </w:rPr>
              <w:t>Effect of Dilutive Securities</w:t>
            </w:r>
          </w:p>
        </w:tc>
        <w:tc>
          <w:tcPr>
            <w:tcW w:w="146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560" w:type="dxa"/>
            <w:vAlign w:val="bottom"/>
            <w:tcBorders>
              <w:bottom w:val="single" w:sz="8" w:color="auto"/>
            </w:tcBorders>
            <w:gridSpan w:val="3"/>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Options</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1280" w:type="dxa"/>
            <w:vAlign w:val="bottom"/>
            <w:tcBorders>
              <w:bottom w:val="single" w:sz="8" w:color="auto"/>
            </w:tcBorders>
            <w:gridSpan w:val="2"/>
          </w:tcPr>
          <w:p>
            <w:pPr>
              <w:spacing w:after="0" w:line="126" w:lineRule="exact"/>
              <w:rPr>
                <w:sz w:val="20"/>
                <w:szCs w:val="20"/>
                <w:color w:val="auto"/>
              </w:rPr>
            </w:pPr>
            <w:r>
              <w:rPr>
                <w:rFonts w:ascii="Times New Roman" w:cs="Times New Roman" w:eastAsia="Times New Roman" w:hAnsi="Times New Roman"/>
                <w:sz w:val="14"/>
                <w:szCs w:val="14"/>
                <w:color w:val="auto"/>
                <w:w w:val="97"/>
              </w:rPr>
              <w:t>Diluted Loss Per Share</w:t>
            </w:r>
          </w:p>
        </w:tc>
        <w:tc>
          <w:tcPr>
            <w:tcW w:w="1740" w:type="dxa"/>
            <w:vAlign w:val="bottom"/>
            <w:gridSpan w:val="2"/>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Loss available to ordinary shareholders after</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20" w:type="dxa"/>
            <w:vAlign w:val="bottom"/>
            <w:gridSpan w:val="4"/>
          </w:tcPr>
          <w:p>
            <w:pPr>
              <w:ind w:left="140"/>
              <w:spacing w:after="0"/>
              <w:rPr>
                <w:sz w:val="20"/>
                <w:szCs w:val="20"/>
                <w:color w:val="auto"/>
              </w:rPr>
            </w:pPr>
            <w:r>
              <w:rPr>
                <w:rFonts w:ascii="Times New Roman" w:cs="Times New Roman" w:eastAsia="Times New Roman" w:hAnsi="Times New Roman"/>
                <w:sz w:val="14"/>
                <w:szCs w:val="14"/>
                <w:color w:val="auto"/>
              </w:rPr>
              <w:t>assumed conversions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$(3,989)</w:t>
            </w: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12,186</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(0.33)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-567690</wp:posOffset>
            </wp:positionV>
            <wp:extent cx="694055" cy="19685"/>
            <wp:wrapNone/>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9">
                      <a:extLst>
                        <a:ext uri="{28A0092B-C50C-407E-A947-70E740481C1C}"/>
                      </a:extLst>
                    </a:blip>
                    <a:srcRect/>
                    <a:stretch>
                      <a:fillRect/>
                    </a:stretch>
                  </pic:blipFill>
                  <pic:spPr bwMode="auto">
                    <a:xfrm>
                      <a:off x="0" y="0"/>
                      <a:ext cx="694055" cy="19685"/>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-1136650</wp:posOffset>
            </wp:positionV>
            <wp:extent cx="13335" cy="6350"/>
            <wp:wrapNone/>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-1136650</wp:posOffset>
            </wp:positionV>
            <wp:extent cx="13335" cy="6350"/>
            <wp:wrapNone/>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-977900</wp:posOffset>
            </wp:positionV>
            <wp:extent cx="13335" cy="6350"/>
            <wp:wrapNone/>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-977900</wp:posOffset>
            </wp:positionV>
            <wp:extent cx="13335" cy="6350"/>
            <wp:wrapNone/>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-977900</wp:posOffset>
            </wp:positionV>
            <wp:extent cx="13335" cy="6350"/>
            <wp:wrapNone/>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-977900</wp:posOffset>
            </wp:positionV>
            <wp:extent cx="13335" cy="6350"/>
            <wp:wrapNone/>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-799465</wp:posOffset>
            </wp:positionV>
            <wp:extent cx="13335" cy="6350"/>
            <wp:wrapNone/>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-799465</wp:posOffset>
            </wp:positionV>
            <wp:extent cx="13335" cy="6350"/>
            <wp:wrapNone/>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-799465</wp:posOffset>
            </wp:positionV>
            <wp:extent cx="13335" cy="6350"/>
            <wp:wrapNone/>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-799465</wp:posOffset>
            </wp:positionV>
            <wp:extent cx="13335" cy="6350"/>
            <wp:wrapNone/>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-673735</wp:posOffset>
            </wp:positionV>
            <wp:extent cx="13335" cy="6350"/>
            <wp:wrapNone/>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-673735</wp:posOffset>
            </wp:positionV>
            <wp:extent cx="13335" cy="6350"/>
            <wp:wrapNone/>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-673735</wp:posOffset>
            </wp:positionV>
            <wp:extent cx="13335" cy="6350"/>
            <wp:wrapNone/>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-673735</wp:posOffset>
            </wp:positionV>
            <wp:extent cx="13335" cy="6350"/>
            <wp:wrapNone/>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-548005</wp:posOffset>
            </wp:positionV>
            <wp:extent cx="13335" cy="6350"/>
            <wp:wrapNone/>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-548005</wp:posOffset>
            </wp:positionV>
            <wp:extent cx="13335" cy="6350"/>
            <wp:wrapNone/>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-548005</wp:posOffset>
            </wp:positionV>
            <wp:extent cx="13335" cy="6350"/>
            <wp:wrapNone/>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-548005</wp:posOffset>
            </wp:positionV>
            <wp:extent cx="13335" cy="6350"/>
            <wp:wrapNone/>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-422275</wp:posOffset>
            </wp:positionV>
            <wp:extent cx="13335" cy="6350"/>
            <wp:wrapNone/>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-422275</wp:posOffset>
            </wp:positionV>
            <wp:extent cx="13335" cy="6350"/>
            <wp:wrapNone/>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-422275</wp:posOffset>
            </wp:positionV>
            <wp:extent cx="13335" cy="6350"/>
            <wp:wrapNone/>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-422275</wp:posOffset>
            </wp:positionV>
            <wp:extent cx="13335" cy="6350"/>
            <wp:wrapNone/>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-296545</wp:posOffset>
            </wp:positionV>
            <wp:extent cx="13335" cy="6350"/>
            <wp:wrapNone/>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-296545</wp:posOffset>
            </wp:positionV>
            <wp:extent cx="13335" cy="6350"/>
            <wp:wrapNone/>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-296545</wp:posOffset>
            </wp:positionV>
            <wp:extent cx="13335" cy="6350"/>
            <wp:wrapNone/>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-296545</wp:posOffset>
            </wp:positionV>
            <wp:extent cx="13335" cy="6350"/>
            <wp:wrapNone/>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2566670</wp:posOffset>
            </wp:positionH>
            <wp:positionV relativeFrom="paragraph">
              <wp:posOffset>-118110</wp:posOffset>
            </wp:positionV>
            <wp:extent cx="13335" cy="6350"/>
            <wp:wrapNone/>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3115310</wp:posOffset>
            </wp:positionH>
            <wp:positionV relativeFrom="paragraph">
              <wp:posOffset>-118110</wp:posOffset>
            </wp:positionV>
            <wp:extent cx="13335" cy="6350"/>
            <wp:wrapNone/>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-118110</wp:posOffset>
            </wp:positionV>
            <wp:extent cx="13335" cy="6350"/>
            <wp:wrapNone/>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-118110</wp:posOffset>
            </wp:positionV>
            <wp:extent cx="13335" cy="6350"/>
            <wp:wrapNone/>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0</wp:posOffset>
            </wp:positionV>
            <wp:extent cx="6350" cy="66040"/>
            <wp:wrapNone/>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7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3" w:lineRule="exact"/>
        <w:rPr>
          <w:sz w:val="20"/>
          <w:szCs w:val="20"/>
          <w:color w:val="auto"/>
        </w:rPr>
      </w:pPr>
    </w:p>
    <w:p>
      <w:pPr>
        <w:ind w:left="1120" w:right="2819"/>
        <w:spacing w:after="0" w:line="258" w:lineRule="auto"/>
        <w:rPr>
          <w:sz w:val="20"/>
          <w:szCs w:val="20"/>
          <w:color w:val="auto"/>
        </w:rPr>
      </w:pPr>
      <w:r>
        <w:rPr>
          <w:rFonts w:ascii="Times New Roman" w:cs="Times New Roman" w:eastAsia="Times New Roman" w:hAnsi="Times New Roman"/>
          <w:sz w:val="14"/>
          <w:szCs w:val="14"/>
          <w:color w:val="auto"/>
        </w:rPr>
        <w:t>Options to purchase 2,376,543 Ordinary Shares at an average exercise price of $13.34 per share were outstanding during 2000 but were not included in the computation of diluted loss per share because their effect was anti-dilutive. The options, which as of December 31, 2000 expire between October 2003 and December 2010 (weighted average remaining contractual life of 8.52 years), were still outstanding as of such date.</w:t>
      </w:r>
    </w:p>
    <w:p>
      <w:pPr>
        <w:spacing w:after="0" w:line="19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71">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Tower Semiconductor Ltd.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Migdal Ha'emek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Gentlemen: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919855" cy="6350"/>
            <wp:wrapNone/>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72">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77"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3"/>
          <w:szCs w:val="13"/>
          <w:b w:val="1"/>
          <w:bCs w:val="1"/>
          <w:color w:val="auto"/>
        </w:rPr>
        <w:t>Review of Unaudited Condensed Interim</w:t>
      </w:r>
    </w:p>
    <w:p>
      <w:pPr>
        <w:spacing w:after="0" w:line="2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b w:val="1"/>
          <w:bCs w:val="1"/>
          <w:u w:val="single" w:color="auto"/>
          <w:color w:val="auto"/>
        </w:rPr>
        <w:t>Consolidated Financial Statements as of September 30, 2003</w:t>
      </w:r>
    </w:p>
    <w:p>
      <w:pPr>
        <w:spacing w:after="0" w:line="240" w:lineRule="exact"/>
        <w:rPr>
          <w:sz w:val="20"/>
          <w:szCs w:val="20"/>
          <w:color w:val="auto"/>
        </w:rPr>
      </w:pPr>
    </w:p>
    <w:p>
      <w:pPr>
        <w:ind w:right="4099"/>
        <w:spacing w:after="0" w:line="279" w:lineRule="auto"/>
        <w:rPr>
          <w:sz w:val="20"/>
          <w:szCs w:val="20"/>
          <w:color w:val="auto"/>
        </w:rPr>
      </w:pPr>
      <w:r>
        <w:rPr>
          <w:rFonts w:ascii="Times New Roman" w:cs="Times New Roman" w:eastAsia="Times New Roman" w:hAnsi="Times New Roman"/>
          <w:sz w:val="14"/>
          <w:szCs w:val="14"/>
          <w:color w:val="auto"/>
        </w:rPr>
        <w:t>At your request, we have reviewed the condensed interim consolidated financial statements ("interim financial statements") of Tower Semiconductor Ltd. ("the Company") and its subsidiary,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919855" cy="6350"/>
            <wp:wrapNone/>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73">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33" w:lineRule="exact"/>
        <w:rPr>
          <w:sz w:val="20"/>
          <w:szCs w:val="20"/>
          <w:color w:val="auto"/>
        </w:rPr>
      </w:pPr>
    </w:p>
    <w:p>
      <w:pPr>
        <w:ind w:left="160" w:hanging="157"/>
        <w:spacing w:after="0"/>
        <w:tabs>
          <w:tab w:leader="none" w:pos="1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sheet as of September 30, 2003.</w:t>
      </w:r>
    </w:p>
    <w:p>
      <w:pPr>
        <w:spacing w:after="0" w:line="182" w:lineRule="exact"/>
        <w:rPr>
          <w:rFonts w:ascii="Times New Roman" w:cs="Times New Roman" w:eastAsia="Times New Roman" w:hAnsi="Times New Roman"/>
          <w:sz w:val="14"/>
          <w:szCs w:val="14"/>
          <w:color w:val="auto"/>
        </w:rPr>
      </w:pPr>
    </w:p>
    <w:p>
      <w:pPr>
        <w:ind w:left="160" w:hanging="157"/>
        <w:spacing w:after="0"/>
        <w:tabs>
          <w:tab w:leader="none" w:pos="1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of operations for the nine months and three months ended September 30, 2003.</w:t>
      </w:r>
    </w:p>
    <w:p>
      <w:pPr>
        <w:spacing w:after="0" w:line="182" w:lineRule="exact"/>
        <w:rPr>
          <w:rFonts w:ascii="Times New Roman" w:cs="Times New Roman" w:eastAsia="Times New Roman" w:hAnsi="Times New Roman"/>
          <w:sz w:val="14"/>
          <w:szCs w:val="14"/>
          <w:color w:val="auto"/>
        </w:rPr>
      </w:pPr>
    </w:p>
    <w:p>
      <w:pPr>
        <w:ind w:left="160" w:right="4279" w:hanging="157"/>
        <w:spacing w:after="0" w:line="279" w:lineRule="auto"/>
        <w:tabs>
          <w:tab w:leader="none" w:pos="1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 of changes in shareholders' equity for the nine months and three months ended September 30, 2003.</w:t>
      </w:r>
    </w:p>
    <w:p>
      <w:pPr>
        <w:spacing w:after="0" w:line="135" w:lineRule="exact"/>
        <w:rPr>
          <w:rFonts w:ascii="Times New Roman" w:cs="Times New Roman" w:eastAsia="Times New Roman" w:hAnsi="Times New Roman"/>
          <w:sz w:val="14"/>
          <w:szCs w:val="14"/>
          <w:color w:val="auto"/>
        </w:rPr>
      </w:pPr>
    </w:p>
    <w:p>
      <w:pPr>
        <w:ind w:left="160" w:hanging="157"/>
        <w:spacing w:after="0"/>
        <w:tabs>
          <w:tab w:leader="none" w:pos="1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of cash flows for the nine months and three months ended September 30,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-694055</wp:posOffset>
            </wp:positionV>
            <wp:extent cx="3919855" cy="6350"/>
            <wp:wrapNone/>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74">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-475615</wp:posOffset>
            </wp:positionV>
            <wp:extent cx="3919855" cy="6350"/>
            <wp:wrapNone/>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5">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3919855" cy="6350"/>
            <wp:wrapNone/>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6">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52" w:lineRule="exact"/>
        <w:rPr>
          <w:sz w:val="20"/>
          <w:szCs w:val="20"/>
          <w:color w:val="auto"/>
        </w:rPr>
      </w:pPr>
    </w:p>
    <w:p>
      <w:pPr>
        <w:ind w:right="4279"/>
        <w:spacing w:after="0" w:line="258" w:lineRule="auto"/>
        <w:rPr>
          <w:sz w:val="20"/>
          <w:szCs w:val="20"/>
          <w:color w:val="auto"/>
        </w:rPr>
      </w:pPr>
      <w:r>
        <w:rPr>
          <w:rFonts w:ascii="Times New Roman" w:cs="Times New Roman" w:eastAsia="Times New Roman" w:hAnsi="Times New Roman"/>
          <w:sz w:val="14"/>
          <w:szCs w:val="14"/>
          <w:color w:val="auto"/>
        </w:rPr>
        <w:t>Our review was conducted in accordance with procedures prescribed by the Institute of Certified Public Accountants in Israel. The procedures included, inter alia, reading the aforementioned interim financial statements, reading the minutes of the shareholders' meetings and meetings of the board of directors and its committees, and making inquiries with the persons responsible for financial and accounting affairs.</w:t>
      </w:r>
    </w:p>
    <w:p>
      <w:pPr>
        <w:spacing w:after="0" w:line="57" w:lineRule="exact"/>
        <w:rPr>
          <w:sz w:val="20"/>
          <w:szCs w:val="20"/>
          <w:color w:val="auto"/>
        </w:rPr>
      </w:pPr>
    </w:p>
    <w:p>
      <w:pPr>
        <w:jc w:val="both"/>
        <w:ind w:right="4219"/>
        <w:spacing w:after="0" w:line="263" w:lineRule="auto"/>
        <w:rPr>
          <w:sz w:val="20"/>
          <w:szCs w:val="20"/>
          <w:color w:val="auto"/>
        </w:rPr>
      </w:pPr>
      <w:r>
        <w:rPr>
          <w:rFonts w:ascii="Times New Roman" w:cs="Times New Roman" w:eastAsia="Times New Roman" w:hAnsi="Times New Roman"/>
          <w:sz w:val="14"/>
          <w:szCs w:val="14"/>
          <w:color w:val="auto"/>
        </w:rPr>
        <w:t>Since the review that was performed is limited in scope and does not constitute an audit in accordance with generally accepted auditing standards, we do not express an opinion on the aforementioned interim financial statements.</w:t>
      </w:r>
    </w:p>
    <w:p>
      <w:pPr>
        <w:spacing w:after="0" w:line="54" w:lineRule="exact"/>
        <w:rPr>
          <w:sz w:val="20"/>
          <w:szCs w:val="20"/>
          <w:color w:val="auto"/>
        </w:rPr>
      </w:pPr>
    </w:p>
    <w:p>
      <w:pPr>
        <w:ind w:right="3959"/>
        <w:spacing w:after="0" w:line="263" w:lineRule="auto"/>
        <w:rPr>
          <w:sz w:val="20"/>
          <w:szCs w:val="20"/>
          <w:color w:val="auto"/>
        </w:rPr>
      </w:pPr>
      <w:r>
        <w:rPr>
          <w:rFonts w:ascii="Times New Roman" w:cs="Times New Roman" w:eastAsia="Times New Roman" w:hAnsi="Times New Roman"/>
          <w:sz w:val="14"/>
          <w:szCs w:val="14"/>
          <w:color w:val="auto"/>
        </w:rPr>
        <w:t>In performing our review, nothing came to our attention which indicates that material adjustments are required to the interim financial statements for them to be deemed financial statements prepared in conformity with accounting principles generally accepted in Israel.</w:t>
      </w:r>
    </w:p>
    <w:p>
      <w:pPr>
        <w:spacing w:after="0" w:line="54" w:lineRule="exact"/>
        <w:rPr>
          <w:sz w:val="20"/>
          <w:szCs w:val="20"/>
          <w:color w:val="auto"/>
        </w:rPr>
      </w:pPr>
    </w:p>
    <w:p>
      <w:pPr>
        <w:ind w:right="3979"/>
        <w:spacing w:after="0" w:line="293" w:lineRule="auto"/>
        <w:rPr>
          <w:sz w:val="20"/>
          <w:szCs w:val="20"/>
          <w:color w:val="auto"/>
        </w:rPr>
      </w:pPr>
      <w:r>
        <w:rPr>
          <w:rFonts w:ascii="Times New Roman" w:cs="Times New Roman" w:eastAsia="Times New Roman" w:hAnsi="Times New Roman"/>
          <w:sz w:val="13"/>
          <w:szCs w:val="13"/>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 and for the periods presented is summarized in Note 5.</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Respectfully submitted,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Brightman Almagor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Certified Public Accountants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member of Deloitte Touche Tohmatsu</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 Aviv, Israel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17, 2003</w:t>
      </w:r>
    </w:p>
    <w:p>
      <w:pPr>
        <w:spacing w:after="0" w:line="20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8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4514850" cy="73025"/>
            <wp:wrapNone/>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8">
                      <a:extLst>
                        <a:ext uri="{28A0092B-C50C-407E-A947-70E740481C1C}"/>
                      </a:extLst>
                    </a:blip>
                    <a:srcRect/>
                    <a:stretch>
                      <a:fillRect/>
                    </a:stretch>
                  </pic:blipFill>
                  <pic:spPr bwMode="auto">
                    <a:xfrm>
                      <a:off x="0" y="0"/>
                      <a:ext cx="4514850" cy="73025"/>
                    </a:xfrm>
                    <a:prstGeom prst="rect">
                      <a:avLst/>
                    </a:prstGeom>
                    <a:noFill/>
                  </pic:spPr>
                </pic:pic>
              </a:graphicData>
            </a:graphic>
          </wp:anchor>
        </w:drawing>
      </w:r>
    </w:p>
    <w:p>
      <w:pPr>
        <w:spacing w:after="0" w:line="185" w:lineRule="exact"/>
        <w:rPr>
          <w:sz w:val="20"/>
          <w:szCs w:val="20"/>
          <w:color w:val="auto"/>
        </w:rPr>
      </w:pPr>
    </w:p>
    <w:tbl>
      <w:tblPr>
        <w:tblLayout w:type="fixed"/>
        <w:tblInd w:w="4600" w:type="dxa"/>
        <w:tblCellMar>
          <w:top w:w="0" w:type="dxa"/>
          <w:left w:w="0" w:type="dxa"/>
          <w:bottom w:w="0" w:type="dxa"/>
          <w:right w:w="0" w:type="dxa"/>
        </w:tblCellMar>
      </w:tblPr>
      <w:tr>
        <w:trPr>
          <w:trHeight w:val="134"/>
        </w:trPr>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As of September 30,</w:t>
            </w:r>
          </w:p>
        </w:tc>
        <w:tc>
          <w:tcPr>
            <w:tcW w:w="8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26"/>
        </w:trPr>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2003</w:t>
            </w:r>
          </w:p>
        </w:tc>
        <w:tc>
          <w:tcPr>
            <w:tcW w:w="2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rPr>
              <w:t>2002</w:t>
            </w:r>
          </w:p>
        </w:tc>
        <w:tc>
          <w:tcPr>
            <w:tcW w:w="80" w:type="dxa"/>
            <w:vAlign w:val="bottom"/>
          </w:tcPr>
          <w:p>
            <w:pPr>
              <w:spacing w:after="0"/>
              <w:rPr>
                <w:sz w:val="10"/>
                <w:szCs w:val="10"/>
                <w:color w:val="auto"/>
              </w:rPr>
            </w:pPr>
          </w:p>
        </w:tc>
        <w:tc>
          <w:tcPr>
            <w:tcW w:w="86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b w:val="1"/>
                <w:bCs w:val="1"/>
                <w:color w:val="auto"/>
              </w:rPr>
              <w:t>2002</w:t>
            </w:r>
          </w:p>
        </w:tc>
      </w:tr>
      <w:tr>
        <w:trPr>
          <w:trHeight w:val="135"/>
        </w:trPr>
        <w:tc>
          <w:tcPr>
            <w:tcW w:w="560" w:type="dxa"/>
            <w:vAlign w:val="bottom"/>
          </w:tcPr>
          <w:p>
            <w:pPr>
              <w:spacing w:after="0"/>
              <w:rPr>
                <w:sz w:val="11"/>
                <w:szCs w:val="11"/>
                <w:color w:val="auto"/>
              </w:rPr>
            </w:pPr>
          </w:p>
        </w:tc>
        <w:tc>
          <w:tcPr>
            <w:tcW w:w="1220" w:type="dxa"/>
            <w:vAlign w:val="bottom"/>
            <w:gridSpan w:val="3"/>
          </w:tcPr>
          <w:p>
            <w:pPr>
              <w:jc w:val="center"/>
              <w:ind w:right="505"/>
              <w:spacing w:after="0"/>
              <w:rPr>
                <w:sz w:val="20"/>
                <w:szCs w:val="20"/>
                <w:color w:val="auto"/>
              </w:rPr>
            </w:pPr>
            <w:r>
              <w:rPr>
                <w:rFonts w:ascii="Times New Roman" w:cs="Times New Roman" w:eastAsia="Times New Roman" w:hAnsi="Times New Roman"/>
                <w:sz w:val="11"/>
                <w:szCs w:val="11"/>
                <w:b w:val="1"/>
                <w:bCs w:val="1"/>
                <w:color w:val="auto"/>
                <w:w w:val="98"/>
              </w:rPr>
              <w:t>(unaudited)</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-236855</wp:posOffset>
            </wp:positionV>
            <wp:extent cx="13335" cy="6350"/>
            <wp:wrapNone/>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-236855</wp:posOffset>
            </wp:positionV>
            <wp:extent cx="13335" cy="6350"/>
            <wp:wrapNone/>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-144145</wp:posOffset>
            </wp:positionV>
            <wp:extent cx="13335" cy="6350"/>
            <wp:wrapNone/>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-144145</wp:posOffset>
            </wp:positionV>
            <wp:extent cx="13335" cy="6350"/>
            <wp:wrapNone/>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-144145</wp:posOffset>
            </wp:positionV>
            <wp:extent cx="13335" cy="6350"/>
            <wp:wrapNone/>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-51435</wp:posOffset>
            </wp:positionV>
            <wp:extent cx="13335" cy="6350"/>
            <wp:wrapNone/>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-51435</wp:posOffset>
            </wp:positionV>
            <wp:extent cx="13335" cy="6350"/>
            <wp:wrapNone/>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5">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-41275</wp:posOffset>
            </wp:positionV>
            <wp:extent cx="13335" cy="6350"/>
            <wp:wrapNone/>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-41275</wp:posOffset>
            </wp:positionV>
            <wp:extent cx="13335" cy="6350"/>
            <wp:wrapNone/>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-41275</wp:posOffset>
            </wp:positionV>
            <wp:extent cx="13335" cy="6350"/>
            <wp:wrapNone/>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8">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3" w:lineRule="exact"/>
        <w:rPr>
          <w:sz w:val="20"/>
          <w:szCs w:val="20"/>
          <w:color w:val="auto"/>
        </w:rPr>
      </w:pPr>
    </w:p>
    <w:tbl>
      <w:tblPr>
        <w:tblLayout w:type="fixed"/>
        <w:tblInd w:w="140" w:type="dxa"/>
        <w:tblCellMar>
          <w:top w:w="0" w:type="dxa"/>
          <w:left w:w="0" w:type="dxa"/>
          <w:bottom w:w="0" w:type="dxa"/>
          <w:right w:w="0" w:type="dxa"/>
        </w:tblCellMar>
      </w:tblPr>
      <w:tr>
        <w:trPr>
          <w:trHeight w:val="182"/>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98"/>
        </w:trPr>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   4,218</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7,046</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7,857</w:t>
            </w:r>
          </w:p>
        </w:tc>
      </w:tr>
      <w:tr>
        <w:trPr>
          <w:trHeight w:val="198"/>
        </w:trPr>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interest-bearing deposits</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2,500</w:t>
            </w:r>
          </w:p>
        </w:tc>
        <w:tc>
          <w:tcPr>
            <w:tcW w:w="320" w:type="dxa"/>
            <w:vAlign w:val="bottom"/>
          </w:tcPr>
          <w:p>
            <w:pPr>
              <w:spacing w:after="0"/>
              <w:rPr>
                <w:sz w:val="17"/>
                <w:szCs w:val="17"/>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11,500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10,500</w:t>
            </w:r>
          </w:p>
        </w:tc>
      </w:tr>
      <w:tr>
        <w:trPr>
          <w:trHeight w:val="198"/>
        </w:trPr>
        <w:tc>
          <w:tcPr>
            <w:tcW w:w="4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short-term interest-bearing deposits designated for investments</w:t>
            </w:r>
          </w:p>
        </w:tc>
        <w:tc>
          <w:tcPr>
            <w:tcW w:w="9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1,659</w:t>
            </w:r>
          </w:p>
        </w:tc>
        <w:tc>
          <w:tcPr>
            <w:tcW w:w="320" w:type="dxa"/>
            <w:vAlign w:val="bottom"/>
          </w:tcPr>
          <w:p>
            <w:pPr>
              <w:spacing w:after="0"/>
              <w:rPr>
                <w:sz w:val="17"/>
                <w:szCs w:val="17"/>
                <w:color w:val="auto"/>
              </w:rPr>
            </w:pPr>
          </w:p>
        </w:tc>
        <w:tc>
          <w:tcPr>
            <w:tcW w:w="6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34,743</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-422910</wp:posOffset>
            </wp:positionV>
            <wp:extent cx="13335" cy="6350"/>
            <wp:wrapNone/>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-422910</wp:posOffset>
            </wp:positionV>
            <wp:extent cx="13335" cy="6350"/>
            <wp:wrapNone/>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-422910</wp:posOffset>
            </wp:positionV>
            <wp:extent cx="13335" cy="6350"/>
            <wp:wrapNone/>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-297180</wp:posOffset>
            </wp:positionV>
            <wp:extent cx="13335" cy="6350"/>
            <wp:wrapNone/>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-297180</wp:posOffset>
            </wp:positionV>
            <wp:extent cx="13335" cy="6350"/>
            <wp:wrapNone/>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-297180</wp:posOffset>
            </wp:positionV>
            <wp:extent cx="13335" cy="6350"/>
            <wp:wrapNone/>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-171450</wp:posOffset>
            </wp:positionV>
            <wp:extent cx="13335" cy="6350"/>
            <wp:wrapNone/>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-171450</wp:posOffset>
            </wp:positionV>
            <wp:extent cx="13335" cy="6350"/>
            <wp:wrapNone/>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-171450</wp:posOffset>
            </wp:positionV>
            <wp:extent cx="13335" cy="6350"/>
            <wp:wrapNone/>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-105410</wp:posOffset>
            </wp:positionV>
            <wp:extent cx="13335" cy="6350"/>
            <wp:wrapNone/>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-105410</wp:posOffset>
            </wp:positionV>
            <wp:extent cx="13335" cy="6350"/>
            <wp:wrapNone/>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-105410</wp:posOffset>
            </wp:positionV>
            <wp:extent cx="13335" cy="6350"/>
            <wp:wrapNone/>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50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289" w:right="1440" w:bottom="0" w:gutter="0" w:footer="0" w:header="0"/>
        </w:sectPr>
      </w:pPr>
    </w:p>
    <w:bookmarkStart w:id="72" w:name="page73"/>
    <w:bookmarkEnd w:id="72"/>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relating to Fab 2</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Trade accounts receivable (net of allowance for doubtful accounts of $110,</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$250 and $155, respectively)</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7,456</w:t>
            </w: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receivables</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14,564</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21,338</w:t>
            </w: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21,322</w:t>
            </w: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10,085</w:t>
            </w: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10,201</w:t>
            </w:r>
          </w:p>
        </w:tc>
        <w:tc>
          <w:tcPr>
            <w:tcW w:w="0" w:type="dxa"/>
            <w:vAlign w:val="bottom"/>
          </w:tcPr>
          <w:p>
            <w:pPr>
              <w:spacing w:after="0"/>
              <w:rPr>
                <w:sz w:val="1"/>
                <w:szCs w:val="1"/>
                <w:color w:val="auto"/>
              </w:rPr>
            </w:pPr>
          </w:p>
        </w:tc>
      </w:tr>
      <w:tr>
        <w:trPr>
          <w:trHeight w:val="21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1,407</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50,982</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91,824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110,081</w:t>
            </w:r>
          </w:p>
        </w:tc>
        <w:tc>
          <w:tcPr>
            <w:tcW w:w="0" w:type="dxa"/>
            <w:vAlign w:val="bottom"/>
          </w:tcPr>
          <w:p>
            <w:pPr>
              <w:spacing w:after="0"/>
              <w:rPr>
                <w:sz w:val="1"/>
                <w:szCs w:val="1"/>
                <w:color w:val="auto"/>
              </w:rPr>
            </w:pPr>
          </w:p>
        </w:tc>
      </w:tr>
      <w:tr>
        <w:trPr>
          <w:trHeight w:val="162"/>
        </w:trPr>
        <w:tc>
          <w:tcPr>
            <w:tcW w:w="4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INVESTMENTS</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Long-term interest-bearing deposits designated for investments relating to</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Fab 2</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11,893</w:t>
            </w:r>
          </w:p>
        </w:tc>
        <w:tc>
          <w:tcPr>
            <w:tcW w:w="0" w:type="dxa"/>
            <w:vAlign w:val="bottom"/>
          </w:tcPr>
          <w:p>
            <w:pPr>
              <w:spacing w:after="0"/>
              <w:rPr>
                <w:sz w:val="1"/>
                <w:szCs w:val="1"/>
                <w:color w:val="auto"/>
              </w:rPr>
            </w:pPr>
          </w:p>
        </w:tc>
      </w:tr>
      <w:tr>
        <w:trPr>
          <w:trHeight w:val="21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17,893</w:t>
            </w:r>
          </w:p>
        </w:tc>
        <w:tc>
          <w:tcPr>
            <w:tcW w:w="0" w:type="dxa"/>
            <w:vAlign w:val="bottom"/>
          </w:tcPr>
          <w:p>
            <w:pPr>
              <w:spacing w:after="0"/>
              <w:rPr>
                <w:sz w:val="1"/>
                <w:szCs w:val="1"/>
                <w:color w:val="auto"/>
              </w:rPr>
            </w:pPr>
          </w:p>
        </w:tc>
      </w:tr>
      <w:tr>
        <w:trPr>
          <w:trHeight w:val="20"/>
        </w:trPr>
        <w:tc>
          <w:tcPr>
            <w:tcW w:w="4600" w:type="dxa"/>
            <w:vAlign w:val="bottom"/>
            <w:vMerge w:val="continu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576,425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435,485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493,074</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105,260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84,913</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95,213</w:t>
            </w:r>
          </w:p>
        </w:tc>
        <w:tc>
          <w:tcPr>
            <w:tcW w:w="0" w:type="dxa"/>
            <w:vAlign w:val="bottom"/>
          </w:tcPr>
          <w:p>
            <w:pPr>
              <w:spacing w:after="0"/>
              <w:rPr>
                <w:sz w:val="1"/>
                <w:szCs w:val="1"/>
                <w:color w:val="auto"/>
              </w:rPr>
            </w:pPr>
          </w:p>
        </w:tc>
      </w:tr>
      <w:tr>
        <w:trPr>
          <w:trHeight w:val="157"/>
        </w:trPr>
        <w:tc>
          <w:tcPr>
            <w:tcW w:w="4600" w:type="dxa"/>
            <w:vAlign w:val="bottom"/>
          </w:tcPr>
          <w:p>
            <w:pPr>
              <w:ind w:left="560"/>
              <w:spacing w:after="0" w:line="157" w:lineRule="exact"/>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750,612</w:t>
            </w: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629,766</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716,261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Short-term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3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Trade accounts payable</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65,772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54,559</w:t>
            </w: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76,083</w:t>
            </w:r>
          </w:p>
        </w:tc>
        <w:tc>
          <w:tcPr>
            <w:tcW w:w="0" w:type="dxa"/>
            <w:vAlign w:val="bottom"/>
          </w:tcPr>
          <w:p>
            <w:pPr>
              <w:spacing w:after="0"/>
              <w:rPr>
                <w:sz w:val="1"/>
                <w:szCs w:val="1"/>
                <w:color w:val="auto"/>
              </w:rPr>
            </w:pPr>
          </w:p>
        </w:tc>
      </w:tr>
      <w:tr>
        <w:trPr>
          <w:trHeight w:val="21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8,071</w:t>
            </w:r>
          </w:p>
        </w:tc>
        <w:tc>
          <w:tcPr>
            <w:tcW w:w="0" w:type="dxa"/>
            <w:vAlign w:val="bottom"/>
          </w:tcPr>
          <w:p>
            <w:pPr>
              <w:spacing w:after="0"/>
              <w:rPr>
                <w:sz w:val="1"/>
                <w:szCs w:val="1"/>
                <w:color w:val="auto"/>
              </w:rPr>
            </w:pPr>
          </w:p>
        </w:tc>
      </w:tr>
      <w:tr>
        <w:trPr>
          <w:trHeight w:val="172"/>
        </w:trPr>
        <w:tc>
          <w:tcPr>
            <w:tcW w:w="46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79,154</w:t>
            </w: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67,378</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347,000</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254,000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253,000</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DEBENTURES</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25,552</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23,369</w:t>
            </w: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24,121</w:t>
            </w:r>
          </w:p>
        </w:tc>
        <w:tc>
          <w:tcPr>
            <w:tcW w:w="0" w:type="dxa"/>
            <w:vAlign w:val="bottom"/>
          </w:tcPr>
          <w:p>
            <w:pPr>
              <w:spacing w:after="0"/>
              <w:rPr>
                <w:sz w:val="1"/>
                <w:szCs w:val="1"/>
                <w:color w:val="auto"/>
              </w:rPr>
            </w:pPr>
          </w:p>
        </w:tc>
      </w:tr>
      <w:tr>
        <w:trPr>
          <w:trHeight w:val="198"/>
        </w:trPr>
        <w:tc>
          <w:tcPr>
            <w:tcW w:w="4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LIABILITY IN RESPECT OF CUSTOMERS' ADVANCES</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32,578</w:t>
            </w: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47,246</w:t>
            </w:r>
          </w:p>
        </w:tc>
        <w:tc>
          <w:tcPr>
            <w:tcW w:w="0" w:type="dxa"/>
            <w:vAlign w:val="bottom"/>
          </w:tcPr>
          <w:p>
            <w:pPr>
              <w:spacing w:after="0"/>
              <w:rPr>
                <w:sz w:val="1"/>
                <w:szCs w:val="1"/>
                <w:color w:val="auto"/>
              </w:rPr>
            </w:pPr>
          </w:p>
        </w:tc>
      </w:tr>
      <w:tr>
        <w:trPr>
          <w:trHeight w:val="218"/>
        </w:trPr>
        <w:tc>
          <w:tcPr>
            <w:tcW w:w="4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5,406</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504,495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382,657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417,927</w:t>
            </w:r>
          </w:p>
        </w:tc>
        <w:tc>
          <w:tcPr>
            <w:tcW w:w="0" w:type="dxa"/>
            <w:vAlign w:val="bottom"/>
          </w:tcPr>
          <w:p>
            <w:pPr>
              <w:spacing w:after="0"/>
              <w:rPr>
                <w:sz w:val="1"/>
                <w:szCs w:val="1"/>
                <w:color w:val="auto"/>
              </w:rPr>
            </w:pPr>
          </w:p>
        </w:tc>
      </w:tr>
      <w:tr>
        <w:trPr>
          <w:trHeight w:val="162"/>
        </w:trPr>
        <w:tc>
          <w:tcPr>
            <w:tcW w:w="4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Ordinary shares, NIS 1 par value - authorized 100,000,000 shares; issued</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6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50,079,146, 31,511,228 and 44,735,532 shares, respectively</w:t>
            </w: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11,294</w:t>
            </w: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415,645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338,777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400,808</w:t>
            </w:r>
          </w:p>
        </w:tc>
        <w:tc>
          <w:tcPr>
            <w:tcW w:w="0" w:type="dxa"/>
            <w:vAlign w:val="bottom"/>
          </w:tcPr>
          <w:p>
            <w:pPr>
              <w:spacing w:after="0"/>
              <w:rPr>
                <w:sz w:val="1"/>
                <w:szCs w:val="1"/>
                <w:color w:val="auto"/>
              </w:rPr>
            </w:pPr>
          </w:p>
        </w:tc>
      </w:tr>
      <w:tr>
        <w:trPr>
          <w:trHeight w:val="19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Shareholder receivables and unearned compensation</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(74)</w:t>
            </w:r>
          </w:p>
        </w:tc>
        <w:tc>
          <w:tcPr>
            <w:tcW w:w="1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8"/>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4"/>
              </w:rPr>
              <w:t>(172,909)</w:t>
            </w: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(91,059)</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4"/>
              </w:rPr>
              <w:t>(104,643)</w:t>
            </w:r>
          </w:p>
        </w:tc>
        <w:tc>
          <w:tcPr>
            <w:tcW w:w="0" w:type="dxa"/>
            <w:vAlign w:val="bottom"/>
          </w:tcPr>
          <w:p>
            <w:pPr>
              <w:spacing w:after="0"/>
              <w:rPr>
                <w:sz w:val="1"/>
                <w:szCs w:val="1"/>
                <w:color w:val="auto"/>
              </w:rPr>
            </w:pPr>
          </w:p>
        </w:tc>
      </w:tr>
      <w:tr>
        <w:trPr>
          <w:trHeight w:val="172"/>
        </w:trPr>
        <w:tc>
          <w:tcPr>
            <w:tcW w:w="46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255,189</w:t>
            </w: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256,181</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307,406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Treasury stock, at cost - 1,300,000 shares</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(9,072)</w:t>
            </w:r>
          </w:p>
        </w:tc>
        <w:tc>
          <w:tcPr>
            <w:tcW w:w="1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(9,072)</w:t>
            </w:r>
          </w:p>
        </w:tc>
        <w:tc>
          <w:tcPr>
            <w:tcW w:w="14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(9,072)</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246,117</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247,109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298,334</w:t>
            </w:r>
          </w:p>
        </w:tc>
        <w:tc>
          <w:tcPr>
            <w:tcW w:w="0" w:type="dxa"/>
            <w:vAlign w:val="bottom"/>
          </w:tcPr>
          <w:p>
            <w:pPr>
              <w:spacing w:after="0"/>
              <w:rPr>
                <w:sz w:val="1"/>
                <w:szCs w:val="1"/>
                <w:color w:val="auto"/>
              </w:rPr>
            </w:pPr>
          </w:p>
        </w:tc>
      </w:tr>
      <w:tr>
        <w:trPr>
          <w:trHeight w:val="157"/>
        </w:trPr>
        <w:tc>
          <w:tcPr>
            <w:tcW w:w="4600" w:type="dxa"/>
            <w:vAlign w:val="bottom"/>
          </w:tcPr>
          <w:p>
            <w:pPr>
              <w:ind w:left="560"/>
              <w:spacing w:after="0" w:line="157"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1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750,612</w:t>
            </w: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629,766</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rPr>
              <w:t>716,261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-4349115</wp:posOffset>
            </wp:positionV>
            <wp:extent cx="13335" cy="6350"/>
            <wp:wrapNone/>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5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-4349115</wp:posOffset>
            </wp:positionV>
            <wp:extent cx="13335" cy="6350"/>
            <wp:wrapNone/>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5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-4349115</wp:posOffset>
            </wp:positionV>
            <wp:extent cx="13335" cy="6350"/>
            <wp:wrapNone/>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5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-4170680</wp:posOffset>
            </wp:positionV>
            <wp:extent cx="13335" cy="635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5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-4170680</wp:posOffset>
            </wp:positionV>
            <wp:extent cx="13335" cy="635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-4170680</wp:posOffset>
            </wp:positionV>
            <wp:extent cx="13335" cy="635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-4044950</wp:posOffset>
            </wp:positionV>
            <wp:extent cx="13335" cy="635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-4044950</wp:posOffset>
            </wp:positionV>
            <wp:extent cx="13335" cy="635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-4044950</wp:posOffset>
            </wp:positionV>
            <wp:extent cx="13335" cy="635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-3919220</wp:posOffset>
            </wp:positionV>
            <wp:extent cx="13335" cy="635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-3919220</wp:posOffset>
            </wp:positionV>
            <wp:extent cx="13335" cy="635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-3919220</wp:posOffset>
            </wp:positionV>
            <wp:extent cx="13335" cy="635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-3793490</wp:posOffset>
            </wp:positionV>
            <wp:extent cx="13335" cy="635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-3793490</wp:posOffset>
            </wp:positionV>
            <wp:extent cx="13335" cy="635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-3793490</wp:posOffset>
            </wp:positionV>
            <wp:extent cx="13335" cy="635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-3668395</wp:posOffset>
            </wp:positionV>
            <wp:extent cx="13335" cy="635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-3668395</wp:posOffset>
            </wp:positionV>
            <wp:extent cx="13335" cy="635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-3668395</wp:posOffset>
            </wp:positionV>
            <wp:extent cx="13335" cy="6350"/>
            <wp:wrapNone/>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-3489960</wp:posOffset>
            </wp:positionV>
            <wp:extent cx="13335" cy="6350"/>
            <wp:wrapNone/>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-3489960</wp:posOffset>
            </wp:positionV>
            <wp:extent cx="13335" cy="6350"/>
            <wp:wrapNone/>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-3489960</wp:posOffset>
            </wp:positionV>
            <wp:extent cx="13335" cy="6350"/>
            <wp:wrapNone/>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-3310890</wp:posOffset>
            </wp:positionV>
            <wp:extent cx="13335" cy="6350"/>
            <wp:wrapNone/>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-3310890</wp:posOffset>
            </wp:positionV>
            <wp:extent cx="13335" cy="6350"/>
            <wp:wrapNone/>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-3310890</wp:posOffset>
            </wp:positionV>
            <wp:extent cx="13335" cy="6350"/>
            <wp:wrapNone/>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-3185795</wp:posOffset>
            </wp:positionV>
            <wp:extent cx="13335" cy="6350"/>
            <wp:wrapNone/>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-3185795</wp:posOffset>
            </wp:positionV>
            <wp:extent cx="13335" cy="6350"/>
            <wp:wrapNone/>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-3185795</wp:posOffset>
            </wp:positionV>
            <wp:extent cx="13335" cy="6350"/>
            <wp:wrapNone/>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-3060065</wp:posOffset>
            </wp:positionV>
            <wp:extent cx="13335" cy="6350"/>
            <wp:wrapNone/>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-3060065</wp:posOffset>
            </wp:positionV>
            <wp:extent cx="13335" cy="6350"/>
            <wp:wrapNone/>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-3060065</wp:posOffset>
            </wp:positionV>
            <wp:extent cx="13335" cy="6350"/>
            <wp:wrapNone/>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-2934335</wp:posOffset>
            </wp:positionV>
            <wp:extent cx="13335" cy="6350"/>
            <wp:wrapNone/>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-2934335</wp:posOffset>
            </wp:positionV>
            <wp:extent cx="13335" cy="6350"/>
            <wp:wrapNone/>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-2934335</wp:posOffset>
            </wp:positionV>
            <wp:extent cx="13335" cy="6350"/>
            <wp:wrapNone/>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-2808605</wp:posOffset>
            </wp:positionV>
            <wp:extent cx="13335" cy="6350"/>
            <wp:wrapNone/>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-2808605</wp:posOffset>
            </wp:positionV>
            <wp:extent cx="13335" cy="6350"/>
            <wp:wrapNone/>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-2808605</wp:posOffset>
            </wp:positionV>
            <wp:extent cx="13335" cy="6350"/>
            <wp:wrapNone/>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-2682875</wp:posOffset>
            </wp:positionV>
            <wp:extent cx="13335" cy="6350"/>
            <wp:wrapNone/>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-2557780</wp:posOffset>
            </wp:positionV>
            <wp:extent cx="13335" cy="6350"/>
            <wp:wrapNone/>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-2557780</wp:posOffset>
            </wp:positionV>
            <wp:extent cx="13335" cy="6350"/>
            <wp:wrapNone/>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-2557780</wp:posOffset>
            </wp:positionV>
            <wp:extent cx="13335" cy="6350"/>
            <wp:wrapNone/>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-2432050</wp:posOffset>
            </wp:positionV>
            <wp:extent cx="13335" cy="6350"/>
            <wp:wrapNone/>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-2432050</wp:posOffset>
            </wp:positionV>
            <wp:extent cx="13335" cy="6350"/>
            <wp:wrapNone/>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-2432050</wp:posOffset>
            </wp:positionV>
            <wp:extent cx="13335" cy="6350"/>
            <wp:wrapNone/>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-2306320</wp:posOffset>
            </wp:positionV>
            <wp:extent cx="13335" cy="6350"/>
            <wp:wrapNone/>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-2306320</wp:posOffset>
            </wp:positionV>
            <wp:extent cx="13335" cy="6350"/>
            <wp:wrapNone/>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-2306320</wp:posOffset>
            </wp:positionV>
            <wp:extent cx="13335" cy="6350"/>
            <wp:wrapNone/>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-2180590</wp:posOffset>
            </wp:positionV>
            <wp:extent cx="13335" cy="6350"/>
            <wp:wrapNone/>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-2180590</wp:posOffset>
            </wp:positionV>
            <wp:extent cx="13335" cy="6350"/>
            <wp:wrapNone/>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-2180590</wp:posOffset>
            </wp:positionV>
            <wp:extent cx="13335" cy="6350"/>
            <wp:wrapNone/>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-2055495</wp:posOffset>
            </wp:positionV>
            <wp:extent cx="13335" cy="6350"/>
            <wp:wrapNone/>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-2055495</wp:posOffset>
            </wp:positionV>
            <wp:extent cx="13335" cy="6350"/>
            <wp:wrapNone/>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-2055495</wp:posOffset>
            </wp:positionV>
            <wp:extent cx="13335" cy="6350"/>
            <wp:wrapNone/>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-1929765</wp:posOffset>
            </wp:positionV>
            <wp:extent cx="13335" cy="6350"/>
            <wp:wrapNone/>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-1929765</wp:posOffset>
            </wp:positionV>
            <wp:extent cx="13335" cy="6350"/>
            <wp:wrapNone/>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-1929765</wp:posOffset>
            </wp:positionV>
            <wp:extent cx="13335" cy="6350"/>
            <wp:wrapNone/>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-1804035</wp:posOffset>
            </wp:positionV>
            <wp:extent cx="13335" cy="6350"/>
            <wp:wrapNone/>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-1804035</wp:posOffset>
            </wp:positionV>
            <wp:extent cx="13335" cy="635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-1804035</wp:posOffset>
            </wp:positionV>
            <wp:extent cx="13335" cy="6350"/>
            <wp:wrapNone/>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-1678305</wp:posOffset>
            </wp:positionV>
            <wp:extent cx="13335" cy="6350"/>
            <wp:wrapNone/>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-1678305</wp:posOffset>
            </wp:positionV>
            <wp:extent cx="13335" cy="6350"/>
            <wp:wrapNone/>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-1678305</wp:posOffset>
            </wp:positionV>
            <wp:extent cx="13335" cy="6350"/>
            <wp:wrapNone/>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-1552575</wp:posOffset>
            </wp:positionV>
            <wp:extent cx="13335" cy="6350"/>
            <wp:wrapNone/>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-1552575</wp:posOffset>
            </wp:positionV>
            <wp:extent cx="13335" cy="6350"/>
            <wp:wrapNone/>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-1552575</wp:posOffset>
            </wp:positionV>
            <wp:extent cx="13335" cy="6350"/>
            <wp:wrapNone/>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-1427480</wp:posOffset>
            </wp:positionV>
            <wp:extent cx="13335" cy="6350"/>
            <wp:wrapNone/>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-1427480</wp:posOffset>
            </wp:positionV>
            <wp:extent cx="13335" cy="6350"/>
            <wp:wrapNone/>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-1427480</wp:posOffset>
            </wp:positionV>
            <wp:extent cx="13335" cy="6350"/>
            <wp:wrapNone/>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-1301750</wp:posOffset>
            </wp:positionV>
            <wp:extent cx="13335" cy="6350"/>
            <wp:wrapNone/>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-1301750</wp:posOffset>
            </wp:positionV>
            <wp:extent cx="13335" cy="6350"/>
            <wp:wrapNone/>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-1301750</wp:posOffset>
            </wp:positionV>
            <wp:extent cx="13335" cy="6350"/>
            <wp:wrapNone/>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-1176020</wp:posOffset>
            </wp:positionV>
            <wp:extent cx="13335" cy="6350"/>
            <wp:wrapNone/>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-1176020</wp:posOffset>
            </wp:positionV>
            <wp:extent cx="13335" cy="6350"/>
            <wp:wrapNone/>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-1176020</wp:posOffset>
            </wp:positionV>
            <wp:extent cx="13335" cy="6350"/>
            <wp:wrapNone/>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-997585</wp:posOffset>
            </wp:positionV>
            <wp:extent cx="13335" cy="6350"/>
            <wp:wrapNone/>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-997585</wp:posOffset>
            </wp:positionV>
            <wp:extent cx="13335" cy="6350"/>
            <wp:wrapNone/>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-997585</wp:posOffset>
            </wp:positionV>
            <wp:extent cx="13335" cy="6350"/>
            <wp:wrapNone/>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-819150</wp:posOffset>
            </wp:positionV>
            <wp:extent cx="13335" cy="6350"/>
            <wp:wrapNone/>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-819150</wp:posOffset>
            </wp:positionV>
            <wp:extent cx="13335" cy="6350"/>
            <wp:wrapNone/>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-819150</wp:posOffset>
            </wp:positionV>
            <wp:extent cx="13335" cy="6350"/>
            <wp:wrapNone/>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-693420</wp:posOffset>
            </wp:positionV>
            <wp:extent cx="13335" cy="6350"/>
            <wp:wrapNone/>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-693420</wp:posOffset>
            </wp:positionV>
            <wp:extent cx="13335" cy="6350"/>
            <wp:wrapNone/>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-693420</wp:posOffset>
            </wp:positionV>
            <wp:extent cx="13335" cy="6350"/>
            <wp:wrapNone/>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-567690</wp:posOffset>
            </wp:positionV>
            <wp:extent cx="13335" cy="6350"/>
            <wp:wrapNone/>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-567690</wp:posOffset>
            </wp:positionV>
            <wp:extent cx="13335" cy="6350"/>
            <wp:wrapNone/>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-567690</wp:posOffset>
            </wp:positionV>
            <wp:extent cx="13335" cy="6350"/>
            <wp:wrapNone/>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-441960</wp:posOffset>
            </wp:positionV>
            <wp:extent cx="13335" cy="6350"/>
            <wp:wrapNone/>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-441960</wp:posOffset>
            </wp:positionV>
            <wp:extent cx="13335" cy="6350"/>
            <wp:wrapNone/>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-441960</wp:posOffset>
            </wp:positionV>
            <wp:extent cx="13335" cy="6350"/>
            <wp:wrapNone/>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-316865</wp:posOffset>
            </wp:positionV>
            <wp:extent cx="13335" cy="6350"/>
            <wp:wrapNone/>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-316865</wp:posOffset>
            </wp:positionV>
            <wp:extent cx="13335" cy="6350"/>
            <wp:wrapNone/>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-316865</wp:posOffset>
            </wp:positionV>
            <wp:extent cx="13335" cy="6350"/>
            <wp:wrapNone/>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-191135</wp:posOffset>
            </wp:positionV>
            <wp:extent cx="13335" cy="6350"/>
            <wp:wrapNone/>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-191135</wp:posOffset>
            </wp:positionV>
            <wp:extent cx="13335" cy="6350"/>
            <wp:wrapNone/>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-191135</wp:posOffset>
            </wp:positionV>
            <wp:extent cx="13335" cy="6350"/>
            <wp:wrapNone/>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-65405</wp:posOffset>
            </wp:positionV>
            <wp:extent cx="13335" cy="6350"/>
            <wp:wrapNone/>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-65405</wp:posOffset>
            </wp:positionV>
            <wp:extent cx="13335" cy="6350"/>
            <wp:wrapNone/>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4054475</wp:posOffset>
            </wp:positionH>
            <wp:positionV relativeFrom="paragraph">
              <wp:posOffset>-65405</wp:posOffset>
            </wp:positionV>
            <wp:extent cx="13335" cy="6350"/>
            <wp:wrapNone/>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See notes to condensed interim consolidated financial statements.</w:t>
      </w:r>
    </w:p>
    <w:p>
      <w:pPr>
        <w:spacing w:after="0" w:line="29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73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8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6350" cy="66040"/>
            <wp:wrapNone/>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600">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20" w:type="dxa"/>
            <w:vAlign w:val="bottom"/>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80" w:type="dxa"/>
            <w:vAlign w:val="bottom"/>
          </w:tcPr>
          <w:p>
            <w:pPr>
              <w:spacing w:after="0"/>
              <w:rPr>
                <w:sz w:val="10"/>
                <w:szCs w:val="1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8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26"/>
        </w:trPr>
        <w:tc>
          <w:tcPr>
            <w:tcW w:w="3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2003</w:t>
            </w: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2002</w:t>
            </w: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2003</w:t>
            </w: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2002</w:t>
            </w: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2002</w:t>
            </w:r>
          </w:p>
        </w:tc>
        <w:tc>
          <w:tcPr>
            <w:tcW w:w="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7"/>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41,545</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36,229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16,074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16,187</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51,801</w:t>
            </w:r>
          </w:p>
        </w:tc>
        <w:tc>
          <w:tcPr>
            <w:tcW w:w="0" w:type="dxa"/>
            <w:vAlign w:val="bottom"/>
          </w:tcPr>
          <w:p>
            <w:pPr>
              <w:spacing w:after="0"/>
              <w:rPr>
                <w:sz w:val="1"/>
                <w:szCs w:val="1"/>
                <w:color w:val="auto"/>
              </w:rPr>
            </w:pPr>
          </w:p>
        </w:tc>
      </w:tr>
      <w:tr>
        <w:trPr>
          <w:trHeight w:val="21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67,022</w:t>
            </w:r>
          </w:p>
        </w:tc>
        <w:tc>
          <w:tcPr>
            <w:tcW w:w="0" w:type="dxa"/>
            <w:vAlign w:val="bottom"/>
          </w:tcPr>
          <w:p>
            <w:pPr>
              <w:spacing w:after="0"/>
              <w:rPr>
                <w:sz w:val="1"/>
                <w:szCs w:val="1"/>
                <w:color w:val="auto"/>
              </w:rPr>
            </w:pPr>
          </w:p>
        </w:tc>
      </w:tr>
      <w:tr>
        <w:trPr>
          <w:trHeight w:val="20"/>
        </w:trPr>
        <w:tc>
          <w:tcPr>
            <w:tcW w:w="30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GROSS LOSS</w:t>
            </w: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w w:val="91"/>
              </w:rPr>
              <w:t>(34,271)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6"/>
              </w:rPr>
              <w:t>(13,727)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6"/>
              </w:rPr>
              <w:t>(22,474)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6"/>
              </w:rPr>
              <w:t>(15,221)</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10,184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3,642</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17,031</w:t>
            </w:r>
          </w:p>
        </w:tc>
        <w:tc>
          <w:tcPr>
            <w:tcW w:w="0" w:type="dxa"/>
            <w:vAlign w:val="bottom"/>
          </w:tcPr>
          <w:p>
            <w:pPr>
              <w:spacing w:after="0"/>
              <w:rPr>
                <w:sz w:val="1"/>
                <w:szCs w:val="1"/>
                <w:color w:val="auto"/>
              </w:rPr>
            </w:pPr>
          </w:p>
        </w:tc>
      </w:tr>
      <w:tr>
        <w:trPr>
          <w:trHeight w:val="218"/>
        </w:trPr>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Marketing, general and administrative</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11,807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17,091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OPERATING LOSS</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29,615</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21,991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34,122</w:t>
            </w:r>
          </w:p>
        </w:tc>
        <w:tc>
          <w:tcPr>
            <w:tcW w:w="0" w:type="dxa"/>
            <w:vAlign w:val="bottom"/>
          </w:tcPr>
          <w:p>
            <w:pPr>
              <w:spacing w:after="0"/>
              <w:rPr>
                <w:sz w:val="1"/>
                <w:szCs w:val="1"/>
                <w:color w:val="auto"/>
              </w:rPr>
            </w:pPr>
          </w:p>
        </w:tc>
      </w:tr>
      <w:tr>
        <w:trPr>
          <w:trHeight w:val="172"/>
        </w:trPr>
        <w:tc>
          <w:tcPr>
            <w:tcW w:w="3000" w:type="dxa"/>
            <w:vAlign w:val="bottom"/>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3"/>
              </w:rPr>
              <w:t>(63,886)</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(35,718)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(32,669)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(13,213)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(49,343)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FINANCING EXPENSE, NET</w:t>
            </w:r>
          </w:p>
        </w:tc>
        <w:tc>
          <w:tcPr>
            <w:tcW w:w="140" w:type="dxa"/>
            <w:vAlign w:val="bottom"/>
          </w:tcPr>
          <w:p>
            <w:pPr>
              <w:spacing w:after="0"/>
              <w:rPr>
                <w:sz w:val="15"/>
                <w:szCs w:val="15"/>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(4,293)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(4,264)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(2,104)</w:t>
            </w:r>
          </w:p>
        </w:tc>
        <w:tc>
          <w:tcPr>
            <w:tcW w:w="0" w:type="dxa"/>
            <w:vAlign w:val="bottom"/>
          </w:tcPr>
          <w:p>
            <w:pPr>
              <w:spacing w:after="0"/>
              <w:rPr>
                <w:sz w:val="1"/>
                <w:szCs w:val="1"/>
                <w:color w:val="auto"/>
              </w:rPr>
            </w:pPr>
          </w:p>
        </w:tc>
      </w:tr>
      <w:tr>
        <w:trPr>
          <w:trHeight w:val="218"/>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4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57"/>
        </w:trPr>
        <w:tc>
          <w:tcPr>
            <w:tcW w:w="3000" w:type="dxa"/>
            <w:vAlign w:val="bottom"/>
          </w:tcPr>
          <w:p>
            <w:pPr>
              <w:ind w:left="420"/>
              <w:spacing w:after="0" w:line="157" w:lineRule="exact"/>
              <w:rPr>
                <w:sz w:val="20"/>
                <w:szCs w:val="20"/>
                <w:color w:val="auto"/>
              </w:rPr>
            </w:pPr>
            <w:r>
              <w:rPr>
                <w:rFonts w:ascii="Times New Roman" w:cs="Times New Roman" w:eastAsia="Times New Roman" w:hAnsi="Times New Roman"/>
                <w:sz w:val="14"/>
                <w:szCs w:val="14"/>
                <w:color w:val="auto"/>
              </w:rPr>
              <w:t>LOSS FOR THE PERIOD</w:t>
            </w:r>
          </w:p>
        </w:tc>
        <w:tc>
          <w:tcPr>
            <w:tcW w:w="1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rPr>
              <w:t>$</w:t>
            </w:r>
          </w:p>
        </w:tc>
        <w:tc>
          <w:tcPr>
            <w:tcW w:w="460" w:type="dxa"/>
            <w:vAlign w:val="bottom"/>
            <w:tcBorders>
              <w:top w:val="single" w:sz="8" w:color="auto"/>
            </w:tcBorders>
            <w:gridSpan w:val="2"/>
          </w:tcPr>
          <w:p>
            <w:pPr>
              <w:jc w:val="right"/>
              <w:ind w:right="34"/>
              <w:spacing w:after="0" w:line="157" w:lineRule="exact"/>
              <w:rPr>
                <w:sz w:val="20"/>
                <w:szCs w:val="20"/>
                <w:color w:val="auto"/>
              </w:rPr>
            </w:pPr>
            <w:r>
              <w:rPr>
                <w:rFonts w:ascii="Times New Roman" w:cs="Times New Roman" w:eastAsia="Times New Roman" w:hAnsi="Times New Roman"/>
                <w:sz w:val="14"/>
                <w:szCs w:val="14"/>
                <w:color w:val="auto"/>
                <w:w w:val="92"/>
              </w:rPr>
              <w:t>(68,266</w:t>
            </w:r>
          </w:p>
        </w:tc>
        <w:tc>
          <w:tcPr>
            <w:tcW w:w="18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rPr>
              <w:t>$</w:t>
            </w:r>
          </w:p>
        </w:tc>
        <w:tc>
          <w:tcPr>
            <w:tcW w:w="4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(37,818</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rPr>
              <w:t>$</w:t>
            </w:r>
          </w:p>
        </w:tc>
        <w:tc>
          <w:tcPr>
            <w:tcW w:w="4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(37,086</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rPr>
              <w:t>$</w:t>
            </w:r>
          </w:p>
        </w:tc>
        <w:tc>
          <w:tcPr>
            <w:tcW w:w="4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(14,513</w:t>
            </w:r>
          </w:p>
        </w:tc>
        <w:tc>
          <w:tcPr>
            <w:tcW w:w="220" w:type="dxa"/>
            <w:vAlign w:val="bottom"/>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(51,402</w:t>
            </w: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BASIC LOSS PER ORDINARY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(1.49)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(0.48)</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Loss used to compute basic loss per share</w:t>
            </w: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
                <w:szCs w:val="1"/>
                <w:color w:val="auto"/>
                <w:w w:val="4294967281"/>
              </w:rPr>
              <w:t>)</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14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38"/>
        </w:trPr>
        <w:tc>
          <w:tcPr>
            <w:tcW w:w="3000" w:type="dxa"/>
            <w:vAlign w:val="bottom"/>
            <w:vMerge w:val="continue"/>
          </w:tcPr>
          <w:p>
            <w:pPr>
              <w:spacing w:after="0"/>
              <w:rPr>
                <w:sz w:val="11"/>
                <w:szCs w:val="11"/>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rPr>
              <w:t>$</w:t>
            </w:r>
          </w:p>
        </w:tc>
        <w:tc>
          <w:tcPr>
            <w:tcW w:w="4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92"/>
              </w:rPr>
              <w:t>(68,266</w:t>
            </w:r>
          </w:p>
        </w:tc>
        <w:tc>
          <w:tcPr>
            <w:tcW w:w="20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rPr>
              <w:t>$</w:t>
            </w:r>
          </w:p>
        </w:tc>
        <w:tc>
          <w:tcPr>
            <w:tcW w:w="4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97"/>
              </w:rPr>
              <w:t>(37,818</w:t>
            </w:r>
          </w:p>
        </w:tc>
        <w:tc>
          <w:tcPr>
            <w:tcW w:w="2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rPr>
              <w:t>$</w:t>
            </w:r>
          </w:p>
        </w:tc>
        <w:tc>
          <w:tcPr>
            <w:tcW w:w="4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97"/>
              </w:rPr>
              <w:t>(37,086</w:t>
            </w:r>
          </w:p>
        </w:tc>
        <w:tc>
          <w:tcPr>
            <w:tcW w:w="2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u w:val="single" w:color="auto"/>
                <w:color w:val="auto"/>
              </w:rPr>
              <w:t>$</w:t>
            </w:r>
          </w:p>
        </w:tc>
        <w:tc>
          <w:tcPr>
            <w:tcW w:w="4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97"/>
              </w:rPr>
              <w:t>(14,513</w:t>
            </w:r>
          </w:p>
        </w:tc>
        <w:tc>
          <w:tcPr>
            <w:tcW w:w="2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40" w:type="dxa"/>
            <w:vAlign w:val="bottom"/>
            <w:tcBorders>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color w:val="auto"/>
                <w:w w:val="97"/>
              </w:rPr>
              <w:t>(51,402</w:t>
            </w:r>
          </w:p>
        </w:tc>
        <w:tc>
          <w:tcPr>
            <w:tcW w:w="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Weighted average number of ordinary shares</w:t>
            </w: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0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0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outstanding — in thousands</w:t>
            </w: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45,788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28,129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48,360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30,211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31,523</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-2399030</wp:posOffset>
            </wp:positionV>
            <wp:extent cx="4501515" cy="635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601">
                      <a:extLst>
                        <a:ext uri="{28A0092B-C50C-407E-A947-70E740481C1C}"/>
                      </a:extLst>
                    </a:blip>
                    <a:srcRect/>
                    <a:stretch>
                      <a:fillRect/>
                    </a:stretch>
                  </pic:blipFill>
                  <pic:spPr bwMode="auto">
                    <a:xfrm>
                      <a:off x="0" y="0"/>
                      <a:ext cx="450151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-2319655</wp:posOffset>
            </wp:positionV>
            <wp:extent cx="13335" cy="635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6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-2319655</wp:posOffset>
            </wp:positionV>
            <wp:extent cx="13335" cy="635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6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-2319655</wp:posOffset>
            </wp:positionV>
            <wp:extent cx="13335" cy="635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6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-2200910</wp:posOffset>
            </wp:positionV>
            <wp:extent cx="13335" cy="635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-2200910</wp:posOffset>
            </wp:positionV>
            <wp:extent cx="13335" cy="635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-2200910</wp:posOffset>
            </wp:positionV>
            <wp:extent cx="13335" cy="635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-2200910</wp:posOffset>
            </wp:positionV>
            <wp:extent cx="13335" cy="635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-2200910</wp:posOffset>
            </wp:positionV>
            <wp:extent cx="13335" cy="635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-2108200</wp:posOffset>
            </wp:positionV>
            <wp:extent cx="13335" cy="635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-2108200</wp:posOffset>
            </wp:positionV>
            <wp:extent cx="13335" cy="635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-2108200</wp:posOffset>
            </wp:positionV>
            <wp:extent cx="13335" cy="635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-1929765</wp:posOffset>
            </wp:positionV>
            <wp:extent cx="13335" cy="6350"/>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-1929765</wp:posOffset>
            </wp:positionV>
            <wp:extent cx="13335" cy="635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-1929765</wp:posOffset>
            </wp:positionV>
            <wp:extent cx="13335" cy="635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-1929765</wp:posOffset>
            </wp:positionV>
            <wp:extent cx="13335" cy="635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-1929765</wp:posOffset>
            </wp:positionV>
            <wp:extent cx="13335" cy="635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-1804035</wp:posOffset>
            </wp:positionV>
            <wp:extent cx="13335" cy="635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-1804035</wp:posOffset>
            </wp:positionV>
            <wp:extent cx="13335" cy="635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-1804035</wp:posOffset>
            </wp:positionV>
            <wp:extent cx="13335" cy="635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-1804035</wp:posOffset>
            </wp:positionV>
            <wp:extent cx="13335" cy="635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-1804035</wp:posOffset>
            </wp:positionV>
            <wp:extent cx="13335" cy="635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-1678305</wp:posOffset>
            </wp:positionV>
            <wp:extent cx="13335" cy="635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-1678305</wp:posOffset>
            </wp:positionV>
            <wp:extent cx="13335" cy="635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-1678305</wp:posOffset>
            </wp:positionV>
            <wp:extent cx="13335" cy="635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-1678305</wp:posOffset>
            </wp:positionV>
            <wp:extent cx="13335" cy="635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-1678305</wp:posOffset>
            </wp:positionV>
            <wp:extent cx="13335" cy="635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-1552575</wp:posOffset>
            </wp:positionV>
            <wp:extent cx="13335" cy="635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-1552575</wp:posOffset>
            </wp:positionV>
            <wp:extent cx="13335" cy="635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-1552575</wp:posOffset>
            </wp:positionV>
            <wp:extent cx="13335" cy="635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-1552575</wp:posOffset>
            </wp:positionV>
            <wp:extent cx="13335" cy="635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-1552575</wp:posOffset>
            </wp:positionV>
            <wp:extent cx="13335" cy="635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-1427480</wp:posOffset>
            </wp:positionV>
            <wp:extent cx="13335" cy="635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-1427480</wp:posOffset>
            </wp:positionV>
            <wp:extent cx="13335" cy="635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-1427480</wp:posOffset>
            </wp:positionV>
            <wp:extent cx="13335" cy="635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-1427480</wp:posOffset>
            </wp:positionV>
            <wp:extent cx="13335" cy="6350"/>
            <wp:wrapNone/>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-1427480</wp:posOffset>
            </wp:positionV>
            <wp:extent cx="13335" cy="6350"/>
            <wp:wrapNone/>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-1301750</wp:posOffset>
            </wp:positionV>
            <wp:extent cx="13335" cy="6350"/>
            <wp:wrapNone/>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-1301750</wp:posOffset>
            </wp:positionV>
            <wp:extent cx="13335" cy="6350"/>
            <wp:wrapNone/>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-1301750</wp:posOffset>
            </wp:positionV>
            <wp:extent cx="13335" cy="6350"/>
            <wp:wrapNone/>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-1301750</wp:posOffset>
            </wp:positionV>
            <wp:extent cx="13335" cy="6350"/>
            <wp:wrapNone/>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-1301750</wp:posOffset>
            </wp:positionV>
            <wp:extent cx="13335" cy="6350"/>
            <wp:wrapNone/>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-1176020</wp:posOffset>
            </wp:positionV>
            <wp:extent cx="13335" cy="6350"/>
            <wp:wrapNone/>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-1176020</wp:posOffset>
            </wp:positionV>
            <wp:extent cx="13335" cy="6350"/>
            <wp:wrapNone/>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-1176020</wp:posOffset>
            </wp:positionV>
            <wp:extent cx="13335" cy="6350"/>
            <wp:wrapNone/>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-1176020</wp:posOffset>
            </wp:positionV>
            <wp:extent cx="13335" cy="6350"/>
            <wp:wrapNone/>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-1176020</wp:posOffset>
            </wp:positionV>
            <wp:extent cx="13335" cy="6350"/>
            <wp:wrapNone/>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-1050290</wp:posOffset>
            </wp:positionV>
            <wp:extent cx="13335" cy="6350"/>
            <wp:wrapNone/>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-1050290</wp:posOffset>
            </wp:positionV>
            <wp:extent cx="13335" cy="6350"/>
            <wp:wrapNone/>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-1050290</wp:posOffset>
            </wp:positionV>
            <wp:extent cx="13335" cy="6350"/>
            <wp:wrapNone/>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-1050290</wp:posOffset>
            </wp:positionV>
            <wp:extent cx="13335" cy="6350"/>
            <wp:wrapNone/>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-1050290</wp:posOffset>
            </wp:positionV>
            <wp:extent cx="13335" cy="6350"/>
            <wp:wrapNone/>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-924560</wp:posOffset>
            </wp:positionV>
            <wp:extent cx="13335" cy="6350"/>
            <wp:wrapNone/>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-924560</wp:posOffset>
            </wp:positionV>
            <wp:extent cx="13335" cy="6350"/>
            <wp:wrapNone/>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-924560</wp:posOffset>
            </wp:positionV>
            <wp:extent cx="13335" cy="6350"/>
            <wp:wrapNone/>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-924560</wp:posOffset>
            </wp:positionV>
            <wp:extent cx="13335" cy="6350"/>
            <wp:wrapNone/>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-924560</wp:posOffset>
            </wp:positionV>
            <wp:extent cx="13335" cy="6350"/>
            <wp:wrapNone/>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-799465</wp:posOffset>
            </wp:positionV>
            <wp:extent cx="13335" cy="6350"/>
            <wp:wrapNone/>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-799465</wp:posOffset>
            </wp:positionV>
            <wp:extent cx="13335" cy="6350"/>
            <wp:wrapNone/>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-799465</wp:posOffset>
            </wp:positionV>
            <wp:extent cx="13335" cy="6350"/>
            <wp:wrapNone/>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-799465</wp:posOffset>
            </wp:positionV>
            <wp:extent cx="13335" cy="6350"/>
            <wp:wrapNone/>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-799465</wp:posOffset>
            </wp:positionV>
            <wp:extent cx="13335" cy="6350"/>
            <wp:wrapNone/>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-673735</wp:posOffset>
            </wp:positionV>
            <wp:extent cx="13335" cy="6350"/>
            <wp:wrapNone/>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-673735</wp:posOffset>
            </wp:positionV>
            <wp:extent cx="13335" cy="6350"/>
            <wp:wrapNone/>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-673735</wp:posOffset>
            </wp:positionV>
            <wp:extent cx="13335" cy="6350"/>
            <wp:wrapNone/>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-673735</wp:posOffset>
            </wp:positionV>
            <wp:extent cx="13335" cy="6350"/>
            <wp:wrapNone/>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-673735</wp:posOffset>
            </wp:positionV>
            <wp:extent cx="13335" cy="6350"/>
            <wp:wrapNone/>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-548005</wp:posOffset>
            </wp:positionV>
            <wp:extent cx="13335" cy="6350"/>
            <wp:wrapNone/>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-548005</wp:posOffset>
            </wp:positionV>
            <wp:extent cx="13335" cy="6350"/>
            <wp:wrapNone/>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-548005</wp:posOffset>
            </wp:positionV>
            <wp:extent cx="13335" cy="6350"/>
            <wp:wrapNone/>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-548005</wp:posOffset>
            </wp:positionV>
            <wp:extent cx="13335" cy="6350"/>
            <wp:wrapNone/>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-548005</wp:posOffset>
            </wp:positionV>
            <wp:extent cx="13335" cy="6350"/>
            <wp:wrapNone/>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-422275</wp:posOffset>
            </wp:positionV>
            <wp:extent cx="13335" cy="635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-422275</wp:posOffset>
            </wp:positionV>
            <wp:extent cx="13335" cy="635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-422275</wp:posOffset>
            </wp:positionV>
            <wp:extent cx="13335" cy="635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-422275</wp:posOffset>
            </wp:positionV>
            <wp:extent cx="13335" cy="635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-422275</wp:posOffset>
            </wp:positionV>
            <wp:extent cx="13335" cy="635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-296545</wp:posOffset>
            </wp:positionV>
            <wp:extent cx="13335" cy="635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-296545</wp:posOffset>
            </wp:positionV>
            <wp:extent cx="13335" cy="635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-296545</wp:posOffset>
            </wp:positionV>
            <wp:extent cx="13335" cy="635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-296545</wp:posOffset>
            </wp:positionV>
            <wp:extent cx="13335" cy="635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-296545</wp:posOffset>
            </wp:positionV>
            <wp:extent cx="13335" cy="635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1846580</wp:posOffset>
            </wp:positionH>
            <wp:positionV relativeFrom="paragraph">
              <wp:posOffset>-118110</wp:posOffset>
            </wp:positionV>
            <wp:extent cx="13335" cy="635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2401570</wp:posOffset>
            </wp:positionH>
            <wp:positionV relativeFrom="paragraph">
              <wp:posOffset>-118110</wp:posOffset>
            </wp:positionV>
            <wp:extent cx="13335" cy="635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-118110</wp:posOffset>
            </wp:positionV>
            <wp:extent cx="13335" cy="635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-118110</wp:posOffset>
            </wp:positionV>
            <wp:extent cx="13335" cy="635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-118110</wp:posOffset>
            </wp:positionV>
            <wp:extent cx="13335" cy="635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See notes to condensed interim consolidated financial statements.</w:t>
      </w:r>
    </w:p>
    <w:p>
      <w:pPr>
        <w:spacing w:after="0" w:line="28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8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STATEMENTS OF CHANGES IN SHAREHOLDERS' EQUITY</w:t>
      </w:r>
    </w:p>
    <w:p>
      <w:pPr>
        <w:spacing w:after="0" w:line="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6350" cy="73025"/>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90">
                      <a:extLst>
                        <a:ext uri="{28A0092B-C50C-407E-A947-70E740481C1C}"/>
                      </a:extLst>
                    </a:blip>
                    <a:srcRect/>
                    <a:stretch>
                      <a:fillRect/>
                    </a:stretch>
                  </pic:blipFill>
                  <pic:spPr bwMode="auto">
                    <a:xfrm>
                      <a:off x="0" y="0"/>
                      <a:ext cx="6350" cy="73025"/>
                    </a:xfrm>
                    <a:prstGeom prst="rect">
                      <a:avLst/>
                    </a:prstGeom>
                    <a:noFill/>
                  </pic:spPr>
                </pic:pic>
              </a:graphicData>
            </a:graphic>
          </wp:anchor>
        </w:drawing>
      </w:r>
    </w:p>
    <w:p>
      <w:pPr>
        <w:spacing w:after="0" w:line="152" w:lineRule="exact"/>
        <w:rPr>
          <w:sz w:val="20"/>
          <w:szCs w:val="20"/>
          <w:color w:val="auto"/>
        </w:rPr>
      </w:pPr>
    </w:p>
    <w:tbl>
      <w:tblPr>
        <w:tblLayout w:type="fixed"/>
        <w:tblInd w:w="2540" w:type="dxa"/>
        <w:tblCellMar>
          <w:top w:w="0" w:type="dxa"/>
          <w:left w:w="0" w:type="dxa"/>
          <w:bottom w:w="0" w:type="dxa"/>
          <w:right w:w="0" w:type="dxa"/>
        </w:tblCellMar>
      </w:tblPr>
      <w:tr>
        <w:trPr>
          <w:trHeight w:val="126"/>
        </w:trPr>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00" w:type="dxa"/>
            <w:vAlign w:val="bottom"/>
          </w:tcPr>
          <w:p>
            <w:pPr>
              <w:jc w:val="center"/>
              <w:ind w:left="65"/>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Shareholder</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w w:val="95"/>
              </w:rPr>
              <w:t>TreasuryTotal</w:t>
            </w:r>
          </w:p>
        </w:tc>
        <w:tc>
          <w:tcPr>
            <w:tcW w:w="0" w:type="dxa"/>
            <w:vAlign w:val="bottom"/>
          </w:tcPr>
          <w:p>
            <w:pPr>
              <w:spacing w:after="0"/>
              <w:rPr>
                <w:sz w:val="1"/>
                <w:szCs w:val="1"/>
                <w:color w:val="auto"/>
              </w:rPr>
            </w:pPr>
          </w:p>
        </w:tc>
      </w:tr>
      <w:tr>
        <w:trPr>
          <w:trHeight w:val="115"/>
        </w:trPr>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Ordinary shares</w:t>
            </w:r>
          </w:p>
        </w:tc>
        <w:tc>
          <w:tcPr>
            <w:tcW w:w="900" w:type="dxa"/>
            <w:vAlign w:val="bottom"/>
          </w:tcPr>
          <w:p>
            <w:pPr>
              <w:jc w:val="center"/>
              <w:ind w:left="65"/>
              <w:spacing w:after="0" w:line="115" w:lineRule="exact"/>
              <w:rPr>
                <w:sz w:val="20"/>
                <w:szCs w:val="20"/>
                <w:color w:val="auto"/>
              </w:rPr>
            </w:pPr>
            <w:r>
              <w:rPr>
                <w:rFonts w:ascii="Times New Roman" w:cs="Times New Roman" w:eastAsia="Times New Roman" w:hAnsi="Times New Roman"/>
                <w:sz w:val="11"/>
                <w:szCs w:val="11"/>
                <w:b w:val="1"/>
                <w:bCs w:val="1"/>
                <w:color w:val="auto"/>
              </w:rPr>
              <w:t>paid-in</w:t>
            </w:r>
          </w:p>
        </w:tc>
        <w:tc>
          <w:tcPr>
            <w:tcW w:w="8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receivables</w:t>
            </w:r>
          </w:p>
        </w:tc>
        <w:tc>
          <w:tcPr>
            <w:tcW w:w="8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020" w:type="dxa"/>
            <w:vAlign w:val="bottom"/>
          </w:tcPr>
          <w:p>
            <w:pPr>
              <w:ind w:left="180"/>
              <w:spacing w:after="0" w:line="115" w:lineRule="exact"/>
              <w:rPr>
                <w:sz w:val="20"/>
                <w:szCs w:val="20"/>
                <w:color w:val="auto"/>
              </w:rPr>
            </w:pPr>
            <w:r>
              <w:rPr>
                <w:rFonts w:ascii="Times New Roman" w:cs="Times New Roman" w:eastAsia="Times New Roman" w:hAnsi="Times New Roman"/>
                <w:sz w:val="11"/>
                <w:szCs w:val="11"/>
                <w:b w:val="1"/>
                <w:bCs w:val="1"/>
                <w:color w:val="auto"/>
              </w:rPr>
              <w:t>stock</w:t>
            </w:r>
          </w:p>
        </w:tc>
        <w:tc>
          <w:tcPr>
            <w:tcW w:w="0" w:type="dxa"/>
            <w:vAlign w:val="bottom"/>
          </w:tcPr>
          <w:p>
            <w:pPr>
              <w:spacing w:after="0"/>
              <w:rPr>
                <w:sz w:val="1"/>
                <w:szCs w:val="1"/>
                <w:color w:val="auto"/>
              </w:rPr>
            </w:pPr>
          </w:p>
        </w:tc>
      </w:tr>
      <w:tr>
        <w:trPr>
          <w:trHeight w:val="139"/>
        </w:trPr>
        <w:tc>
          <w:tcPr>
            <w:tcW w:w="1140" w:type="dxa"/>
            <w:vAlign w:val="bottom"/>
            <w:tcBorders>
              <w:bottom w:val="single" w:sz="8" w:color="auto"/>
            </w:tcBorders>
            <w:gridSpan w:val="2"/>
            <w:vMerge w:val="continue"/>
          </w:tcPr>
          <w:p>
            <w:pPr>
              <w:spacing w:after="0"/>
              <w:rPr>
                <w:sz w:val="11"/>
                <w:szCs w:val="11"/>
                <w:color w:val="auto"/>
              </w:rPr>
            </w:pPr>
          </w:p>
        </w:tc>
        <w:tc>
          <w:tcPr>
            <w:tcW w:w="900" w:type="dxa"/>
            <w:vAlign w:val="bottom"/>
          </w:tcPr>
          <w:p>
            <w:pPr>
              <w:jc w:val="center"/>
              <w:ind w:left="45"/>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and</w:t>
            </w: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-322580</wp:posOffset>
            </wp:positionV>
            <wp:extent cx="4679950" cy="118745"/>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91">
                      <a:extLst>
                        <a:ext uri="{28A0092B-C50C-407E-A947-70E740481C1C}"/>
                      </a:extLst>
                    </a:blip>
                    <a:srcRect/>
                    <a:stretch>
                      <a:fillRect/>
                    </a:stretch>
                  </pic:blipFill>
                  <pic:spPr bwMode="auto">
                    <a:xfrm>
                      <a:off x="0" y="0"/>
                      <a:ext cx="4679950" cy="118745"/>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-91440</wp:posOffset>
            </wp:positionV>
            <wp:extent cx="13335" cy="635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-91440</wp:posOffset>
            </wp:positionV>
            <wp:extent cx="13335" cy="635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-91440</wp:posOffset>
            </wp:positionV>
            <wp:extent cx="13335" cy="635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9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91" w:orient="portrait"/>
          <w:cols w:equalWidth="0" w:num="1">
            <w:col w:w="10239"/>
          </w:cols>
          <w:pgMar w:left="220" w:top="125" w:right="1440" w:bottom="0" w:gutter="0" w:footer="0" w:header="0"/>
        </w:sectPr>
      </w:pPr>
    </w:p>
    <w:bookmarkStart w:id="73" w:name="page74"/>
    <w:bookmarkEnd w:id="73"/>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unearned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vMerge w:val="restart"/>
          </w:tcPr>
          <w:p>
            <w:pPr>
              <w:spacing w:after="0"/>
              <w:rPr>
                <w:sz w:val="6"/>
                <w:szCs w:val="6"/>
                <w:color w:val="auto"/>
              </w:rPr>
            </w:pP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compensation</w:t>
            </w: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54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660" w:type="dxa"/>
            <w:vAlign w:val="bottom"/>
            <w:tcBorders>
              <w:bottom w:val="single" w:sz="8" w:color="auto"/>
            </w:tcBorders>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 JANUARY 1, 2003</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44,735,532</w:t>
            </w:r>
          </w:p>
        </w:tc>
        <w:tc>
          <w:tcPr>
            <w:tcW w:w="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6"/>
              </w:rPr>
              <w:t>11,294</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$400,808</w:t>
            </w:r>
          </w:p>
        </w:tc>
        <w:tc>
          <w:tcPr>
            <w:tcW w:w="260" w:type="dxa"/>
            <w:vAlign w:val="bottom"/>
          </w:tcPr>
          <w:p>
            <w:pPr>
              <w:spacing w:after="0"/>
              <w:rPr>
                <w:sz w:val="24"/>
                <w:szCs w:val="24"/>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7"/>
              </w:rPr>
              <w:t>(104,643)</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$(9,072)</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$298,334</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Changes during nine months period (unaudited):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 related to the Fab 2</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constructor</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145</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shares, net of related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5,343,614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1,185</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14,692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15,877</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unearned compensation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27</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(68,266)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(68,266)</w:t>
            </w:r>
          </w:p>
        </w:tc>
        <w:tc>
          <w:tcPr>
            <w:tcW w:w="0" w:type="dxa"/>
            <w:vAlign w:val="bottom"/>
          </w:tcPr>
          <w:p>
            <w:pPr>
              <w:spacing w:after="0"/>
              <w:rPr>
                <w:sz w:val="1"/>
                <w:szCs w:val="1"/>
                <w:color w:val="auto"/>
              </w:rPr>
            </w:pPr>
          </w:p>
        </w:tc>
      </w:tr>
      <w:tr>
        <w:trPr>
          <w:trHeight w:val="139"/>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 SEPTEMBER 30, 2003</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(unaudited):</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50,079,146</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6"/>
              </w:rPr>
              <w:t>12,479</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$415,645</w:t>
            </w:r>
          </w:p>
        </w:tc>
        <w:tc>
          <w:tcPr>
            <w:tcW w:w="260" w:type="dxa"/>
            <w:vAlign w:val="bottom"/>
          </w:tcPr>
          <w:p>
            <w:pPr>
              <w:spacing w:after="0"/>
              <w:rPr>
                <w:sz w:val="14"/>
                <w:szCs w:val="14"/>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7"/>
              </w:rPr>
              <w:t>(172,909)</w:t>
            </w:r>
          </w:p>
        </w:tc>
        <w:tc>
          <w:tcPr>
            <w:tcW w:w="1160" w:type="dxa"/>
            <w:vAlign w:val="bottom"/>
            <w:gridSpan w:val="6"/>
          </w:tcPr>
          <w:p>
            <w:pPr>
              <w:jc w:val="right"/>
              <w:ind w:right="6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(9,072)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246,117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 JANUARY 1, 2002</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26,297,102</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7,448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$307,865</w:t>
            </w:r>
          </w:p>
        </w:tc>
        <w:tc>
          <w:tcPr>
            <w:tcW w:w="260" w:type="dxa"/>
            <w:vAlign w:val="bottom"/>
          </w:tcPr>
          <w:p>
            <w:pPr>
              <w:spacing w:after="0"/>
              <w:rPr>
                <w:sz w:val="19"/>
                <w:szCs w:val="19"/>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9"/>
              </w:rPr>
              <w:t>(195)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(53,241)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$(9,072)</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$252,805</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Changes during nine months period (unaudited):</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shares, net of related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5,214,126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1,089</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30,912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32,001</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unearned compensation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121</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(37,818)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(37,818)</w:t>
            </w:r>
          </w:p>
        </w:tc>
        <w:tc>
          <w:tcPr>
            <w:tcW w:w="0" w:type="dxa"/>
            <w:vAlign w:val="bottom"/>
          </w:tcPr>
          <w:p>
            <w:pPr>
              <w:spacing w:after="0"/>
              <w:rPr>
                <w:sz w:val="1"/>
                <w:szCs w:val="1"/>
                <w:color w:val="auto"/>
              </w:rPr>
            </w:pPr>
          </w:p>
        </w:tc>
      </w:tr>
      <w:tr>
        <w:trPr>
          <w:trHeight w:val="139"/>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 SEPTEMBER 30, 2002</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(unaudited):</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31,511,228</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8,537</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$338,777</w:t>
            </w:r>
          </w:p>
        </w:tc>
        <w:tc>
          <w:tcPr>
            <w:tcW w:w="260" w:type="dxa"/>
            <w:vAlign w:val="bottom"/>
          </w:tcPr>
          <w:p>
            <w:pPr>
              <w:spacing w:after="0"/>
              <w:rPr>
                <w:sz w:val="14"/>
                <w:szCs w:val="14"/>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(91,059)</w:t>
            </w:r>
          </w:p>
        </w:tc>
        <w:tc>
          <w:tcPr>
            <w:tcW w:w="1160" w:type="dxa"/>
            <w:vAlign w:val="bottom"/>
            <w:gridSpan w:val="6"/>
          </w:tcPr>
          <w:p>
            <w:pPr>
              <w:jc w:val="right"/>
              <w:ind w:right="6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(9,072)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247,109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 JULY 1, 2003</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49,241,064</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6"/>
              </w:rPr>
              <w:t>12,291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$413,334</w:t>
            </w:r>
          </w:p>
        </w:tc>
        <w:tc>
          <w:tcPr>
            <w:tcW w:w="260" w:type="dxa"/>
            <w:vAlign w:val="bottom"/>
          </w:tcPr>
          <w:p>
            <w:pPr>
              <w:spacing w:after="0"/>
              <w:rPr>
                <w:sz w:val="19"/>
                <w:szCs w:val="19"/>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7"/>
              </w:rPr>
              <w:t>(135,823)</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$(9,072)</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$280,704</w:t>
            </w:r>
          </w:p>
        </w:tc>
        <w:tc>
          <w:tcPr>
            <w:tcW w:w="0" w:type="dxa"/>
            <w:vAlign w:val="bottom"/>
          </w:tcPr>
          <w:p>
            <w:pPr>
              <w:spacing w:after="0"/>
              <w:rPr>
                <w:sz w:val="1"/>
                <w:szCs w:val="1"/>
                <w:color w:val="auto"/>
              </w:rPr>
            </w:pPr>
          </w:p>
        </w:tc>
      </w:tr>
      <w:tr>
        <w:trPr>
          <w:trHeight w:val="180"/>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Changes during three months period</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(unaudited):</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shares, net of related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838,082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188</w:t>
            </w:r>
          </w:p>
        </w:tc>
        <w:tc>
          <w:tcPr>
            <w:tcW w:w="10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2,311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2,499</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(37,086)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(37,086)</w:t>
            </w:r>
          </w:p>
        </w:tc>
        <w:tc>
          <w:tcPr>
            <w:tcW w:w="0" w:type="dxa"/>
            <w:vAlign w:val="bottom"/>
          </w:tcPr>
          <w:p>
            <w:pPr>
              <w:spacing w:after="0"/>
              <w:rPr>
                <w:sz w:val="1"/>
                <w:szCs w:val="1"/>
                <w:color w:val="auto"/>
              </w:rPr>
            </w:pPr>
          </w:p>
        </w:tc>
      </w:tr>
      <w:tr>
        <w:trPr>
          <w:trHeight w:val="139"/>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 SEPTEMBER 30, 2003</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(unaudited):</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50,079,146</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w w:val="96"/>
              </w:rPr>
              <w:t>12,479</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$415,645</w:t>
            </w:r>
          </w:p>
        </w:tc>
        <w:tc>
          <w:tcPr>
            <w:tcW w:w="260" w:type="dxa"/>
            <w:vAlign w:val="bottom"/>
          </w:tcPr>
          <w:p>
            <w:pPr>
              <w:spacing w:after="0"/>
              <w:rPr>
                <w:sz w:val="14"/>
                <w:szCs w:val="14"/>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7"/>
              </w:rPr>
              <w:t>(172,909)</w:t>
            </w:r>
          </w:p>
        </w:tc>
        <w:tc>
          <w:tcPr>
            <w:tcW w:w="1160" w:type="dxa"/>
            <w:vAlign w:val="bottom"/>
            <w:gridSpan w:val="6"/>
          </w:tcPr>
          <w:p>
            <w:pPr>
              <w:jc w:val="right"/>
              <w:ind w:right="6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(9,072)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246,117</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 JULY 1, 2002</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31,511,228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8,537</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$338,753</w:t>
            </w:r>
          </w:p>
        </w:tc>
        <w:tc>
          <w:tcPr>
            <w:tcW w:w="260" w:type="dxa"/>
            <w:vAlign w:val="bottom"/>
          </w:tcPr>
          <w:p>
            <w:pPr>
              <w:spacing w:after="0"/>
              <w:rPr>
                <w:sz w:val="19"/>
                <w:szCs w:val="19"/>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(76,546)</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$(9,072)</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$261,573</w:t>
            </w:r>
          </w:p>
        </w:tc>
        <w:tc>
          <w:tcPr>
            <w:tcW w:w="0" w:type="dxa"/>
            <w:vAlign w:val="bottom"/>
          </w:tcPr>
          <w:p>
            <w:pPr>
              <w:spacing w:after="0"/>
              <w:rPr>
                <w:sz w:val="1"/>
                <w:szCs w:val="1"/>
                <w:color w:val="auto"/>
              </w:rPr>
            </w:pPr>
          </w:p>
        </w:tc>
      </w:tr>
      <w:tr>
        <w:trPr>
          <w:trHeight w:val="180"/>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Changes during three months period</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(unaudited):</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shares, net of related costs</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24</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unearned compensation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Loss for the period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(14,513)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(14,513)</w:t>
            </w:r>
          </w:p>
        </w:tc>
        <w:tc>
          <w:tcPr>
            <w:tcW w:w="0" w:type="dxa"/>
            <w:vAlign w:val="bottom"/>
          </w:tcPr>
          <w:p>
            <w:pPr>
              <w:spacing w:after="0"/>
              <w:rPr>
                <w:sz w:val="1"/>
                <w:szCs w:val="1"/>
                <w:color w:val="auto"/>
              </w:rPr>
            </w:pPr>
          </w:p>
        </w:tc>
      </w:tr>
      <w:tr>
        <w:trPr>
          <w:trHeight w:val="139"/>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 SEPTEMBER 30, 2002</w:t>
            </w: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5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(unaudited):</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31,511,228</w:t>
            </w:r>
          </w:p>
        </w:tc>
        <w:tc>
          <w:tcPr>
            <w:tcW w:w="2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8,537</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$338,777</w:t>
            </w:r>
          </w:p>
        </w:tc>
        <w:tc>
          <w:tcPr>
            <w:tcW w:w="260" w:type="dxa"/>
            <w:vAlign w:val="bottom"/>
          </w:tcPr>
          <w:p>
            <w:pPr>
              <w:spacing w:after="0"/>
              <w:rPr>
                <w:sz w:val="14"/>
                <w:szCs w:val="14"/>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(91,059)</w:t>
            </w:r>
          </w:p>
        </w:tc>
        <w:tc>
          <w:tcPr>
            <w:tcW w:w="1160" w:type="dxa"/>
            <w:vAlign w:val="bottom"/>
            <w:gridSpan w:val="6"/>
          </w:tcPr>
          <w:p>
            <w:pPr>
              <w:jc w:val="right"/>
              <w:ind w:right="60"/>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 xml:space="preserve">(9,072)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247,109</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 JANUARY 1, 2002</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26,297,102</w:t>
            </w:r>
          </w:p>
        </w:tc>
        <w:tc>
          <w:tcPr>
            <w:tcW w:w="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7,448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$307,865</w:t>
            </w:r>
          </w:p>
        </w:tc>
        <w:tc>
          <w:tcPr>
            <w:tcW w:w="260" w:type="dxa"/>
            <w:vAlign w:val="bottom"/>
          </w:tcPr>
          <w:p>
            <w:pPr>
              <w:spacing w:after="0"/>
              <w:rPr>
                <w:sz w:val="19"/>
                <w:szCs w:val="19"/>
                <w:color w:val="auto"/>
              </w:rPr>
            </w:pPr>
          </w:p>
        </w:tc>
        <w:tc>
          <w:tcPr>
            <w:tcW w:w="2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9"/>
              </w:rPr>
              <w:t>(195)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(53,241)</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$(9,072)</w:t>
            </w: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$252,805</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Changes during 2002:</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Issuance of shares, net of related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18,438,430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3,846</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92,943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96,789</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unearned compensation</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142</w:t>
            </w:r>
          </w:p>
        </w:tc>
        <w:tc>
          <w:tcPr>
            <w:tcW w:w="0" w:type="dxa"/>
            <w:vAlign w:val="bottom"/>
          </w:tcPr>
          <w:p>
            <w:pPr>
              <w:spacing w:after="0"/>
              <w:rPr>
                <w:sz w:val="1"/>
                <w:szCs w:val="1"/>
                <w:color w:val="auto"/>
              </w:rPr>
            </w:pPr>
          </w:p>
        </w:tc>
      </w:tr>
      <w:tr>
        <w:trPr>
          <w:trHeight w:val="208"/>
        </w:trPr>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Loss for the year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(51,402)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(51,402)</w:t>
            </w:r>
          </w:p>
        </w:tc>
        <w:tc>
          <w:tcPr>
            <w:tcW w:w="0" w:type="dxa"/>
            <w:vAlign w:val="bottom"/>
          </w:tcPr>
          <w:p>
            <w:pPr>
              <w:spacing w:after="0"/>
              <w:rPr>
                <w:sz w:val="1"/>
                <w:szCs w:val="1"/>
                <w:color w:val="auto"/>
              </w:rPr>
            </w:pPr>
          </w:p>
        </w:tc>
      </w:tr>
      <w:tr>
        <w:trPr>
          <w:trHeight w:val="150"/>
        </w:trPr>
        <w:tc>
          <w:tcPr>
            <w:tcW w:w="25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BALANCE — DECEMBER 31, 2002</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44,735,532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6"/>
              </w:rPr>
              <w:t>11,294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$400,808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9"/>
              </w:rPr>
              <w:t>(104,643)</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(9,072</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8"/>
              </w:rPr>
              <w:t>)</w:t>
            </w:r>
          </w:p>
        </w:tc>
        <w:tc>
          <w:tcPr>
            <w:tcW w:w="8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color w:val="auto"/>
              </w:rPr>
              <w:t>298,334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1562100</wp:posOffset>
            </wp:positionH>
            <wp:positionV relativeFrom="paragraph">
              <wp:posOffset>-4593590</wp:posOffset>
            </wp:positionV>
            <wp:extent cx="13335" cy="635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-4593590</wp:posOffset>
            </wp:positionV>
            <wp:extent cx="13335" cy="635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-4593590</wp:posOffset>
            </wp:positionV>
            <wp:extent cx="13335" cy="635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-4593590</wp:posOffset>
            </wp:positionV>
            <wp:extent cx="13335" cy="635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-4593590</wp:posOffset>
            </wp:positionV>
            <wp:extent cx="13335" cy="6350"/>
            <wp:wrapNone/>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-4593590</wp:posOffset>
            </wp:positionV>
            <wp:extent cx="13335" cy="6350"/>
            <wp:wrapNone/>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7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-4593590</wp:posOffset>
            </wp:positionV>
            <wp:extent cx="13335" cy="6350"/>
            <wp:wrapNone/>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7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-4474845</wp:posOffset>
            </wp:positionV>
            <wp:extent cx="13335" cy="6350"/>
            <wp:wrapNone/>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7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-4474845</wp:posOffset>
            </wp:positionV>
            <wp:extent cx="13335" cy="6350"/>
            <wp:wrapNone/>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7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-4474845</wp:posOffset>
            </wp:positionV>
            <wp:extent cx="13335" cy="6350"/>
            <wp:wrapNone/>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7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-4474845</wp:posOffset>
            </wp:positionV>
            <wp:extent cx="13335" cy="6350"/>
            <wp:wrapNone/>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-4474845</wp:posOffset>
            </wp:positionV>
            <wp:extent cx="13335" cy="6350"/>
            <wp:wrapNone/>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-4474845</wp:posOffset>
            </wp:positionV>
            <wp:extent cx="13335" cy="6350"/>
            <wp:wrapNone/>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-4474845</wp:posOffset>
            </wp:positionV>
            <wp:extent cx="13335" cy="6350"/>
            <wp:wrapNone/>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-4355465</wp:posOffset>
            </wp:positionV>
            <wp:extent cx="13335" cy="6350"/>
            <wp:wrapNone/>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-4355465</wp:posOffset>
            </wp:positionV>
            <wp:extent cx="13335" cy="6350"/>
            <wp:wrapNone/>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-4355465</wp:posOffset>
            </wp:positionV>
            <wp:extent cx="13335" cy="6350"/>
            <wp:wrapNone/>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-4355465</wp:posOffset>
            </wp:positionV>
            <wp:extent cx="13335" cy="6350"/>
            <wp:wrapNone/>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-4355465</wp:posOffset>
            </wp:positionV>
            <wp:extent cx="13335" cy="6350"/>
            <wp:wrapNone/>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-4355465</wp:posOffset>
            </wp:positionV>
            <wp:extent cx="13335" cy="6350"/>
            <wp:wrapNone/>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-4355465</wp:posOffset>
            </wp:positionV>
            <wp:extent cx="13335" cy="6350"/>
            <wp:wrapNone/>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-4184015</wp:posOffset>
            </wp:positionV>
            <wp:extent cx="13335" cy="6350"/>
            <wp:wrapNone/>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-4184015</wp:posOffset>
            </wp:positionV>
            <wp:extent cx="13335" cy="6350"/>
            <wp:wrapNone/>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-4184015</wp:posOffset>
            </wp:positionV>
            <wp:extent cx="13335" cy="6350"/>
            <wp:wrapNone/>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-4184015</wp:posOffset>
            </wp:positionV>
            <wp:extent cx="13335" cy="6350"/>
            <wp:wrapNone/>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-4184015</wp:posOffset>
            </wp:positionV>
            <wp:extent cx="13335" cy="6350"/>
            <wp:wrapNone/>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-4184015</wp:posOffset>
            </wp:positionV>
            <wp:extent cx="13335" cy="6350"/>
            <wp:wrapNone/>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-4184015</wp:posOffset>
            </wp:positionV>
            <wp:extent cx="13335" cy="6350"/>
            <wp:wrapNone/>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-4018280</wp:posOffset>
            </wp:positionV>
            <wp:extent cx="13335" cy="6350"/>
            <wp:wrapNone/>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-4018280</wp:posOffset>
            </wp:positionV>
            <wp:extent cx="13335" cy="6350"/>
            <wp:wrapNone/>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-4018280</wp:posOffset>
            </wp:positionV>
            <wp:extent cx="13335" cy="6350"/>
            <wp:wrapNone/>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-4018280</wp:posOffset>
            </wp:positionV>
            <wp:extent cx="13335" cy="6350"/>
            <wp:wrapNone/>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-4018280</wp:posOffset>
            </wp:positionV>
            <wp:extent cx="13335" cy="6350"/>
            <wp:wrapNone/>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-4018280</wp:posOffset>
            </wp:positionV>
            <wp:extent cx="13335" cy="6350"/>
            <wp:wrapNone/>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-4018280</wp:posOffset>
            </wp:positionV>
            <wp:extent cx="13335" cy="6350"/>
            <wp:wrapNone/>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-3899535</wp:posOffset>
            </wp:positionV>
            <wp:extent cx="13335" cy="6350"/>
            <wp:wrapNone/>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-3899535</wp:posOffset>
            </wp:positionV>
            <wp:extent cx="13335" cy="6350"/>
            <wp:wrapNone/>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-3899535</wp:posOffset>
            </wp:positionV>
            <wp:extent cx="13335" cy="6350"/>
            <wp:wrapNone/>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-3899535</wp:posOffset>
            </wp:positionV>
            <wp:extent cx="13335" cy="6350"/>
            <wp:wrapNone/>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-3899535</wp:posOffset>
            </wp:positionV>
            <wp:extent cx="13335" cy="6350"/>
            <wp:wrapNone/>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-3899535</wp:posOffset>
            </wp:positionV>
            <wp:extent cx="13335" cy="6350"/>
            <wp:wrapNone/>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-3899535</wp:posOffset>
            </wp:positionV>
            <wp:extent cx="13335" cy="6350"/>
            <wp:wrapNone/>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-3780790</wp:posOffset>
            </wp:positionV>
            <wp:extent cx="13335" cy="6350"/>
            <wp:wrapNone/>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-3780790</wp:posOffset>
            </wp:positionV>
            <wp:extent cx="13335" cy="6350"/>
            <wp:wrapNone/>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-3780790</wp:posOffset>
            </wp:positionV>
            <wp:extent cx="13335" cy="6350"/>
            <wp:wrapNone/>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-3780790</wp:posOffset>
            </wp:positionV>
            <wp:extent cx="13335" cy="6350"/>
            <wp:wrapNone/>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-3780790</wp:posOffset>
            </wp:positionV>
            <wp:extent cx="13335" cy="6350"/>
            <wp:wrapNone/>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-3780790</wp:posOffset>
            </wp:positionV>
            <wp:extent cx="13335" cy="6350"/>
            <wp:wrapNone/>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-3780790</wp:posOffset>
            </wp:positionV>
            <wp:extent cx="13335" cy="6350"/>
            <wp:wrapNone/>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-3608705</wp:posOffset>
            </wp:positionV>
            <wp:extent cx="13335" cy="6350"/>
            <wp:wrapNone/>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-3608705</wp:posOffset>
            </wp:positionV>
            <wp:extent cx="13335" cy="6350"/>
            <wp:wrapNone/>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-3608705</wp:posOffset>
            </wp:positionV>
            <wp:extent cx="13335" cy="6350"/>
            <wp:wrapNone/>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-3608705</wp:posOffset>
            </wp:positionV>
            <wp:extent cx="13335" cy="6350"/>
            <wp:wrapNone/>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-3608705</wp:posOffset>
            </wp:positionV>
            <wp:extent cx="13335" cy="6350"/>
            <wp:wrapNone/>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-3608705</wp:posOffset>
            </wp:positionV>
            <wp:extent cx="13335" cy="6350"/>
            <wp:wrapNone/>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-3608705</wp:posOffset>
            </wp:positionV>
            <wp:extent cx="13335" cy="6350"/>
            <wp:wrapNone/>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-3377565</wp:posOffset>
            </wp:positionV>
            <wp:extent cx="13335" cy="6350"/>
            <wp:wrapNone/>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-3377565</wp:posOffset>
            </wp:positionV>
            <wp:extent cx="13335" cy="6350"/>
            <wp:wrapNone/>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-3377565</wp:posOffset>
            </wp:positionV>
            <wp:extent cx="13335" cy="6350"/>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-3377565</wp:posOffset>
            </wp:positionV>
            <wp:extent cx="13335" cy="6350"/>
            <wp:wrapNone/>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-3377565</wp:posOffset>
            </wp:positionV>
            <wp:extent cx="13335" cy="6350"/>
            <wp:wrapNone/>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-3377565</wp:posOffset>
            </wp:positionV>
            <wp:extent cx="13335" cy="6350"/>
            <wp:wrapNone/>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-3377565</wp:posOffset>
            </wp:positionV>
            <wp:extent cx="13335" cy="6350"/>
            <wp:wrapNone/>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-3258185</wp:posOffset>
            </wp:positionV>
            <wp:extent cx="13335" cy="6350"/>
            <wp:wrapNone/>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-3258185</wp:posOffset>
            </wp:positionV>
            <wp:extent cx="13335" cy="6350"/>
            <wp:wrapNone/>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-3258185</wp:posOffset>
            </wp:positionV>
            <wp:extent cx="13335" cy="6350"/>
            <wp:wrapNone/>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-3258185</wp:posOffset>
            </wp:positionV>
            <wp:extent cx="13335" cy="6350"/>
            <wp:wrapNone/>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-3258185</wp:posOffset>
            </wp:positionV>
            <wp:extent cx="13335" cy="6350"/>
            <wp:wrapNone/>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-3258185</wp:posOffset>
            </wp:positionV>
            <wp:extent cx="13335" cy="6350"/>
            <wp:wrapNone/>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-3258185</wp:posOffset>
            </wp:positionV>
            <wp:extent cx="13335" cy="6350"/>
            <wp:wrapNone/>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-3139440</wp:posOffset>
            </wp:positionV>
            <wp:extent cx="13335" cy="6350"/>
            <wp:wrapNone/>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-3139440</wp:posOffset>
            </wp:positionV>
            <wp:extent cx="13335" cy="6350"/>
            <wp:wrapNone/>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-3139440</wp:posOffset>
            </wp:positionV>
            <wp:extent cx="13335" cy="6350"/>
            <wp:wrapNone/>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-3139440</wp:posOffset>
            </wp:positionV>
            <wp:extent cx="13335" cy="6350"/>
            <wp:wrapNone/>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-3139440</wp:posOffset>
            </wp:positionV>
            <wp:extent cx="13335" cy="6350"/>
            <wp:wrapNone/>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-3139440</wp:posOffset>
            </wp:positionV>
            <wp:extent cx="13335" cy="6350"/>
            <wp:wrapNone/>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-3139440</wp:posOffset>
            </wp:positionV>
            <wp:extent cx="13335" cy="6350"/>
            <wp:wrapNone/>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-3020060</wp:posOffset>
            </wp:positionV>
            <wp:extent cx="13335" cy="6350"/>
            <wp:wrapNone/>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-3020060</wp:posOffset>
            </wp:positionV>
            <wp:extent cx="13335" cy="6350"/>
            <wp:wrapNone/>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-3020060</wp:posOffset>
            </wp:positionV>
            <wp:extent cx="13335" cy="6350"/>
            <wp:wrapNone/>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-3020060</wp:posOffset>
            </wp:positionV>
            <wp:extent cx="13335" cy="6350"/>
            <wp:wrapNone/>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-3020060</wp:posOffset>
            </wp:positionV>
            <wp:extent cx="13335" cy="6350"/>
            <wp:wrapNone/>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-3020060</wp:posOffset>
            </wp:positionV>
            <wp:extent cx="13335" cy="6350"/>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-3020060</wp:posOffset>
            </wp:positionV>
            <wp:extent cx="13335" cy="635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-2901315</wp:posOffset>
            </wp:positionV>
            <wp:extent cx="13335" cy="6350"/>
            <wp:wrapNone/>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-2901315</wp:posOffset>
            </wp:positionV>
            <wp:extent cx="13335" cy="6350"/>
            <wp:wrapNone/>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-2901315</wp:posOffset>
            </wp:positionV>
            <wp:extent cx="13335" cy="6350"/>
            <wp:wrapNone/>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-2901315</wp:posOffset>
            </wp:positionV>
            <wp:extent cx="13335" cy="6350"/>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-2901315</wp:posOffset>
            </wp:positionV>
            <wp:extent cx="13335" cy="6350"/>
            <wp:wrapNone/>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-2901315</wp:posOffset>
            </wp:positionV>
            <wp:extent cx="13335" cy="6350"/>
            <wp:wrapNone/>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-2901315</wp:posOffset>
            </wp:positionV>
            <wp:extent cx="13335" cy="6350"/>
            <wp:wrapNone/>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-2729230</wp:posOffset>
            </wp:positionV>
            <wp:extent cx="13335" cy="6350"/>
            <wp:wrapNone/>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-2729230</wp:posOffset>
            </wp:positionV>
            <wp:extent cx="13335" cy="6350"/>
            <wp:wrapNone/>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-2729230</wp:posOffset>
            </wp:positionV>
            <wp:extent cx="13335" cy="6350"/>
            <wp:wrapNone/>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-2729230</wp:posOffset>
            </wp:positionV>
            <wp:extent cx="13335" cy="6350"/>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-2729230</wp:posOffset>
            </wp:positionV>
            <wp:extent cx="13335" cy="6350"/>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-2729230</wp:posOffset>
            </wp:positionV>
            <wp:extent cx="13335" cy="6350"/>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-2729230</wp:posOffset>
            </wp:positionV>
            <wp:extent cx="13335" cy="6350"/>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-2498090</wp:posOffset>
            </wp:positionV>
            <wp:extent cx="13335" cy="635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-2498090</wp:posOffset>
            </wp:positionV>
            <wp:extent cx="13335" cy="6350"/>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-2498090</wp:posOffset>
            </wp:positionV>
            <wp:extent cx="13335" cy="6350"/>
            <wp:wrapNone/>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-2498090</wp:posOffset>
            </wp:positionV>
            <wp:extent cx="13335" cy="6350"/>
            <wp:wrapNone/>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-2498090</wp:posOffset>
            </wp:positionV>
            <wp:extent cx="13335" cy="6350"/>
            <wp:wrapNone/>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-2498090</wp:posOffset>
            </wp:positionV>
            <wp:extent cx="13335" cy="6350"/>
            <wp:wrapNone/>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-2498090</wp:posOffset>
            </wp:positionV>
            <wp:extent cx="13335" cy="6350"/>
            <wp:wrapNone/>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-2326005</wp:posOffset>
            </wp:positionV>
            <wp:extent cx="13335" cy="6350"/>
            <wp:wrapNone/>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8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-2326005</wp:posOffset>
            </wp:positionV>
            <wp:extent cx="13335" cy="6350"/>
            <wp:wrapNone/>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8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-2326005</wp:posOffset>
            </wp:positionV>
            <wp:extent cx="13335" cy="6350"/>
            <wp:wrapNone/>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8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-2326005</wp:posOffset>
            </wp:positionV>
            <wp:extent cx="13335" cy="6350"/>
            <wp:wrapNone/>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8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-2326005</wp:posOffset>
            </wp:positionV>
            <wp:extent cx="13335" cy="6350"/>
            <wp:wrapNone/>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8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-2326005</wp:posOffset>
            </wp:positionV>
            <wp:extent cx="13335" cy="6350"/>
            <wp:wrapNone/>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-2326005</wp:posOffset>
            </wp:positionV>
            <wp:extent cx="13335" cy="6350"/>
            <wp:wrapNone/>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-2160905</wp:posOffset>
            </wp:positionV>
            <wp:extent cx="13335" cy="6350"/>
            <wp:wrapNone/>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-2160905</wp:posOffset>
            </wp:positionV>
            <wp:extent cx="13335" cy="6350"/>
            <wp:wrapNone/>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-2160905</wp:posOffset>
            </wp:positionV>
            <wp:extent cx="13335" cy="6350"/>
            <wp:wrapNone/>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-2160905</wp:posOffset>
            </wp:positionV>
            <wp:extent cx="13335" cy="6350"/>
            <wp:wrapNone/>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-2160905</wp:posOffset>
            </wp:positionV>
            <wp:extent cx="13335" cy="6350"/>
            <wp:wrapNone/>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-2160905</wp:posOffset>
            </wp:positionV>
            <wp:extent cx="13335" cy="6350"/>
            <wp:wrapNone/>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-2160905</wp:posOffset>
            </wp:positionV>
            <wp:extent cx="13335" cy="6350"/>
            <wp:wrapNone/>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-2042160</wp:posOffset>
            </wp:positionV>
            <wp:extent cx="13335" cy="6350"/>
            <wp:wrapNone/>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-2042160</wp:posOffset>
            </wp:positionV>
            <wp:extent cx="13335" cy="6350"/>
            <wp:wrapNone/>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-2042160</wp:posOffset>
            </wp:positionV>
            <wp:extent cx="13335" cy="6350"/>
            <wp:wrapNone/>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-2042160</wp:posOffset>
            </wp:positionV>
            <wp:extent cx="13335" cy="6350"/>
            <wp:wrapNone/>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-2042160</wp:posOffset>
            </wp:positionV>
            <wp:extent cx="13335" cy="6350"/>
            <wp:wrapNone/>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-2042160</wp:posOffset>
            </wp:positionV>
            <wp:extent cx="13335" cy="6350"/>
            <wp:wrapNone/>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-2042160</wp:posOffset>
            </wp:positionV>
            <wp:extent cx="13335" cy="6350"/>
            <wp:wrapNone/>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-1870075</wp:posOffset>
            </wp:positionV>
            <wp:extent cx="13335" cy="6350"/>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-1870075</wp:posOffset>
            </wp:positionV>
            <wp:extent cx="13335" cy="6350"/>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-1870075</wp:posOffset>
            </wp:positionV>
            <wp:extent cx="13335" cy="6350"/>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-1870075</wp:posOffset>
            </wp:positionV>
            <wp:extent cx="13335" cy="6350"/>
            <wp:wrapNone/>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-1870075</wp:posOffset>
            </wp:positionV>
            <wp:extent cx="13335" cy="6350"/>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-1870075</wp:posOffset>
            </wp:positionV>
            <wp:extent cx="13335" cy="6350"/>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-1870075</wp:posOffset>
            </wp:positionV>
            <wp:extent cx="13335" cy="6350"/>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-1638935</wp:posOffset>
            </wp:positionV>
            <wp:extent cx="13335" cy="6350"/>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-1638935</wp:posOffset>
            </wp:positionV>
            <wp:extent cx="13335" cy="635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-1638935</wp:posOffset>
            </wp:positionV>
            <wp:extent cx="13335" cy="6350"/>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-1638935</wp:posOffset>
            </wp:positionV>
            <wp:extent cx="13335" cy="6350"/>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-1638935</wp:posOffset>
            </wp:positionV>
            <wp:extent cx="13335" cy="6350"/>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-1638935</wp:posOffset>
            </wp:positionV>
            <wp:extent cx="13335" cy="6350"/>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-1638935</wp:posOffset>
            </wp:positionV>
            <wp:extent cx="13335" cy="635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-1466850</wp:posOffset>
            </wp:positionV>
            <wp:extent cx="13335" cy="6350"/>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-1466850</wp:posOffset>
            </wp:positionV>
            <wp:extent cx="13335" cy="6350"/>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-1466850</wp:posOffset>
            </wp:positionV>
            <wp:extent cx="13335" cy="6350"/>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-1466850</wp:posOffset>
            </wp:positionV>
            <wp:extent cx="13335" cy="6350"/>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-1466850</wp:posOffset>
            </wp:positionV>
            <wp:extent cx="13335" cy="635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-1466850</wp:posOffset>
            </wp:positionV>
            <wp:extent cx="13335" cy="6350"/>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-1466850</wp:posOffset>
            </wp:positionV>
            <wp:extent cx="13335" cy="635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-1301750</wp:posOffset>
            </wp:positionV>
            <wp:extent cx="13335" cy="6350"/>
            <wp:wrapNone/>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-1301750</wp:posOffset>
            </wp:positionV>
            <wp:extent cx="13335" cy="6350"/>
            <wp:wrapNone/>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-1301750</wp:posOffset>
            </wp:positionV>
            <wp:extent cx="13335" cy="6350"/>
            <wp:wrapNone/>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-1301750</wp:posOffset>
            </wp:positionV>
            <wp:extent cx="13335" cy="6350"/>
            <wp:wrapNone/>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-1301750</wp:posOffset>
            </wp:positionV>
            <wp:extent cx="13335" cy="6350"/>
            <wp:wrapNone/>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-1301750</wp:posOffset>
            </wp:positionV>
            <wp:extent cx="13335" cy="6350"/>
            <wp:wrapNone/>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-1301750</wp:posOffset>
            </wp:positionV>
            <wp:extent cx="13335" cy="6350"/>
            <wp:wrapNone/>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-1182370</wp:posOffset>
            </wp:positionV>
            <wp:extent cx="13335" cy="6350"/>
            <wp:wrapNone/>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-1182370</wp:posOffset>
            </wp:positionV>
            <wp:extent cx="13335" cy="6350"/>
            <wp:wrapNone/>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-1182370</wp:posOffset>
            </wp:positionV>
            <wp:extent cx="13335" cy="6350"/>
            <wp:wrapNone/>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-1182370</wp:posOffset>
            </wp:positionV>
            <wp:extent cx="13335" cy="6350"/>
            <wp:wrapNone/>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-1182370</wp:posOffset>
            </wp:positionV>
            <wp:extent cx="13335" cy="635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-1182370</wp:posOffset>
            </wp:positionV>
            <wp:extent cx="13335" cy="6350"/>
            <wp:wrapNone/>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-1182370</wp:posOffset>
            </wp:positionV>
            <wp:extent cx="13335" cy="6350"/>
            <wp:wrapNone/>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-1063625</wp:posOffset>
            </wp:positionV>
            <wp:extent cx="13335" cy="6350"/>
            <wp:wrapNone/>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-1063625</wp:posOffset>
            </wp:positionV>
            <wp:extent cx="13335" cy="6350"/>
            <wp:wrapNone/>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-1063625</wp:posOffset>
            </wp:positionV>
            <wp:extent cx="13335" cy="6350"/>
            <wp:wrapNone/>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-1063625</wp:posOffset>
            </wp:positionV>
            <wp:extent cx="13335" cy="6350"/>
            <wp:wrapNone/>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-1063625</wp:posOffset>
            </wp:positionV>
            <wp:extent cx="13335" cy="6350"/>
            <wp:wrapNone/>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-1063625</wp:posOffset>
            </wp:positionV>
            <wp:extent cx="13335" cy="6350"/>
            <wp:wrapNone/>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-1063625</wp:posOffset>
            </wp:positionV>
            <wp:extent cx="13335" cy="6350"/>
            <wp:wrapNone/>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-891540</wp:posOffset>
            </wp:positionV>
            <wp:extent cx="13335" cy="6350"/>
            <wp:wrapNone/>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-891540</wp:posOffset>
            </wp:positionV>
            <wp:extent cx="13335" cy="6350"/>
            <wp:wrapNone/>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-891540</wp:posOffset>
            </wp:positionV>
            <wp:extent cx="13335" cy="6350"/>
            <wp:wrapNone/>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-891540</wp:posOffset>
            </wp:positionV>
            <wp:extent cx="13335" cy="6350"/>
            <wp:wrapNone/>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-891540</wp:posOffset>
            </wp:positionV>
            <wp:extent cx="13335" cy="6350"/>
            <wp:wrapNone/>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-891540</wp:posOffset>
            </wp:positionV>
            <wp:extent cx="13335" cy="6350"/>
            <wp:wrapNone/>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-891540</wp:posOffset>
            </wp:positionV>
            <wp:extent cx="13335" cy="6350"/>
            <wp:wrapNone/>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-660400</wp:posOffset>
            </wp:positionV>
            <wp:extent cx="13335" cy="6350"/>
            <wp:wrapNone/>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-660400</wp:posOffset>
            </wp:positionV>
            <wp:extent cx="13335" cy="6350"/>
            <wp:wrapNone/>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-660400</wp:posOffset>
            </wp:positionV>
            <wp:extent cx="13335" cy="6350"/>
            <wp:wrapNone/>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-660400</wp:posOffset>
            </wp:positionV>
            <wp:extent cx="13335" cy="6350"/>
            <wp:wrapNone/>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-660400</wp:posOffset>
            </wp:positionV>
            <wp:extent cx="13335" cy="6350"/>
            <wp:wrapNone/>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-660400</wp:posOffset>
            </wp:positionV>
            <wp:extent cx="13335" cy="6350"/>
            <wp:wrapNone/>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-660400</wp:posOffset>
            </wp:positionV>
            <wp:extent cx="13335" cy="6350"/>
            <wp:wrapNone/>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-541655</wp:posOffset>
            </wp:positionV>
            <wp:extent cx="13335" cy="6350"/>
            <wp:wrapNone/>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-541655</wp:posOffset>
            </wp:positionV>
            <wp:extent cx="13335" cy="6350"/>
            <wp:wrapNone/>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-541655</wp:posOffset>
            </wp:positionV>
            <wp:extent cx="13335" cy="6350"/>
            <wp:wrapNone/>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-541655</wp:posOffset>
            </wp:positionV>
            <wp:extent cx="13335" cy="6350"/>
            <wp:wrapNone/>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-541655</wp:posOffset>
            </wp:positionV>
            <wp:extent cx="13335" cy="6350"/>
            <wp:wrapNone/>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-541655</wp:posOffset>
            </wp:positionV>
            <wp:extent cx="13335" cy="6350"/>
            <wp:wrapNone/>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-541655</wp:posOffset>
            </wp:positionV>
            <wp:extent cx="13335" cy="6350"/>
            <wp:wrapNone/>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-422275</wp:posOffset>
            </wp:positionV>
            <wp:extent cx="13335" cy="6350"/>
            <wp:wrapNone/>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-422275</wp:posOffset>
            </wp:positionV>
            <wp:extent cx="13335" cy="6350"/>
            <wp:wrapNone/>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-422275</wp:posOffset>
            </wp:positionV>
            <wp:extent cx="13335" cy="6350"/>
            <wp:wrapNone/>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-422275</wp:posOffset>
            </wp:positionV>
            <wp:extent cx="13335" cy="6350"/>
            <wp:wrapNone/>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-422275</wp:posOffset>
            </wp:positionV>
            <wp:extent cx="13335" cy="6350"/>
            <wp:wrapNone/>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-422275</wp:posOffset>
            </wp:positionV>
            <wp:extent cx="13335" cy="6350"/>
            <wp:wrapNone/>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-422275</wp:posOffset>
            </wp:positionV>
            <wp:extent cx="13335" cy="6350"/>
            <wp:wrapNone/>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-303530</wp:posOffset>
            </wp:positionV>
            <wp:extent cx="13335" cy="6350"/>
            <wp:wrapNone/>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-303530</wp:posOffset>
            </wp:positionV>
            <wp:extent cx="13335" cy="6350"/>
            <wp:wrapNone/>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-303530</wp:posOffset>
            </wp:positionV>
            <wp:extent cx="13335" cy="6350"/>
            <wp:wrapNone/>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-303530</wp:posOffset>
            </wp:positionV>
            <wp:extent cx="13335" cy="6350"/>
            <wp:wrapNone/>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-303530</wp:posOffset>
            </wp:positionV>
            <wp:extent cx="13335" cy="6350"/>
            <wp:wrapNone/>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-303530</wp:posOffset>
            </wp:positionV>
            <wp:extent cx="13335" cy="6350"/>
            <wp:wrapNone/>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-303530</wp:posOffset>
            </wp:positionV>
            <wp:extent cx="13335" cy="6350"/>
            <wp:wrapNone/>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-184150</wp:posOffset>
            </wp:positionV>
            <wp:extent cx="13335" cy="6350"/>
            <wp:wrapNone/>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-184150</wp:posOffset>
            </wp:positionV>
            <wp:extent cx="13335" cy="6350"/>
            <wp:wrapNone/>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-184150</wp:posOffset>
            </wp:positionV>
            <wp:extent cx="13335" cy="6350"/>
            <wp:wrapNone/>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9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-184150</wp:posOffset>
            </wp:positionV>
            <wp:extent cx="13335" cy="6350"/>
            <wp:wrapNone/>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9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-184150</wp:posOffset>
            </wp:positionV>
            <wp:extent cx="13335" cy="6350"/>
            <wp:wrapNone/>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9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-184150</wp:posOffset>
            </wp:positionV>
            <wp:extent cx="13335" cy="6350"/>
            <wp:wrapNone/>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9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-184150</wp:posOffset>
            </wp:positionV>
            <wp:extent cx="13335" cy="6350"/>
            <wp:wrapNone/>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9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1562100</wp:posOffset>
            </wp:positionH>
            <wp:positionV relativeFrom="paragraph">
              <wp:posOffset>-65405</wp:posOffset>
            </wp:positionV>
            <wp:extent cx="13335" cy="6350"/>
            <wp:wrapNone/>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-65405</wp:posOffset>
            </wp:positionV>
            <wp:extent cx="13335" cy="6350"/>
            <wp:wrapNone/>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2341880</wp:posOffset>
            </wp:positionH>
            <wp:positionV relativeFrom="paragraph">
              <wp:posOffset>-65405</wp:posOffset>
            </wp:positionV>
            <wp:extent cx="13335" cy="6350"/>
            <wp:wrapNone/>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-65405</wp:posOffset>
            </wp:positionV>
            <wp:extent cx="13335" cy="6350"/>
            <wp:wrapNone/>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3386455</wp:posOffset>
            </wp:positionH>
            <wp:positionV relativeFrom="paragraph">
              <wp:posOffset>-65405</wp:posOffset>
            </wp:positionV>
            <wp:extent cx="13335" cy="6350"/>
            <wp:wrapNone/>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3988435</wp:posOffset>
            </wp:positionH>
            <wp:positionV relativeFrom="paragraph">
              <wp:posOffset>-65405</wp:posOffset>
            </wp:positionV>
            <wp:extent cx="13335" cy="6350"/>
            <wp:wrapNone/>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-65405</wp:posOffset>
            </wp:positionV>
            <wp:extent cx="13335" cy="6350"/>
            <wp:wrapNone/>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1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See notes to condensed interim consolidated financial statements.</w:t>
      </w:r>
    </w:p>
    <w:p>
      <w:pPr>
        <w:spacing w:after="0" w:line="28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1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73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8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6350" cy="66040"/>
            <wp:wrapNone/>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14">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60" w:type="dxa"/>
            <w:vAlign w:val="bottom"/>
          </w:tcPr>
          <w:p>
            <w:pPr>
              <w:spacing w:after="0"/>
              <w:rPr>
                <w:sz w:val="10"/>
                <w:szCs w:val="10"/>
                <w:color w:val="auto"/>
              </w:rPr>
            </w:pPr>
          </w:p>
        </w:tc>
        <w:tc>
          <w:tcPr>
            <w:tcW w:w="142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Nine months ended</w:t>
            </w:r>
          </w:p>
        </w:tc>
        <w:tc>
          <w:tcPr>
            <w:tcW w:w="80" w:type="dxa"/>
            <w:vAlign w:val="bottom"/>
          </w:tcPr>
          <w:p>
            <w:pPr>
              <w:spacing w:after="0"/>
              <w:rPr>
                <w:sz w:val="10"/>
                <w:szCs w:val="10"/>
                <w:color w:val="auto"/>
              </w:rPr>
            </w:pPr>
          </w:p>
        </w:tc>
        <w:tc>
          <w:tcPr>
            <w:tcW w:w="130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 w:type="dxa"/>
            <w:vAlign w:val="bottom"/>
          </w:tcPr>
          <w:p>
            <w:pPr>
              <w:spacing w:after="0"/>
              <w:rPr>
                <w:sz w:val="10"/>
                <w:szCs w:val="10"/>
                <w:color w:val="auto"/>
              </w:rPr>
            </w:pP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0" w:type="dxa"/>
            <w:vAlign w:val="bottom"/>
          </w:tcPr>
          <w:p>
            <w:pPr>
              <w:spacing w:after="0"/>
              <w:rPr>
                <w:sz w:val="1"/>
                <w:szCs w:val="1"/>
                <w:color w:val="auto"/>
              </w:rPr>
            </w:pPr>
          </w:p>
        </w:tc>
      </w:tr>
      <w:tr>
        <w:trPr>
          <w:trHeight w:val="134"/>
        </w:trPr>
        <w:tc>
          <w:tcPr>
            <w:tcW w:w="3760" w:type="dxa"/>
            <w:vAlign w:val="bottom"/>
          </w:tcPr>
          <w:p>
            <w:pPr>
              <w:spacing w:after="0"/>
              <w:rPr>
                <w:sz w:val="11"/>
                <w:szCs w:val="11"/>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80" w:type="dxa"/>
            <w:vAlign w:val="bottom"/>
          </w:tcPr>
          <w:p>
            <w:pPr>
              <w:spacing w:after="0"/>
              <w:rPr>
                <w:sz w:val="11"/>
                <w:szCs w:val="11"/>
                <w:color w:val="auto"/>
              </w:rPr>
            </w:pPr>
          </w:p>
        </w:tc>
        <w:tc>
          <w:tcPr>
            <w:tcW w:w="13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1"/>
                <w:szCs w:val="11"/>
                <w:color w:val="auto"/>
              </w:rPr>
            </w:pPr>
          </w:p>
        </w:tc>
        <w:tc>
          <w:tcPr>
            <w:tcW w:w="68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26"/>
        </w:trPr>
        <w:tc>
          <w:tcPr>
            <w:tcW w:w="3760" w:type="dxa"/>
            <w:vAlign w:val="bottom"/>
          </w:tcPr>
          <w:p>
            <w:pPr>
              <w:spacing w:after="0"/>
              <w:rPr>
                <w:sz w:val="10"/>
                <w:szCs w:val="10"/>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2003</w:t>
            </w:r>
          </w:p>
        </w:tc>
        <w:tc>
          <w:tcPr>
            <w:tcW w:w="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2002</w:t>
            </w: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b w:val="1"/>
                <w:bCs w:val="1"/>
                <w:color w:val="auto"/>
              </w:rPr>
              <w:t>2003</w:t>
            </w:r>
          </w:p>
        </w:tc>
        <w:tc>
          <w:tcPr>
            <w:tcW w:w="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2002</w:t>
            </w:r>
          </w:p>
        </w:tc>
        <w:tc>
          <w:tcPr>
            <w:tcW w:w="1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1"/>
                <w:szCs w:val="11"/>
                <w:b w:val="1"/>
                <w:bCs w:val="1"/>
                <w:color w:val="auto"/>
                <w:w w:val="99"/>
              </w:rPr>
              <w:t>2002</w:t>
            </w: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60" w:type="dxa"/>
            <w:vAlign w:val="bottom"/>
          </w:tcPr>
          <w:p>
            <w:pPr>
              <w:spacing w:after="0"/>
              <w:rPr>
                <w:sz w:val="10"/>
                <w:szCs w:val="10"/>
                <w:color w:val="auto"/>
              </w:rPr>
            </w:pPr>
          </w:p>
        </w:tc>
        <w:tc>
          <w:tcPr>
            <w:tcW w:w="1420" w:type="dxa"/>
            <w:vAlign w:val="bottom"/>
            <w:gridSpan w:val="5"/>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w w:val="98"/>
              </w:rPr>
              <w:t>(unaudited)</w:t>
            </w:r>
          </w:p>
        </w:tc>
        <w:tc>
          <w:tcPr>
            <w:tcW w:w="80" w:type="dxa"/>
            <w:vAlign w:val="bottom"/>
          </w:tcPr>
          <w:p>
            <w:pPr>
              <w:spacing w:after="0"/>
              <w:rPr>
                <w:sz w:val="10"/>
                <w:szCs w:val="10"/>
                <w:color w:val="auto"/>
              </w:rPr>
            </w:pPr>
          </w:p>
        </w:tc>
        <w:tc>
          <w:tcPr>
            <w:tcW w:w="1300" w:type="dxa"/>
            <w:vAlign w:val="bottom"/>
            <w:gridSpan w:val="5"/>
          </w:tcPr>
          <w:p>
            <w:pPr>
              <w:jc w:val="center"/>
              <w:ind w:right="20"/>
              <w:spacing w:after="0" w:line="125"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760" w:type="dxa"/>
            <w:vAlign w:val="bottom"/>
          </w:tcPr>
          <w:p>
            <w:pPr>
              <w:jc w:val="center"/>
              <w:ind w:right="1318"/>
              <w:spacing w:after="0"/>
              <w:rPr>
                <w:sz w:val="20"/>
                <w:szCs w:val="20"/>
                <w:color w:val="auto"/>
              </w:rPr>
            </w:pPr>
            <w:r>
              <w:rPr>
                <w:rFonts w:ascii="Times New Roman" w:cs="Times New Roman" w:eastAsia="Times New Roman" w:hAnsi="Times New Roman"/>
                <w:sz w:val="12"/>
                <w:szCs w:val="12"/>
                <w:color w:val="auto"/>
              </w:rPr>
              <w:t>CASH FLOWS — OPERATING ACTIVITIES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 for the period</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(68,266)</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 (37,818)</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$(37,086)</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$(14,513)</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 (51,402)</w:t>
            </w:r>
          </w:p>
        </w:tc>
        <w:tc>
          <w:tcPr>
            <w:tcW w:w="0" w:type="dxa"/>
            <w:vAlign w:val="bottom"/>
          </w:tcPr>
          <w:p>
            <w:pPr>
              <w:spacing w:after="0"/>
              <w:rPr>
                <w:sz w:val="1"/>
                <w:szCs w:val="1"/>
                <w:color w:val="auto"/>
              </w:rPr>
            </w:pPr>
          </w:p>
        </w:tc>
      </w:tr>
      <w:tr>
        <w:trPr>
          <w:trHeight w:val="180"/>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Adjustments to reconcile loss for the period to net cash provided by</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(used in) operating activities: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Income and expense items not involving cash flows: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30,386</w:t>
            </w:r>
          </w:p>
        </w:tc>
        <w:tc>
          <w:tcPr>
            <w:tcW w:w="12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14,402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21,508</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4,542</w:t>
            </w:r>
          </w:p>
        </w:tc>
        <w:tc>
          <w:tcPr>
            <w:tcW w:w="1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18,821</w:t>
            </w: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Devaluation of convertible debenture</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(1,055)</w:t>
            </w:r>
          </w:p>
        </w:tc>
        <w:tc>
          <w:tcPr>
            <w:tcW w:w="1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(1,055)</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Other expense (income), net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187"/>
        </w:trPr>
        <w:tc>
          <w:tcPr>
            <w:tcW w:w="376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Changes in assets and liabilities: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Decrease (increase) in trade accounts receivable</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(1,846)</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(1,761)</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(3,861)</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231</w:t>
            </w:r>
          </w:p>
        </w:tc>
        <w:tc>
          <w:tcPr>
            <w:tcW w:w="14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(4,135)</w:t>
            </w:r>
          </w:p>
        </w:tc>
        <w:tc>
          <w:tcPr>
            <w:tcW w:w="0" w:type="dxa"/>
            <w:vAlign w:val="bottom"/>
          </w:tcPr>
          <w:p>
            <w:pPr>
              <w:spacing w:after="0"/>
              <w:rPr>
                <w:sz w:val="1"/>
                <w:szCs w:val="1"/>
                <w:color w:val="auto"/>
              </w:rPr>
            </w:pPr>
          </w:p>
        </w:tc>
      </w:tr>
      <w:tr>
        <w:trPr>
          <w:trHeight w:val="180"/>
        </w:trPr>
        <w:tc>
          <w:tcPr>
            <w:tcW w:w="3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Decrease (increase) in other receivables and other current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6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w:t>
            </w:r>
          </w:p>
        </w:tc>
        <w:tc>
          <w:tcPr>
            <w:tcW w:w="12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(1,852)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1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(475)</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(1,305)</w:t>
            </w: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Increase in inventories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(3,897)</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(92)</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(3,783)</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(15)</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(609)</w:t>
            </w: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Increase in trade accounts payable</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4,765</w:t>
            </w:r>
          </w:p>
        </w:tc>
        <w:tc>
          <w:tcPr>
            <w:tcW w:w="12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4,453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901</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3,321</w:t>
            </w:r>
          </w:p>
        </w:tc>
        <w:tc>
          <w:tcPr>
            <w:tcW w:w="1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4,686</w:t>
            </w:r>
          </w:p>
        </w:tc>
        <w:tc>
          <w:tcPr>
            <w:tcW w:w="0" w:type="dxa"/>
            <w:vAlign w:val="bottom"/>
          </w:tcPr>
          <w:p>
            <w:pPr>
              <w:spacing w:after="0"/>
              <w:rPr>
                <w:sz w:val="1"/>
                <w:szCs w:val="1"/>
                <w:color w:val="auto"/>
              </w:rPr>
            </w:pPr>
          </w:p>
        </w:tc>
      </w:tr>
      <w:tr>
        <w:trPr>
          <w:trHeight w:val="187"/>
        </w:trPr>
        <w:tc>
          <w:tcPr>
            <w:tcW w:w="3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Increase in other current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1,285</w:t>
            </w:r>
          </w:p>
        </w:tc>
        <w:tc>
          <w:tcPr>
            <w:tcW w:w="12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3,520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3,128</w:t>
            </w:r>
          </w:p>
        </w:tc>
        <w:tc>
          <w:tcPr>
            <w:tcW w:w="1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2,764</w:t>
            </w:r>
          </w:p>
        </w:tc>
        <w:tc>
          <w:tcPr>
            <w:tcW w:w="0" w:type="dxa"/>
            <w:vAlign w:val="bottom"/>
          </w:tcPr>
          <w:p>
            <w:pPr>
              <w:spacing w:after="0"/>
              <w:rPr>
                <w:sz w:val="1"/>
                <w:szCs w:val="1"/>
                <w:color w:val="auto"/>
              </w:rPr>
            </w:pPr>
          </w:p>
        </w:tc>
      </w:tr>
      <w:tr>
        <w:trPr>
          <w:trHeight w:val="208"/>
        </w:trPr>
        <w:tc>
          <w:tcPr>
            <w:tcW w:w="3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Increase (decrease) in other long-term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w:t>
            </w:r>
          </w:p>
        </w:tc>
        <w:tc>
          <w:tcPr>
            <w:tcW w:w="12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2,748</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(142)</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1,693</w:t>
            </w:r>
          </w:p>
        </w:tc>
        <w:tc>
          <w:tcPr>
            <w:tcW w:w="14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2,822</w:t>
            </w:r>
          </w:p>
        </w:tc>
        <w:tc>
          <w:tcPr>
            <w:tcW w:w="0" w:type="dxa"/>
            <w:vAlign w:val="bottom"/>
          </w:tcPr>
          <w:p>
            <w:pPr>
              <w:spacing w:after="0"/>
              <w:rPr>
                <w:sz w:val="1"/>
                <w:szCs w:val="1"/>
                <w:color w:val="auto"/>
              </w:rPr>
            </w:pPr>
          </w:p>
        </w:tc>
      </w:tr>
      <w:tr>
        <w:trPr>
          <w:trHeight w:val="157"/>
        </w:trPr>
        <w:tc>
          <w:tcPr>
            <w:tcW w:w="376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(37,296)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(16,400)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(21,874)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(28,403)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3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Increase (decrease) in long-term liability in respect of</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3760" w:type="dxa"/>
            <w:vAlign w:val="bottom"/>
          </w:tcPr>
          <w:p>
            <w:pPr>
              <w:jc w:val="center"/>
              <w:ind w:right="1278"/>
              <w:spacing w:after="0"/>
              <w:rPr>
                <w:sz w:val="20"/>
                <w:szCs w:val="20"/>
                <w:color w:val="auto"/>
              </w:rPr>
            </w:pPr>
            <w:r>
              <w:rPr>
                <w:rFonts w:ascii="Times New Roman" w:cs="Times New Roman" w:eastAsia="Times New Roman" w:hAnsi="Times New Roman"/>
                <w:sz w:val="12"/>
                <w:szCs w:val="12"/>
                <w:color w:val="auto"/>
              </w:rPr>
              <w:t>customers' advances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(326)</w:t>
            </w: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14,668</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(326)</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29,336</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560"/>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60" w:type="dxa"/>
            <w:vAlign w:val="bottom"/>
            <w:vMerge w:val="continue"/>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(37,622)</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(1,732)</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(22,200)</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(2,088)</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933</w:t>
            </w:r>
          </w:p>
        </w:tc>
        <w:tc>
          <w:tcPr>
            <w:tcW w:w="0" w:type="dxa"/>
            <w:vAlign w:val="bottom"/>
          </w:tcPr>
          <w:p>
            <w:pPr>
              <w:spacing w:after="0"/>
              <w:rPr>
                <w:sz w:val="1"/>
                <w:szCs w:val="1"/>
                <w:color w:val="auto"/>
              </w:rPr>
            </w:pPr>
          </w:p>
        </w:tc>
      </w:tr>
      <w:tr>
        <w:trPr>
          <w:trHeight w:val="147"/>
        </w:trPr>
        <w:tc>
          <w:tcPr>
            <w:tcW w:w="3760" w:type="dxa"/>
            <w:vAlign w:val="bottom"/>
          </w:tcPr>
          <w:p>
            <w:pPr>
              <w:jc w:val="center"/>
              <w:ind w:right="1338"/>
              <w:spacing w:after="0"/>
              <w:rPr>
                <w:sz w:val="20"/>
                <w:szCs w:val="20"/>
                <w:color w:val="auto"/>
              </w:rPr>
            </w:pPr>
            <w:r>
              <w:rPr>
                <w:rFonts w:ascii="Times New Roman" w:cs="Times New Roman" w:eastAsia="Times New Roman" w:hAnsi="Times New Roman"/>
                <w:sz w:val="12"/>
                <w:szCs w:val="12"/>
                <w:color w:val="auto"/>
              </w:rPr>
              <w:t>CASH FLOWS — INVESTING ACTIVITIES</w:t>
            </w: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Decrease (increase) in cash and short-term and long-term interest-</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6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bearing deposits designated for investments relating to Fab 2</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49,627</w:t>
            </w:r>
          </w:p>
        </w:tc>
        <w:tc>
          <w:tcPr>
            <w:tcW w:w="120" w:type="dxa"/>
            <w:vAlign w:val="bottom"/>
          </w:tcPr>
          <w:p>
            <w:pPr>
              <w:spacing w:after="0"/>
              <w:rPr>
                <w:sz w:val="14"/>
                <w:szCs w:val="14"/>
                <w:color w:val="auto"/>
              </w:rPr>
            </w:pP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(42,739)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854</w:t>
            </w:r>
          </w:p>
        </w:tc>
        <w:tc>
          <w:tcPr>
            <w:tcW w:w="120" w:type="dxa"/>
            <w:vAlign w:val="bottom"/>
          </w:tcPr>
          <w:p>
            <w:pPr>
              <w:spacing w:after="0"/>
              <w:rPr>
                <w:sz w:val="14"/>
                <w:szCs w:val="14"/>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(7,981)</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(59,683)</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Investments in property and equipment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(143,975)</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(149,790)</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(40,311)</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(46,365)</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(205,099)</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Investment grants received</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27,839</w:t>
            </w:r>
          </w:p>
        </w:tc>
        <w:tc>
          <w:tcPr>
            <w:tcW w:w="12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25,305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10,483</w:t>
            </w:r>
          </w:p>
        </w:tc>
        <w:tc>
          <w:tcPr>
            <w:tcW w:w="1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6,581</w:t>
            </w:r>
          </w:p>
        </w:tc>
        <w:tc>
          <w:tcPr>
            <w:tcW w:w="14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40,481</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Proceeds from sale of equipment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70</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Investments in other assets</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(17,502)</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(24,356)</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(1,005)</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(6,235)</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(34,290)</w:t>
            </w:r>
          </w:p>
        </w:tc>
        <w:tc>
          <w:tcPr>
            <w:tcW w:w="0" w:type="dxa"/>
            <w:vAlign w:val="bottom"/>
          </w:tcPr>
          <w:p>
            <w:pPr>
              <w:spacing w:after="0"/>
              <w:rPr>
                <w:sz w:val="1"/>
                <w:szCs w:val="1"/>
                <w:color w:val="auto"/>
              </w:rPr>
            </w:pPr>
          </w:p>
        </w:tc>
      </w:tr>
      <w:tr>
        <w:trPr>
          <w:trHeight w:val="208"/>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Decrease (increase) in deposits, net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(1,456)</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2,500</w:t>
            </w:r>
          </w:p>
        </w:tc>
        <w:tc>
          <w:tcPr>
            <w:tcW w:w="12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(4,500)</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(456)</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56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760" w:type="dxa"/>
            <w:vAlign w:val="bottom"/>
            <w:vMerge w:val="continue"/>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(75,827)</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(193,036)</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(27,359)</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(58,500)</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(258,977)</w:t>
            </w:r>
          </w:p>
        </w:tc>
        <w:tc>
          <w:tcPr>
            <w:tcW w:w="0" w:type="dxa"/>
            <w:vAlign w:val="bottom"/>
          </w:tcPr>
          <w:p>
            <w:pPr>
              <w:spacing w:after="0"/>
              <w:rPr>
                <w:sz w:val="1"/>
                <w:szCs w:val="1"/>
                <w:color w:val="auto"/>
              </w:rPr>
            </w:pPr>
          </w:p>
        </w:tc>
      </w:tr>
      <w:tr>
        <w:trPr>
          <w:trHeight w:val="147"/>
        </w:trPr>
        <w:tc>
          <w:tcPr>
            <w:tcW w:w="3760" w:type="dxa"/>
            <w:vAlign w:val="bottom"/>
          </w:tcPr>
          <w:p>
            <w:pPr>
              <w:jc w:val="center"/>
              <w:ind w:right="1318"/>
              <w:spacing w:after="0"/>
              <w:rPr>
                <w:sz w:val="20"/>
                <w:szCs w:val="20"/>
                <w:color w:val="auto"/>
              </w:rPr>
            </w:pPr>
            <w:r>
              <w:rPr>
                <w:rFonts w:ascii="Times New Roman" w:cs="Times New Roman" w:eastAsia="Times New Roman" w:hAnsi="Times New Roman"/>
                <w:sz w:val="12"/>
                <w:szCs w:val="12"/>
                <w:color w:val="auto"/>
              </w:rPr>
              <w:t>CASH FLOWS — FINANCING ACTIVITIES</w:t>
            </w: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Proceeds from (cost related to) issuance of shares, net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15,810</w:t>
            </w:r>
          </w:p>
        </w:tc>
        <w:tc>
          <w:tcPr>
            <w:tcW w:w="120" w:type="dxa"/>
            <w:vAlign w:val="bottom"/>
          </w:tcPr>
          <w:p>
            <w:pPr>
              <w:spacing w:after="0"/>
              <w:rPr>
                <w:sz w:val="16"/>
                <w:szCs w:val="16"/>
                <w:color w:val="auto"/>
              </w:rPr>
            </w:pPr>
          </w:p>
        </w:tc>
        <w:tc>
          <w:tcPr>
            <w:tcW w:w="76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31,664</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2,500</w:t>
            </w:r>
          </w:p>
        </w:tc>
        <w:tc>
          <w:tcPr>
            <w:tcW w:w="120" w:type="dxa"/>
            <w:vAlign w:val="bottom"/>
          </w:tcPr>
          <w:p>
            <w:pPr>
              <w:spacing w:after="0"/>
              <w:rPr>
                <w:sz w:val="16"/>
                <w:szCs w:val="16"/>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(251)</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96,751</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Decrease in short-term debt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(10,000)</w:t>
            </w:r>
          </w:p>
        </w:tc>
        <w:tc>
          <w:tcPr>
            <w:tcW w:w="8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-4115435</wp:posOffset>
            </wp:positionV>
            <wp:extent cx="4561205" cy="6350"/>
            <wp:wrapNone/>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5">
                      <a:extLst>
                        <a:ext uri="{28A0092B-C50C-407E-A947-70E740481C1C}"/>
                      </a:extLst>
                    </a:blip>
                    <a:srcRect/>
                    <a:stretch>
                      <a:fillRect/>
                    </a:stretch>
                  </pic:blipFill>
                  <pic:spPr bwMode="auto">
                    <a:xfrm>
                      <a:off x="0" y="0"/>
                      <a:ext cx="456120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-4036060</wp:posOffset>
            </wp:positionV>
            <wp:extent cx="13335" cy="6350"/>
            <wp:wrapNone/>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-4036060</wp:posOffset>
            </wp:positionV>
            <wp:extent cx="13335" cy="6350"/>
            <wp:wrapNone/>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-4036060</wp:posOffset>
            </wp:positionV>
            <wp:extent cx="13335" cy="6350"/>
            <wp:wrapNone/>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-3916680</wp:posOffset>
            </wp:positionV>
            <wp:extent cx="13335" cy="6350"/>
            <wp:wrapNone/>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-3916680</wp:posOffset>
            </wp:positionV>
            <wp:extent cx="13335" cy="6350"/>
            <wp:wrapNone/>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-3916680</wp:posOffset>
            </wp:positionV>
            <wp:extent cx="13335" cy="6350"/>
            <wp:wrapNone/>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-3916680</wp:posOffset>
            </wp:positionV>
            <wp:extent cx="13335" cy="6350"/>
            <wp:wrapNone/>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-3916680</wp:posOffset>
            </wp:positionV>
            <wp:extent cx="13335" cy="6350"/>
            <wp:wrapNone/>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-3824605</wp:posOffset>
            </wp:positionV>
            <wp:extent cx="13335" cy="6350"/>
            <wp:wrapNone/>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-3824605</wp:posOffset>
            </wp:positionV>
            <wp:extent cx="13335" cy="6350"/>
            <wp:wrapNone/>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-3824605</wp:posOffset>
            </wp:positionV>
            <wp:extent cx="13335" cy="6350"/>
            <wp:wrapNone/>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-3718560</wp:posOffset>
            </wp:positionV>
            <wp:extent cx="13335" cy="6350"/>
            <wp:wrapNone/>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-3718560</wp:posOffset>
            </wp:positionV>
            <wp:extent cx="13335" cy="6350"/>
            <wp:wrapNone/>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-3718560</wp:posOffset>
            </wp:positionV>
            <wp:extent cx="13335" cy="6350"/>
            <wp:wrapNone/>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-3718560</wp:posOffset>
            </wp:positionV>
            <wp:extent cx="13335" cy="6350"/>
            <wp:wrapNone/>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-3718560</wp:posOffset>
            </wp:positionV>
            <wp:extent cx="13335" cy="6350"/>
            <wp:wrapNone/>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-3599815</wp:posOffset>
            </wp:positionV>
            <wp:extent cx="13335" cy="6350"/>
            <wp:wrapNone/>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-3599815</wp:posOffset>
            </wp:positionV>
            <wp:extent cx="13335" cy="6350"/>
            <wp:wrapNone/>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-3599815</wp:posOffset>
            </wp:positionV>
            <wp:extent cx="13335" cy="6350"/>
            <wp:wrapNone/>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-3599815</wp:posOffset>
            </wp:positionV>
            <wp:extent cx="13335" cy="6350"/>
            <wp:wrapNone/>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-3599815</wp:posOffset>
            </wp:positionV>
            <wp:extent cx="13335" cy="6350"/>
            <wp:wrapNone/>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-3427730</wp:posOffset>
            </wp:positionV>
            <wp:extent cx="13335" cy="6350"/>
            <wp:wrapNone/>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-3427730</wp:posOffset>
            </wp:positionV>
            <wp:extent cx="13335" cy="6350"/>
            <wp:wrapNone/>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-3427730</wp:posOffset>
            </wp:positionV>
            <wp:extent cx="13335" cy="6350"/>
            <wp:wrapNone/>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-3427730</wp:posOffset>
            </wp:positionV>
            <wp:extent cx="13335" cy="6350"/>
            <wp:wrapNone/>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-3427730</wp:posOffset>
            </wp:positionV>
            <wp:extent cx="13335" cy="6350"/>
            <wp:wrapNone/>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-3262630</wp:posOffset>
            </wp:positionV>
            <wp:extent cx="13335" cy="6350"/>
            <wp:wrapNone/>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-3262630</wp:posOffset>
            </wp:positionV>
            <wp:extent cx="13335" cy="6350"/>
            <wp:wrapNone/>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-3262630</wp:posOffset>
            </wp:positionV>
            <wp:extent cx="13335" cy="6350"/>
            <wp:wrapNone/>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-3262630</wp:posOffset>
            </wp:positionV>
            <wp:extent cx="13335" cy="6350"/>
            <wp:wrapNone/>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-3262630</wp:posOffset>
            </wp:positionV>
            <wp:extent cx="13335" cy="6350"/>
            <wp:wrapNone/>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-3143250</wp:posOffset>
            </wp:positionV>
            <wp:extent cx="13335" cy="6350"/>
            <wp:wrapNone/>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-3143250</wp:posOffset>
            </wp:positionV>
            <wp:extent cx="13335" cy="6350"/>
            <wp:wrapNone/>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-3143250</wp:posOffset>
            </wp:positionV>
            <wp:extent cx="13335" cy="6350"/>
            <wp:wrapNone/>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-3143250</wp:posOffset>
            </wp:positionV>
            <wp:extent cx="13335" cy="6350"/>
            <wp:wrapNone/>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-3143250</wp:posOffset>
            </wp:positionV>
            <wp:extent cx="13335" cy="6350"/>
            <wp:wrapNone/>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-3024505</wp:posOffset>
            </wp:positionV>
            <wp:extent cx="13335" cy="6350"/>
            <wp:wrapNone/>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-3024505</wp:posOffset>
            </wp:positionV>
            <wp:extent cx="13335" cy="6350"/>
            <wp:wrapNone/>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-3024505</wp:posOffset>
            </wp:positionV>
            <wp:extent cx="13335" cy="6350"/>
            <wp:wrapNone/>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-3024505</wp:posOffset>
            </wp:positionV>
            <wp:extent cx="13335" cy="635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-3024505</wp:posOffset>
            </wp:positionV>
            <wp:extent cx="13335" cy="6350"/>
            <wp:wrapNone/>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-2905760</wp:posOffset>
            </wp:positionV>
            <wp:extent cx="13335" cy="6350"/>
            <wp:wrapNone/>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-2905760</wp:posOffset>
            </wp:positionV>
            <wp:extent cx="13335" cy="6350"/>
            <wp:wrapNone/>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-2905760</wp:posOffset>
            </wp:positionV>
            <wp:extent cx="13335" cy="6350"/>
            <wp:wrapNone/>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-2905760</wp:posOffset>
            </wp:positionV>
            <wp:extent cx="13335" cy="6350"/>
            <wp:wrapNone/>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-2905760</wp:posOffset>
            </wp:positionV>
            <wp:extent cx="13335" cy="6350"/>
            <wp:wrapNone/>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-2786380</wp:posOffset>
            </wp:positionV>
            <wp:extent cx="13335" cy="6350"/>
            <wp:wrapNone/>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-2786380</wp:posOffset>
            </wp:positionV>
            <wp:extent cx="13335" cy="6350"/>
            <wp:wrapNone/>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-2786380</wp:posOffset>
            </wp:positionV>
            <wp:extent cx="13335" cy="6350"/>
            <wp:wrapNone/>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-2786380</wp:posOffset>
            </wp:positionV>
            <wp:extent cx="13335" cy="6350"/>
            <wp:wrapNone/>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-2786380</wp:posOffset>
            </wp:positionV>
            <wp:extent cx="13335" cy="6350"/>
            <wp:wrapNone/>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-2667635</wp:posOffset>
            </wp:positionV>
            <wp:extent cx="13335" cy="6350"/>
            <wp:wrapNone/>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-2667635</wp:posOffset>
            </wp:positionV>
            <wp:extent cx="13335" cy="6350"/>
            <wp:wrapNone/>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-2667635</wp:posOffset>
            </wp:positionV>
            <wp:extent cx="13335" cy="6350"/>
            <wp:wrapNone/>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-2667635</wp:posOffset>
            </wp:positionV>
            <wp:extent cx="13335" cy="6350"/>
            <wp:wrapNone/>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-2667635</wp:posOffset>
            </wp:positionV>
            <wp:extent cx="13335" cy="6350"/>
            <wp:wrapNone/>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-2495550</wp:posOffset>
            </wp:positionV>
            <wp:extent cx="13335" cy="6350"/>
            <wp:wrapNone/>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-2495550</wp:posOffset>
            </wp:positionV>
            <wp:extent cx="13335" cy="6350"/>
            <wp:wrapNone/>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-2495550</wp:posOffset>
            </wp:positionV>
            <wp:extent cx="13335" cy="6350"/>
            <wp:wrapNone/>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-2495550</wp:posOffset>
            </wp:positionV>
            <wp:extent cx="13335" cy="6350"/>
            <wp:wrapNone/>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-2495550</wp:posOffset>
            </wp:positionV>
            <wp:extent cx="13335" cy="635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-2330450</wp:posOffset>
            </wp:positionV>
            <wp:extent cx="13335" cy="6350"/>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-2330450</wp:posOffset>
            </wp:positionV>
            <wp:extent cx="13335" cy="635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-2330450</wp:posOffset>
            </wp:positionV>
            <wp:extent cx="13335" cy="6350"/>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-2330450</wp:posOffset>
            </wp:positionV>
            <wp:extent cx="13335" cy="635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-2330450</wp:posOffset>
            </wp:positionV>
            <wp:extent cx="13335" cy="635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-2211705</wp:posOffset>
            </wp:positionV>
            <wp:extent cx="13335" cy="6350"/>
            <wp:wrapNone/>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-2211705</wp:posOffset>
            </wp:positionV>
            <wp:extent cx="13335" cy="6350"/>
            <wp:wrapNone/>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-2211705</wp:posOffset>
            </wp:positionV>
            <wp:extent cx="13335" cy="6350"/>
            <wp:wrapNone/>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-2211705</wp:posOffset>
            </wp:positionV>
            <wp:extent cx="13335" cy="6350"/>
            <wp:wrapNone/>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-2211705</wp:posOffset>
            </wp:positionV>
            <wp:extent cx="13335" cy="6350"/>
            <wp:wrapNone/>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-2092325</wp:posOffset>
            </wp:positionV>
            <wp:extent cx="13335" cy="6350"/>
            <wp:wrapNone/>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-2092325</wp:posOffset>
            </wp:positionV>
            <wp:extent cx="13335" cy="6350"/>
            <wp:wrapNone/>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-2092325</wp:posOffset>
            </wp:positionV>
            <wp:extent cx="13335" cy="6350"/>
            <wp:wrapNone/>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-2092325</wp:posOffset>
            </wp:positionV>
            <wp:extent cx="13335" cy="6350"/>
            <wp:wrapNone/>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-2092325</wp:posOffset>
            </wp:positionV>
            <wp:extent cx="13335" cy="6350"/>
            <wp:wrapNone/>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-1973580</wp:posOffset>
            </wp:positionV>
            <wp:extent cx="13335" cy="6350"/>
            <wp:wrapNone/>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-1973580</wp:posOffset>
            </wp:positionV>
            <wp:extent cx="13335" cy="6350"/>
            <wp:wrapNone/>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-1973580</wp:posOffset>
            </wp:positionV>
            <wp:extent cx="13335" cy="6350"/>
            <wp:wrapNone/>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-1973580</wp:posOffset>
            </wp:positionV>
            <wp:extent cx="13335" cy="6350"/>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-1973580</wp:posOffset>
            </wp:positionV>
            <wp:extent cx="13335" cy="635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-1854835</wp:posOffset>
            </wp:positionV>
            <wp:extent cx="13335" cy="635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-1854835</wp:posOffset>
            </wp:positionV>
            <wp:extent cx="13335" cy="6350"/>
            <wp:wrapNone/>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-1854835</wp:posOffset>
            </wp:positionV>
            <wp:extent cx="13335" cy="6350"/>
            <wp:wrapNone/>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-1854835</wp:posOffset>
            </wp:positionV>
            <wp:extent cx="13335" cy="6350"/>
            <wp:wrapNone/>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30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-1854835</wp:posOffset>
            </wp:positionV>
            <wp:extent cx="13335" cy="6350"/>
            <wp:wrapNone/>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30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-1616710</wp:posOffset>
            </wp:positionV>
            <wp:extent cx="13335" cy="6350"/>
            <wp:wrapNone/>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30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-1616710</wp:posOffset>
            </wp:positionV>
            <wp:extent cx="13335" cy="6350"/>
            <wp:wrapNone/>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30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-1616710</wp:posOffset>
            </wp:positionV>
            <wp:extent cx="13335" cy="6350"/>
            <wp:wrapNone/>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30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-1616710</wp:posOffset>
            </wp:positionV>
            <wp:extent cx="13335" cy="6350"/>
            <wp:wrapNone/>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-1616710</wp:posOffset>
            </wp:positionV>
            <wp:extent cx="13335" cy="6350"/>
            <wp:wrapNone/>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-1451610</wp:posOffset>
            </wp:positionV>
            <wp:extent cx="13335" cy="6350"/>
            <wp:wrapNone/>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-1451610</wp:posOffset>
            </wp:positionV>
            <wp:extent cx="13335" cy="6350"/>
            <wp:wrapNone/>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-1451610</wp:posOffset>
            </wp:positionV>
            <wp:extent cx="13335" cy="6350"/>
            <wp:wrapNone/>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-1451610</wp:posOffset>
            </wp:positionV>
            <wp:extent cx="13335" cy="6350"/>
            <wp:wrapNone/>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-1451610</wp:posOffset>
            </wp:positionV>
            <wp:extent cx="13335" cy="6350"/>
            <wp:wrapNone/>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-1332230</wp:posOffset>
            </wp:positionV>
            <wp:extent cx="13335" cy="6350"/>
            <wp:wrapNone/>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-1332230</wp:posOffset>
            </wp:positionV>
            <wp:extent cx="13335" cy="6350"/>
            <wp:wrapNone/>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-1332230</wp:posOffset>
            </wp:positionV>
            <wp:extent cx="13335" cy="6350"/>
            <wp:wrapNone/>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-1332230</wp:posOffset>
            </wp:positionV>
            <wp:extent cx="13335" cy="6350"/>
            <wp:wrapNone/>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-1332230</wp:posOffset>
            </wp:positionV>
            <wp:extent cx="13335" cy="6350"/>
            <wp:wrapNone/>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-1160145</wp:posOffset>
            </wp:positionV>
            <wp:extent cx="13335" cy="6350"/>
            <wp:wrapNone/>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-1160145</wp:posOffset>
            </wp:positionV>
            <wp:extent cx="13335" cy="6350"/>
            <wp:wrapNone/>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-1160145</wp:posOffset>
            </wp:positionV>
            <wp:extent cx="13335" cy="6350"/>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-1160145</wp:posOffset>
            </wp:positionV>
            <wp:extent cx="13335" cy="6350"/>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-1160145</wp:posOffset>
            </wp:positionV>
            <wp:extent cx="13335" cy="6350"/>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-995045</wp:posOffset>
            </wp:positionV>
            <wp:extent cx="13335" cy="6350"/>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-995045</wp:posOffset>
            </wp:positionV>
            <wp:extent cx="13335" cy="6350"/>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-995045</wp:posOffset>
            </wp:positionV>
            <wp:extent cx="13335" cy="6350"/>
            <wp:wrapNone/>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-995045</wp:posOffset>
            </wp:positionV>
            <wp:extent cx="13335" cy="6350"/>
            <wp:wrapNone/>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-995045</wp:posOffset>
            </wp:positionV>
            <wp:extent cx="13335" cy="6350"/>
            <wp:wrapNone/>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-876300</wp:posOffset>
            </wp:positionV>
            <wp:extent cx="13335" cy="6350"/>
            <wp:wrapNone/>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-876300</wp:posOffset>
            </wp:positionV>
            <wp:extent cx="13335" cy="6350"/>
            <wp:wrapNone/>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-876300</wp:posOffset>
            </wp:positionV>
            <wp:extent cx="13335" cy="6350"/>
            <wp:wrapNone/>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-876300</wp:posOffset>
            </wp:positionV>
            <wp:extent cx="13335" cy="6350"/>
            <wp:wrapNone/>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-876300</wp:posOffset>
            </wp:positionV>
            <wp:extent cx="13335" cy="6350"/>
            <wp:wrapNone/>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-756920</wp:posOffset>
            </wp:positionV>
            <wp:extent cx="13335" cy="6350"/>
            <wp:wrapNone/>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-756920</wp:posOffset>
            </wp:positionV>
            <wp:extent cx="13335" cy="6350"/>
            <wp:wrapNone/>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-756920</wp:posOffset>
            </wp:positionV>
            <wp:extent cx="13335" cy="6350"/>
            <wp:wrapNone/>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-756920</wp:posOffset>
            </wp:positionV>
            <wp:extent cx="13335" cy="6350"/>
            <wp:wrapNone/>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-756920</wp:posOffset>
            </wp:positionV>
            <wp:extent cx="13335" cy="6350"/>
            <wp:wrapNone/>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-638175</wp:posOffset>
            </wp:positionV>
            <wp:extent cx="13335" cy="6350"/>
            <wp:wrapNone/>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-638175</wp:posOffset>
            </wp:positionV>
            <wp:extent cx="13335" cy="6350"/>
            <wp:wrapNone/>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-638175</wp:posOffset>
            </wp:positionV>
            <wp:extent cx="13335" cy="6350"/>
            <wp:wrapNone/>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-638175</wp:posOffset>
            </wp:positionV>
            <wp:extent cx="13335" cy="6350"/>
            <wp:wrapNone/>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-638175</wp:posOffset>
            </wp:positionV>
            <wp:extent cx="13335" cy="6350"/>
            <wp:wrapNone/>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-519430</wp:posOffset>
            </wp:positionV>
            <wp:extent cx="13335" cy="6350"/>
            <wp:wrapNone/>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-519430</wp:posOffset>
            </wp:positionV>
            <wp:extent cx="13335" cy="6350"/>
            <wp:wrapNone/>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-519430</wp:posOffset>
            </wp:positionV>
            <wp:extent cx="13335" cy="6350"/>
            <wp:wrapNone/>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4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-519430</wp:posOffset>
            </wp:positionV>
            <wp:extent cx="13335" cy="6350"/>
            <wp:wrapNone/>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-519430</wp:posOffset>
            </wp:positionV>
            <wp:extent cx="13335" cy="6350"/>
            <wp:wrapNone/>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-400050</wp:posOffset>
            </wp:positionV>
            <wp:extent cx="13335" cy="6350"/>
            <wp:wrapNone/>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-400050</wp:posOffset>
            </wp:positionV>
            <wp:extent cx="13335" cy="6350"/>
            <wp:wrapNone/>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-400050</wp:posOffset>
            </wp:positionV>
            <wp:extent cx="13335" cy="6350"/>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-400050</wp:posOffset>
            </wp:positionV>
            <wp:extent cx="13335" cy="6350"/>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-400050</wp:posOffset>
            </wp:positionV>
            <wp:extent cx="13335" cy="635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-281305</wp:posOffset>
            </wp:positionV>
            <wp:extent cx="13335" cy="6350"/>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-281305</wp:posOffset>
            </wp:positionV>
            <wp:extent cx="13335" cy="6350"/>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-281305</wp:posOffset>
            </wp:positionV>
            <wp:extent cx="13335" cy="6350"/>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-281305</wp:posOffset>
            </wp:positionV>
            <wp:extent cx="13335" cy="6350"/>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-281305</wp:posOffset>
            </wp:positionV>
            <wp:extent cx="13335" cy="635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-162560</wp:posOffset>
            </wp:positionV>
            <wp:extent cx="13335" cy="635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-162560</wp:posOffset>
            </wp:positionV>
            <wp:extent cx="13335" cy="6350"/>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-162560</wp:posOffset>
            </wp:positionV>
            <wp:extent cx="13335" cy="6350"/>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-162560</wp:posOffset>
            </wp:positionV>
            <wp:extent cx="13335" cy="635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-162560</wp:posOffset>
            </wp:positionV>
            <wp:extent cx="13335" cy="635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-95885</wp:posOffset>
            </wp:positionV>
            <wp:extent cx="13335" cy="6350"/>
            <wp:wrapNone/>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-95885</wp:posOffset>
            </wp:positionV>
            <wp:extent cx="13335" cy="6350"/>
            <wp:wrapNone/>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-95885</wp:posOffset>
            </wp:positionV>
            <wp:extent cx="13335" cy="6350"/>
            <wp:wrapNone/>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-95885</wp:posOffset>
            </wp:positionV>
            <wp:extent cx="13335" cy="6350"/>
            <wp:wrapNone/>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-95885</wp:posOffset>
            </wp:positionV>
            <wp:extent cx="13335" cy="6350"/>
            <wp:wrapNone/>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6">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88" w:orient="portrait"/>
          <w:cols w:equalWidth="0" w:num="1">
            <w:col w:w="10239"/>
          </w:cols>
          <w:pgMar w:left="220" w:top="108" w:right="1440" w:bottom="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3"/>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Repayment of long-term debt</w:t>
            </w:r>
          </w:p>
        </w:tc>
        <w:tc>
          <w:tcPr>
            <w:tcW w:w="12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(3,000)</w:t>
            </w: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(3,000)</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(1,000)</w:t>
            </w:r>
          </w:p>
        </w:tc>
        <w:tc>
          <w:tcPr>
            <w:tcW w:w="12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(1,000)</w:t>
            </w: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97,000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142,000</w:t>
            </w: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142,000</w:t>
            </w:r>
          </w:p>
        </w:tc>
        <w:tc>
          <w:tcPr>
            <w:tcW w:w="0" w:type="dxa"/>
            <w:vAlign w:val="bottom"/>
          </w:tcPr>
          <w:p>
            <w:pPr>
              <w:spacing w:after="0"/>
              <w:rPr>
                <w:sz w:val="1"/>
                <w:szCs w:val="1"/>
                <w:color w:val="auto"/>
              </w:rPr>
            </w:pPr>
          </w:p>
        </w:tc>
      </w:tr>
      <w:tr>
        <w:trPr>
          <w:trHeight w:val="208"/>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Proceeds from sale of securities, net</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21,540</w:t>
            </w:r>
          </w:p>
        </w:tc>
        <w:tc>
          <w:tcPr>
            <w:tcW w:w="1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21,540</w:t>
            </w:r>
          </w:p>
        </w:tc>
        <w:tc>
          <w:tcPr>
            <w:tcW w:w="0" w:type="dxa"/>
            <w:vAlign w:val="bottom"/>
          </w:tcPr>
          <w:p>
            <w:pPr>
              <w:spacing w:after="0"/>
              <w:rPr>
                <w:sz w:val="1"/>
                <w:szCs w:val="1"/>
                <w:color w:val="auto"/>
              </w:rPr>
            </w:pPr>
          </w:p>
        </w:tc>
      </w:tr>
      <w:tr>
        <w:trPr>
          <w:trHeight w:val="167"/>
        </w:trPr>
        <w:tc>
          <w:tcPr>
            <w:tcW w:w="376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109,810</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182,204</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41,500</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58,749</w:t>
            </w:r>
          </w:p>
        </w:tc>
        <w:tc>
          <w:tcPr>
            <w:tcW w:w="2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246,291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76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DECREASE IN CASH AND CASH EQUIVALENTS</w:t>
            </w: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(12,564)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(8,059)</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(1,839)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76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 — BEGINNING OF   PERIOD</w:t>
            </w: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7,857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19,610</w:t>
            </w: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12,277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19,610</w:t>
            </w:r>
          </w:p>
        </w:tc>
        <w:tc>
          <w:tcPr>
            <w:tcW w:w="0" w:type="dxa"/>
            <w:vAlign w:val="bottom"/>
          </w:tcPr>
          <w:p>
            <w:pPr>
              <w:spacing w:after="0"/>
              <w:rPr>
                <w:sz w:val="1"/>
                <w:szCs w:val="1"/>
                <w:color w:val="auto"/>
              </w:rPr>
            </w:pPr>
          </w:p>
        </w:tc>
      </w:tr>
      <w:tr>
        <w:trPr>
          <w:trHeight w:val="150"/>
        </w:trPr>
        <w:tc>
          <w:tcPr>
            <w:tcW w:w="376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CASH AND CASH EQUIVALENTS —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4,218</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7,046</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4,218</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7,046</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NON-CASH ACTIVITIES</w:t>
            </w: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Investments in property and equipment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30,612</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29,015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17,990</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18,380</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49,419</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Investments in other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76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6,357</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3,716</w:t>
            </w:r>
          </w:p>
        </w:tc>
        <w:tc>
          <w:tcPr>
            <w:tcW w:w="20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3,026</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4,304</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SUPPLEMENTAL DISCLOSURE OF CASH FLOW</w:t>
            </w: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7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INFORMATION</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Cash paid during the period for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11,556</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8,296</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3,677</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3,485</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11,594</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Cash paid during the period for income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76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198</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91</w:t>
            </w:r>
          </w:p>
        </w:tc>
        <w:tc>
          <w:tcPr>
            <w:tcW w:w="200" w:type="dxa"/>
            <w:vAlign w:val="bottom"/>
            <w:vMerge w:val="continue"/>
          </w:tcPr>
          <w:p>
            <w:pPr>
              <w:spacing w:after="0"/>
              <w:rPr>
                <w:sz w:val="11"/>
                <w:szCs w:val="11"/>
                <w:color w:val="auto"/>
              </w:rPr>
            </w:pPr>
          </w:p>
        </w:tc>
        <w:tc>
          <w:tcPr>
            <w:tcW w:w="1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96</w:t>
            </w:r>
          </w:p>
        </w:tc>
        <w:tc>
          <w:tcPr>
            <w:tcW w:w="200" w:type="dxa"/>
            <w:vAlign w:val="bottom"/>
          </w:tcPr>
          <w:p>
            <w:pPr>
              <w:spacing w:after="0"/>
              <w:rPr>
                <w:sz w:val="11"/>
                <w:szCs w:val="11"/>
                <w:color w:val="auto"/>
              </w:rPr>
            </w:pPr>
          </w:p>
        </w:tc>
        <w:tc>
          <w:tcPr>
            <w:tcW w:w="1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40</w:t>
            </w:r>
          </w:p>
        </w:tc>
        <w:tc>
          <w:tcPr>
            <w:tcW w:w="22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151</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-1592580</wp:posOffset>
            </wp:positionV>
            <wp:extent cx="13335" cy="6350"/>
            <wp:wrapNone/>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-1592580</wp:posOffset>
            </wp:positionV>
            <wp:extent cx="13335" cy="6350"/>
            <wp:wrapNone/>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-1592580</wp:posOffset>
            </wp:positionV>
            <wp:extent cx="13335" cy="6350"/>
            <wp:wrapNone/>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-1592580</wp:posOffset>
            </wp:positionV>
            <wp:extent cx="13335" cy="6350"/>
            <wp:wrapNone/>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-1592580</wp:posOffset>
            </wp:positionV>
            <wp:extent cx="13335" cy="6350"/>
            <wp:wrapNone/>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-1473200</wp:posOffset>
            </wp:positionV>
            <wp:extent cx="13335" cy="6350"/>
            <wp:wrapNone/>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-1473200</wp:posOffset>
            </wp:positionV>
            <wp:extent cx="13335" cy="6350"/>
            <wp:wrapNone/>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-1473200</wp:posOffset>
            </wp:positionV>
            <wp:extent cx="13335" cy="6350"/>
            <wp:wrapNone/>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-1473200</wp:posOffset>
            </wp:positionV>
            <wp:extent cx="13335" cy="6350"/>
            <wp:wrapNone/>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-1473200</wp:posOffset>
            </wp:positionV>
            <wp:extent cx="13335" cy="6350"/>
            <wp:wrapNone/>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-1354455</wp:posOffset>
            </wp:positionV>
            <wp:extent cx="13335" cy="6350"/>
            <wp:wrapNone/>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-1354455</wp:posOffset>
            </wp:positionV>
            <wp:extent cx="13335" cy="6350"/>
            <wp:wrapNone/>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-1354455</wp:posOffset>
            </wp:positionV>
            <wp:extent cx="13335" cy="6350"/>
            <wp:wrapNone/>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-1354455</wp:posOffset>
            </wp:positionV>
            <wp:extent cx="13335" cy="6350"/>
            <wp:wrapNone/>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-1354455</wp:posOffset>
            </wp:positionV>
            <wp:extent cx="13335" cy="6350"/>
            <wp:wrapNone/>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-1235710</wp:posOffset>
            </wp:positionV>
            <wp:extent cx="13335" cy="6350"/>
            <wp:wrapNone/>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-1235710</wp:posOffset>
            </wp:positionV>
            <wp:extent cx="13335" cy="6350"/>
            <wp:wrapNone/>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-1235710</wp:posOffset>
            </wp:positionV>
            <wp:extent cx="13335" cy="6350"/>
            <wp:wrapNone/>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-1235710</wp:posOffset>
            </wp:positionV>
            <wp:extent cx="13335" cy="6350"/>
            <wp:wrapNone/>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-1235710</wp:posOffset>
            </wp:positionV>
            <wp:extent cx="13335" cy="6350"/>
            <wp:wrapNone/>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-1116330</wp:posOffset>
            </wp:positionV>
            <wp:extent cx="13335" cy="6350"/>
            <wp:wrapNone/>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-1116330</wp:posOffset>
            </wp:positionV>
            <wp:extent cx="13335" cy="6350"/>
            <wp:wrapNone/>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-1116330</wp:posOffset>
            </wp:positionV>
            <wp:extent cx="13335" cy="6350"/>
            <wp:wrapNone/>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-1116330</wp:posOffset>
            </wp:positionV>
            <wp:extent cx="13335" cy="6350"/>
            <wp:wrapNone/>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9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-1116330</wp:posOffset>
            </wp:positionV>
            <wp:extent cx="13335" cy="6350"/>
            <wp:wrapNone/>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9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-997585</wp:posOffset>
            </wp:positionV>
            <wp:extent cx="13335" cy="6350"/>
            <wp:wrapNone/>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9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-997585</wp:posOffset>
            </wp:positionV>
            <wp:extent cx="13335" cy="6350"/>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9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-997585</wp:posOffset>
            </wp:positionV>
            <wp:extent cx="13335" cy="635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9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-997585</wp:posOffset>
            </wp:positionV>
            <wp:extent cx="13335" cy="635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-997585</wp:posOffset>
            </wp:positionV>
            <wp:extent cx="13335" cy="635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-878840</wp:posOffset>
            </wp:positionV>
            <wp:extent cx="13335" cy="635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-878840</wp:posOffset>
            </wp:positionV>
            <wp:extent cx="13335" cy="6350"/>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-878840</wp:posOffset>
            </wp:positionV>
            <wp:extent cx="13335" cy="635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-878840</wp:posOffset>
            </wp:positionV>
            <wp:extent cx="13335" cy="635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1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-878840</wp:posOffset>
            </wp:positionV>
            <wp:extent cx="13335" cy="6350"/>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1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-759460</wp:posOffset>
            </wp:positionV>
            <wp:extent cx="13335" cy="635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1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-759460</wp:posOffset>
            </wp:positionV>
            <wp:extent cx="13335" cy="635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1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-759460</wp:posOffset>
            </wp:positionV>
            <wp:extent cx="13335" cy="635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1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-759460</wp:posOffset>
            </wp:positionV>
            <wp:extent cx="13335" cy="635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-759460</wp:posOffset>
            </wp:positionV>
            <wp:extent cx="13335" cy="635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-640715</wp:posOffset>
            </wp:positionV>
            <wp:extent cx="13335" cy="6350"/>
            <wp:wrapNone/>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-640715</wp:posOffset>
            </wp:positionV>
            <wp:extent cx="13335" cy="6350"/>
            <wp:wrapNone/>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-640715</wp:posOffset>
            </wp:positionV>
            <wp:extent cx="13335" cy="6350"/>
            <wp:wrapNone/>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-640715</wp:posOffset>
            </wp:positionV>
            <wp:extent cx="13335" cy="6350"/>
            <wp:wrapNone/>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-640715</wp:posOffset>
            </wp:positionV>
            <wp:extent cx="13335" cy="6350"/>
            <wp:wrapNone/>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-521335</wp:posOffset>
            </wp:positionV>
            <wp:extent cx="13335" cy="6350"/>
            <wp:wrapNone/>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-521335</wp:posOffset>
            </wp:positionV>
            <wp:extent cx="13335" cy="6350"/>
            <wp:wrapNone/>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-521335</wp:posOffset>
            </wp:positionV>
            <wp:extent cx="13335" cy="6350"/>
            <wp:wrapNone/>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-521335</wp:posOffset>
            </wp:positionV>
            <wp:extent cx="13335" cy="6350"/>
            <wp:wrapNone/>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-521335</wp:posOffset>
            </wp:positionV>
            <wp:extent cx="13335" cy="6350"/>
            <wp:wrapNone/>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-349885</wp:posOffset>
            </wp:positionV>
            <wp:extent cx="13335" cy="6350"/>
            <wp:wrapNone/>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-349885</wp:posOffset>
            </wp:positionV>
            <wp:extent cx="13335" cy="6350"/>
            <wp:wrapNone/>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-349885</wp:posOffset>
            </wp:positionV>
            <wp:extent cx="13335" cy="6350"/>
            <wp:wrapNone/>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-349885</wp:posOffset>
            </wp:positionV>
            <wp:extent cx="13335" cy="6350"/>
            <wp:wrapNone/>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-349885</wp:posOffset>
            </wp:positionV>
            <wp:extent cx="13335" cy="6350"/>
            <wp:wrapNone/>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-184785</wp:posOffset>
            </wp:positionV>
            <wp:extent cx="13335" cy="6350"/>
            <wp:wrapNone/>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-184785</wp:posOffset>
            </wp:positionV>
            <wp:extent cx="13335" cy="6350"/>
            <wp:wrapNone/>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-184785</wp:posOffset>
            </wp:positionV>
            <wp:extent cx="13335" cy="6350"/>
            <wp:wrapNone/>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-184785</wp:posOffset>
            </wp:positionV>
            <wp:extent cx="13335" cy="6350"/>
            <wp:wrapNone/>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-184785</wp:posOffset>
            </wp:positionV>
            <wp:extent cx="13335" cy="6350"/>
            <wp:wrapNone/>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-65405</wp:posOffset>
            </wp:positionV>
            <wp:extent cx="13335" cy="6350"/>
            <wp:wrapNone/>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2811780</wp:posOffset>
            </wp:positionH>
            <wp:positionV relativeFrom="paragraph">
              <wp:posOffset>-65405</wp:posOffset>
            </wp:positionV>
            <wp:extent cx="13335" cy="6350"/>
            <wp:wrapNone/>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-65405</wp:posOffset>
            </wp:positionV>
            <wp:extent cx="13335" cy="6350"/>
            <wp:wrapNone/>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-65405</wp:posOffset>
            </wp:positionV>
            <wp:extent cx="13335" cy="6350"/>
            <wp:wrapNone/>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4159885</wp:posOffset>
            </wp:positionH>
            <wp:positionV relativeFrom="paragraph">
              <wp:posOffset>-65405</wp:posOffset>
            </wp:positionV>
            <wp:extent cx="13335" cy="6350"/>
            <wp:wrapNone/>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6350" cy="66040"/>
            <wp:wrapNone/>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32">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See notes to condensed interim consolidated financial statements.</w:t>
      </w:r>
    </w:p>
    <w:p>
      <w:pPr>
        <w:spacing w:after="0" w:line="29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3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34">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81" w:lineRule="exact"/>
        <w:rPr>
          <w:sz w:val="20"/>
          <w:szCs w:val="20"/>
          <w:color w:val="auto"/>
        </w:rPr>
      </w:pPr>
    </w:p>
    <w:p>
      <w:pPr>
        <w:ind w:left="1100" w:right="4099" w:hanging="347"/>
        <w:spacing w:after="0" w:line="251" w:lineRule="auto"/>
        <w:tabs>
          <w:tab w:leader="none" w:pos="1100" w:val="left"/>
        </w:tabs>
        <w:numPr>
          <w:ilvl w:val="0"/>
          <w:numId w:val="1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unaudited condensed interim consolidated financial statements as of September 30, 2003 and for the nine months and three months then ended ("interim financial statements") of Tower Semiconductor Ltd. ("the Company") and subsidiary should be read in conjunction with the audited consolidated financial statements of the Company and subsidiary as of December 31, 2002 and for the year then ended, including the notes thereto. In the opinion of management, the interim financial statements include all adjustments necessary for a fair presentation of the financial position and results of operations as of the dates and for the interim periods presented. The results of operations for the interim periods are not necessarily indicative of the results to be expected on a full-year basis.</w:t>
      </w:r>
    </w:p>
    <w:p>
      <w:pPr>
        <w:spacing w:after="0" w:line="158" w:lineRule="exact"/>
        <w:rPr>
          <w:rFonts w:ascii="Times New Roman" w:cs="Times New Roman" w:eastAsia="Times New Roman" w:hAnsi="Times New Roman"/>
          <w:sz w:val="14"/>
          <w:szCs w:val="14"/>
          <w:b w:val="1"/>
          <w:bCs w:val="1"/>
          <w:color w:val="auto"/>
        </w:rPr>
      </w:pPr>
    </w:p>
    <w:p>
      <w:pPr>
        <w:ind w:left="1100" w:right="4079" w:hanging="347"/>
        <w:spacing w:after="0" w:line="258" w:lineRule="auto"/>
        <w:tabs>
          <w:tab w:leader="none" w:pos="1100" w:val="left"/>
        </w:tabs>
        <w:numPr>
          <w:ilvl w:val="0"/>
          <w:numId w:val="17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interim financial statements have been prepared in conformity with generally accepted accounting principles ("GAAP") in Israel, which, as applicable to these interim financial statements, differ in certain respects from GAAP in the United States of America ("U.S. GAAP"), as indicated in Note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-488950</wp:posOffset>
            </wp:positionV>
            <wp:extent cx="3926840" cy="6350"/>
            <wp:wrapNone/>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5">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21" w:lineRule="exact"/>
        <w:rPr>
          <w:sz w:val="20"/>
          <w:szCs w:val="20"/>
          <w:color w:val="auto"/>
        </w:rPr>
      </w:pPr>
    </w:p>
    <w:p>
      <w:pPr>
        <w:jc w:val="both"/>
        <w:ind w:left="1120" w:right="3099"/>
        <w:spacing w:after="0" w:line="263" w:lineRule="auto"/>
        <w:rPr>
          <w:sz w:val="20"/>
          <w:szCs w:val="20"/>
          <w:color w:val="auto"/>
        </w:rPr>
      </w:pPr>
      <w:r>
        <w:rPr>
          <w:rFonts w:ascii="Times New Roman" w:cs="Times New Roman" w:eastAsia="Times New Roman" w:hAnsi="Times New Roman"/>
          <w:sz w:val="14"/>
          <w:szCs w:val="14"/>
          <w:color w:val="auto"/>
        </w:rPr>
        <w:t>The accounting principles applied in the preparation of these interim financial statements are consistent with those principles applied in the preparation of the most recent annual audited financial statements (see also D below).</w:t>
      </w:r>
    </w:p>
    <w:p>
      <w:pPr>
        <w:spacing w:after="0" w:line="41" w:lineRule="exact"/>
        <w:rPr>
          <w:sz w:val="20"/>
          <w:szCs w:val="20"/>
          <w:color w:val="auto"/>
        </w:rPr>
      </w:pPr>
    </w:p>
    <w:p>
      <w:pPr>
        <w:ind w:left="1100" w:hanging="334"/>
        <w:spacing w:after="0"/>
        <w:tabs>
          <w:tab w:leader="none" w:pos="1100" w:val="left"/>
        </w:tabs>
        <w:numPr>
          <w:ilvl w:val="0"/>
          <w:numId w:val="17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Establishment of New Fabrication Facility</w:t>
      </w:r>
    </w:p>
    <w:p>
      <w:pPr>
        <w:spacing w:after="0" w:line="80" w:lineRule="exact"/>
        <w:rPr>
          <w:rFonts w:ascii="Times New Roman" w:cs="Times New Roman" w:eastAsia="Times New Roman" w:hAnsi="Times New Roman"/>
          <w:sz w:val="14"/>
          <w:szCs w:val="14"/>
          <w:b w:val="1"/>
          <w:bCs w:val="1"/>
          <w:color w:val="auto"/>
        </w:rPr>
      </w:pPr>
    </w:p>
    <w:p>
      <w:pPr>
        <w:ind w:left="1120" w:right="2899"/>
        <w:spacing w:after="0" w:line="252"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January 2001, the Company's Board of Directors approved the establishment of a new wafer fabrication facility in Israel ("Fab 2"), at an expected cost of approximately $1,500,000. Fab 2 is designated to manufacture semiconductor integrated circuits on silicon wafers in geometries of 0.18 micron and below on 200 millimeter wafers. Through January 2001, the Company entered into several related agreements and arrangements in connection with Fab 2, which were amended several times, including agreements and other arrangements with technology and Wafer Partners, equity investors, the Company's Banks, the government of Israel and others, to provide an aggregate of $1,060,000 of financing for Fab 2. For further details relating these agreements and arrangements, see Notes 3A-3C. In addition, as of September 30, 2003, the Company has raised approximately $86,000 from other financial sources.</w:t>
      </w:r>
    </w:p>
    <w:p>
      <w:pPr>
        <w:spacing w:after="0" w:line="61" w:lineRule="exact"/>
        <w:rPr>
          <w:rFonts w:ascii="Times New Roman" w:cs="Times New Roman" w:eastAsia="Times New Roman" w:hAnsi="Times New Roman"/>
          <w:sz w:val="14"/>
          <w:szCs w:val="14"/>
          <w:b w:val="1"/>
          <w:bCs w:val="1"/>
          <w:color w:val="auto"/>
        </w:rPr>
      </w:pPr>
    </w:p>
    <w:p>
      <w:pPr>
        <w:ind w:left="1120" w:right="2799"/>
        <w:spacing w:after="0" w:line="25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During the third quarter of 2003, the Company began to supply production wafers to its customers utilizing the 0.18 micron process technology. Following the initial operation of Fab 2, most of the direct costs related to the construction and equipping of Fab 2 and to the transfer of the Fab 2 technology that were capitalizable until Fab 2 was substantially completed, are no longer capitalizable. The accounting policy for depreciating and amortizing Fab 2 assets is presented in D below.</w:t>
      </w:r>
    </w:p>
    <w:p>
      <w:pPr>
        <w:spacing w:after="0" w:line="57" w:lineRule="exact"/>
        <w:rPr>
          <w:rFonts w:ascii="Times New Roman" w:cs="Times New Roman" w:eastAsia="Times New Roman" w:hAnsi="Times New Roman"/>
          <w:sz w:val="14"/>
          <w:szCs w:val="14"/>
          <w:b w:val="1"/>
          <w:bCs w:val="1"/>
          <w:color w:val="auto"/>
        </w:rPr>
      </w:pPr>
    </w:p>
    <w:p>
      <w:pPr>
        <w:ind w:left="1120" w:right="2799"/>
        <w:spacing w:after="0" w:line="254"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Fab 2 project is a complex undertaking, which entails substantial risks and uncertainties. During the third quarter of 2003, the Company and the Banks reached arrangements pursuant to which the Facility Agreement and certain of its provisions will be amended to reflect the updated plan for the construction of Fab 2, which was submitted to the Banks in June 2003. The updated plan calls for, among other things, a slower ramp-up for Fab 2 than originally planned and conforms the current fund-raising, production and capacity covenants in the Facility Agreement, including those described in Note 3B below, to the revised ramp-up.</w:t>
      </w:r>
    </w:p>
    <w:p>
      <w:pPr>
        <w:spacing w:after="0" w:line="19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BASIS OF PRESENTATION (Continued)</w:t>
      </w:r>
    </w:p>
    <w:p>
      <w:pPr>
        <w:spacing w:after="0" w:line="78" w:lineRule="exact"/>
        <w:rPr>
          <w:sz w:val="20"/>
          <w:szCs w:val="20"/>
          <w:color w:val="auto"/>
        </w:rPr>
      </w:pPr>
    </w:p>
    <w:p>
      <w:pPr>
        <w:ind w:left="1100" w:hanging="334"/>
        <w:spacing w:after="0"/>
        <w:tabs>
          <w:tab w:leader="none" w:pos="1100" w:val="left"/>
        </w:tabs>
        <w:numPr>
          <w:ilvl w:val="0"/>
          <w:numId w:val="17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Establishment of New Fabrication Facility (Continued)</w:t>
      </w:r>
    </w:p>
    <w:p>
      <w:pPr>
        <w:spacing w:after="0" w:line="80" w:lineRule="exact"/>
        <w:rPr>
          <w:rFonts w:ascii="Times New Roman" w:cs="Times New Roman" w:eastAsia="Times New Roman" w:hAnsi="Times New Roman"/>
          <w:sz w:val="14"/>
          <w:szCs w:val="14"/>
          <w:b w:val="1"/>
          <w:bCs w:val="1"/>
          <w:color w:val="auto"/>
        </w:rPr>
      </w:pPr>
    </w:p>
    <w:p>
      <w:pPr>
        <w:ind w:left="1120" w:right="2819"/>
        <w:spacing w:after="0" w:line="280"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3"/>
          <w:szCs w:val="13"/>
          <w:color w:val="auto"/>
        </w:rPr>
        <w:t>For additional information relating these arrangements, see Note 3B below. The Company is currently in the final stages of completing the comprehensive contract with respect to these arrangements. Based primarily on the discussions and negotiations with the Banks held prior and subsequent to the balance-sheet date, management estimates that concluding such a contract is probable. Completing the aforementioned comprehensive contract with the Banks is material for the continuation of the construction, equipping and operating of Fab 2.</w:t>
      </w:r>
    </w:p>
    <w:p>
      <w:pPr>
        <w:sectPr>
          <w:pgSz w:w="11900" w:h="16838" w:orient="portrait"/>
          <w:cols w:equalWidth="0" w:num="1">
            <w:col w:w="10239"/>
          </w:cols>
          <w:pgMar w:left="220" w:top="274" w:right="1440" w:bottom="0" w:gutter="0" w:footer="0" w:header="0"/>
        </w:sectPr>
      </w:pPr>
    </w:p>
    <w:bookmarkStart w:id="75" w:name="page76"/>
    <w:bookmarkEnd w:id="75"/>
    <w:p>
      <w:pPr>
        <w:spacing w:after="0" w:line="31" w:lineRule="exact"/>
        <w:rPr>
          <w:sz w:val="20"/>
          <w:szCs w:val="20"/>
          <w:color w:val="auto"/>
        </w:rPr>
      </w:pPr>
    </w:p>
    <w:p>
      <w:pPr>
        <w:ind w:left="1120" w:right="2839"/>
        <w:spacing w:after="0" w:line="279" w:lineRule="auto"/>
        <w:rPr>
          <w:sz w:val="20"/>
          <w:szCs w:val="20"/>
          <w:color w:val="auto"/>
        </w:rPr>
      </w:pPr>
      <w:r>
        <w:rPr>
          <w:rFonts w:ascii="Times New Roman" w:cs="Times New Roman" w:eastAsia="Times New Roman" w:hAnsi="Times New Roman"/>
          <w:sz w:val="14"/>
          <w:szCs w:val="14"/>
          <w:color w:val="auto"/>
        </w:rPr>
        <w:t>For further details concerning the Fab 2 project and related agreements, risks and uncertainties, see Note 3 below and Note 13A to the 2002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3926840" cy="6350"/>
            <wp:wrapNone/>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31" w:lineRule="exact"/>
        <w:rPr>
          <w:sz w:val="20"/>
          <w:szCs w:val="20"/>
          <w:color w:val="auto"/>
        </w:rPr>
      </w:pPr>
    </w:p>
    <w:p>
      <w:pPr>
        <w:ind w:left="1100" w:hanging="347"/>
        <w:spacing w:after="0"/>
        <w:tabs>
          <w:tab w:leader="none" w:pos="1100" w:val="left"/>
        </w:tabs>
        <w:numPr>
          <w:ilvl w:val="0"/>
          <w:numId w:val="17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Depreciation and Amortization of Fab 2 Assets</w:t>
      </w:r>
    </w:p>
    <w:p>
      <w:pPr>
        <w:spacing w:after="0" w:line="174" w:lineRule="exact"/>
        <w:rPr>
          <w:sz w:val="20"/>
          <w:szCs w:val="20"/>
          <w:color w:val="auto"/>
        </w:rPr>
      </w:pPr>
    </w:p>
    <w:p>
      <w:pPr>
        <w:ind w:left="1120" w:right="3019"/>
        <w:spacing w:after="0" w:line="279" w:lineRule="auto"/>
        <w:rPr>
          <w:sz w:val="20"/>
          <w:szCs w:val="20"/>
          <w:color w:val="auto"/>
        </w:rPr>
      </w:pPr>
      <w:r>
        <w:rPr>
          <w:rFonts w:ascii="Times New Roman" w:cs="Times New Roman" w:eastAsia="Times New Roman" w:hAnsi="Times New Roman"/>
          <w:sz w:val="14"/>
          <w:szCs w:val="14"/>
          <w:color w:val="auto"/>
        </w:rPr>
        <w:t>Following the commencement of operations of Fab 2 in the third quarter of 2003, Fab 2 assets are depreciated and amortized as follows (see also Note 3E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919855" cy="6350"/>
            <wp:wrapNone/>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8">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31" w:lineRule="exact"/>
        <w:rPr>
          <w:sz w:val="20"/>
          <w:szCs w:val="20"/>
          <w:color w:val="auto"/>
        </w:rPr>
      </w:pPr>
    </w:p>
    <w:p>
      <w:pPr>
        <w:ind w:left="1360" w:right="4179" w:hanging="264"/>
        <w:spacing w:after="0" w:line="265" w:lineRule="auto"/>
        <w:tabs>
          <w:tab w:leader="none" w:pos="136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Property and Equipment </w:t>
      </w:r>
      <w:r>
        <w:rPr>
          <w:rFonts w:ascii="Times New Roman" w:cs="Times New Roman" w:eastAsia="Times New Roman" w:hAnsi="Times New Roman"/>
          <w:sz w:val="14"/>
          <w:szCs w:val="14"/>
          <w:color w:val="auto"/>
        </w:rPr>
        <w:t>— Depreciation is calculated based on the straight-line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method over the estimated economic lives of the assets or terms of the related leases,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6350" cy="66040"/>
            <wp:wrapNone/>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9">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ectPr>
          <w:pgSz w:w="11900" w:h="16870" w:orient="portrait"/>
          <w:cols w:equalWidth="0" w:num="1">
            <w:col w:w="10239"/>
          </w:cols>
          <w:pgMar w:left="220" w:top="208" w:right="1440" w:bottom="0" w:gutter="0" w:footer="0" w:header="0"/>
        </w:sectPr>
      </w:pPr>
    </w:p>
    <w:p>
      <w:pPr>
        <w:spacing w:after="0" w:line="17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Prepaid perpetual land lease and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-86995</wp:posOffset>
            </wp:positionV>
            <wp:extent cx="2479040" cy="6350"/>
            <wp:wrapNone/>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40">
                      <a:extLst>
                        <a:ext uri="{28A0092B-C50C-407E-A947-70E740481C1C}"/>
                      </a:extLst>
                    </a:blip>
                    <a:srcRect/>
                    <a:stretch>
                      <a:fillRect/>
                    </a:stretch>
                  </pic:blipFill>
                  <pic:spPr bwMode="auto">
                    <a:xfrm>
                      <a:off x="0" y="0"/>
                      <a:ext cx="247904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14-25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-86995</wp:posOffset>
            </wp:positionV>
            <wp:extent cx="899160" cy="6350"/>
            <wp:wrapNone/>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41">
                      <a:extLst>
                        <a:ext uri="{28A0092B-C50C-407E-A947-70E740481C1C}"/>
                      </a:extLst>
                    </a:blip>
                    <a:srcRect/>
                    <a:stretch>
                      <a:fillRect/>
                    </a:stretch>
                  </pic:blipFill>
                  <pic:spPr bwMode="auto">
                    <a:xfrm>
                      <a:off x="0" y="0"/>
                      <a:ext cx="899160" cy="6350"/>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-27305</wp:posOffset>
            </wp:positionV>
            <wp:extent cx="13335" cy="635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42">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49" w:lineRule="exact"/>
        <w:rPr>
          <w:sz w:val="20"/>
          <w:szCs w:val="20"/>
          <w:color w:val="auto"/>
        </w:rPr>
      </w:pPr>
    </w:p>
    <w:p>
      <w:pPr>
        <w:sectPr>
          <w:pgSz w:w="11900" w:h="16870" w:orient="portrait"/>
          <w:cols w:equalWidth="0" w:num="2">
            <w:col w:w="4620" w:space="720"/>
            <w:col w:w="4899"/>
          </w:cols>
          <w:pgMar w:left="220" w:top="208" w:right="1440" w:bottom="0" w:gutter="0" w:footer="0" w:header="0"/>
          <w:type w:val="continuous"/>
        </w:sectPr>
      </w:pPr>
    </w:p>
    <w:p>
      <w:pPr>
        <w:ind w:left="1340"/>
        <w:spacing w:after="0"/>
        <w:rPr>
          <w:sz w:val="20"/>
          <w:szCs w:val="20"/>
          <w:color w:val="auto"/>
        </w:rPr>
      </w:pPr>
      <w:r>
        <w:rPr>
          <w:rFonts w:ascii="Times New Roman" w:cs="Times New Roman" w:eastAsia="Times New Roman" w:hAnsi="Times New Roman"/>
          <w:sz w:val="12"/>
          <w:szCs w:val="12"/>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852805" cy="19685"/>
            <wp:wrapNone/>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43">
                      <a:extLst>
                        <a:ext uri="{28A0092B-C50C-407E-A947-70E740481C1C}"/>
                      </a:extLst>
                    </a:blip>
                    <a:srcRect/>
                    <a:stretch>
                      <a:fillRect/>
                    </a:stretch>
                  </pic:blipFill>
                  <pic:spPr bwMode="auto">
                    <a:xfrm>
                      <a:off x="0" y="0"/>
                      <a:ext cx="852805" cy="196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-27305</wp:posOffset>
            </wp:positionV>
            <wp:extent cx="13335" cy="6350"/>
            <wp:wrapNone/>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4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49" w:lineRule="exact"/>
        <w:rPr>
          <w:sz w:val="20"/>
          <w:szCs w:val="20"/>
          <w:color w:val="auto"/>
        </w:rPr>
      </w:pPr>
    </w:p>
    <w:p>
      <w:pPr>
        <w:sectPr>
          <w:pgSz w:w="11900" w:h="16870" w:orient="portrait"/>
          <w:cols w:equalWidth="0" w:num="2">
            <w:col w:w="4620" w:space="720"/>
            <w:col w:w="4899"/>
          </w:cols>
          <w:pgMar w:left="220" w:top="208" w:right="1440" w:bottom="0" w:gutter="0" w:footer="0" w:header="0"/>
          <w:type w:val="continuous"/>
        </w:sectPr>
      </w:pPr>
    </w:p>
    <w:p>
      <w:pPr>
        <w:ind w:left="1340"/>
        <w:spacing w:after="0"/>
        <w:rPr>
          <w:sz w:val="20"/>
          <w:szCs w:val="20"/>
          <w:color w:val="auto"/>
        </w:rPr>
      </w:pPr>
      <w:r>
        <w:rPr>
          <w:rFonts w:ascii="Times New Roman" w:cs="Times New Roman" w:eastAsia="Times New Roman" w:hAnsi="Times New Roman"/>
          <w:sz w:val="12"/>
          <w:szCs w:val="12"/>
          <w:color w:val="auto"/>
        </w:rPr>
        <w:t>Transportation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38100</wp:posOffset>
            </wp:positionV>
            <wp:extent cx="3919855" cy="73025"/>
            <wp:wrapNone/>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5">
                      <a:extLst>
                        <a:ext uri="{28A0092B-C50C-407E-A947-70E740481C1C}"/>
                      </a:extLst>
                    </a:blip>
                    <a:srcRect/>
                    <a:stretch>
                      <a:fillRect/>
                    </a:stretch>
                  </pic:blipFill>
                  <pic:spPr bwMode="auto">
                    <a:xfrm>
                      <a:off x="0" y="0"/>
                      <a:ext cx="3919855" cy="730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-27305</wp:posOffset>
            </wp:positionV>
            <wp:extent cx="13335" cy="6350"/>
            <wp:wrapNone/>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6">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00" w:lineRule="exact"/>
        <w:rPr>
          <w:sz w:val="20"/>
          <w:szCs w:val="20"/>
          <w:color w:val="auto"/>
        </w:rPr>
      </w:pPr>
    </w:p>
    <w:p>
      <w:pPr>
        <w:sectPr>
          <w:pgSz w:w="11900" w:h="16870" w:orient="portrait"/>
          <w:cols w:equalWidth="0" w:num="2">
            <w:col w:w="4620" w:space="720"/>
            <w:col w:w="4899"/>
          </w:cols>
          <w:pgMar w:left="220" w:top="208" w:right="1440" w:bottom="0" w:gutter="0" w:footer="0" w:header="0"/>
          <w:type w:val="continuous"/>
        </w:sectPr>
      </w:pPr>
    </w:p>
    <w:p>
      <w:pPr>
        <w:spacing w:after="0" w:line="41" w:lineRule="exact"/>
        <w:rPr>
          <w:sz w:val="20"/>
          <w:szCs w:val="20"/>
          <w:color w:val="auto"/>
        </w:rPr>
      </w:pPr>
    </w:p>
    <w:p>
      <w:pPr>
        <w:ind w:left="1360" w:right="4099" w:hanging="264"/>
        <w:spacing w:after="0" w:line="251" w:lineRule="auto"/>
        <w:tabs>
          <w:tab w:leader="none" w:pos="136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Assets </w:t>
      </w:r>
      <w:r>
        <w:rPr>
          <w:rFonts w:ascii="Times New Roman" w:cs="Times New Roman" w:eastAsia="Times New Roman" w:hAnsi="Times New Roman"/>
          <w:sz w:val="14"/>
          <w:szCs w:val="14"/>
          <w:color w:val="auto"/>
        </w:rPr>
        <w:t>— The costs in relation to Fab 2 technologies are amortized over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expected estimated economic life of the technologies. Amortization phases in commencing on the dates on which each of the Fab 2 manufacturing lines is ready for use, and is based on the straight-line method over a four-year period. Prepaid finance expenses included in Other Assets in relation to funding the establishment of Fab 2, are being amortized over the lives of the borrowings based on the repayment schedule of such funding (in general, 6 years). During the establishment period of Fab 2, amortized finance expenses were capitalized to buildings, property and equipment. Commencing the third quarter of 2003, in which the building and infrastructures of Fab 2 were substantially completed and ready for their intended use and the commencement of the initial ramp-up, the deferred finance expenses are amortized to the statement of operations.</w:t>
      </w:r>
    </w:p>
    <w:p>
      <w:pPr>
        <w:spacing w:after="0" w:line="19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 MAJOR CUSTOMERS</w:t>
      </w:r>
    </w:p>
    <w:p>
      <w:pPr>
        <w:spacing w:after="0" w:line="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Sales to major customers as a percentage of total sales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7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1"/>
          <w:szCs w:val="11"/>
          <w:b w:val="1"/>
          <w:bCs w:val="1"/>
          <w:color w:val="auto"/>
        </w:rPr>
        <w:t>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-74295</wp:posOffset>
            </wp:positionV>
            <wp:extent cx="2835910" cy="6350"/>
            <wp:wrapNone/>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9">
                      <a:extLst>
                        <a:ext uri="{28A0092B-C50C-407E-A947-70E740481C1C}"/>
                      </a:extLst>
                    </a:blip>
                    <a:srcRect/>
                    <a:stretch>
                      <a:fillRect/>
                    </a:stretch>
                  </pic:blipFill>
                  <pic:spPr bwMode="auto">
                    <a:xfrm>
                      <a:off x="0" y="0"/>
                      <a:ext cx="2835910" cy="6350"/>
                    </a:xfrm>
                    <a:prstGeom prst="rect">
                      <a:avLst/>
                    </a:prstGeom>
                    <a:noFill/>
                  </pic:spPr>
                </pic:pic>
              </a:graphicData>
            </a:graphic>
          </wp:anchor>
        </w:drawing>
      </w:r>
    </w:p>
    <w:p>
      <w:pPr>
        <w:jc w:val="center"/>
        <w:ind w:right="299"/>
        <w:spacing w:after="0" w:line="221" w:lineRule="auto"/>
        <w:rPr>
          <w:sz w:val="20"/>
          <w:szCs w:val="20"/>
          <w:color w:val="auto"/>
        </w:rPr>
      </w:pPr>
      <w:r>
        <w:rPr>
          <w:rFonts w:ascii="Times New Roman" w:cs="Times New Roman" w:eastAsia="Times New Roman" w:hAnsi="Times New Roman"/>
          <w:sz w:val="11"/>
          <w:szCs w:val="11"/>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-35560</wp:posOffset>
            </wp:positionV>
            <wp:extent cx="13335" cy="6350"/>
            <wp:wrapNone/>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50">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jc w:val="center"/>
        <w:ind w:right="299"/>
        <w:spacing w:after="0" w:line="227" w:lineRule="auto"/>
        <w:rPr>
          <w:sz w:val="20"/>
          <w:szCs w:val="20"/>
          <w:color w:val="auto"/>
        </w:rPr>
      </w:pPr>
      <w:r>
        <w:rPr>
          <w:rFonts w:ascii="Times New Roman" w:cs="Times New Roman" w:eastAsia="Times New Roman" w:hAnsi="Times New Roman"/>
          <w:sz w:val="11"/>
          <w:szCs w:val="11"/>
          <w:b w:val="1"/>
          <w:bCs w:val="1"/>
          <w:color w:val="auto"/>
        </w:rPr>
        <w:t>September 30,</w:t>
      </w:r>
    </w:p>
    <w:tbl>
      <w:tblPr>
        <w:tblLayout w:type="fixed"/>
        <w:tblInd w:w="740" w:type="dxa"/>
        <w:tblCellMar>
          <w:top w:w="0" w:type="dxa"/>
          <w:left w:w="0" w:type="dxa"/>
          <w:bottom w:w="0" w:type="dxa"/>
          <w:right w:w="0" w:type="dxa"/>
        </w:tblCellMar>
      </w:tblPr>
      <w:tr>
        <w:trPr>
          <w:trHeight w:val="126"/>
        </w:trPr>
        <w:tc>
          <w:tcPr>
            <w:tcW w:w="3840" w:type="dxa"/>
            <w:vAlign w:val="bottom"/>
          </w:tcPr>
          <w:p>
            <w:pPr>
              <w:spacing w:after="0"/>
              <w:rPr>
                <w:sz w:val="10"/>
                <w:szCs w:val="1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2003</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2002</w:t>
            </w:r>
          </w:p>
        </w:tc>
      </w:tr>
      <w:tr>
        <w:trPr>
          <w:trHeight w:val="121"/>
        </w:trPr>
        <w:tc>
          <w:tcPr>
            <w:tcW w:w="3840" w:type="dxa"/>
            <w:vAlign w:val="bottom"/>
          </w:tcPr>
          <w:p>
            <w:pPr>
              <w:spacing w:after="0"/>
              <w:rPr>
                <w:sz w:val="10"/>
                <w:szCs w:val="10"/>
                <w:color w:val="auto"/>
              </w:rPr>
            </w:pPr>
          </w:p>
        </w:tc>
        <w:tc>
          <w:tcPr>
            <w:tcW w:w="780" w:type="dxa"/>
            <w:vAlign w:val="bottom"/>
            <w:gridSpan w:val="3"/>
          </w:tcPr>
          <w:p>
            <w:pPr>
              <w:jc w:val="right"/>
              <w:ind w:right="58"/>
              <w:spacing w:after="0" w:line="122" w:lineRule="exact"/>
              <w:rPr>
                <w:sz w:val="20"/>
                <w:szCs w:val="20"/>
                <w:color w:val="auto"/>
              </w:rPr>
            </w:pPr>
            <w:r>
              <w:rPr>
                <w:rFonts w:ascii="Times New Roman" w:cs="Times New Roman" w:eastAsia="Times New Roman" w:hAnsi="Times New Roman"/>
                <w:sz w:val="11"/>
                <w:szCs w:val="11"/>
                <w:b w:val="1"/>
                <w:bCs w:val="1"/>
                <w:color w:val="auto"/>
              </w:rPr>
              <w:t>(unaudited)</w:t>
            </w:r>
          </w:p>
        </w:tc>
      </w:tr>
      <w:tr>
        <w:trPr>
          <w:trHeight w:val="182"/>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Customer A</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Customer B</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15</w:t>
            </w:r>
          </w:p>
        </w:tc>
        <w:tc>
          <w:tcPr>
            <w:tcW w:w="44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color w:val="auto"/>
              </w:rPr>
              <w:t>15</w:t>
            </w:r>
          </w:p>
        </w:tc>
      </w:tr>
      <w:tr>
        <w:trPr>
          <w:trHeight w:val="19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Customer C</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12</w:t>
            </w:r>
          </w:p>
        </w:tc>
        <w:tc>
          <w:tcPr>
            <w:tcW w:w="44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color w:val="auto"/>
              </w:rPr>
              <w:t>4</w:t>
            </w:r>
          </w:p>
        </w:tc>
      </w:tr>
      <w:tr>
        <w:trPr>
          <w:trHeight w:val="19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Customer D</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340" w:type="dxa"/>
            <w:vAlign w:val="bottom"/>
          </w:tcPr>
          <w:p>
            <w:pPr>
              <w:jc w:val="right"/>
              <w:ind w:right="98"/>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Customer E</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color w:val="auto"/>
              </w:rPr>
              <w:t>11</w:t>
            </w:r>
          </w:p>
        </w:tc>
      </w:tr>
      <w:tr>
        <w:trPr>
          <w:trHeight w:val="19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Other customers (*)</w:t>
            </w:r>
          </w:p>
        </w:tc>
        <w:tc>
          <w:tcPr>
            <w:tcW w:w="34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rPr>
              <w:t>4</w:t>
            </w:r>
          </w:p>
        </w:tc>
        <w:tc>
          <w:tcPr>
            <w:tcW w:w="440" w:type="dxa"/>
            <w:vAlign w:val="bottom"/>
            <w:gridSpan w:val="2"/>
          </w:tcPr>
          <w:p>
            <w:pPr>
              <w:jc w:val="right"/>
              <w:ind w:right="98"/>
              <w:spacing w:after="0"/>
              <w:rPr>
                <w:sz w:val="20"/>
                <w:szCs w:val="20"/>
                <w:color w:val="auto"/>
              </w:rPr>
            </w:pPr>
            <w:r>
              <w:rPr>
                <w:rFonts w:ascii="Times New Roman" w:cs="Times New Roman" w:eastAsia="Times New Roman" w:hAnsi="Times New Roman"/>
                <w:sz w:val="14"/>
                <w:szCs w:val="14"/>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-541655</wp:posOffset>
            </wp:positionV>
            <wp:extent cx="469265" cy="19685"/>
            <wp:wrapNone/>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51">
                      <a:extLst>
                        <a:ext uri="{28A0092B-C50C-407E-A947-70E740481C1C}"/>
                      </a:extLst>
                    </a:blip>
                    <a:srcRect/>
                    <a:stretch>
                      <a:fillRect/>
                    </a:stretch>
                  </pic:blipFill>
                  <pic:spPr bwMode="auto">
                    <a:xfrm>
                      <a:off x="0" y="0"/>
                      <a:ext cx="469265" cy="19685"/>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-878840</wp:posOffset>
            </wp:positionV>
            <wp:extent cx="13335" cy="6350"/>
            <wp:wrapNone/>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-878840</wp:posOffset>
            </wp:positionV>
            <wp:extent cx="13335" cy="6350"/>
            <wp:wrapNone/>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-786130</wp:posOffset>
            </wp:positionV>
            <wp:extent cx="13335" cy="6350"/>
            <wp:wrapNone/>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-673735</wp:posOffset>
            </wp:positionV>
            <wp:extent cx="13335" cy="6350"/>
            <wp:wrapNone/>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-673735</wp:posOffset>
            </wp:positionV>
            <wp:extent cx="13335" cy="6350"/>
            <wp:wrapNone/>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-548005</wp:posOffset>
            </wp:positionV>
            <wp:extent cx="13335" cy="6350"/>
            <wp:wrapNone/>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-548005</wp:posOffset>
            </wp:positionV>
            <wp:extent cx="13335" cy="6350"/>
            <wp:wrapNone/>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-422910</wp:posOffset>
            </wp:positionV>
            <wp:extent cx="13335" cy="6350"/>
            <wp:wrapNone/>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-422910</wp:posOffset>
            </wp:positionV>
            <wp:extent cx="13335" cy="6350"/>
            <wp:wrapNone/>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-297180</wp:posOffset>
            </wp:positionV>
            <wp:extent cx="13335" cy="6350"/>
            <wp:wrapNone/>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-297180</wp:posOffset>
            </wp:positionV>
            <wp:extent cx="13335" cy="6350"/>
            <wp:wrapNone/>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-171450</wp:posOffset>
            </wp:positionV>
            <wp:extent cx="13335" cy="6350"/>
            <wp:wrapNone/>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-171450</wp:posOffset>
            </wp:positionV>
            <wp:extent cx="13335" cy="6350"/>
            <wp:wrapNone/>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2857500</wp:posOffset>
            </wp:positionH>
            <wp:positionV relativeFrom="paragraph">
              <wp:posOffset>-45720</wp:posOffset>
            </wp:positionV>
            <wp:extent cx="13335" cy="6350"/>
            <wp:wrapNone/>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-45720</wp:posOffset>
            </wp:positionV>
            <wp:extent cx="13335" cy="6350"/>
            <wp:wrapNone/>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19685</wp:posOffset>
            </wp:positionV>
            <wp:extent cx="6350" cy="66040"/>
            <wp:wrapNone/>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7">
                      <a:extLst>
                        <a:ext uri="{28A0092B-C50C-407E-A947-70E740481C1C}"/>
                      </a:extLst>
                    </a:blip>
                    <a:srcRect/>
                    <a:stretch>
                      <a:fillRect/>
                    </a:stretch>
                  </pic:blipFill>
                  <pic:spPr bwMode="auto">
                    <a:xfrm>
                      <a:off x="0" y="0"/>
                      <a:ext cx="6350" cy="660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85725</wp:posOffset>
            </wp:positionV>
            <wp:extent cx="4396105" cy="118745"/>
            <wp:wrapNone/>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8">
                      <a:extLst>
                        <a:ext uri="{28A0092B-C50C-407E-A947-70E740481C1C}"/>
                      </a:extLst>
                    </a:blip>
                    <a:srcRect/>
                    <a:stretch>
                      <a:fillRect/>
                    </a:stretch>
                  </pic:blipFill>
                  <pic:spPr bwMode="auto">
                    <a:xfrm>
                      <a:off x="0" y="0"/>
                      <a:ext cx="4396105" cy="118745"/>
                    </a:xfrm>
                    <a:prstGeom prst="rect">
                      <a:avLst/>
                    </a:prstGeom>
                    <a:noFill/>
                  </pic:spPr>
                </pic:pic>
              </a:graphicData>
            </a:graphic>
          </wp:anchor>
        </w:drawing>
      </w:r>
    </w:p>
    <w:p>
      <w:pPr>
        <w:spacing w:after="0" w:line="368" w:lineRule="exact"/>
        <w:rPr>
          <w:sz w:val="20"/>
          <w:szCs w:val="20"/>
          <w:color w:val="auto"/>
        </w:rPr>
      </w:pPr>
    </w:p>
    <w:p>
      <w:pPr>
        <w:ind w:left="1020" w:right="4119" w:hanging="267"/>
        <w:spacing w:after="0" w:line="248" w:lineRule="auto"/>
        <w:tabs>
          <w:tab w:leader="none" w:pos="1020" w:val="left"/>
        </w:tabs>
        <w:numPr>
          <w:ilvl w:val="0"/>
          <w:numId w:val="1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sales to two different customers each of whom accounted for 2% of sales during the nine months ended September 30, 2003, and to four customers (2%-8%) during the nine months ended September 30, 2002.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RECENT DEVELOPMENTS RELATING TO FAB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9">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7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Amendments to the Primary Wafer Partner and Equity Investor Agreements</w:t>
      </w:r>
    </w:p>
    <w:p>
      <w:pPr>
        <w:spacing w:after="0" w:line="17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In the first quarter of 2003, the Company's primary Wafer Partners and its Equity Investors entered into</w:t>
      </w:r>
    </w:p>
    <w:p>
      <w:pPr>
        <w:spacing w:after="0" w:line="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3"/>
          <w:szCs w:val="13"/>
          <w:color w:val="auto"/>
        </w:rPr>
        <w:t>amendments to their agreements with the Company, pursuant to which the primary Wafer Partners and the Equity</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Investors agreed to advance their fifth and final milestone installment payment, in the aggregate amount of</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$41,069, regardless of its achievement. The amendments provided for the payment of an initial installment of</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3"/>
          <w:szCs w:val="13"/>
          <w:color w:val="auto"/>
        </w:rPr>
        <w:t>$24,641 on account of the fifth milestone payment with the remaining $16,428 to be paid no later than December</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3"/>
          <w:szCs w:val="13"/>
          <w:color w:val="auto"/>
        </w:rPr>
        <w:t>31, 2003, subject to the Company's raising an aggregate of approximately $26,000 in additional funding for Fab 2</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(the "Additional Raising Amount") from specified financial sources. These amendments were approved by the</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Company's shareholders in May 2003. In connection with these amendments, the Banks agreed to provide the</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Company with interim loans of up to $67,000, which were fully drawn down by the Company as of September</w:t>
      </w:r>
    </w:p>
    <w:p>
      <w:pPr>
        <w:spacing w:after="0" w:line="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30, 2003.</w:t>
      </w:r>
    </w:p>
    <w:p>
      <w:pPr>
        <w:spacing w:after="0" w:line="74" w:lineRule="exact"/>
        <w:rPr>
          <w:sz w:val="20"/>
          <w:szCs w:val="20"/>
          <w:color w:val="auto"/>
        </w:rPr>
      </w:pPr>
    </w:p>
    <w:p>
      <w:pPr>
        <w:ind w:left="1120" w:right="2819"/>
        <w:spacing w:after="0" w:line="252" w:lineRule="auto"/>
        <w:rPr>
          <w:sz w:val="20"/>
          <w:szCs w:val="20"/>
          <w:color w:val="auto"/>
        </w:rPr>
      </w:pPr>
      <w:r>
        <w:rPr>
          <w:rFonts w:ascii="Times New Roman" w:cs="Times New Roman" w:eastAsia="Times New Roman" w:hAnsi="Times New Roman"/>
          <w:sz w:val="14"/>
          <w:szCs w:val="14"/>
          <w:color w:val="auto"/>
        </w:rPr>
        <w:t>Through September 30, 2003, the primary Wafer Partners and Equity Investors invested an aggregate amount of $15,940 towards the aforementioned $24,641 first installment of the fifth milestone. In consideration for this investments, the primary Wafer Partners and the Equity Investors were issued 5,343,614 Ordinary Shares of the Company, based on the average closing sale price of the Company's Ordinary Shares for the 30 trading days prior to the date the Company's Board of Directors approved the amendments to the fifth milestone payment ($2.983 per share). In consideration for the second installment of the fifth milestone (based on the terms prior to the October 2003 proposed amendment described below), the primary Wafer Partners and the Equity Investors were to be issued fully-paid Ordinary Shares of the Company, based on the price at which the Company raises the Additional Raising Amount from specified financial sources.</w:t>
      </w:r>
    </w:p>
    <w:p>
      <w:pPr>
        <w:spacing w:after="0" w:line="2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7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RECENT DEVELOPMENTS RELATING TO FAB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5080"/>
            <wp:wrapNone/>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71">
                      <a:extLst>
                        <a:ext uri="{28A0092B-C50C-407E-A947-70E740481C1C}"/>
                      </a:extLst>
                    </a:blip>
                    <a:srcRect/>
                    <a:stretch>
                      <a:fillRect/>
                    </a:stretch>
                  </pic:blipFill>
                  <pic:spPr bwMode="auto">
                    <a:xfrm>
                      <a:off x="0" y="0"/>
                      <a:ext cx="3926840" cy="5080"/>
                    </a:xfrm>
                    <a:prstGeom prst="rect">
                      <a:avLst/>
                    </a:prstGeom>
                    <a:noFill/>
                  </pic:spPr>
                </pic:pic>
              </a:graphicData>
            </a:graphic>
          </wp:anchor>
        </w:drawing>
      </w:r>
    </w:p>
    <w:p>
      <w:pPr>
        <w:sectPr>
          <w:pgSz w:w="11900" w:h="16870" w:orient="portrait"/>
          <w:cols w:equalWidth="0" w:num="1">
            <w:col w:w="10239"/>
          </w:cols>
          <w:pgMar w:left="220" w:top="208" w:right="1440" w:bottom="0" w:gutter="0" w:footer="0" w:header="0"/>
          <w:type w:val="continuous"/>
        </w:sectPr>
      </w:pPr>
    </w:p>
    <w:bookmarkStart w:id="76" w:name="page77"/>
    <w:bookmarkEnd w:id="76"/>
    <w:p>
      <w:pPr>
        <w:ind w:left="1100" w:right="4579" w:hanging="347"/>
        <w:spacing w:after="0" w:line="282" w:lineRule="auto"/>
        <w:tabs>
          <w:tab w:leader="none" w:pos="1100" w:val="left"/>
        </w:tabs>
        <w:numPr>
          <w:ilvl w:val="0"/>
          <w:numId w:val="18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Amendments to the Primary Wafer Partner and Equity Investor Agreements (Continued)</w:t>
      </w:r>
    </w:p>
    <w:p>
      <w:pPr>
        <w:spacing w:after="0" w:line="123" w:lineRule="exact"/>
        <w:rPr>
          <w:sz w:val="20"/>
          <w:szCs w:val="20"/>
          <w:color w:val="auto"/>
        </w:rPr>
      </w:pPr>
    </w:p>
    <w:p>
      <w:pPr>
        <w:ind w:left="1120" w:right="2839"/>
        <w:spacing w:after="0" w:line="252" w:lineRule="auto"/>
        <w:rPr>
          <w:sz w:val="20"/>
          <w:szCs w:val="20"/>
          <w:color w:val="auto"/>
        </w:rPr>
      </w:pPr>
      <w:r>
        <w:rPr>
          <w:rFonts w:ascii="Times New Roman" w:cs="Times New Roman" w:eastAsia="Times New Roman" w:hAnsi="Times New Roman"/>
          <w:sz w:val="14"/>
          <w:szCs w:val="14"/>
          <w:color w:val="auto"/>
        </w:rPr>
        <w:t>Pursuant to the abovementioned amendments, the primary Wafer Partners are entitled to convert an aggregate of up to $13,201 of the unutilized long-term customers' advances, which they may have as of December 31, 2005, into fully-paid Ordinary Shares of the Company, the amount of which shall be determined based on the average closing sale price of the Company's Ordinary Shares for the 15 trading days prior to such date. The option is exercisable during January 2006. In case such conversion occurs and the amount of shares issued is equivalent to or greater than 5% of the Company's outstanding share capital as of the conversion date, the Company has undertaken to offer to all of its other shareholders rights to purchase shares of the Company at the same price per share.</w:t>
      </w:r>
    </w:p>
    <w:p>
      <w:pPr>
        <w:spacing w:after="0" w:line="63" w:lineRule="exact"/>
        <w:rPr>
          <w:sz w:val="20"/>
          <w:szCs w:val="20"/>
          <w:color w:val="auto"/>
        </w:rPr>
      </w:pPr>
    </w:p>
    <w:p>
      <w:pPr>
        <w:ind w:left="1120" w:right="2939"/>
        <w:spacing w:after="0" w:line="252" w:lineRule="auto"/>
        <w:rPr>
          <w:sz w:val="20"/>
          <w:szCs w:val="20"/>
          <w:color w:val="auto"/>
        </w:rPr>
      </w:pPr>
      <w:r>
        <w:rPr>
          <w:rFonts w:ascii="Times New Roman" w:cs="Times New Roman" w:eastAsia="Times New Roman" w:hAnsi="Times New Roman"/>
          <w:sz w:val="14"/>
          <w:szCs w:val="14"/>
          <w:color w:val="auto"/>
        </w:rPr>
        <w:t>In October 2003, the Company agreed with its primary Wafer Partners and its Equity Investor to amend their agreements with the Company, pursuant to which the primary Wafer Partners and the Equity Investor agreed to invest $25,129 of the fifth milestone payment (their remaining portion of the initial installment and the second installment), immediately following the approval of this additional amendment by the Company's shareholders and regardless of whether or when the Company raised the Additional Raising Amount. Said amendment is subject to obtaining agreement from the Banks to the amendments to the Facility Agreement outlined in paragraph B below, to the Investment Center not having informed the Company that it is not continuing its funding of the Fab 2 project, and to concluding a final agreement between the Company and the primary Wafer Partners and Equity Investor.</w:t>
      </w:r>
    </w:p>
    <w:p>
      <w:pPr>
        <w:spacing w:after="0" w:line="61" w:lineRule="exact"/>
        <w:rPr>
          <w:sz w:val="20"/>
          <w:szCs w:val="20"/>
          <w:color w:val="auto"/>
        </w:rPr>
      </w:pPr>
    </w:p>
    <w:p>
      <w:pPr>
        <w:ind w:left="1120" w:right="2899"/>
        <w:spacing w:after="0" w:line="251" w:lineRule="auto"/>
        <w:rPr>
          <w:sz w:val="20"/>
          <w:szCs w:val="20"/>
          <w:color w:val="auto"/>
        </w:rPr>
      </w:pPr>
      <w:r>
        <w:rPr>
          <w:rFonts w:ascii="Times New Roman" w:cs="Times New Roman" w:eastAsia="Times New Roman" w:hAnsi="Times New Roman"/>
          <w:sz w:val="14"/>
          <w:szCs w:val="14"/>
          <w:color w:val="auto"/>
        </w:rPr>
        <w:t>According to October 2003 proposed amendment, which is subject to the Company's audit committee, Board of Directors and shareholders meeting approval, in consideration for their investment of the second installment of the fifth milestone, the primary Wafer Partners and the Equity Investor will be issued Ordinary Shares of the Company, based on the price per share at any public offering that might occur during a six-month period subsequent to the date on which the primary Wafer Partners and Equity Investor will make their investment. Otherwise, the price per share will be based on the average closing sale price of the Company's Ordinary Shares for the 15 trading days preceding their investment date. Yet, in case the Company raises at least an aggregate of $28,000 by no later than June 30, 2004, at an average price per share lower than the price per share used for the issuance of shares in consideration for the second installment of the fifth milestone, the primary Wafer Partners and the Equity Investor will be issued additional Ordinary Shares such that the per share price of the Ordinary Shares issued to them for their second installment investment is the same as the lowest price per share used to complete the $28,000 financing.</w:t>
      </w:r>
    </w:p>
    <w:p>
      <w:pPr>
        <w:spacing w:after="0" w:line="19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7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RECENT DEVELOPMENTS RELATING TO FAB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73">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right="4579" w:hanging="347"/>
        <w:spacing w:after="0" w:line="282" w:lineRule="auto"/>
        <w:tabs>
          <w:tab w:leader="none" w:pos="1100" w:val="left"/>
        </w:tabs>
        <w:numPr>
          <w:ilvl w:val="0"/>
          <w:numId w:val="18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Amendments to the Primary Wafer Partner and Equity Investor Agreements (Continued)</w:t>
      </w:r>
    </w:p>
    <w:p>
      <w:pPr>
        <w:spacing w:after="0" w:line="123" w:lineRule="exact"/>
        <w:rPr>
          <w:sz w:val="20"/>
          <w:szCs w:val="20"/>
          <w:color w:val="auto"/>
        </w:rPr>
      </w:pPr>
    </w:p>
    <w:p>
      <w:pPr>
        <w:ind w:left="1120" w:right="2779"/>
        <w:spacing w:after="0" w:line="251" w:lineRule="auto"/>
        <w:rPr>
          <w:sz w:val="20"/>
          <w:szCs w:val="20"/>
          <w:color w:val="auto"/>
        </w:rPr>
      </w:pPr>
      <w:r>
        <w:rPr>
          <w:rFonts w:ascii="Times New Roman" w:cs="Times New Roman" w:eastAsia="Times New Roman" w:hAnsi="Times New Roman"/>
          <w:sz w:val="14"/>
          <w:szCs w:val="14"/>
          <w:color w:val="auto"/>
        </w:rPr>
        <w:t>Pursuant to the October 2003 proposed amendment, the Company granted each one of the primary Wafer Partners an option to convert, at the end of each quarter of the years 2004-2006, any amount that may be utilized against the long-term customer's advances, as derived from purchases made by each Wafer Partner during that quarter, into fully-paid Ordinary Shares of the Company. The amount of shares shall be determined based on the average closing sale price of the Company's Ordinary Shares for the 15 trading days preceding the end of each quarter. Any quarterly amount, which the Wafer Partners have elected not to so convert, will not be utilizable against purchases made subsequent to that quarter, and shall bear interest, payable at the end of each quarter, at an annual rate equal to three-month LIBOR plus 2.5% through December 31, 2007. The aggregate principal of the unconverted customers' advances, which could have been utilized against purchases and which the Wafer Partners elected not to convert into fully-paid Ordinary Shares of the Company, shall be fully repaid on December 31, 2007.</w:t>
      </w:r>
    </w:p>
    <w:p>
      <w:pPr>
        <w:spacing w:after="0" w:line="63" w:lineRule="exact"/>
        <w:rPr>
          <w:sz w:val="20"/>
          <w:szCs w:val="20"/>
          <w:color w:val="auto"/>
        </w:rPr>
      </w:pPr>
    </w:p>
    <w:p>
      <w:pPr>
        <w:ind w:left="1120" w:right="2839"/>
        <w:spacing w:after="0" w:line="256" w:lineRule="auto"/>
        <w:rPr>
          <w:sz w:val="20"/>
          <w:szCs w:val="20"/>
          <w:color w:val="auto"/>
        </w:rPr>
      </w:pPr>
      <w:r>
        <w:rPr>
          <w:rFonts w:ascii="Times New Roman" w:cs="Times New Roman" w:eastAsia="Times New Roman" w:hAnsi="Times New Roman"/>
          <w:sz w:val="14"/>
          <w:szCs w:val="14"/>
          <w:color w:val="auto"/>
        </w:rPr>
        <w:t>Under the Fab 2 investment agreements, the fifth and last milestone towards the Wafer Partners and Equity Investors was to have been achieved by mid-July 2003, when taking into account a seven and a half month grace period. The fifth milestone was not achieved by such date. As stated above, subject to obtaining all the approvals for the amendments as outlined below, the primary Wafer Partners and Equity Investors agreed to pay the fifth milestone installment payment despite the fact that it was not achieved as scheduled.</w:t>
      </w:r>
    </w:p>
    <w:p>
      <w:pPr>
        <w:spacing w:after="0" w:line="57" w:lineRule="exact"/>
        <w:rPr>
          <w:sz w:val="20"/>
          <w:szCs w:val="20"/>
          <w:color w:val="auto"/>
        </w:rPr>
      </w:pPr>
    </w:p>
    <w:p>
      <w:pPr>
        <w:ind w:left="1120" w:right="3099"/>
        <w:spacing w:after="0" w:line="263" w:lineRule="auto"/>
        <w:rPr>
          <w:sz w:val="20"/>
          <w:szCs w:val="20"/>
          <w:color w:val="auto"/>
        </w:rPr>
      </w:pPr>
      <w:r>
        <w:rPr>
          <w:rFonts w:ascii="Times New Roman" w:cs="Times New Roman" w:eastAsia="Times New Roman" w:hAnsi="Times New Roman"/>
          <w:sz w:val="14"/>
          <w:szCs w:val="14"/>
          <w:color w:val="auto"/>
        </w:rPr>
        <w:t>As part of the amendments described above, and subject to obtaining all the approvals as outlined below, the primary Wafer Partners and Equity Investors agreed to waive the requirement that the Company raise a cumulative total of $50,000 from new wafer partners by March 31, 2003.</w:t>
      </w:r>
    </w:p>
    <w:p>
      <w:pPr>
        <w:spacing w:after="0" w:line="54" w:lineRule="exact"/>
        <w:rPr>
          <w:sz w:val="20"/>
          <w:szCs w:val="20"/>
          <w:color w:val="auto"/>
        </w:rPr>
      </w:pPr>
    </w:p>
    <w:p>
      <w:pPr>
        <w:ind w:left="1120" w:right="2899"/>
        <w:spacing w:after="0" w:line="254" w:lineRule="auto"/>
        <w:rPr>
          <w:sz w:val="20"/>
          <w:szCs w:val="20"/>
          <w:color w:val="auto"/>
        </w:rPr>
      </w:pPr>
      <w:r>
        <w:rPr>
          <w:rFonts w:ascii="Times New Roman" w:cs="Times New Roman" w:eastAsia="Times New Roman" w:hAnsi="Times New Roman"/>
          <w:sz w:val="14"/>
          <w:szCs w:val="14"/>
          <w:color w:val="auto"/>
        </w:rPr>
        <w:t>The October 2003 proposed amendment is subject to the approval of the Company's audit committee, Board of Directors and shareholders meeting, and to concluding a final agreement between the Company and the primary Wafer Partners and Equity Investor. In addition, the October 2003 proposed amendment is subject to the conclusion of a final comprehensive contract, including the detailed terms and conditions, with the Banks, as outlined in B below, and to the additional condition that the Investment Center shall not have informed the Company that it is not continuing its funding of the Fab 2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3926840" cy="6350"/>
            <wp:wrapNone/>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74">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9" w:lineRule="exact"/>
        <w:rPr>
          <w:sz w:val="20"/>
          <w:szCs w:val="20"/>
          <w:color w:val="auto"/>
        </w:rPr>
      </w:pPr>
    </w:p>
    <w:p>
      <w:pPr>
        <w:ind w:left="1100" w:hanging="347"/>
        <w:spacing w:after="0"/>
        <w:tabs>
          <w:tab w:leader="none" w:pos="1100" w:val="left"/>
        </w:tabs>
        <w:numPr>
          <w:ilvl w:val="0"/>
          <w:numId w:val="18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Amendments to the Fab 2 Facility Agreement</w:t>
      </w:r>
    </w:p>
    <w:p>
      <w:pPr>
        <w:spacing w:after="0" w:line="174" w:lineRule="exact"/>
        <w:rPr>
          <w:sz w:val="20"/>
          <w:szCs w:val="20"/>
          <w:color w:val="auto"/>
        </w:rPr>
      </w:pPr>
    </w:p>
    <w:p>
      <w:pPr>
        <w:ind w:left="1120" w:right="2799"/>
        <w:spacing w:after="0" w:line="256" w:lineRule="auto"/>
        <w:rPr>
          <w:sz w:val="20"/>
          <w:szCs w:val="20"/>
          <w:color w:val="auto"/>
        </w:rPr>
      </w:pPr>
      <w:r>
        <w:rPr>
          <w:rFonts w:ascii="Times New Roman" w:cs="Times New Roman" w:eastAsia="Times New Roman" w:hAnsi="Times New Roman"/>
          <w:sz w:val="14"/>
          <w:szCs w:val="14"/>
          <w:color w:val="auto"/>
        </w:rPr>
        <w:t>During the second half of 2003, the Company and the Banks reached arrangements pursuant to which the Facility Agreement and certain of its provisions will be amended to reflect the updated plan for the construction of Fab 2, which was submitted to the Banks in June 2003. The updated plan calls for, among other things, a slower ramp-up for Fab 2 than originally planned and conforms the current fund-raising, production and capacity covenants in the Facility Agreement, including those described below, to the revised ramp-up.</w:t>
      </w:r>
    </w:p>
    <w:p>
      <w:pPr>
        <w:spacing w:after="0" w:line="19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5">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ectPr>
          <w:pgSz w:w="11900" w:h="16838" w:orient="portrait"/>
          <w:cols w:equalWidth="0" w:num="1">
            <w:col w:w="10239"/>
          </w:cols>
          <w:pgMar w:left="220" w:top="196" w:right="1440" w:bottom="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NOTE 3 — RECENT DEVELOPMENTS RELATING TO FAB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8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Amendments to the Fab 2 Facility Agreement (Continued)</w:t>
      </w:r>
    </w:p>
    <w:p>
      <w:pPr>
        <w:spacing w:after="0" w:line="174" w:lineRule="exact"/>
        <w:rPr>
          <w:sz w:val="20"/>
          <w:szCs w:val="20"/>
          <w:color w:val="auto"/>
        </w:rPr>
      </w:pPr>
    </w:p>
    <w:p>
      <w:pPr>
        <w:ind w:left="1120" w:right="2779"/>
        <w:spacing w:after="0" w:line="252" w:lineRule="auto"/>
        <w:rPr>
          <w:sz w:val="20"/>
          <w:szCs w:val="20"/>
          <w:color w:val="auto"/>
        </w:rPr>
      </w:pPr>
      <w:r>
        <w:rPr>
          <w:rFonts w:ascii="Times New Roman" w:cs="Times New Roman" w:eastAsia="Times New Roman" w:hAnsi="Times New Roman"/>
          <w:sz w:val="14"/>
          <w:szCs w:val="14"/>
          <w:color w:val="auto"/>
        </w:rPr>
        <w:t>According to the updated plan submitted to the Banks, the revised remaining aggregate amount the Company is required to raise from specified financial sources is $152,000 (that amount includes fundraising the Company was obligated to raise from specified financial sources prior to revising the plan). This amount is to be raised by December 2005, at various dates through such period. In addition, the Banks have demanded that the primary Wafer Partners and Equity Investors will provide the Banks with a written undertaking relating to an aggregate amount of up to $50,000 in additional equity financing, in the event the Company fails to raise any of the fundraising milestones towards the $152,000 capital raising commitment. The Parent Company of ICTech, the Company's primary Equity Investor, the Israel Corporation Ltd. ("TIC"), has agreed to provide the Banks with this written undertaking.</w:t>
      </w:r>
    </w:p>
    <w:p>
      <w:pPr>
        <w:spacing w:after="0" w:line="61" w:lineRule="exact"/>
        <w:rPr>
          <w:sz w:val="20"/>
          <w:szCs w:val="20"/>
          <w:color w:val="auto"/>
        </w:rPr>
      </w:pPr>
    </w:p>
    <w:p>
      <w:pPr>
        <w:ind w:left="1120" w:right="2839"/>
        <w:spacing w:after="0" w:line="252" w:lineRule="auto"/>
        <w:rPr>
          <w:sz w:val="20"/>
          <w:szCs w:val="20"/>
          <w:color w:val="auto"/>
        </w:rPr>
      </w:pPr>
      <w:r>
        <w:rPr>
          <w:rFonts w:ascii="Times New Roman" w:cs="Times New Roman" w:eastAsia="Times New Roman" w:hAnsi="Times New Roman"/>
          <w:sz w:val="14"/>
          <w:szCs w:val="14"/>
          <w:color w:val="auto"/>
        </w:rPr>
        <w:t>In the event the Banks exercise the written undertaking, the Company agreed to consummate a rights offering within three months in the amount equal to the difference between what was to be raised towards the financing obligation and what the Company actually raised. The Company will offer units comprised of convertible debentures and warrants exercisable into Ordinary Shares. The convertible debentures will be convertible into Ordinary Shares (principal and compounded interest) at a rate equal to the amount that was to be raised plus the accumulated interest at such time of conversion divided by the lower of a (i) 50% discount of the closing price of the Company's Ordinary Shares on the trading day immediately prior to the date of the prospectus of the rights offering, or (ii) 50% discount of the average closing price of the Company's Ordinary Shares during the fifteen consecutive trading days preceding the date of the prospectus of the rights offering.</w:t>
      </w:r>
    </w:p>
    <w:p>
      <w:pPr>
        <w:spacing w:after="0" w:line="61" w:lineRule="exact"/>
        <w:rPr>
          <w:sz w:val="20"/>
          <w:szCs w:val="20"/>
          <w:color w:val="auto"/>
        </w:rPr>
      </w:pPr>
    </w:p>
    <w:p>
      <w:pPr>
        <w:ind w:left="1120" w:right="2799"/>
        <w:spacing w:after="0" w:line="256" w:lineRule="auto"/>
        <w:rPr>
          <w:sz w:val="20"/>
          <w:szCs w:val="20"/>
          <w:color w:val="auto"/>
        </w:rPr>
      </w:pPr>
      <w:r>
        <w:rPr>
          <w:rFonts w:ascii="Times New Roman" w:cs="Times New Roman" w:eastAsia="Times New Roman" w:hAnsi="Times New Roman"/>
          <w:sz w:val="14"/>
          <w:szCs w:val="14"/>
          <w:color w:val="auto"/>
        </w:rPr>
        <w:t>Each warrant will be exercisable into one ordinary shares at such exercise price which is equivalent to 80% of the lower of: (i) the closing price of the Company's shares on the trading day immediately prior to the date of the prospectus of the rights offering or (ii) the average closing price of the Company's Ordinary Shares during the fifteen consecutive trading days preceding the date of the prospectus of the rights offering. The warrants shall expire five years from their date of issuance.</w:t>
      </w:r>
    </w:p>
    <w:p>
      <w:pPr>
        <w:spacing w:after="0" w:line="57" w:lineRule="exact"/>
        <w:rPr>
          <w:sz w:val="20"/>
          <w:szCs w:val="20"/>
          <w:color w:val="auto"/>
        </w:rPr>
      </w:pPr>
    </w:p>
    <w:p>
      <w:pPr>
        <w:ind w:left="1120" w:right="2839"/>
        <w:spacing w:after="0" w:line="274" w:lineRule="auto"/>
        <w:rPr>
          <w:sz w:val="20"/>
          <w:szCs w:val="20"/>
          <w:color w:val="auto"/>
        </w:rPr>
      </w:pPr>
      <w:r>
        <w:rPr>
          <w:rFonts w:ascii="Times New Roman" w:cs="Times New Roman" w:eastAsia="Times New Roman" w:hAnsi="Times New Roman"/>
          <w:sz w:val="13"/>
          <w:szCs w:val="13"/>
          <w:color w:val="auto"/>
        </w:rPr>
        <w:t>In the event the Banks exercise the written undertaking, TIC and/or ICTech have undertaken to the Banks to exercise all of their rights under the rights offering. In addition, as part of TIC's undertaking, it will purchase additional securities in a private placement on the same terms as the rights offering, in an amount equal to 50/93 of the difference between the amount to be raised and the amount raised from shareholders other than TIC and/or ICTech, less any amount already invested in the rights offering by TIC and/or ICTech in connection with the exercise of their own rights. TIC's undertaking is limited to an aggregate of $50,000. If certain of the Company's shareholders participate in the above investments, then their investments will be deemed to be investments made by TIC in connection with the undertaking towards the $50,000. TIC may fulfill its investments through ICTech.</w:t>
      </w:r>
    </w:p>
    <w:p>
      <w:pPr>
        <w:spacing w:after="0" w:line="18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7">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RECENT DEVELOPMENTS RELATING TO FAB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8">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8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Amendments to the Fab 2 Facility Agreement (Continued)</w:t>
      </w:r>
    </w:p>
    <w:p>
      <w:pPr>
        <w:spacing w:after="0" w:line="174" w:lineRule="exact"/>
        <w:rPr>
          <w:sz w:val="20"/>
          <w:szCs w:val="20"/>
          <w:color w:val="auto"/>
        </w:rPr>
      </w:pPr>
    </w:p>
    <w:p>
      <w:pPr>
        <w:jc w:val="both"/>
        <w:ind w:left="1120" w:right="2999"/>
        <w:spacing w:after="0" w:line="258" w:lineRule="auto"/>
        <w:rPr>
          <w:sz w:val="20"/>
          <w:szCs w:val="20"/>
          <w:color w:val="auto"/>
        </w:rPr>
      </w:pPr>
      <w:r>
        <w:rPr>
          <w:rFonts w:ascii="Times New Roman" w:cs="Times New Roman" w:eastAsia="Times New Roman" w:hAnsi="Times New Roman"/>
          <w:sz w:val="14"/>
          <w:szCs w:val="14"/>
          <w:color w:val="auto"/>
        </w:rPr>
        <w:t>TIC's undertaking and the Company's obligation to consummate a rights offering expires on the earlier of: (i) such time that the Company will fulfill the fundraising obligation to raise an aggregate of $152,000 under the Facility Agreement; (ii) such time as TIC has invested an aggregate amount of $50,000 as described above; or (iii) June 30, 2006.</w:t>
      </w:r>
    </w:p>
    <w:p>
      <w:pPr>
        <w:spacing w:after="0" w:line="57" w:lineRule="exact"/>
        <w:rPr>
          <w:sz w:val="20"/>
          <w:szCs w:val="20"/>
          <w:color w:val="auto"/>
        </w:rPr>
      </w:pPr>
    </w:p>
    <w:p>
      <w:pPr>
        <w:ind w:left="1120" w:right="2819"/>
        <w:spacing w:after="0" w:line="280" w:lineRule="auto"/>
        <w:rPr>
          <w:sz w:val="20"/>
          <w:szCs w:val="20"/>
          <w:color w:val="auto"/>
        </w:rPr>
      </w:pPr>
      <w:r>
        <w:rPr>
          <w:rFonts w:ascii="Times New Roman" w:cs="Times New Roman" w:eastAsia="Times New Roman" w:hAnsi="Times New Roman"/>
          <w:sz w:val="13"/>
          <w:szCs w:val="13"/>
          <w:color w:val="auto"/>
        </w:rPr>
        <w:t>Following the receipt of the above described investments from TIC, the Banks will increase the total amount which may be drawn under the Facility Agreement at a ratio of $43 for every $50 invested, up to $43,000 in the aggregate. Any drawn loan will be repayable by the earlier of (i) December 31, 2007 and (ii) three years from the date the loan is drawn. Should the Company draw down loans using this increased amount of facility, the Banks will be issued warrant coverage of the amount drawn down, based on mechanism which is under discussion.</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TIC's consideration and terms for its undertaking has not yet been concluded.</w:t>
      </w:r>
    </w:p>
    <w:p>
      <w:pPr>
        <w:spacing w:after="0" w:line="89" w:lineRule="exact"/>
        <w:rPr>
          <w:sz w:val="20"/>
          <w:szCs w:val="20"/>
          <w:color w:val="auto"/>
        </w:rPr>
      </w:pPr>
    </w:p>
    <w:p>
      <w:pPr>
        <w:ind w:left="1120" w:right="2799"/>
        <w:spacing w:after="0" w:line="253" w:lineRule="auto"/>
        <w:rPr>
          <w:sz w:val="20"/>
          <w:szCs w:val="20"/>
          <w:color w:val="auto"/>
        </w:rPr>
      </w:pPr>
      <w:r>
        <w:rPr>
          <w:rFonts w:ascii="Times New Roman" w:cs="Times New Roman" w:eastAsia="Times New Roman" w:hAnsi="Times New Roman"/>
          <w:sz w:val="14"/>
          <w:szCs w:val="14"/>
          <w:color w:val="auto"/>
        </w:rPr>
        <w:t>Following certain bankruptcy related events, the Banks will be able to bring a firm offer made by a potential investor to purchase the Company's ordinary shares (the "Offer"). In such case, the Company shall be required to consummate a rights offering for investments of up to 60% of the amount of the Offer and on the same terms. If a condition of the Offer is to purchase at least a majority of the Company's issued and outstanding shares, the rights offering will be limited to allow for this, unless ICTech and the primary Wafer Partners agree to undertake to exercise all the rights they will be offered in the rights offering and to purchase the Company's ordinary shares to ensure that the full amount of the Offer is invested.</w:t>
      </w:r>
    </w:p>
    <w:p>
      <w:pPr>
        <w:spacing w:after="0" w:line="61" w:lineRule="exact"/>
        <w:rPr>
          <w:sz w:val="20"/>
          <w:szCs w:val="20"/>
          <w:color w:val="auto"/>
        </w:rPr>
      </w:pPr>
    </w:p>
    <w:p>
      <w:pPr>
        <w:ind w:left="1120" w:right="2839"/>
        <w:spacing w:after="0" w:line="251" w:lineRule="auto"/>
        <w:rPr>
          <w:sz w:val="20"/>
          <w:szCs w:val="20"/>
          <w:color w:val="auto"/>
        </w:rPr>
      </w:pPr>
      <w:r>
        <w:rPr>
          <w:rFonts w:ascii="Times New Roman" w:cs="Times New Roman" w:eastAsia="Times New Roman" w:hAnsi="Times New Roman"/>
          <w:sz w:val="14"/>
          <w:szCs w:val="14"/>
          <w:color w:val="auto"/>
        </w:rPr>
        <w:t>The arrangements with the Banks are subject to conclusion of a final comprehensive contract, which is currently in its final stages, including the detailed terms and conditions of such contract; to the approval of the board of directors of the Company's primary Wafer Partners and Equity Investors; the Company's shareholders meeting; and other regulatory bodies. The Company and the Banks are currently preparing the documentation for the amendment to the Facility Agreement and are continuing to negotiate the underlying commercial terms for its implementation. These revised terms include, among others, the following revisions: a repayment of all the loans outstanding as of December 31, 2003 and a re-borrowing of that amount under the agreed upon revised terms, including, among others, a rise in the interest rates currently set forth in the Facility Agreement; a re-pricing of warrants issued previously to the Banks; an issuance of additional warrants to the Banks in connection with this amendment; a one-time fee payment to the Banks; and an increase of the total amounts that the Company may draw down under the Facility Agreement.</w:t>
      </w:r>
    </w:p>
    <w:p>
      <w:pPr>
        <w:spacing w:after="0" w:line="63" w:lineRule="exact"/>
        <w:rPr>
          <w:sz w:val="20"/>
          <w:szCs w:val="20"/>
          <w:color w:val="auto"/>
        </w:rPr>
      </w:pPr>
    </w:p>
    <w:p>
      <w:pPr>
        <w:ind w:left="1120" w:right="2959"/>
        <w:spacing w:after="0" w:line="280" w:lineRule="auto"/>
        <w:rPr>
          <w:sz w:val="20"/>
          <w:szCs w:val="20"/>
          <w:color w:val="auto"/>
        </w:rPr>
      </w:pPr>
      <w:r>
        <w:rPr>
          <w:rFonts w:ascii="Times New Roman" w:cs="Times New Roman" w:eastAsia="Times New Roman" w:hAnsi="Times New Roman"/>
          <w:sz w:val="13"/>
          <w:szCs w:val="13"/>
          <w:color w:val="auto"/>
        </w:rPr>
        <w:t>Management estimates that it is probable that the aforementioned arrangements with the Banks will be formalized into a comprehensive contract and that all other required approvals will be obtained. Management's estimate is based primarily on the discussions and negotiations with the Banks, the primary Wafer Partners and Equity Investors held prior and subsequent to the balance-sheet date. Completing this comprehensive contract with the Banks is material for the continuation of construction, equipping and operating of Fab 2.</w:t>
      </w:r>
    </w:p>
    <w:p>
      <w:pPr>
        <w:spacing w:after="0" w:line="17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289" w:right="1440" w:bottom="800" w:gutter="0" w:footer="0" w:header="0"/>
        </w:sectPr>
      </w:pPr>
    </w:p>
    <w:bookmarkStart w:id="78" w:name="page79"/>
    <w:bookmarkEnd w:id="78"/>
    <w:p>
      <w:pPr>
        <w:spacing w:after="0" w:line="81"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RECENT DEVELOPMENTS RELATING TO FAB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80">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8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Amendments to the Fab 2 Facility Agreement (Continued)</w:t>
      </w:r>
    </w:p>
    <w:p>
      <w:pPr>
        <w:spacing w:after="0" w:line="174" w:lineRule="exact"/>
        <w:rPr>
          <w:sz w:val="20"/>
          <w:szCs w:val="20"/>
          <w:color w:val="auto"/>
        </w:rPr>
      </w:pPr>
    </w:p>
    <w:p>
      <w:pPr>
        <w:ind w:left="1120" w:right="2779"/>
        <w:spacing w:after="0" w:line="252" w:lineRule="auto"/>
        <w:rPr>
          <w:sz w:val="20"/>
          <w:szCs w:val="20"/>
          <w:color w:val="auto"/>
        </w:rPr>
      </w:pPr>
      <w:r>
        <w:rPr>
          <w:rFonts w:ascii="Times New Roman" w:cs="Times New Roman" w:eastAsia="Times New Roman" w:hAnsi="Times New Roman"/>
          <w:sz w:val="14"/>
          <w:szCs w:val="14"/>
          <w:color w:val="auto"/>
        </w:rPr>
        <w:t>According to the current Facility Agreement with the Banks, the Company is obligated to comply with certain financial ratios, primarily total shareholders' equity to total assets, and substantial additional material covenants in connection with the establishment of Fab 2, primarily production and capacity milestones. As of September 30, 2003 and as of the approval date of the interim financial statements, the Company had not raised approximately $24,000 of its fund raising covenant from specified financial sources. In addition, the Company did not achieve on time the fifth production and capacity milestone towards the Banks, and based on the updated plan for the construction of Fab 2, the Company does not expect to achieve on time the sixth milestone towards the Banks. As discussed in the previous paragraph, these covenants will be conformed to the updated plan for the construction of Fab 2 in connection with the amendments to the Facility Agreement.</w:t>
      </w:r>
    </w:p>
    <w:p>
      <w:pPr>
        <w:spacing w:after="0" w:line="61" w:lineRule="exact"/>
        <w:rPr>
          <w:sz w:val="20"/>
          <w:szCs w:val="20"/>
          <w:color w:val="auto"/>
        </w:rPr>
      </w:pPr>
    </w:p>
    <w:p>
      <w:pPr>
        <w:ind w:left="1120" w:right="2819"/>
        <w:spacing w:after="0" w:line="263" w:lineRule="auto"/>
        <w:rPr>
          <w:sz w:val="20"/>
          <w:szCs w:val="20"/>
          <w:color w:val="auto"/>
        </w:rPr>
      </w:pPr>
      <w:r>
        <w:rPr>
          <w:rFonts w:ascii="Times New Roman" w:cs="Times New Roman" w:eastAsia="Times New Roman" w:hAnsi="Times New Roman"/>
          <w:sz w:val="14"/>
          <w:szCs w:val="14"/>
          <w:color w:val="auto"/>
        </w:rPr>
        <w:t>During the discussions and negotiation period, the Banks have limited the full amount the Company may draw down pursuant to the Facility Agreement. However, during the nine months ended September 30, 2003 the Banks provided the Company with loans in the aggregate amount of $97,000.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926840" cy="6350"/>
            <wp:wrapNone/>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8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2" w:lineRule="exact"/>
        <w:rPr>
          <w:sz w:val="20"/>
          <w:szCs w:val="20"/>
          <w:color w:val="auto"/>
        </w:rPr>
      </w:pPr>
    </w:p>
    <w:p>
      <w:pPr>
        <w:ind w:left="1100" w:hanging="347"/>
        <w:spacing w:after="0"/>
        <w:tabs>
          <w:tab w:leader="none" w:pos="1100" w:val="left"/>
        </w:tabs>
        <w:numPr>
          <w:ilvl w:val="0"/>
          <w:numId w:val="18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Approved Enterprise Status</w:t>
      </w:r>
    </w:p>
    <w:p>
      <w:pPr>
        <w:spacing w:after="0" w:line="174" w:lineRule="exact"/>
        <w:rPr>
          <w:sz w:val="20"/>
          <w:szCs w:val="20"/>
          <w:color w:val="auto"/>
        </w:rPr>
      </w:pPr>
    </w:p>
    <w:p>
      <w:pPr>
        <w:ind w:left="1120" w:right="2879"/>
        <w:spacing w:after="0" w:line="253" w:lineRule="auto"/>
        <w:rPr>
          <w:sz w:val="20"/>
          <w:szCs w:val="20"/>
          <w:color w:val="auto"/>
        </w:rPr>
      </w:pPr>
      <w:r>
        <w:rPr>
          <w:rFonts w:ascii="Times New Roman" w:cs="Times New Roman" w:eastAsia="Times New Roman" w:hAnsi="Times New Roman"/>
          <w:sz w:val="14"/>
          <w:szCs w:val="14"/>
          <w:color w:val="auto"/>
        </w:rPr>
        <w:t>Under the terms of the Fab 2 approved enterprise program, investments in respect of Fab 2 are to be completed by December 31, 2005, five years from the date the approval certificate was obtained. Due to the later than planned commencement of construction of Fab 2 and prevailing market conditions, the Company does not currently expect to complete Fab 2 investments by the end of 2005. The Company has notified the Investment Center of its revised investment schedule contemplated in the updated plan described in B above, and has also informed the Investment Center of the reduced rate of annual investments and lower than projected expectations for Fab 2 sales.</w:t>
      </w:r>
    </w:p>
    <w:p>
      <w:pPr>
        <w:spacing w:after="0" w:line="61" w:lineRule="exact"/>
        <w:rPr>
          <w:sz w:val="20"/>
          <w:szCs w:val="20"/>
          <w:color w:val="auto"/>
        </w:rPr>
      </w:pPr>
    </w:p>
    <w:p>
      <w:pPr>
        <w:ind w:left="1120" w:right="2799"/>
        <w:spacing w:after="0" w:line="256" w:lineRule="auto"/>
        <w:rPr>
          <w:sz w:val="20"/>
          <w:szCs w:val="20"/>
          <w:color w:val="auto"/>
        </w:rPr>
      </w:pPr>
      <w:r>
        <w:rPr>
          <w:rFonts w:ascii="Times New Roman" w:cs="Times New Roman" w:eastAsia="Times New Roman" w:hAnsi="Times New Roman"/>
          <w:sz w:val="14"/>
          <w:szCs w:val="14"/>
          <w:color w:val="auto"/>
        </w:rPr>
        <w:t>As of the date of the interim financial statements, the Company's revised investments plan is currently being evaluated by the Investment Center. While Israeli law currently limits the ability of the Investment Center to extend the investment period beyond five years, the Company's management estimates, based on discussions held with the Investment Center, that it is probable that satisfactory arrangements with the Investment Center in this regard will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926840" cy="6350"/>
            <wp:wrapNone/>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82">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6" w:lineRule="exact"/>
        <w:rPr>
          <w:sz w:val="20"/>
          <w:szCs w:val="20"/>
          <w:color w:val="auto"/>
        </w:rPr>
      </w:pPr>
    </w:p>
    <w:p>
      <w:pPr>
        <w:ind w:left="1100" w:hanging="347"/>
        <w:spacing w:after="0"/>
        <w:tabs>
          <w:tab w:leader="none" w:pos="1100" w:val="left"/>
        </w:tabs>
        <w:numPr>
          <w:ilvl w:val="0"/>
          <w:numId w:val="18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Depreciation and Amortization of Fab 2 Assets</w:t>
      </w:r>
    </w:p>
    <w:p>
      <w:pPr>
        <w:spacing w:after="0" w:line="174" w:lineRule="exact"/>
        <w:rPr>
          <w:sz w:val="20"/>
          <w:szCs w:val="20"/>
          <w:color w:val="auto"/>
        </w:rPr>
      </w:pPr>
    </w:p>
    <w:p>
      <w:pPr>
        <w:ind w:left="1120" w:right="3059"/>
        <w:spacing w:after="0" w:line="319" w:lineRule="auto"/>
        <w:rPr>
          <w:sz w:val="20"/>
          <w:szCs w:val="20"/>
          <w:color w:val="auto"/>
        </w:rPr>
      </w:pPr>
      <w:r>
        <w:rPr>
          <w:rFonts w:ascii="Times New Roman" w:cs="Times New Roman" w:eastAsia="Times New Roman" w:hAnsi="Times New Roman"/>
          <w:sz w:val="13"/>
          <w:szCs w:val="13"/>
          <w:color w:val="auto"/>
        </w:rPr>
        <w:t>Following the commencement of operations of Fab 2, the Company incurred during the third quarter of 2003 depreciation and amortization expenses, of which a total amount of $17,262 was included in cost of sales.</w:t>
      </w:r>
    </w:p>
    <w:p>
      <w:pPr>
        <w:spacing w:after="0" w:line="15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8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 RECENT DEVELOPMENTS RELATING TO FAB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84">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8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Amendment to Israeli Banking Regulations</w:t>
      </w:r>
    </w:p>
    <w:p>
      <w:pPr>
        <w:spacing w:after="0" w:line="174" w:lineRule="exact"/>
        <w:rPr>
          <w:sz w:val="20"/>
          <w:szCs w:val="20"/>
          <w:color w:val="auto"/>
        </w:rPr>
      </w:pPr>
    </w:p>
    <w:p>
      <w:pPr>
        <w:ind w:left="1120" w:right="2839"/>
        <w:spacing w:after="0" w:line="251" w:lineRule="auto"/>
        <w:rPr>
          <w:sz w:val="20"/>
          <w:szCs w:val="20"/>
          <w:color w:val="auto"/>
        </w:rPr>
      </w:pPr>
      <w:r>
        <w:rPr>
          <w:rFonts w:ascii="Times New Roman" w:cs="Times New Roman" w:eastAsia="Times New Roman" w:hAnsi="Times New Roman"/>
          <w:sz w:val="14"/>
          <w:szCs w:val="14"/>
          <w:color w:val="auto"/>
        </w:rPr>
        <w:t>Pursuant to a recent amendment to a directive of the Supervisor of Banks dealing with the maximum amount of debt financing that a bank may extend to a borrower or a group of borrowers, the Company may be deemed to be included among a group of borrowers commencing March 31, 2004. The directive provides for limitations relating to the total amount of debt financing to be extended from a bank to, among others, (a) a group of borrowers (an amount not exceeding 30% of such bank's capital); and (b) the six largest borrowers or groups of borrowers (an amount not exceeding 135% of such bank's capital). Any entity that is included within such a group of borrowers or that belongs to one of the six most larger groups of borrowers, will not be able to receive any further loans from this bank, and might be required to reduce amounts previously drawn down from this bank. Accordingly, this directive might, if at all, limit the amount of loans the Company may draw down from Israeli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3926840" cy="6350"/>
            <wp:wrapNone/>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5">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54" w:lineRule="exact"/>
        <w:rPr>
          <w:sz w:val="20"/>
          <w:szCs w:val="20"/>
          <w:color w:val="auto"/>
        </w:rPr>
      </w:pPr>
    </w:p>
    <w:p>
      <w:pPr>
        <w:ind w:left="1100" w:hanging="347"/>
        <w:spacing w:after="0"/>
        <w:tabs>
          <w:tab w:leader="none" w:pos="1100" w:val="left"/>
        </w:tabs>
        <w:numPr>
          <w:ilvl w:val="0"/>
          <w:numId w:val="18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Agreements</w:t>
      </w:r>
    </w:p>
    <w:p>
      <w:pPr>
        <w:spacing w:after="0" w:line="174" w:lineRule="exact"/>
        <w:rPr>
          <w:sz w:val="20"/>
          <w:szCs w:val="20"/>
          <w:color w:val="auto"/>
        </w:rPr>
      </w:pPr>
    </w:p>
    <w:p>
      <w:pPr>
        <w:ind w:left="1120" w:right="2919"/>
        <w:spacing w:after="0" w:line="258" w:lineRule="auto"/>
        <w:rPr>
          <w:sz w:val="20"/>
          <w:szCs w:val="20"/>
          <w:color w:val="auto"/>
        </w:rPr>
      </w:pPr>
      <w:r>
        <w:rPr>
          <w:rFonts w:ascii="Times New Roman" w:cs="Times New Roman" w:eastAsia="Times New Roman" w:hAnsi="Times New Roman"/>
          <w:sz w:val="14"/>
          <w:szCs w:val="14"/>
          <w:color w:val="auto"/>
        </w:rPr>
        <w:t>Through September 30, 2003 the Company had entered into several additional agreements related mainly to the construction, equipping and transfer of technology for Fab 2. The Company's aggregate commitment in connection with these agreements as of such date, including the Fab 2 construction agreement, amounted to $41,042.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OTHER 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 Option Plans</w:t>
      </w:r>
    </w:p>
    <w:p>
      <w:pPr>
        <w:spacing w:after="0" w:line="184" w:lineRule="exact"/>
        <w:rPr>
          <w:rFonts w:ascii="Times New Roman" w:cs="Times New Roman" w:eastAsia="Times New Roman" w:hAnsi="Times New Roman"/>
          <w:sz w:val="14"/>
          <w:szCs w:val="14"/>
          <w:b w:val="1"/>
          <w:bCs w:val="1"/>
          <w:color w:val="auto"/>
        </w:rPr>
      </w:pPr>
    </w:p>
    <w:p>
      <w:pPr>
        <w:ind w:left="1400" w:right="4079" w:hanging="304"/>
        <w:spacing w:after="0" w:line="256" w:lineRule="auto"/>
        <w:tabs>
          <w:tab w:leader="none" w:pos="1400" w:val="left"/>
        </w:tabs>
        <w:numPr>
          <w:ilvl w:val="1"/>
          <w:numId w:val="19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 the framework of the Company's Board of Directors resolution to increase the total number of options available for grant under all the Company's share option plans, 1,737,421 options were added to the Company's share option plans in 2003. Of that amount 1,609,600 options were granted to employees during the nine-month period ended September 30, 2003.</w:t>
      </w:r>
    </w:p>
    <w:p>
      <w:pPr>
        <w:spacing w:after="0" w:line="149" w:lineRule="exact"/>
        <w:rPr>
          <w:rFonts w:ascii="Times New Roman" w:cs="Times New Roman" w:eastAsia="Times New Roman" w:hAnsi="Times New Roman"/>
          <w:sz w:val="14"/>
          <w:szCs w:val="14"/>
          <w:b w:val="1"/>
          <w:bCs w:val="1"/>
          <w:color w:val="auto"/>
        </w:rPr>
      </w:pPr>
    </w:p>
    <w:p>
      <w:pPr>
        <w:ind w:left="1400" w:right="4119" w:hanging="304"/>
        <w:spacing w:after="0" w:line="272" w:lineRule="auto"/>
        <w:tabs>
          <w:tab w:leader="none" w:pos="1400" w:val="left"/>
        </w:tabs>
        <w:numPr>
          <w:ilvl w:val="1"/>
          <w:numId w:val="19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i w:val="1"/>
          <w:iCs w:val="1"/>
          <w:color w:val="auto"/>
        </w:rPr>
        <w:t xml:space="preserve">Options to the Company's Chairman of the Board of Directors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 March 2003,</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Board of Directors of the Company approved a share option plan, which was approved by the Company's shareholders in May 2003, pursuant to which the Company's Chairman of the Board of Directors ("Chairman") is entitled to receive the right to purchase up to 1,043,000 Ordinary Shares of the Company at an exercise price of $2.983, an exercise price which is higher than the Company's share price at the date of the approval by the Board of Directors, and is equivalent to the average closing trading price for the ordinary shares during the 30 consecutive trading days preceding the date of board approval of the amendment to the Fab 2 Investment Agreements described in Note 3A above. Options granted under the plan vest over a five-year period according to various vesting schedules. The vesting of the options is subject to the Chairman's serving as the Chairman or as the Company's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-1980565</wp:posOffset>
            </wp:positionV>
            <wp:extent cx="3919855" cy="6350"/>
            <wp:wrapNone/>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7">
                      <a:extLst>
                        <a:ext uri="{28A0092B-C50C-407E-A947-70E740481C1C}"/>
                      </a:extLst>
                    </a:blip>
                    <a:srcRect/>
                    <a:stretch>
                      <a:fillRect/>
                    </a:stretch>
                  </pic:blipFill>
                  <pic:spPr bwMode="auto">
                    <a:xfrm>
                      <a:off x="0" y="0"/>
                      <a:ext cx="391985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-1339215</wp:posOffset>
            </wp:positionV>
            <wp:extent cx="3919855" cy="6350"/>
            <wp:wrapNone/>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8">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ectPr>
          <w:pgSz w:w="11900" w:h="16920" w:orient="portrait"/>
          <w:cols w:equalWidth="0" w:num="1">
            <w:col w:w="10239"/>
          </w:cols>
          <w:pgMar w:left="220" w:top="289" w:right="1440" w:bottom="0" w:gutter="0" w:footer="0" w:header="0"/>
        </w:sectPr>
      </w:pPr>
    </w:p>
    <w:bookmarkStart w:id="79" w:name="page80"/>
    <w:bookmarkEnd w:id="79"/>
    <w:p>
      <w:pPr>
        <w:ind w:left="1400"/>
        <w:spacing w:after="0"/>
        <w:rPr>
          <w:sz w:val="20"/>
          <w:szCs w:val="20"/>
          <w:color w:val="auto"/>
        </w:rPr>
      </w:pPr>
      <w:r>
        <w:rPr>
          <w:rFonts w:ascii="Times New Roman" w:cs="Times New Roman" w:eastAsia="Times New Roman" w:hAnsi="Times New Roman"/>
          <w:sz w:val="14"/>
          <w:szCs w:val="14"/>
          <w:color w:val="auto"/>
        </w:rPr>
        <w:t>Executive Officer or President on the relevant vesting dates. The options granted are</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exercisable for a period of five years from the date on which the options vest.</w:t>
      </w:r>
    </w:p>
    <w:p>
      <w:pPr>
        <w:spacing w:after="0" w:line="20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9">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OTHER RECENT DEVELOPMENTS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90">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9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Authorized Ordinary Shares</w:t>
      </w:r>
    </w:p>
    <w:p>
      <w:pPr>
        <w:spacing w:after="0" w:line="174" w:lineRule="exact"/>
        <w:rPr>
          <w:sz w:val="20"/>
          <w:szCs w:val="20"/>
          <w:color w:val="auto"/>
        </w:rPr>
      </w:pPr>
    </w:p>
    <w:p>
      <w:pPr>
        <w:ind w:left="1120" w:right="3059"/>
        <w:spacing w:after="0" w:line="279" w:lineRule="auto"/>
        <w:rPr>
          <w:sz w:val="20"/>
          <w:szCs w:val="20"/>
          <w:color w:val="auto"/>
        </w:rPr>
      </w:pPr>
      <w:r>
        <w:rPr>
          <w:rFonts w:ascii="Times New Roman" w:cs="Times New Roman" w:eastAsia="Times New Roman" w:hAnsi="Times New Roman"/>
          <w:sz w:val="14"/>
          <w:szCs w:val="14"/>
          <w:color w:val="auto"/>
        </w:rPr>
        <w:t>In May 2003, the Company's shareholders approved an increase in the Company's authorized ordinary shares from 70,000,000 shares to 100,000,000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36195</wp:posOffset>
            </wp:positionV>
            <wp:extent cx="3926840" cy="6350"/>
            <wp:wrapNone/>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9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14" w:lineRule="exact"/>
        <w:rPr>
          <w:sz w:val="20"/>
          <w:szCs w:val="20"/>
          <w:color w:val="auto"/>
        </w:rPr>
      </w:pPr>
    </w:p>
    <w:p>
      <w:pPr>
        <w:ind w:left="1100" w:hanging="347"/>
        <w:spacing w:after="0"/>
        <w:tabs>
          <w:tab w:leader="none" w:pos="1100" w:val="left"/>
        </w:tabs>
        <w:numPr>
          <w:ilvl w:val="0"/>
          <w:numId w:val="19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Class Action</w:t>
      </w:r>
    </w:p>
    <w:p>
      <w:pPr>
        <w:spacing w:after="0" w:line="174" w:lineRule="exact"/>
        <w:rPr>
          <w:sz w:val="20"/>
          <w:szCs w:val="20"/>
          <w:color w:val="auto"/>
        </w:rPr>
      </w:pPr>
    </w:p>
    <w:p>
      <w:pPr>
        <w:ind w:left="1120" w:right="2779"/>
        <w:spacing w:after="0" w:line="253" w:lineRule="auto"/>
        <w:rPr>
          <w:sz w:val="20"/>
          <w:szCs w:val="20"/>
          <w:color w:val="auto"/>
        </w:rPr>
      </w:pPr>
      <w:r>
        <w:rPr>
          <w:rFonts w:ascii="Times New Roman" w:cs="Times New Roman" w:eastAsia="Times New Roman" w:hAnsi="Times New Roman"/>
          <w:sz w:val="14"/>
          <w:szCs w:val="14"/>
          <w:color w:val="auto"/>
        </w:rPr>
        <w:t>In July 2003, certain shareholders of the Company filed a shareholders' class action complaint in the United States against the Company and certain of its directors, Wafer Partners and Equity Investors (the "Defendants"). The plaintiffs have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plaintiffs seek damages in unspecified amounts and unspecified rescissory relief. The Company believes that the complaint is without merit and intends to vigorously contest it.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MATERIAL DIFFERENCES BETWEEN ISRAELI AND U.S. GAAP</w:t>
      </w:r>
    </w:p>
    <w:p>
      <w:pPr>
        <w:spacing w:after="0" w:line="91" w:lineRule="exact"/>
        <w:rPr>
          <w:sz w:val="20"/>
          <w:szCs w:val="20"/>
          <w:color w:val="auto"/>
        </w:rPr>
      </w:pPr>
    </w:p>
    <w:p>
      <w:pPr>
        <w:jc w:val="both"/>
        <w:ind w:left="760" w:right="3219"/>
        <w:spacing w:after="0" w:line="263" w:lineRule="auto"/>
        <w:rPr>
          <w:sz w:val="20"/>
          <w:szCs w:val="20"/>
          <w:color w:val="auto"/>
        </w:rPr>
      </w:pPr>
      <w:r>
        <w:rPr>
          <w:rFonts w:ascii="Times New Roman" w:cs="Times New Roman" w:eastAsia="Times New Roman" w:hAnsi="Times New Roman"/>
          <w:sz w:val="14"/>
          <w:szCs w:val="14"/>
          <w:color w:val="auto"/>
        </w:rPr>
        <w:t>With regard to the Company's interim financial statements, the material differences between GAAP in Israel and in the U.S. relate to the following. See F below for the presentation of the Company's unaudited balance sheet as of September 30, 2003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926840" cy="6350"/>
            <wp:wrapNone/>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92">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2" w:lineRule="exact"/>
        <w:rPr>
          <w:sz w:val="20"/>
          <w:szCs w:val="20"/>
          <w:color w:val="auto"/>
        </w:rPr>
      </w:pPr>
    </w:p>
    <w:p>
      <w:pPr>
        <w:ind w:left="1100" w:right="4399" w:hanging="347"/>
        <w:spacing w:after="0" w:line="282" w:lineRule="auto"/>
        <w:tabs>
          <w:tab w:leader="none" w:pos="1100" w:val="left"/>
        </w:tabs>
        <w:numPr>
          <w:ilvl w:val="0"/>
          <w:numId w:val="19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Presentation of Cash and Short-Term and Long-Term Interest-Bearing Deposits Designated for Investments Relating to Fab 2</w:t>
      </w:r>
    </w:p>
    <w:p>
      <w:pPr>
        <w:spacing w:after="0" w:line="123" w:lineRule="exact"/>
        <w:rPr>
          <w:sz w:val="20"/>
          <w:szCs w:val="20"/>
          <w:color w:val="auto"/>
        </w:rPr>
      </w:pPr>
    </w:p>
    <w:p>
      <w:pPr>
        <w:ind w:left="1120" w:right="2939"/>
        <w:spacing w:after="0" w:line="256" w:lineRule="auto"/>
        <w:rPr>
          <w:sz w:val="20"/>
          <w:szCs w:val="20"/>
          <w:color w:val="auto"/>
        </w:rPr>
      </w:pPr>
      <w:r>
        <w:rPr>
          <w:rFonts w:ascii="Times New Roman" w:cs="Times New Roman" w:eastAsia="Times New Roman" w:hAnsi="Times New Roman"/>
          <w:sz w:val="14"/>
          <w:szCs w:val="14"/>
          <w:color w:val="auto"/>
        </w:rPr>
        <w:t>In accordance with U.S. GAAP, cash, short-term and long-term interest-bearing deposits designated for investments relating to Fab 2 should be excluded from current assets and long-term investments and presented separately as a non-current asset. Accordingly, as of September 30, 2003 $1,659 and $11,945 were reclassified, respectively, from current assets and long-term investments to a long-term asset (as of December 31, 2002 — $51,338 and $11,893,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3926840" cy="6350"/>
            <wp:wrapNone/>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93">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6" w:lineRule="exact"/>
        <w:rPr>
          <w:sz w:val="20"/>
          <w:szCs w:val="20"/>
          <w:color w:val="auto"/>
        </w:rPr>
      </w:pPr>
    </w:p>
    <w:p>
      <w:pPr>
        <w:ind w:left="1100" w:hanging="347"/>
        <w:spacing w:after="0"/>
        <w:tabs>
          <w:tab w:leader="none" w:pos="1100" w:val="left"/>
        </w:tabs>
        <w:numPr>
          <w:ilvl w:val="0"/>
          <w:numId w:val="19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Presentation of Net Long-Term Liabilities in Respect of Employees</w:t>
      </w:r>
    </w:p>
    <w:p>
      <w:pPr>
        <w:spacing w:after="0" w:line="174" w:lineRule="exact"/>
        <w:rPr>
          <w:sz w:val="20"/>
          <w:szCs w:val="20"/>
          <w:color w:val="auto"/>
        </w:rPr>
      </w:pPr>
    </w:p>
    <w:p>
      <w:pPr>
        <w:ind w:left="1120" w:right="2819"/>
        <w:spacing w:after="0" w:line="263" w:lineRule="auto"/>
        <w:rPr>
          <w:sz w:val="20"/>
          <w:szCs w:val="20"/>
          <w:color w:val="auto"/>
        </w:rPr>
      </w:pPr>
      <w:r>
        <w:rPr>
          <w:rFonts w:ascii="Times New Roman" w:cs="Times New Roman" w:eastAsia="Times New Roman" w:hAnsi="Times New Roman"/>
          <w:sz w:val="14"/>
          <w:szCs w:val="14"/>
          <w:color w:val="auto"/>
        </w:rPr>
        <w:t>Under U.S. GAAP, assets and liabilities relating to severance arrangements are to be presented separately and are not to be offset. Accordingly, as of September 30, 2003 an amount of $13,904 was reclassified from other long-term liabilities to long-term investments (as of December 31, 2002 — $12,368).</w:t>
      </w:r>
    </w:p>
    <w:p>
      <w:pPr>
        <w:spacing w:after="0" w:line="19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9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MATERIAL DIFFERENCES BETWEEN ISRAELI AND U.S. GAAP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5">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9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Hedging Activities in accordance with U.S. GAAP (SFAS 133)</w:t>
      </w:r>
    </w:p>
    <w:p>
      <w:pPr>
        <w:spacing w:after="0" w:line="174" w:lineRule="exact"/>
        <w:rPr>
          <w:sz w:val="20"/>
          <w:szCs w:val="20"/>
          <w:color w:val="auto"/>
        </w:rPr>
      </w:pPr>
    </w:p>
    <w:p>
      <w:pPr>
        <w:ind w:left="1120" w:right="2799"/>
        <w:spacing w:after="0" w:line="280" w:lineRule="auto"/>
        <w:rPr>
          <w:sz w:val="20"/>
          <w:szCs w:val="20"/>
          <w:color w:val="auto"/>
        </w:rPr>
      </w:pPr>
      <w:r>
        <w:rPr>
          <w:rFonts w:ascii="Times New Roman" w:cs="Times New Roman" w:eastAsia="Times New Roman" w:hAnsi="Times New Roman"/>
          <w:sz w:val="13"/>
          <w:szCs w:val="13"/>
          <w:color w:val="auto"/>
        </w:rPr>
        <w:t>Complying with SFAS 133 and SFAS 138 and the related interpretations thereon with respect to the Company's hedging transactions as of September 30, 2003 would have resulted in: an increase in other long-term liabilities in the amount of $12,186; an increase in other comprehensive loss for the nine months ended September 30, 2003 in the net amount of $658 and in the accumulated other comprehensive loss component of equity as of such date in the amount of $18,495; and in a decrease of $6,279 in property and equipment, net as of September 30, 2003</w:t>
      </w:r>
      <w:r>
        <w:rPr>
          <w:rFonts w:ascii="Times New Roman" w:cs="Times New Roman" w:eastAsia="Times New Roman" w:hAnsi="Times New Roman"/>
          <w:sz w:val="13"/>
          <w:szCs w:val="13"/>
          <w:b w:val="1"/>
          <w:bCs w:val="1"/>
          <w:color w:val="auto"/>
        </w:rPr>
        <w:t>.</w:t>
      </w:r>
    </w:p>
    <w:p>
      <w:pPr>
        <w:spacing w:after="0" w:line="44" w:lineRule="exact"/>
        <w:rPr>
          <w:sz w:val="20"/>
          <w:szCs w:val="20"/>
          <w:color w:val="auto"/>
        </w:rPr>
      </w:pPr>
    </w:p>
    <w:p>
      <w:pPr>
        <w:ind w:left="1120" w:right="2859"/>
        <w:spacing w:after="0" w:line="263" w:lineRule="auto"/>
        <w:rPr>
          <w:sz w:val="20"/>
          <w:szCs w:val="20"/>
          <w:color w:val="auto"/>
        </w:rPr>
      </w:pPr>
      <w:r>
        <w:rPr>
          <w:rFonts w:ascii="Times New Roman" w:cs="Times New Roman" w:eastAsia="Times New Roman" w:hAnsi="Times New Roman"/>
          <w:sz w:val="14"/>
          <w:szCs w:val="14"/>
          <w:color w:val="auto"/>
        </w:rPr>
        <w:t>Following the commencement of operations of Fab 2 during the third quarter of 2003, $6,641 of the aggregate comprehensive loss, which is attributable to property and equipment, is amortized on a straight-line method over five years, in corresponding to the economic useful lives of the 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926840" cy="6350"/>
            <wp:wrapNone/>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6">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42" w:lineRule="exact"/>
        <w:rPr>
          <w:sz w:val="20"/>
          <w:szCs w:val="20"/>
          <w:color w:val="auto"/>
        </w:rPr>
      </w:pPr>
    </w:p>
    <w:p>
      <w:pPr>
        <w:ind w:left="1100" w:hanging="347"/>
        <w:spacing w:after="0"/>
        <w:tabs>
          <w:tab w:leader="none" w:pos="1100" w:val="left"/>
        </w:tabs>
        <w:numPr>
          <w:ilvl w:val="0"/>
          <w:numId w:val="19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Implementation of SFAS 123 and SFAS 148</w:t>
      </w:r>
    </w:p>
    <w:p>
      <w:pPr>
        <w:spacing w:after="0" w:line="174" w:lineRule="exact"/>
        <w:rPr>
          <w:sz w:val="20"/>
          <w:szCs w:val="20"/>
          <w:color w:val="auto"/>
        </w:rPr>
      </w:pPr>
    </w:p>
    <w:p>
      <w:pPr>
        <w:ind w:left="1120" w:right="2899"/>
        <w:spacing w:after="0" w:line="263" w:lineRule="auto"/>
        <w:rPr>
          <w:sz w:val="20"/>
          <w:szCs w:val="20"/>
          <w:color w:val="auto"/>
        </w:rPr>
      </w:pPr>
      <w:r>
        <w:rPr>
          <w:rFonts w:ascii="Times New Roman" w:cs="Times New Roman" w:eastAsia="Times New Roman" w:hAnsi="Times New Roman"/>
          <w:sz w:val="14"/>
          <w:szCs w:val="14"/>
          <w:color w:val="auto"/>
        </w:rPr>
        <w:t>Had compensation cost for the Company's share option plans been determined based on fair value at the grant dates of the awards in accordance with SFAS 123, as amended by SFAS 148, the Company's pro forma loss and loss per share would have been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6350" cy="66040"/>
            <wp:wrapNone/>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7">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45"/>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7"/>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Three months ended</w:t>
            </w:r>
          </w:p>
        </w:tc>
        <w:tc>
          <w:tcPr>
            <w:tcW w:w="0" w:type="dxa"/>
            <w:vAlign w:val="bottom"/>
          </w:tcPr>
          <w:p>
            <w:pPr>
              <w:spacing w:after="0"/>
              <w:rPr>
                <w:sz w:val="1"/>
                <w:szCs w:val="1"/>
                <w:color w:val="auto"/>
              </w:rPr>
            </w:pPr>
          </w:p>
        </w:tc>
      </w:tr>
      <w:tr>
        <w:trPr>
          <w:trHeight w:val="155"/>
        </w:trPr>
        <w:tc>
          <w:tcPr>
            <w:tcW w:w="2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7"/>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2003</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2002</w:t>
            </w:r>
          </w:p>
        </w:tc>
        <w:tc>
          <w:tcPr>
            <w:tcW w:w="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rPr>
              <w:t>2003</w:t>
            </w:r>
          </w:p>
        </w:tc>
        <w:tc>
          <w:tcPr>
            <w:tcW w:w="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2002</w:t>
            </w: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7"/>
          </w:tcPr>
          <w:p>
            <w:pPr>
              <w:jc w:val="center"/>
              <w:ind w:right="31"/>
              <w:spacing w:after="0" w:line="120"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6"/>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0" w:type="dxa"/>
            <w:vAlign w:val="bottom"/>
          </w:tcPr>
          <w:p>
            <w:pPr>
              <w:spacing w:after="0"/>
              <w:rPr>
                <w:sz w:val="1"/>
                <w:szCs w:val="1"/>
                <w:color w:val="auto"/>
              </w:rPr>
            </w:pPr>
          </w:p>
        </w:tc>
      </w:tr>
      <w:tr>
        <w:trPr>
          <w:trHeight w:val="184"/>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 forma loss</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Loss for the period, 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w w:val="96"/>
              </w:rPr>
              <w:t>(68,266)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6"/>
              </w:rPr>
              <w:t>(37,818)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1"/>
              </w:rPr>
              <w:t>(37,086)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6"/>
              </w:rPr>
              <w:t>(14,513)</w:t>
            </w:r>
          </w:p>
        </w:tc>
        <w:tc>
          <w:tcPr>
            <w:tcW w:w="0" w:type="dxa"/>
            <w:vAlign w:val="bottom"/>
          </w:tcPr>
          <w:p>
            <w:pPr>
              <w:spacing w:after="0"/>
              <w:rPr>
                <w:sz w:val="1"/>
                <w:szCs w:val="1"/>
                <w:color w:val="auto"/>
              </w:rPr>
            </w:pPr>
          </w:p>
        </w:tc>
      </w:tr>
      <w:tr>
        <w:trPr>
          <w:trHeight w:val="183"/>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Less — stock-based compensation</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determined under APB 25</w:t>
            </w: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Add — stock-based compensation</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determined under SFAS 123</w:t>
            </w:r>
          </w:p>
        </w:tc>
        <w:tc>
          <w:tcPr>
            <w:tcW w:w="100" w:type="dxa"/>
            <w:vAlign w:val="bottom"/>
          </w:tcPr>
          <w:p>
            <w:pPr>
              <w:spacing w:after="0"/>
              <w:rPr>
                <w:sz w:val="17"/>
                <w:szCs w:val="17"/>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(7,276)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(1,587)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57"/>
        </w:trPr>
        <w:tc>
          <w:tcPr>
            <w:tcW w:w="23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Pro forma loss</w:t>
            </w:r>
          </w:p>
        </w:tc>
        <w:tc>
          <w:tcPr>
            <w:tcW w:w="1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rPr>
              <w:t>$</w:t>
            </w:r>
          </w:p>
        </w:tc>
        <w:tc>
          <w:tcPr>
            <w:tcW w:w="4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2"/>
              </w:rPr>
              <w:t>(75,515</w:t>
            </w:r>
          </w:p>
        </w:tc>
        <w:tc>
          <w:tcPr>
            <w:tcW w:w="100" w:type="dxa"/>
            <w:vAlign w:val="bottom"/>
            <w:gridSpan w:val="2"/>
          </w:tcPr>
          <w:p>
            <w:pPr>
              <w:jc w:val="right"/>
              <w:ind w:right="40"/>
              <w:spacing w:after="0" w:line="157"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2"/>
              </w:rPr>
              <w:t>(43,669</w:t>
            </w:r>
          </w:p>
        </w:tc>
        <w:tc>
          <w:tcPr>
            <w:tcW w:w="10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2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2"/>
              </w:rPr>
              <w:t>(38,673</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40" w:type="dxa"/>
            <w:vAlign w:val="bottom"/>
            <w:tcBorders>
              <w:top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7"/>
              </w:rPr>
              <w:t>(16,622</w:t>
            </w:r>
          </w:p>
        </w:tc>
        <w:tc>
          <w:tcPr>
            <w:tcW w:w="10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 forma basic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As reported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(0.77)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(0.48)</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-1592580</wp:posOffset>
            </wp:positionV>
            <wp:extent cx="3173095" cy="6350"/>
            <wp:wrapNone/>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8">
                      <a:extLst>
                        <a:ext uri="{28A0092B-C50C-407E-A947-70E740481C1C}"/>
                      </a:extLst>
                    </a:blip>
                    <a:srcRect/>
                    <a:stretch>
                      <a:fillRect/>
                    </a:stretch>
                  </pic:blipFill>
                  <pic:spPr bwMode="auto">
                    <a:xfrm>
                      <a:off x="0" y="0"/>
                      <a:ext cx="317309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-1546225</wp:posOffset>
            </wp:positionV>
            <wp:extent cx="13335" cy="6350"/>
            <wp:wrapNone/>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-1546225</wp:posOffset>
            </wp:positionV>
            <wp:extent cx="13335" cy="6350"/>
            <wp:wrapNone/>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20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-1453515</wp:posOffset>
            </wp:positionV>
            <wp:extent cx="13335" cy="6350"/>
            <wp:wrapNone/>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20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-1453515</wp:posOffset>
            </wp:positionV>
            <wp:extent cx="13335" cy="6350"/>
            <wp:wrapNone/>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20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-1360805</wp:posOffset>
            </wp:positionV>
            <wp:extent cx="13335" cy="6350"/>
            <wp:wrapNone/>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20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-1360805</wp:posOffset>
            </wp:positionV>
            <wp:extent cx="13335" cy="6350"/>
            <wp:wrapNone/>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20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-1360805</wp:posOffset>
            </wp:positionV>
            <wp:extent cx="13335" cy="6350"/>
            <wp:wrapNone/>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-1360805</wp:posOffset>
            </wp:positionV>
            <wp:extent cx="13335" cy="6350"/>
            <wp:wrapNone/>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-1268730</wp:posOffset>
            </wp:positionV>
            <wp:extent cx="13335" cy="6350"/>
            <wp:wrapNone/>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-1268730</wp:posOffset>
            </wp:positionV>
            <wp:extent cx="13335" cy="6350"/>
            <wp:wrapNone/>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-1156335</wp:posOffset>
            </wp:positionV>
            <wp:extent cx="13335" cy="6350"/>
            <wp:wrapNone/>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-1156335</wp:posOffset>
            </wp:positionV>
            <wp:extent cx="13335" cy="6350"/>
            <wp:wrapNone/>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1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-1156335</wp:posOffset>
            </wp:positionV>
            <wp:extent cx="13335" cy="6350"/>
            <wp:wrapNone/>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1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-1156335</wp:posOffset>
            </wp:positionV>
            <wp:extent cx="13335" cy="6350"/>
            <wp:wrapNone/>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1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-1030605</wp:posOffset>
            </wp:positionV>
            <wp:extent cx="13335" cy="6350"/>
            <wp:wrapNone/>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-1030605</wp:posOffset>
            </wp:positionV>
            <wp:extent cx="13335" cy="6350"/>
            <wp:wrapNone/>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1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-1030605</wp:posOffset>
            </wp:positionV>
            <wp:extent cx="13335" cy="6350"/>
            <wp:wrapNone/>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-1030605</wp:posOffset>
            </wp:positionV>
            <wp:extent cx="13335" cy="6350"/>
            <wp:wrapNone/>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-852170</wp:posOffset>
            </wp:positionV>
            <wp:extent cx="13335" cy="6350"/>
            <wp:wrapNone/>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-852170</wp:posOffset>
            </wp:positionV>
            <wp:extent cx="13335" cy="6350"/>
            <wp:wrapNone/>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-852170</wp:posOffset>
            </wp:positionV>
            <wp:extent cx="13335" cy="6350"/>
            <wp:wrapNone/>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-852170</wp:posOffset>
            </wp:positionV>
            <wp:extent cx="13335" cy="6350"/>
            <wp:wrapNone/>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2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-620395</wp:posOffset>
            </wp:positionV>
            <wp:extent cx="13335" cy="6350"/>
            <wp:wrapNone/>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2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-620395</wp:posOffset>
            </wp:positionV>
            <wp:extent cx="13335" cy="635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2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-620395</wp:posOffset>
            </wp:positionV>
            <wp:extent cx="13335" cy="6350"/>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2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-620395</wp:posOffset>
            </wp:positionV>
            <wp:extent cx="13335" cy="635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2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-441960</wp:posOffset>
            </wp:positionV>
            <wp:extent cx="13335" cy="635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-441960</wp:posOffset>
            </wp:positionV>
            <wp:extent cx="13335" cy="635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-441960</wp:posOffset>
            </wp:positionV>
            <wp:extent cx="13335" cy="635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-441960</wp:posOffset>
            </wp:positionV>
            <wp:extent cx="13335" cy="6350"/>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-316865</wp:posOffset>
            </wp:positionV>
            <wp:extent cx="13335" cy="6350"/>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-316865</wp:posOffset>
            </wp:positionV>
            <wp:extent cx="13335" cy="6350"/>
            <wp:wrapNone/>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3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-316865</wp:posOffset>
            </wp:positionV>
            <wp:extent cx="13335" cy="6350"/>
            <wp:wrapNone/>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3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-316865</wp:posOffset>
            </wp:positionV>
            <wp:extent cx="13335" cy="6350"/>
            <wp:wrapNone/>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3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-191135</wp:posOffset>
            </wp:positionV>
            <wp:extent cx="13335" cy="6350"/>
            <wp:wrapNone/>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3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-191135</wp:posOffset>
            </wp:positionV>
            <wp:extent cx="13335" cy="6350"/>
            <wp:wrapNone/>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3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-191135</wp:posOffset>
            </wp:positionV>
            <wp:extent cx="13335" cy="6350"/>
            <wp:wrapNone/>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-191135</wp:posOffset>
            </wp:positionV>
            <wp:extent cx="13335" cy="6350"/>
            <wp:wrapNone/>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-65405</wp:posOffset>
            </wp:positionV>
            <wp:extent cx="13335" cy="6350"/>
            <wp:wrapNone/>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-65405</wp:posOffset>
            </wp:positionV>
            <wp:extent cx="13335" cy="6350"/>
            <wp:wrapNone/>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-65405</wp:posOffset>
            </wp:positionV>
            <wp:extent cx="13335" cy="6350"/>
            <wp:wrapNone/>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-65405</wp:posOffset>
            </wp:positionV>
            <wp:extent cx="13335" cy="6350"/>
            <wp:wrapNone/>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4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0</wp:posOffset>
            </wp:positionV>
            <wp:extent cx="13335" cy="6350"/>
            <wp:wrapNone/>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4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0</wp:posOffset>
            </wp:positionV>
            <wp:extent cx="13335" cy="6350"/>
            <wp:wrapNone/>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4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0</wp:posOffset>
            </wp:positionV>
            <wp:extent cx="13335" cy="6350"/>
            <wp:wrapNone/>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4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0</wp:posOffset>
            </wp:positionV>
            <wp:extent cx="13335" cy="6350"/>
            <wp:wrapNone/>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4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ectPr>
          <w:pgSz w:w="11900" w:h="16838" w:orient="portrait"/>
          <w:cols w:equalWidth="0" w:num="1">
            <w:col w:w="10239"/>
          </w:cols>
          <w:pgMar w:left="220" w:top="125" w:right="1440" w:bottom="0" w:gutter="0" w:footer="0" w:header="0"/>
        </w:sectPr>
      </w:pPr>
    </w:p>
    <w:bookmarkStart w:id="80" w:name="page81"/>
    <w:bookmarkEnd w:id="80"/>
    <w:tbl>
      <w:tblPr>
        <w:tblLayout w:type="fixed"/>
        <w:tblInd w:w="1100" w:type="dxa"/>
        <w:tblCellMar>
          <w:top w:w="0" w:type="dxa"/>
          <w:left w:w="0" w:type="dxa"/>
          <w:bottom w:w="0" w:type="dxa"/>
          <w:right w:w="0" w:type="dxa"/>
        </w:tblCellMar>
      </w:tblPr>
      <w:tr>
        <w:trPr>
          <w:trHeight w:val="181"/>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Pro forma</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(1.65)</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(1.55)</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(0.80)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(0.55)</w:t>
            </w:r>
          </w:p>
        </w:tc>
      </w:tr>
      <w:tr>
        <w:trPr>
          <w:trHeight w:val="20"/>
        </w:trPr>
        <w:tc>
          <w:tcPr>
            <w:tcW w:w="2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-65405</wp:posOffset>
            </wp:positionV>
            <wp:extent cx="13335" cy="6350"/>
            <wp:wrapNone/>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-65405</wp:posOffset>
            </wp:positionV>
            <wp:extent cx="13335" cy="6350"/>
            <wp:wrapNone/>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-65405</wp:posOffset>
            </wp:positionV>
            <wp:extent cx="13335" cy="6350"/>
            <wp:wrapNone/>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-65405</wp:posOffset>
            </wp:positionV>
            <wp:extent cx="13335" cy="6350"/>
            <wp:wrapNone/>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59690</wp:posOffset>
            </wp:positionV>
            <wp:extent cx="13335" cy="6350"/>
            <wp:wrapNone/>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2593340</wp:posOffset>
            </wp:positionH>
            <wp:positionV relativeFrom="paragraph">
              <wp:posOffset>59690</wp:posOffset>
            </wp:positionV>
            <wp:extent cx="13335" cy="6350"/>
            <wp:wrapNone/>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5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3035935</wp:posOffset>
            </wp:positionH>
            <wp:positionV relativeFrom="paragraph">
              <wp:posOffset>59690</wp:posOffset>
            </wp:positionV>
            <wp:extent cx="13335" cy="6350"/>
            <wp:wrapNone/>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5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3479165</wp:posOffset>
            </wp:positionH>
            <wp:positionV relativeFrom="paragraph">
              <wp:posOffset>59690</wp:posOffset>
            </wp:positionV>
            <wp:extent cx="13335" cy="6350"/>
            <wp:wrapNone/>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695960</wp:posOffset>
            </wp:positionH>
            <wp:positionV relativeFrom="paragraph">
              <wp:posOffset>125730</wp:posOffset>
            </wp:positionV>
            <wp:extent cx="6350" cy="66040"/>
            <wp:wrapNone/>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53">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54">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MATERIAL DIFFERENCES BETWEEN ISRAELI AND U.S. GAAP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5">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9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Sale of Securities</w:t>
      </w:r>
    </w:p>
    <w:p>
      <w:pPr>
        <w:spacing w:after="0" w:line="174" w:lineRule="exact"/>
        <w:rPr>
          <w:sz w:val="20"/>
          <w:szCs w:val="20"/>
          <w:color w:val="auto"/>
        </w:rPr>
      </w:pPr>
    </w:p>
    <w:p>
      <w:pPr>
        <w:ind w:left="1120" w:right="2779"/>
        <w:spacing w:after="0" w:line="252" w:lineRule="auto"/>
        <w:rPr>
          <w:sz w:val="20"/>
          <w:szCs w:val="20"/>
          <w:color w:val="auto"/>
        </w:rPr>
      </w:pPr>
      <w:r>
        <w:rPr>
          <w:rFonts w:ascii="Times New Roman" w:cs="Times New Roman" w:eastAsia="Times New Roman" w:hAnsi="Times New Roman"/>
          <w:sz w:val="14"/>
          <w:szCs w:val="14"/>
          <w:color w:val="auto"/>
        </w:rPr>
        <w:t>Under Accounting Principles Board Opinion No. 14 ("APB 14"), the proceeds from the sale of the securities in January 2002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(in January 2002), would have resulted in an increase in shareholders' equity as of September 30, 2003 and December 31, 2002 in the amount of $2,363 (net of $196 related issuance expenses), and a decrease in convertible debentures as of such dates in the amount of $2,559. The effect of the U.S. GAAP application on the convertible debentures' discount amortization for the nine-month and three-month periods ended September 30, 2003 is immaterial.</w:t>
      </w:r>
    </w:p>
    <w:p>
      <w:pPr>
        <w:spacing w:after="0" w:line="19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6">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jc w:val="center"/>
        <w:ind w:right="3939"/>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pacing w:after="0" w:line="1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MATERIAL DIFFERENCES BETWEEN ISRAELI AND U.S. GAAP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26840" cy="6350"/>
            <wp:wrapNone/>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7">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9" w:lineRule="exact"/>
        <w:rPr>
          <w:sz w:val="20"/>
          <w:szCs w:val="20"/>
          <w:color w:val="auto"/>
        </w:rPr>
      </w:pPr>
    </w:p>
    <w:p>
      <w:pPr>
        <w:ind w:left="1100" w:hanging="347"/>
        <w:spacing w:after="0"/>
        <w:tabs>
          <w:tab w:leader="none" w:pos="1100" w:val="left"/>
        </w:tabs>
        <w:numPr>
          <w:ilvl w:val="0"/>
          <w:numId w:val="19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Balance Sheet in Accordance with U.S. GAAP</w:t>
      </w:r>
    </w:p>
    <w:p>
      <w:pPr>
        <w:spacing w:after="0" w:line="17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Following are the condensed consolidated balance sheets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350" cy="66040"/>
            <wp:wrapNone/>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00" w:type="dxa"/>
            <w:vAlign w:val="bottom"/>
          </w:tcPr>
          <w:p>
            <w:pPr>
              <w:spacing w:after="0"/>
              <w:rPr>
                <w:sz w:val="10"/>
                <w:szCs w:val="10"/>
                <w:color w:val="auto"/>
              </w:rPr>
            </w:pP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80" w:type="dxa"/>
            <w:vAlign w:val="bottom"/>
          </w:tcPr>
          <w:p>
            <w:pPr>
              <w:spacing w:after="0"/>
              <w:rPr>
                <w:sz w:val="10"/>
                <w:szCs w:val="10"/>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4"/>
        </w:trPr>
        <w:tc>
          <w:tcPr>
            <w:tcW w:w="4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1"/>
                <w:szCs w:val="11"/>
                <w:b w:val="1"/>
                <w:bCs w:val="1"/>
                <w:color w:val="auto"/>
              </w:rPr>
              <w:t>2003</w:t>
            </w: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2002</w:t>
            </w:r>
          </w:p>
        </w:tc>
        <w:tc>
          <w:tcPr>
            <w:tcW w:w="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500" w:type="dxa"/>
            <w:vAlign w:val="bottom"/>
          </w:tcPr>
          <w:p>
            <w:pPr>
              <w:spacing w:after="0"/>
              <w:rPr>
                <w:sz w:val="10"/>
                <w:szCs w:val="10"/>
                <w:color w:val="auto"/>
              </w:rPr>
            </w:pPr>
          </w:p>
        </w:tc>
        <w:tc>
          <w:tcPr>
            <w:tcW w:w="880" w:type="dxa"/>
            <w:vAlign w:val="bottom"/>
            <w:gridSpan w:val="3"/>
          </w:tcPr>
          <w:p>
            <w:pPr>
              <w:ind w:left="160"/>
              <w:spacing w:after="0" w:line="122"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49,323</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58,743</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Long-term investments</w:t>
            </w:r>
          </w:p>
        </w:tc>
        <w:tc>
          <w:tcPr>
            <w:tcW w:w="16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19,904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18,368</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570,146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6"/>
              </w:rPr>
              <w:t>487,347</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105,064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6"/>
              </w:rPr>
              <w:t>495,017</w:t>
            </w:r>
          </w:p>
        </w:tc>
        <w:tc>
          <w:tcPr>
            <w:tcW w:w="0" w:type="dxa"/>
            <w:vAlign w:val="bottom"/>
          </w:tcPr>
          <w:p>
            <w:pPr>
              <w:spacing w:after="0"/>
              <w:rPr>
                <w:sz w:val="1"/>
                <w:szCs w:val="1"/>
                <w:color w:val="auto"/>
              </w:rPr>
            </w:pPr>
          </w:p>
        </w:tc>
      </w:tr>
      <w:tr>
        <w:trPr>
          <w:trHeight w:val="21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Cash and interest-bearing deposits designated for investments relating to Fab 2</w:t>
            </w:r>
          </w:p>
        </w:tc>
        <w:tc>
          <w:tcPr>
            <w:tcW w:w="1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13,604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63,231</w:t>
            </w:r>
          </w:p>
        </w:tc>
        <w:tc>
          <w:tcPr>
            <w:tcW w:w="0" w:type="dxa"/>
            <w:vAlign w:val="bottom"/>
          </w:tcPr>
          <w:p>
            <w:pPr>
              <w:spacing w:after="0"/>
              <w:rPr>
                <w:sz w:val="1"/>
                <w:szCs w:val="1"/>
                <w:color w:val="auto"/>
              </w:rPr>
            </w:pPr>
          </w:p>
        </w:tc>
      </w:tr>
      <w:tr>
        <w:trPr>
          <w:trHeight w:val="157"/>
        </w:trPr>
        <w:tc>
          <w:tcPr>
            <w:tcW w:w="450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758,041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722,706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79,154</w:t>
            </w:r>
          </w:p>
        </w:tc>
        <w:tc>
          <w:tcPr>
            <w:tcW w:w="2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88,282</w:t>
            </w:r>
          </w:p>
        </w:tc>
        <w:tc>
          <w:tcPr>
            <w:tcW w:w="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347,000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6"/>
              </w:rPr>
              <w:t>253,000</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Convertible debentures</w:t>
            </w:r>
          </w:p>
        </w:tc>
        <w:tc>
          <w:tcPr>
            <w:tcW w:w="16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22,993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21,562</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liability in respect of customers' advances</w:t>
            </w:r>
          </w:p>
        </w:tc>
        <w:tc>
          <w:tcPr>
            <w:tcW w:w="16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46,920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47,246</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31,959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29,726</w:t>
            </w:r>
          </w:p>
        </w:tc>
        <w:tc>
          <w:tcPr>
            <w:tcW w:w="0" w:type="dxa"/>
            <w:vAlign w:val="bottom"/>
          </w:tcPr>
          <w:p>
            <w:pPr>
              <w:spacing w:after="0"/>
              <w:rPr>
                <w:sz w:val="1"/>
                <w:szCs w:val="1"/>
                <w:color w:val="auto"/>
              </w:rPr>
            </w:pPr>
          </w:p>
        </w:tc>
      </w:tr>
      <w:tr>
        <w:trPr>
          <w:trHeight w:val="218"/>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Shareholders' equity (*)</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230,015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6"/>
              </w:rPr>
              <w:t>282,890</w:t>
            </w:r>
          </w:p>
        </w:tc>
        <w:tc>
          <w:tcPr>
            <w:tcW w:w="0" w:type="dxa"/>
            <w:vAlign w:val="bottom"/>
          </w:tcPr>
          <w:p>
            <w:pPr>
              <w:spacing w:after="0"/>
              <w:rPr>
                <w:sz w:val="1"/>
                <w:szCs w:val="1"/>
                <w:color w:val="auto"/>
              </w:rPr>
            </w:pPr>
          </w:p>
        </w:tc>
      </w:tr>
      <w:tr>
        <w:trPr>
          <w:trHeight w:val="157"/>
        </w:trPr>
        <w:tc>
          <w:tcPr>
            <w:tcW w:w="4500" w:type="dxa"/>
            <w:vAlign w:val="bottom"/>
          </w:tcPr>
          <w:p>
            <w:pPr>
              <w:ind w:left="140"/>
              <w:spacing w:after="0" w:line="157"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160" w:type="dxa"/>
            <w:vAlign w:val="bottom"/>
            <w:tcBorders>
              <w:top w:val="single" w:sz="8" w:color="auto"/>
              <w:bottom w:val="single" w:sz="8" w:color="auto"/>
            </w:tcBorders>
          </w:tcPr>
          <w:p>
            <w:pPr>
              <w:ind w:left="80"/>
              <w:spacing w:after="0" w:line="157"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758,041</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60" w:type="dxa"/>
            <w:vAlign w:val="bottom"/>
            <w:tcBorders>
              <w:top w:val="single" w:sz="8" w:color="auto"/>
              <w:bottom w:val="single" w:sz="8" w:color="auto"/>
            </w:tcBorders>
          </w:tcPr>
          <w:p>
            <w:pPr>
              <w:jc w:val="right"/>
              <w:spacing w:after="0" w:line="157" w:lineRule="exact"/>
              <w:rPr>
                <w:sz w:val="20"/>
                <w:szCs w:val="20"/>
                <w:color w:val="auto"/>
              </w:rPr>
            </w:pPr>
            <w:r>
              <w:rPr>
                <w:rFonts w:ascii="Times New Roman" w:cs="Times New Roman" w:eastAsia="Times New Roman" w:hAnsi="Times New Roman"/>
                <w:sz w:val="14"/>
                <w:szCs w:val="14"/>
                <w:color w:val="auto"/>
                <w:w w:val="96"/>
              </w:rPr>
              <w:t>722,706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-1883410</wp:posOffset>
            </wp:positionV>
            <wp:extent cx="3834130" cy="6350"/>
            <wp:wrapNone/>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9">
                      <a:extLst>
                        <a:ext uri="{28A0092B-C50C-407E-A947-70E740481C1C}"/>
                      </a:extLst>
                    </a:blip>
                    <a:srcRect/>
                    <a:stretch>
                      <a:fillRect/>
                    </a:stretch>
                  </pic:blipFill>
                  <pic:spPr bwMode="auto">
                    <a:xfrm>
                      <a:off x="0" y="0"/>
                      <a:ext cx="3834130"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-1804035</wp:posOffset>
            </wp:positionV>
            <wp:extent cx="13335" cy="6350"/>
            <wp:wrapNone/>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6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-1804035</wp:posOffset>
            </wp:positionV>
            <wp:extent cx="13335" cy="6350"/>
            <wp:wrapNone/>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6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-1685290</wp:posOffset>
            </wp:positionV>
            <wp:extent cx="13335" cy="6350"/>
            <wp:wrapNone/>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6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-1685290</wp:posOffset>
            </wp:positionV>
            <wp:extent cx="13335" cy="6350"/>
            <wp:wrapNone/>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6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-1572895</wp:posOffset>
            </wp:positionV>
            <wp:extent cx="13335" cy="6350"/>
            <wp:wrapNone/>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6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-1572895</wp:posOffset>
            </wp:positionV>
            <wp:extent cx="13335" cy="6350"/>
            <wp:wrapNone/>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-1447165</wp:posOffset>
            </wp:positionV>
            <wp:extent cx="13335" cy="6350"/>
            <wp:wrapNone/>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-1447165</wp:posOffset>
            </wp:positionV>
            <wp:extent cx="13335" cy="6350"/>
            <wp:wrapNone/>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-1321435</wp:posOffset>
            </wp:positionV>
            <wp:extent cx="13335" cy="6350"/>
            <wp:wrapNone/>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-1321435</wp:posOffset>
            </wp:positionV>
            <wp:extent cx="13335" cy="6350"/>
            <wp:wrapNone/>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-1195705</wp:posOffset>
            </wp:positionV>
            <wp:extent cx="13335" cy="6350"/>
            <wp:wrapNone/>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7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-1195705</wp:posOffset>
            </wp:positionV>
            <wp:extent cx="13335" cy="6350"/>
            <wp:wrapNone/>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7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-1069975</wp:posOffset>
            </wp:positionV>
            <wp:extent cx="13335" cy="6350"/>
            <wp:wrapNone/>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7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-1069975</wp:posOffset>
            </wp:positionV>
            <wp:extent cx="13335" cy="6350"/>
            <wp:wrapNone/>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7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-944880</wp:posOffset>
            </wp:positionV>
            <wp:extent cx="13335" cy="6350"/>
            <wp:wrapNone/>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7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-944880</wp:posOffset>
            </wp:positionV>
            <wp:extent cx="13335" cy="6350"/>
            <wp:wrapNone/>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-819150</wp:posOffset>
            </wp:positionV>
            <wp:extent cx="13335" cy="6350"/>
            <wp:wrapNone/>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-819150</wp:posOffset>
            </wp:positionV>
            <wp:extent cx="13335" cy="6350"/>
            <wp:wrapNone/>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-693420</wp:posOffset>
            </wp:positionV>
            <wp:extent cx="13335" cy="6350"/>
            <wp:wrapNone/>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-693420</wp:posOffset>
            </wp:positionV>
            <wp:extent cx="13335" cy="6350"/>
            <wp:wrapNone/>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-567690</wp:posOffset>
            </wp:positionV>
            <wp:extent cx="13335" cy="6350"/>
            <wp:wrapNone/>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80">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-567690</wp:posOffset>
            </wp:positionV>
            <wp:extent cx="13335" cy="6350"/>
            <wp:wrapNone/>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81">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-441960</wp:posOffset>
            </wp:positionV>
            <wp:extent cx="13335" cy="6350"/>
            <wp:wrapNone/>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8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-441960</wp:posOffset>
            </wp:positionV>
            <wp:extent cx="13335" cy="6350"/>
            <wp:wrapNone/>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8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-316865</wp:posOffset>
            </wp:positionV>
            <wp:extent cx="13335" cy="6350"/>
            <wp:wrapNone/>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8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-316865</wp:posOffset>
            </wp:positionV>
            <wp:extent cx="13335" cy="6350"/>
            <wp:wrapNone/>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-191135</wp:posOffset>
            </wp:positionV>
            <wp:extent cx="13335" cy="6350"/>
            <wp:wrapNone/>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-191135</wp:posOffset>
            </wp:positionV>
            <wp:extent cx="13335" cy="6350"/>
            <wp:wrapNone/>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-65405</wp:posOffset>
            </wp:positionV>
            <wp:extent cx="13335" cy="6350"/>
            <wp:wrapNone/>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-65405</wp:posOffset>
            </wp:positionV>
            <wp:extent cx="13335" cy="6350"/>
            <wp:wrapNone/>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9">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926840" cy="178435"/>
            <wp:wrapNone/>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90">
                      <a:extLst>
                        <a:ext uri="{28A0092B-C50C-407E-A947-70E740481C1C}"/>
                      </a:extLst>
                    </a:blip>
                    <a:srcRect/>
                    <a:stretch>
                      <a:fillRect/>
                    </a:stretch>
                  </pic:blipFill>
                  <pic:spPr bwMode="auto">
                    <a:xfrm>
                      <a:off x="0" y="0"/>
                      <a:ext cx="3926840" cy="178435"/>
                    </a:xfrm>
                    <a:prstGeom prst="rect">
                      <a:avLst/>
                    </a:prstGeom>
                    <a:noFill/>
                  </pic:spPr>
                </pic:pic>
              </a:graphicData>
            </a:graphic>
          </wp:anchor>
        </w:drawing>
      </w:r>
    </w:p>
    <w:p>
      <w:pPr>
        <w:spacing w:after="0" w:line="244" w:lineRule="exact"/>
        <w:rPr>
          <w:sz w:val="20"/>
          <w:szCs w:val="20"/>
          <w:color w:val="auto"/>
        </w:rPr>
      </w:pPr>
    </w:p>
    <w:p>
      <w:pPr>
        <w:ind w:left="220" w:right="4099" w:hanging="217"/>
        <w:spacing w:after="0" w:line="248" w:lineRule="auto"/>
        <w:tabs>
          <w:tab w:leader="none" w:pos="220" w:val="left"/>
        </w:tabs>
        <w:numPr>
          <w:ilvl w:val="0"/>
          <w:numId w:val="19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balance as of September 30, 2003 includes net accumulated other comprehensive loss of $18,495 and net proceeds on account of options (Series 1) in the amount of $2,363—see also E above (as of December 31, 2002 $17,837 and $2,363, respectively).</w:t>
      </w:r>
    </w:p>
    <w:p>
      <w:pPr>
        <w:spacing w:after="0" w:line="145" w:lineRule="exact"/>
        <w:rPr>
          <w:rFonts w:ascii="Times New Roman" w:cs="Times New Roman" w:eastAsia="Times New Roman" w:hAnsi="Times New Roman"/>
          <w:sz w:val="11"/>
          <w:szCs w:val="11"/>
          <w:color w:val="auto"/>
        </w:rPr>
      </w:pPr>
    </w:p>
    <w:p>
      <w:pPr>
        <w:ind w:left="1100" w:hanging="347"/>
        <w:spacing w:after="0"/>
        <w:tabs>
          <w:tab w:leader="none" w:pos="1100" w:val="left"/>
        </w:tabs>
        <w:numPr>
          <w:ilvl w:val="1"/>
          <w:numId w:val="19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Statements of Operations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3926840" cy="6350"/>
            <wp:wrapNone/>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91">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154" w:lineRule="exact"/>
        <w:rPr>
          <w:sz w:val="20"/>
          <w:szCs w:val="20"/>
          <w:color w:val="auto"/>
        </w:rPr>
      </w:pPr>
    </w:p>
    <w:p>
      <w:pPr>
        <w:ind w:left="1120" w:right="2799"/>
        <w:spacing w:after="0" w:line="319" w:lineRule="auto"/>
        <w:rPr>
          <w:sz w:val="20"/>
          <w:szCs w:val="20"/>
          <w:color w:val="auto"/>
        </w:rPr>
      </w:pPr>
      <w:r>
        <w:rPr>
          <w:rFonts w:ascii="Times New Roman" w:cs="Times New Roman" w:eastAsia="Times New Roman" w:hAnsi="Times New Roman"/>
          <w:sz w:val="13"/>
          <w:szCs w:val="13"/>
          <w:color w:val="auto"/>
        </w:rPr>
        <w:t>Complying with SFAS 133 and SFAS 138 (C above) and APB 14 (E above) would not have resulted in a material change in the Company's loss for the nine-month and three-month periods ended September 30, 2003 and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3926840" cy="6350"/>
            <wp:wrapNone/>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92">
                      <a:extLst>
                        <a:ext uri="{28A0092B-C50C-407E-A947-70E740481C1C}"/>
                      </a:extLst>
                    </a:blip>
                    <a:srcRect/>
                    <a:stretch>
                      <a:fillRect/>
                    </a:stretch>
                  </pic:blipFill>
                  <pic:spPr bwMode="auto">
                    <a:xfrm>
                      <a:off x="0" y="0"/>
                      <a:ext cx="3926840" cy="6350"/>
                    </a:xfrm>
                    <a:prstGeom prst="rect">
                      <a:avLst/>
                    </a:prstGeom>
                    <a:noFill/>
                  </pic:spPr>
                </pic:pic>
              </a:graphicData>
            </a:graphic>
          </wp:anchor>
        </w:drawing>
      </w:r>
    </w:p>
    <w:p>
      <w:pPr>
        <w:spacing w:after="0" w:line="7" w:lineRule="exact"/>
        <w:rPr>
          <w:sz w:val="20"/>
          <w:szCs w:val="20"/>
          <w:color w:val="auto"/>
        </w:rPr>
      </w:pPr>
    </w:p>
    <w:p>
      <w:pPr>
        <w:ind w:left="1100" w:hanging="347"/>
        <w:spacing w:after="0"/>
        <w:tabs>
          <w:tab w:leader="none" w:pos="1100" w:val="left"/>
        </w:tabs>
        <w:numPr>
          <w:ilvl w:val="0"/>
          <w:numId w:val="20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Loss Per Share in Accordance with U.S. GAAP (SFAS 128)</w:t>
      </w:r>
    </w:p>
    <w:p>
      <w:pPr>
        <w:spacing w:after="0" w:line="174" w:lineRule="exact"/>
        <w:rPr>
          <w:sz w:val="20"/>
          <w:szCs w:val="20"/>
          <w:color w:val="auto"/>
        </w:rPr>
      </w:pPr>
    </w:p>
    <w:p>
      <w:pPr>
        <w:ind w:left="1120" w:right="2839"/>
        <w:spacing w:after="0" w:line="258" w:lineRule="auto"/>
        <w:rPr>
          <w:sz w:val="20"/>
          <w:szCs w:val="20"/>
          <w:color w:val="auto"/>
        </w:rPr>
      </w:pPr>
      <w:r>
        <w:rPr>
          <w:rFonts w:ascii="Times New Roman" w:cs="Times New Roman" w:eastAsia="Times New Roman" w:hAnsi="Times New Roman"/>
          <w:sz w:val="14"/>
          <w:szCs w:val="14"/>
          <w:color w:val="auto"/>
        </w:rPr>
        <w:t>In accordance with U.S. GAAP (SFAS 128), including the implementation of SFAS 133 and SFAS 138 and APB 14 as described in G above, the basic and diluted loss per share for the nine-month and three-month periods ended September 30, 2003 would be $1.49 and $0.77, respectively (during the corresponding periods — $1.34 and $0.48,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SUBSEQUENT APPROVAL DATE EVENTS</w:t>
      </w:r>
    </w:p>
    <w:p>
      <w:pPr>
        <w:spacing w:after="0" w:line="91" w:lineRule="exact"/>
        <w:rPr>
          <w:sz w:val="20"/>
          <w:szCs w:val="20"/>
          <w:color w:val="auto"/>
        </w:rPr>
      </w:pPr>
    </w:p>
    <w:p>
      <w:pPr>
        <w:ind w:left="1120" w:right="2859"/>
        <w:spacing w:after="0" w:line="256" w:lineRule="auto"/>
        <w:rPr>
          <w:sz w:val="20"/>
          <w:szCs w:val="20"/>
          <w:color w:val="auto"/>
        </w:rPr>
      </w:pPr>
      <w:r>
        <w:rPr>
          <w:rFonts w:ascii="Times New Roman" w:cs="Times New Roman" w:eastAsia="Times New Roman" w:hAnsi="Times New Roman"/>
          <w:sz w:val="14"/>
          <w:szCs w:val="14"/>
          <w:color w:val="auto"/>
        </w:rPr>
        <w:t>On November 11, 2003, subsequent to the approval date of the interim financial statements (October 30, 2003), definitive agreements with respect to the arrangements and proposed amendments described in Notes 3A and 3B were signed. Accordingly, the primary Wafer Partners and Equity Investor formally agreed to complete the remainder of their fifth and final milestone in the aggregate amount of $24,600; the Banks formally agreed to substantially revise the terms of</w:t>
      </w:r>
    </w:p>
    <w:p>
      <w:pPr>
        <w:spacing w:after="0" w:line="20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257810</wp:posOffset>
            </wp:positionV>
            <wp:extent cx="5062220" cy="38735"/>
            <wp:wrapNone/>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9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TOWER SEMICONDUCTOR LTD. AND SUBSIDIARY</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NOTES TO UNAUDITED CONDENSED INTERIM CONSOLIDATED</w:t>
      </w:r>
    </w:p>
    <w:p>
      <w:pPr>
        <w:sectPr>
          <w:pgSz w:w="11900" w:h="16838" w:orient="portrait"/>
          <w:cols w:equalWidth="0" w:num="1">
            <w:col w:w="10239"/>
          </w:cols>
          <w:pgMar w:left="220" w:top="322" w:right="1440" w:bottom="0" w:gutter="0" w:footer="0" w:header="0"/>
        </w:sectPr>
      </w:pPr>
    </w:p>
    <w:bookmarkStart w:id="81" w:name="page82"/>
    <w:bookmarkEnd w:id="81"/>
    <w:p>
      <w:pPr>
        <w:spacing w:after="0" w:line="60"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FINANCIAL STATEMENTS AS OF SEPTEMBER 30, 2003</w:t>
      </w:r>
    </w:p>
    <w:p>
      <w:pPr>
        <w:spacing w:after="0" w:line="23"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color w:val="auto"/>
        </w:rPr>
        <w:t>(dollars in thousands, except share data and per share data)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SUBSEQUENT APPROVAL DATE EVENTS (Continued)</w:t>
      </w:r>
    </w:p>
    <w:p>
      <w:pPr>
        <w:spacing w:after="0" w:line="91" w:lineRule="exact"/>
        <w:rPr>
          <w:sz w:val="20"/>
          <w:szCs w:val="20"/>
          <w:color w:val="auto"/>
        </w:rPr>
      </w:pPr>
    </w:p>
    <w:p>
      <w:pPr>
        <w:jc w:val="both"/>
        <w:ind w:left="1120" w:right="2919"/>
        <w:spacing w:after="0" w:line="263" w:lineRule="auto"/>
        <w:rPr>
          <w:sz w:val="20"/>
          <w:szCs w:val="20"/>
          <w:color w:val="auto"/>
        </w:rPr>
      </w:pPr>
      <w:r>
        <w:rPr>
          <w:rFonts w:ascii="Times New Roman" w:cs="Times New Roman" w:eastAsia="Times New Roman" w:hAnsi="Times New Roman"/>
          <w:sz w:val="14"/>
          <w:szCs w:val="14"/>
          <w:color w:val="auto"/>
        </w:rPr>
        <w:t>the Facility Agreement and TIC formally agreed to provide the Banks with the written undertaking described in Notes 3A and 3B. Those agreements were approved by the Company's audit committee, Board of directors and the Company's shareholders and they closed on December 16, 2003.</w:t>
      </w:r>
    </w:p>
    <w:p>
      <w:pPr>
        <w:spacing w:after="0" w:line="54" w:lineRule="exact"/>
        <w:rPr>
          <w:sz w:val="20"/>
          <w:szCs w:val="20"/>
          <w:color w:val="auto"/>
        </w:rPr>
      </w:pPr>
    </w:p>
    <w:p>
      <w:pPr>
        <w:ind w:left="1120" w:right="2939"/>
        <w:spacing w:after="0" w:line="258" w:lineRule="auto"/>
        <w:rPr>
          <w:sz w:val="20"/>
          <w:szCs w:val="20"/>
          <w:color w:val="auto"/>
        </w:rPr>
      </w:pPr>
      <w:r>
        <w:rPr>
          <w:rFonts w:ascii="Times New Roman" w:cs="Times New Roman" w:eastAsia="Times New Roman" w:hAnsi="Times New Roman"/>
          <w:sz w:val="14"/>
          <w:szCs w:val="14"/>
          <w:color w:val="auto"/>
        </w:rPr>
        <w:t>As part of these arrangements, the Company agreed to indemnify TIC and ICTech for liabilities they incur with respect to these arrangements up to $100,000 as follows: up to $25,000 payable in cash, and any amount exceeding such $25,000 limit will earn interest at Libor plus 2.50% and be paid on the same terms that the Company repays its loans to the Banks.</w:t>
      </w:r>
    </w:p>
    <w:p>
      <w:pPr>
        <w:spacing w:after="0" w:line="193"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94">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462280</wp:posOffset>
            </wp:positionV>
            <wp:extent cx="4131310" cy="184785"/>
            <wp:wrapNone/>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5">
                      <a:extLst>
                        <a:ext uri="{28A0092B-C50C-407E-A947-70E740481C1C}"/>
                      </a:extLst>
                    </a:blip>
                    <a:srcRect/>
                    <a:stretch>
                      <a:fillRect/>
                    </a:stretch>
                  </pic:blipFill>
                  <pic:spPr bwMode="auto">
                    <a:xfrm>
                      <a:off x="0" y="0"/>
                      <a:ext cx="4131310" cy="184785"/>
                    </a:xfrm>
                    <a:prstGeom prst="rect">
                      <a:avLst/>
                    </a:prstGeom>
                    <a:noFill/>
                  </pic:spPr>
                </pic:pic>
              </a:graphicData>
            </a:graphic>
          </wp:anchor>
        </w:drawing>
        <w:drawing>
          <wp:anchor simplePos="0" relativeHeight="251657728" behindDoc="1" locked="0" layoutInCell="0" allowOverlap="1">
            <wp:simplePos x="0" y="0"/>
            <wp:positionH relativeFrom="column">
              <wp:posOffset>1397000</wp:posOffset>
            </wp:positionH>
            <wp:positionV relativeFrom="paragraph">
              <wp:posOffset>1282065</wp:posOffset>
            </wp:positionV>
            <wp:extent cx="1335405" cy="436245"/>
            <wp:wrapNone/>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6">
                      <a:extLst>
                        <a:ext uri="{28A0092B-C50C-407E-A947-70E740481C1C}"/>
                      </a:extLst>
                    </a:blip>
                    <a:srcRect/>
                    <a:stretch>
                      <a:fillRect/>
                    </a:stretch>
                  </pic:blipFill>
                  <pic:spPr bwMode="auto">
                    <a:xfrm>
                      <a:off x="0" y="0"/>
                      <a:ext cx="1335405" cy="436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9"/>
          <w:szCs w:val="19"/>
          <w:b w:val="1"/>
          <w:bCs w:val="1"/>
          <w:color w:val="auto"/>
        </w:rPr>
        <w:t>12,000,000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325995" cy="455930"/>
            <wp:wrapNone/>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7">
                      <a:extLst>
                        <a:ext uri="{28A0092B-C50C-407E-A947-70E740481C1C}"/>
                      </a:extLst>
                    </a:blip>
                    <a:srcRect/>
                    <a:stretch>
                      <a:fillRect/>
                    </a:stretch>
                  </pic:blipFill>
                  <pic:spPr bwMode="auto">
                    <a:xfrm>
                      <a:off x="0" y="0"/>
                      <a:ext cx="7325995" cy="45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FF0000"/>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325995" cy="112395"/>
            <wp:wrapNone/>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8">
                      <a:extLst>
                        <a:ext uri="{28A0092B-C50C-407E-A947-70E740481C1C}"/>
                      </a:extLst>
                    </a:blip>
                    <a:srcRect/>
                    <a:stretch>
                      <a:fillRect/>
                    </a:stretch>
                  </pic:blipFill>
                  <pic:spPr bwMode="auto">
                    <a:xfrm>
                      <a:off x="0" y="0"/>
                      <a:ext cx="7325995" cy="11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5"/>
          <w:szCs w:val="25"/>
          <w:b w:val="1"/>
          <w:bCs w:val="1"/>
          <w:color w:val="auto"/>
        </w:rPr>
        <w:t>CIBC World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5"/>
          <w:szCs w:val="25"/>
          <w:b w:val="1"/>
          <w:bCs w:val="1"/>
          <w:color w:val="auto"/>
        </w:rPr>
        <w:t>U.S. Bancorp Piper Jaffray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5"/>
          <w:szCs w:val="25"/>
          <w:b w:val="1"/>
          <w:bCs w:val="1"/>
          <w:color w:val="auto"/>
        </w:rPr>
        <w:t>C.E. Unterberg, Towbin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382270</wp:posOffset>
            </wp:positionV>
            <wp:extent cx="4131310" cy="297180"/>
            <wp:wrapNone/>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9">
                      <a:extLst>
                        <a:ext uri="{28A0092B-C50C-407E-A947-70E740481C1C}"/>
                      </a:extLst>
                    </a:blip>
                    <a:srcRect/>
                    <a:stretch>
                      <a:fillRect/>
                    </a:stretch>
                  </pic:blipFill>
                  <pic:spPr bwMode="auto">
                    <a:xfrm>
                      <a:off x="0" y="0"/>
                      <a:ext cx="4131310" cy="297180"/>
                    </a:xfrm>
                    <a:prstGeom prst="rect">
                      <a:avLst/>
                    </a:prstGeom>
                    <a:noFill/>
                  </pic:spPr>
                </pic:pic>
              </a:graphicData>
            </a:graphic>
          </wp:anchor>
        </w:drawing>
      </w:r>
    </w:p>
    <w:p>
      <w:pPr>
        <w:sectPr>
          <w:pgSz w:w="11900" w:h="16898" w:orient="portrait"/>
          <w:cols w:equalWidth="0" w:num="1">
            <w:col w:w="10239"/>
          </w:cols>
          <w:pgMar w:left="220" w:top="1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39"/>
        <w:spacing w:after="0" w:line="265"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No dealer, salesperson or other person is authorized to give information that is not contained in this prospectus. This prospectus is not an offer to sell nor is it seeking an offer to buy these securities in any jurisdiction where the offer or sale is not permitted. The</w:t>
      </w:r>
    </w:p>
    <w:p>
      <w:pPr>
        <w:sectPr>
          <w:pgSz w:w="11900" w:h="16898" w:orient="portrait"/>
          <w:cols w:equalWidth="0" w:num="1">
            <w:col w:w="10239"/>
          </w:cols>
          <w:pgMar w:left="220" w:top="123" w:right="1440" w:bottom="0" w:gutter="0" w:footer="0" w:header="0"/>
          <w:type w:val="continuous"/>
        </w:sectPr>
      </w:pPr>
    </w:p>
    <w:bookmarkStart w:id="82" w:name="page83"/>
    <w:bookmarkEnd w:id="82"/>
    <w:p>
      <w:pPr>
        <w:ind w:right="3579"/>
        <w:spacing w:after="0" w:line="282" w:lineRule="auto"/>
        <w:rPr>
          <w:sz w:val="20"/>
          <w:szCs w:val="20"/>
          <w:color w:val="auto"/>
        </w:rPr>
      </w:pPr>
      <w:r>
        <w:rPr>
          <w:rFonts w:ascii="Times New Roman" w:cs="Times New Roman" w:eastAsia="Times New Roman" w:hAnsi="Times New Roman"/>
          <w:sz w:val="14"/>
          <w:szCs w:val="14"/>
          <w:b w:val="1"/>
          <w:bCs w:val="1"/>
          <w:color w:val="auto"/>
        </w:rPr>
        <w:t>information contained in this prospectus is correct only as of the date of this prospectus, regardless of the time of the delivery of this prospectus or any sale of these securities.</w:t>
      </w:r>
    </w:p>
    <w:p>
      <w:pPr>
        <w:spacing w:after="0" w:line="3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299085</wp:posOffset>
            </wp:positionV>
            <wp:extent cx="5062220" cy="38735"/>
            <wp:wrapNone/>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300">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67310</wp:posOffset>
            </wp:positionV>
            <wp:extent cx="4124960" cy="73025"/>
            <wp:wrapNone/>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301">
                      <a:extLst>
                        <a:ext uri="{28A0092B-C50C-407E-A947-70E740481C1C}"/>
                      </a:extLst>
                    </a:blip>
                    <a:srcRect/>
                    <a:stretch>
                      <a:fillRect/>
                    </a:stretch>
                  </pic:blipFill>
                  <pic:spPr bwMode="auto">
                    <a:xfrm>
                      <a:off x="0" y="0"/>
                      <a:ext cx="4124960" cy="7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89"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 Indemnification of directors and officers</w:t>
      </w:r>
    </w:p>
    <w:p>
      <w:pPr>
        <w:spacing w:after="0" w:line="91" w:lineRule="exact"/>
        <w:rPr>
          <w:sz w:val="20"/>
          <w:szCs w:val="20"/>
          <w:color w:val="auto"/>
        </w:rPr>
      </w:pPr>
    </w:p>
    <w:p>
      <w:pPr>
        <w:ind w:right="4339"/>
        <w:spacing w:after="0" w:line="279" w:lineRule="auto"/>
        <w:rPr>
          <w:sz w:val="20"/>
          <w:szCs w:val="20"/>
          <w:color w:val="auto"/>
        </w:rPr>
      </w:pPr>
      <w:r>
        <w:rPr>
          <w:rFonts w:ascii="Times New Roman" w:cs="Times New Roman" w:eastAsia="Times New Roman" w:hAnsi="Times New Roman"/>
          <w:sz w:val="14"/>
          <w:szCs w:val="14"/>
          <w:color w:val="auto"/>
        </w:rPr>
        <w:t>The Israeli Companies Law, or the Companies Law, provides that a company may include in its articles of association provisions allowing it to:</w:t>
      </w:r>
    </w:p>
    <w:p>
      <w:pPr>
        <w:spacing w:after="0" w:line="42" w:lineRule="exact"/>
        <w:rPr>
          <w:sz w:val="20"/>
          <w:szCs w:val="20"/>
          <w:color w:val="auto"/>
        </w:rPr>
      </w:pPr>
    </w:p>
    <w:p>
      <w:pPr>
        <w:ind w:right="4139" w:firstLine="3"/>
        <w:spacing w:after="0" w:line="279" w:lineRule="auto"/>
        <w:tabs>
          <w:tab w:leader="none" w:pos="243"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partially or fully, exempt in advance, an office holder of the company from his responsibility for damages caused by the breach of his duty of care to the company.</w:t>
      </w:r>
    </w:p>
    <w:p>
      <w:pPr>
        <w:spacing w:after="0" w:line="42" w:lineRule="exact"/>
        <w:rPr>
          <w:rFonts w:ascii="Times New Roman" w:cs="Times New Roman" w:eastAsia="Times New Roman" w:hAnsi="Times New Roman"/>
          <w:sz w:val="14"/>
          <w:szCs w:val="14"/>
          <w:color w:val="auto"/>
        </w:rPr>
      </w:pPr>
    </w:p>
    <w:p>
      <w:pPr>
        <w:ind w:right="4039" w:firstLine="3"/>
        <w:spacing w:after="0" w:line="279" w:lineRule="auto"/>
        <w:tabs>
          <w:tab w:leader="none" w:pos="243"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 contract to insure the liability of an office holder of the company by reason of acts or omissions committed in his capacity as an office holder of the company with respect to the following:</w:t>
      </w:r>
    </w:p>
    <w:p>
      <w:pPr>
        <w:spacing w:after="0" w:line="42" w:lineRule="exact"/>
        <w:rPr>
          <w:sz w:val="20"/>
          <w:szCs w:val="20"/>
          <w:color w:val="auto"/>
        </w:rPr>
      </w:pPr>
    </w:p>
    <w:p>
      <w:pPr>
        <w:ind w:left="300" w:hanging="297"/>
        <w:spacing w:after="0"/>
        <w:tabs>
          <w:tab w:leader="none" w:pos="30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breach of his duty of care to the company or any other person;</w:t>
      </w:r>
    </w:p>
    <w:p>
      <w:pPr>
        <w:spacing w:after="0" w:line="88" w:lineRule="exact"/>
        <w:rPr>
          <w:rFonts w:ascii="Times New Roman" w:cs="Times New Roman" w:eastAsia="Times New Roman" w:hAnsi="Times New Roman"/>
          <w:sz w:val="14"/>
          <w:szCs w:val="14"/>
          <w:color w:val="auto"/>
        </w:rPr>
      </w:pPr>
    </w:p>
    <w:p>
      <w:pPr>
        <w:ind w:right="4159" w:firstLine="3"/>
        <w:spacing w:after="0" w:line="279" w:lineRule="auto"/>
        <w:tabs>
          <w:tab w:leader="none" w:pos="301"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breach of his fiduciary duty to the company to the extent he acted in good faith and had a reasonable basis to believe that the act or omission would not prejudice the interests of the company; and</w:t>
      </w:r>
    </w:p>
    <w:p>
      <w:pPr>
        <w:spacing w:after="0" w:line="42"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monetary liabilities or obligations which may be imposed upon him in favor of other persons.</w:t>
      </w:r>
    </w:p>
    <w:p>
      <w:pPr>
        <w:spacing w:after="0" w:line="8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3"/>
          <w:szCs w:val="13"/>
          <w:color w:val="auto"/>
        </w:rPr>
        <w:t>indemnify an office holder of the company for:</w:t>
      </w:r>
    </w:p>
    <w:p>
      <w:pPr>
        <w:spacing w:after="0" w:line="89" w:lineRule="exact"/>
        <w:rPr>
          <w:sz w:val="20"/>
          <w:szCs w:val="20"/>
          <w:color w:val="auto"/>
        </w:rPr>
      </w:pPr>
    </w:p>
    <w:p>
      <w:pPr>
        <w:ind w:right="3939" w:firstLine="3"/>
        <w:spacing w:after="0" w:line="263" w:lineRule="auto"/>
        <w:tabs>
          <w:tab w:leader="none" w:pos="293"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 and</w:t>
      </w:r>
    </w:p>
    <w:p>
      <w:pPr>
        <w:spacing w:after="0" w:line="53" w:lineRule="exact"/>
        <w:rPr>
          <w:rFonts w:ascii="Times New Roman" w:cs="Times New Roman" w:eastAsia="Times New Roman" w:hAnsi="Times New Roman"/>
          <w:sz w:val="14"/>
          <w:szCs w:val="14"/>
          <w:color w:val="auto"/>
        </w:rPr>
      </w:pPr>
    </w:p>
    <w:p>
      <w:pPr>
        <w:ind w:right="3979" w:firstLine="3"/>
        <w:spacing w:after="0" w:line="256" w:lineRule="auto"/>
        <w:tabs>
          <w:tab w:leader="none" w:pos="301"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w:t>
      </w:r>
    </w:p>
    <w:p>
      <w:pPr>
        <w:spacing w:after="0" w:line="57" w:lineRule="exact"/>
        <w:rPr>
          <w:sz w:val="20"/>
          <w:szCs w:val="20"/>
          <w:color w:val="auto"/>
        </w:rPr>
      </w:pPr>
    </w:p>
    <w:p>
      <w:pPr>
        <w:ind w:right="4059"/>
        <w:spacing w:after="0" w:line="256" w:lineRule="auto"/>
        <w:rPr>
          <w:sz w:val="20"/>
          <w:szCs w:val="20"/>
          <w:color w:val="auto"/>
        </w:rPr>
      </w:pPr>
      <w:r>
        <w:rPr>
          <w:rFonts w:ascii="Times New Roman" w:cs="Times New Roman" w:eastAsia="Times New Roman" w:hAnsi="Times New Roman"/>
          <w:sz w:val="14"/>
          <w:szCs w:val="14"/>
          <w:color w:val="auto"/>
        </w:rPr>
        <w:t>The Companies Law provides that a company's articles of association may provide for indemnification of an office holder post-factum and may also provide that a company may undertake to indemnify an office holder in advance, provided such undertaking is limited to types of occurrences, which, in the opinion of the company's board of directors, are, at the time of the undertaking, foreseeable and to an amount the board of directors has determined is reasonable in the circumstances.</w:t>
      </w:r>
    </w:p>
    <w:p>
      <w:pPr>
        <w:spacing w:after="0" w:line="141" w:lineRule="exact"/>
        <w:rPr>
          <w:sz w:val="20"/>
          <w:szCs w:val="20"/>
          <w:color w:val="auto"/>
        </w:rPr>
      </w:pPr>
    </w:p>
    <w:p>
      <w:pPr>
        <w:ind w:left="400" w:right="4419" w:hanging="261"/>
        <w:spacing w:after="0" w:line="263" w:lineRule="auto"/>
        <w:tabs>
          <w:tab w:leader="none" w:pos="4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37"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his fiduciary duty, except to the extent described above;</w:t>
      </w:r>
    </w:p>
    <w:p>
      <w:pPr>
        <w:spacing w:after="0" w:line="172" w:lineRule="exact"/>
        <w:rPr>
          <w:rFonts w:ascii="Times New Roman" w:cs="Times New Roman" w:eastAsia="Times New Roman" w:hAnsi="Times New Roman"/>
          <w:sz w:val="14"/>
          <w:szCs w:val="14"/>
          <w:color w:val="auto"/>
        </w:rPr>
      </w:pPr>
    </w:p>
    <w:p>
      <w:pPr>
        <w:ind w:left="400" w:right="4439" w:hanging="261"/>
        <w:spacing w:after="0" w:line="279" w:lineRule="auto"/>
        <w:tabs>
          <w:tab w:leader="none" w:pos="4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his duty of care, if such breach was done intentionally, recklessly or with disregard of the circumstances of the breach or its consequences;</w:t>
      </w:r>
    </w:p>
    <w:p>
      <w:pPr>
        <w:spacing w:after="0" w:line="125"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or omission done with the intent to unlawfully realize personal gain; or</w:t>
      </w:r>
    </w:p>
    <w:p>
      <w:pPr>
        <w:spacing w:after="0" w:line="172" w:lineRule="exact"/>
        <w:rPr>
          <w:rFonts w:ascii="Times New Roman" w:cs="Times New Roman" w:eastAsia="Times New Roman" w:hAnsi="Times New Roman"/>
          <w:sz w:val="14"/>
          <w:szCs w:val="14"/>
          <w:color w:val="auto"/>
        </w:rPr>
      </w:pPr>
    </w:p>
    <w:p>
      <w:pPr>
        <w:ind w:left="400" w:hanging="261"/>
        <w:spacing w:after="0"/>
        <w:tabs>
          <w:tab w:leader="none" w:pos="400"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fine or monetary settlement imposed upon him.</w:t>
      </w:r>
    </w:p>
    <w:p>
      <w:pPr>
        <w:spacing w:after="0" w:line="172" w:lineRule="exact"/>
        <w:rPr>
          <w:sz w:val="20"/>
          <w:szCs w:val="20"/>
          <w:color w:val="auto"/>
        </w:rPr>
      </w:pPr>
    </w:p>
    <w:p>
      <w:pPr>
        <w:ind w:right="3999"/>
        <w:spacing w:after="0" w:line="258" w:lineRule="auto"/>
        <w:rPr>
          <w:sz w:val="20"/>
          <w:szCs w:val="20"/>
          <w:color w:val="auto"/>
        </w:rPr>
      </w:pPr>
      <w:r>
        <w:rPr>
          <w:rFonts w:ascii="Times New Roman" w:cs="Times New Roman" w:eastAsia="Times New Roman" w:hAnsi="Times New Roman"/>
          <w:sz w:val="14"/>
          <w:szCs w:val="14"/>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57" w:lineRule="exact"/>
        <w:rPr>
          <w:sz w:val="20"/>
          <w:szCs w:val="20"/>
          <w:color w:val="auto"/>
        </w:rPr>
      </w:pPr>
    </w:p>
    <w:p>
      <w:pPr>
        <w:ind w:right="3999"/>
        <w:spacing w:after="0" w:line="258" w:lineRule="auto"/>
        <w:rPr>
          <w:sz w:val="20"/>
          <w:szCs w:val="20"/>
          <w:color w:val="auto"/>
        </w:rPr>
      </w:pPr>
      <w:r>
        <w:rPr>
          <w:rFonts w:ascii="Times New Roman" w:cs="Times New Roman" w:eastAsia="Times New Roman" w:hAnsi="Times New Roman"/>
          <w:sz w:val="14"/>
          <w:szCs w:val="14"/>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193"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30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4119"/>
        <w:spacing w:after="0" w:line="319" w:lineRule="auto"/>
        <w:rPr>
          <w:sz w:val="20"/>
          <w:szCs w:val="20"/>
          <w:color w:val="auto"/>
        </w:rPr>
      </w:pPr>
      <w:r>
        <w:rPr>
          <w:rFonts w:ascii="Times New Roman" w:cs="Times New Roman" w:eastAsia="Times New Roman" w:hAnsi="Times New Roman"/>
          <w:sz w:val="13"/>
          <w:szCs w:val="13"/>
          <w:color w:val="auto"/>
        </w:rPr>
        <w:t>Our Articles of Association have been amended to allow for indemnification of, and procurement of insurance coverage for our officers and directors to the maximum extent provided for by the Companies Law.</w:t>
      </w:r>
    </w:p>
    <w:p>
      <w:pPr>
        <w:spacing w:after="0" w:line="19" w:lineRule="exact"/>
        <w:rPr>
          <w:sz w:val="20"/>
          <w:szCs w:val="20"/>
          <w:color w:val="auto"/>
        </w:rPr>
      </w:pPr>
    </w:p>
    <w:p>
      <w:pPr>
        <w:ind w:right="4179"/>
        <w:spacing w:after="0" w:line="263" w:lineRule="auto"/>
        <w:rPr>
          <w:sz w:val="20"/>
          <w:szCs w:val="20"/>
          <w:color w:val="auto"/>
        </w:rPr>
      </w:pPr>
      <w:r>
        <w:rPr>
          <w:rFonts w:ascii="Times New Roman" w:cs="Times New Roman" w:eastAsia="Times New Roman" w:hAnsi="Times New Roman"/>
          <w:sz w:val="14"/>
          <w:szCs w:val="14"/>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3919855" cy="6350"/>
            <wp:wrapNone/>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303">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81"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4"/>
          <w:szCs w:val="14"/>
          <w:color w:val="auto"/>
        </w:rPr>
        <w:t>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919855" cy="6350"/>
            <wp:wrapNone/>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304">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63"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3"/>
          <w:szCs w:val="13"/>
          <w:color w:val="auto"/>
        </w:rPr>
        <w:t>Opinion of Yigal Arnon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919855" cy="6350"/>
            <wp:wrapNone/>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5">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63"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4"/>
          <w:szCs w:val="14"/>
          <w:color w:val="auto"/>
        </w:rPr>
        <w:t>15.1</w:t>
      </w:r>
      <w:r>
        <w:rPr>
          <w:sz w:val="20"/>
          <w:szCs w:val="20"/>
          <w:color w:val="auto"/>
        </w:rPr>
        <w:tab/>
      </w:r>
      <w:r>
        <w:rPr>
          <w:rFonts w:ascii="Times New Roman" w:cs="Times New Roman" w:eastAsia="Times New Roman" w:hAnsi="Times New Roman"/>
          <w:sz w:val="13"/>
          <w:szCs w:val="13"/>
          <w:color w:val="auto"/>
        </w:rPr>
        <w:t>Awareness letter regarding unaudited condensed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919855" cy="6350"/>
            <wp:wrapNone/>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6">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63" w:lineRule="exact"/>
        <w:rPr>
          <w:sz w:val="20"/>
          <w:szCs w:val="20"/>
          <w:color w:val="auto"/>
        </w:rPr>
      </w:pPr>
    </w:p>
    <w:p>
      <w:pPr>
        <w:ind w:left="360"/>
        <w:spacing w:after="0"/>
        <w:tabs>
          <w:tab w:leader="none" w:pos="80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3"/>
          <w:szCs w:val="13"/>
          <w:color w:val="auto"/>
        </w:rPr>
        <w:t>Consent of Yigal Arnon &amp; Co. (contained in their opinion constituting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919855" cy="6350"/>
            <wp:wrapNone/>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7">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63"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4"/>
          <w:szCs w:val="14"/>
          <w:color w:val="auto"/>
        </w:rPr>
        <w:t>23.3</w:t>
      </w:r>
      <w:r>
        <w:rPr>
          <w:sz w:val="20"/>
          <w:szCs w:val="20"/>
          <w:color w:val="auto"/>
        </w:rPr>
        <w:tab/>
      </w:r>
      <w:r>
        <w:rPr>
          <w:rFonts w:ascii="Times New Roman" w:cs="Times New Roman" w:eastAsia="Times New Roman" w:hAnsi="Times New Roman"/>
          <w:sz w:val="13"/>
          <w:szCs w:val="13"/>
          <w:color w:val="auto"/>
        </w:rPr>
        <w:t>Consent of Brightman Almagor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65405</wp:posOffset>
            </wp:positionV>
            <wp:extent cx="3919855" cy="6350"/>
            <wp:wrapNone/>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8">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163" w:lineRule="exact"/>
        <w:rPr>
          <w:sz w:val="20"/>
          <w:szCs w:val="20"/>
          <w:color w:val="auto"/>
        </w:rPr>
      </w:pPr>
    </w:p>
    <w:p>
      <w:pPr>
        <w:ind w:left="280"/>
        <w:spacing w:after="0"/>
        <w:tabs>
          <w:tab w:leader="none" w:pos="80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color w:val="auto"/>
        </w:rPr>
        <w:t>Power of attorney (set forth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3926840" cy="112395"/>
            <wp:wrapNone/>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9">
                      <a:extLst>
                        <a:ext uri="{28A0092B-C50C-407E-A947-70E740481C1C}"/>
                      </a:extLst>
                    </a:blip>
                    <a:srcRect/>
                    <a:stretch>
                      <a:fillRect/>
                    </a:stretch>
                  </pic:blipFill>
                  <pic:spPr bwMode="auto">
                    <a:xfrm>
                      <a:off x="0" y="0"/>
                      <a:ext cx="3926840" cy="112395"/>
                    </a:xfrm>
                    <a:prstGeom prst="rect">
                      <a:avLst/>
                    </a:prstGeom>
                    <a:noFill/>
                  </pic:spPr>
                </pic:pic>
              </a:graphicData>
            </a:graphic>
          </wp:anchor>
        </w:drawing>
      </w:r>
    </w:p>
    <w:p>
      <w:pPr>
        <w:spacing w:after="0" w:line="243" w:lineRule="exact"/>
        <w:rPr>
          <w:sz w:val="20"/>
          <w:szCs w:val="20"/>
          <w:color w:val="auto"/>
        </w:rPr>
      </w:pPr>
    </w:p>
    <w:p>
      <w:pPr>
        <w:ind w:right="8819" w:firstLine="3"/>
        <w:spacing w:after="0" w:line="406" w:lineRule="auto"/>
        <w:tabs>
          <w:tab w:leader="none" w:pos="229" w:val="left"/>
        </w:tabs>
        <w:numPr>
          <w:ilvl w:val="0"/>
          <w:numId w:val="20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filed by amendment. ** Previously filed.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Undertakings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undersigned Registrant hereby undertakes:</w:t>
      </w:r>
    </w:p>
    <w:p>
      <w:pPr>
        <w:sectPr>
          <w:pgSz w:w="11900" w:h="16838" w:orient="portrait"/>
          <w:cols w:equalWidth="0" w:num="1">
            <w:col w:w="10239"/>
          </w:cols>
          <w:pgMar w:left="220" w:top="123" w:right="1440" w:bottom="0" w:gutter="0" w:footer="0" w:header="0"/>
        </w:sectPr>
      </w:pPr>
    </w:p>
    <w:bookmarkStart w:id="83" w:name="page84"/>
    <w:bookmarkEnd w:id="83"/>
    <w:p>
      <w:pPr>
        <w:jc w:val="both"/>
        <w:ind w:right="4139" w:firstLine="3"/>
        <w:spacing w:after="0" w:line="263" w:lineRule="auto"/>
        <w:tabs>
          <w:tab w:leader="none" w:pos="298"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the Underwriters, at the closing specified in the Underwriting Agreement, certificates in such denominations and registered in such names as required by the Underwriter to permit prompt delivery to each purchaser.</w:t>
      </w:r>
    </w:p>
    <w:p>
      <w:pPr>
        <w:spacing w:after="0" w:line="53" w:lineRule="exact"/>
        <w:rPr>
          <w:rFonts w:ascii="Times New Roman" w:cs="Times New Roman" w:eastAsia="Times New Roman" w:hAnsi="Times New Roman"/>
          <w:sz w:val="14"/>
          <w:szCs w:val="14"/>
          <w:color w:val="auto"/>
        </w:rPr>
      </w:pPr>
    </w:p>
    <w:p>
      <w:pPr>
        <w:ind w:right="3999" w:firstLine="3"/>
        <w:spacing w:after="0" w:line="258" w:lineRule="auto"/>
        <w:tabs>
          <w:tab w:leader="none" w:pos="298"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7" w:lineRule="exact"/>
        <w:rPr>
          <w:rFonts w:ascii="Times New Roman" w:cs="Times New Roman" w:eastAsia="Times New Roman" w:hAnsi="Times New Roman"/>
          <w:sz w:val="14"/>
          <w:szCs w:val="14"/>
          <w:color w:val="auto"/>
        </w:rPr>
      </w:pPr>
    </w:p>
    <w:p>
      <w:pPr>
        <w:ind w:right="4039" w:firstLine="3"/>
        <w:spacing w:after="0" w:line="258" w:lineRule="auto"/>
        <w:tabs>
          <w:tab w:leader="none" w:pos="298"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57" w:lineRule="exact"/>
        <w:rPr>
          <w:rFonts w:ascii="Times New Roman" w:cs="Times New Roman" w:eastAsia="Times New Roman" w:hAnsi="Times New Roman"/>
          <w:sz w:val="14"/>
          <w:szCs w:val="14"/>
          <w:color w:val="auto"/>
        </w:rPr>
      </w:pPr>
    </w:p>
    <w:p>
      <w:pPr>
        <w:ind w:right="3919" w:firstLine="3"/>
        <w:spacing w:after="0" w:line="254" w:lineRule="auto"/>
        <w:tabs>
          <w:tab w:leader="none" w:pos="298"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bona fide</w:t>
      </w:r>
      <w:r>
        <w:rPr>
          <w:rFonts w:ascii="Times New Roman" w:cs="Times New Roman" w:eastAsia="Times New Roman" w:hAnsi="Times New Roman"/>
          <w:sz w:val="14"/>
          <w:szCs w:val="14"/>
          <w:color w:val="auto"/>
        </w:rPr>
        <w:t xml:space="preserve"> offering thereof.</w:t>
      </w:r>
    </w:p>
    <w:p>
      <w:pPr>
        <w:spacing w:after="0" w:line="60" w:lineRule="exact"/>
        <w:rPr>
          <w:rFonts w:ascii="Times New Roman" w:cs="Times New Roman" w:eastAsia="Times New Roman" w:hAnsi="Times New Roman"/>
          <w:sz w:val="14"/>
          <w:szCs w:val="14"/>
          <w:color w:val="auto"/>
        </w:rPr>
      </w:pPr>
    </w:p>
    <w:p>
      <w:pPr>
        <w:ind w:right="3939" w:firstLine="3"/>
        <w:spacing w:after="0" w:line="253" w:lineRule="auto"/>
        <w:tabs>
          <w:tab w:leader="none" w:pos="298"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provice such interim financial information.</w:t>
      </w:r>
    </w:p>
    <w:p>
      <w:pPr>
        <w:spacing w:after="0" w:line="19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1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8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1" w:lineRule="exact"/>
        <w:rPr>
          <w:sz w:val="20"/>
          <w:szCs w:val="20"/>
          <w:color w:val="auto"/>
        </w:rPr>
      </w:pPr>
    </w:p>
    <w:p>
      <w:pPr>
        <w:ind w:right="4099" w:firstLine="278"/>
        <w:spacing w:after="0" w:line="287"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the registrant, Tower Semiconductor Ltd., has duly caused this Amendment No. 1 to the Registration Statement on Form F-3 to be signed on its behalf by the</w:t>
      </w:r>
    </w:p>
    <w:p>
      <w:pPr>
        <w:ind w:right="4219"/>
        <w:spacing w:after="0" w:line="211" w:lineRule="auto"/>
        <w:rPr>
          <w:sz w:val="20"/>
          <w:szCs w:val="20"/>
          <w:color w:val="auto"/>
        </w:rPr>
      </w:pPr>
      <w:r>
        <w:rPr>
          <w:rFonts w:ascii="Times New Roman" w:cs="Times New Roman" w:eastAsia="Times New Roman" w:hAnsi="Times New Roman"/>
          <w:sz w:val="14"/>
          <w:szCs w:val="14"/>
          <w:color w:val="auto"/>
        </w:rPr>
        <w:t>undersigned, thereunto duly authorized, in the City of Migdal Haemek, Israel, on this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day of 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53975</wp:posOffset>
            </wp:positionV>
            <wp:extent cx="3933190" cy="73025"/>
            <wp:wrapNone/>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11">
                      <a:extLst>
                        <a:ext uri="{28A0092B-C50C-407E-A947-70E740481C1C}"/>
                      </a:extLst>
                    </a:blip>
                    <a:srcRect/>
                    <a:stretch>
                      <a:fillRect/>
                    </a:stretch>
                  </pic:blipFill>
                  <pic:spPr bwMode="auto">
                    <a:xfrm>
                      <a:off x="0" y="0"/>
                      <a:ext cx="3933190" cy="7302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2"/>
          <w:szCs w:val="12"/>
          <w:b w:val="1"/>
          <w:bCs w:val="1"/>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-26035</wp:posOffset>
            </wp:positionV>
            <wp:extent cx="13335" cy="6350"/>
            <wp:wrapNone/>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12">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83" w:lineRule="exact"/>
        <w:rPr>
          <w:sz w:val="20"/>
          <w:szCs w:val="20"/>
          <w:color w:val="auto"/>
        </w:rPr>
      </w:pPr>
    </w:p>
    <w:p>
      <w:pPr>
        <w:ind w:left="2100"/>
        <w:spacing w:after="0"/>
        <w:tabs>
          <w:tab w:leader="none" w:pos="2380" w:val="left"/>
        </w:tabs>
        <w:rPr>
          <w:sz w:val="20"/>
          <w:szCs w:val="20"/>
          <w:color w:val="auto"/>
        </w:rPr>
      </w:pPr>
      <w:r>
        <w:rPr>
          <w:rFonts w:ascii="Times New Roman" w:cs="Times New Roman" w:eastAsia="Times New Roman" w:hAnsi="Times New Roman"/>
          <w:sz w:val="12"/>
          <w:szCs w:val="12"/>
          <w:color w:val="auto"/>
        </w:rPr>
        <w:t>By:</w:t>
        <w:tab/>
        <w:t>/s/  CARMEL VERNIA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-27305</wp:posOffset>
            </wp:positionV>
            <wp:extent cx="13335" cy="6350"/>
            <wp:wrapNone/>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1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-27305</wp:posOffset>
            </wp:positionV>
            <wp:extent cx="13335" cy="6350"/>
            <wp:wrapNone/>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14">
                      <a:extLst>
                        <a:ext uri="{28A0092B-C50C-407E-A947-70E740481C1C}"/>
                      </a:extLst>
                    </a:blip>
                    <a:srcRect/>
                    <a:stretch>
                      <a:fillRect/>
                    </a:stretch>
                  </pic:blipFill>
                  <pic:spPr bwMode="auto">
                    <a:xfrm>
                      <a:off x="0" y="0"/>
                      <a:ext cx="13335" cy="6350"/>
                    </a:xfrm>
                    <a:prstGeom prst="rect">
                      <a:avLst/>
                    </a:prstGeom>
                    <a:noFill/>
                  </pic:spPr>
                </pic:pic>
              </a:graphicData>
            </a:graphic>
          </wp:anchor>
        </w:drawing>
      </w:r>
    </w:p>
    <w:p>
      <w:pPr>
        <w:spacing w:after="0" w:line="2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2"/>
          <w:szCs w:val="12"/>
          <w:color w:val="auto"/>
        </w:rPr>
        <w:t>Carmel Vernia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-86995</wp:posOffset>
            </wp:positionV>
            <wp:extent cx="2406015" cy="6350"/>
            <wp:wrapNone/>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5">
                      <a:extLst>
                        <a:ext uri="{28A0092B-C50C-407E-A947-70E740481C1C}"/>
                      </a:extLst>
                    </a:blip>
                    <a:srcRect/>
                    <a:stretch>
                      <a:fillRect/>
                    </a:stretch>
                  </pic:blipFill>
                  <pic:spPr bwMode="auto">
                    <a:xfrm>
                      <a:off x="0" y="0"/>
                      <a:ext cx="2406015" cy="6350"/>
                    </a:xfrm>
                    <a:prstGeom prst="rect">
                      <a:avLst/>
                    </a:prstGeom>
                    <a:noFill/>
                  </pic:spPr>
                </pic:pic>
              </a:graphicData>
            </a:graphic>
          </wp:anchor>
        </w:drawing>
      </w:r>
    </w:p>
    <w:p>
      <w:pPr>
        <w:spacing w:after="0" w:line="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2"/>
          <w:szCs w:val="12"/>
          <w:color w:val="auto"/>
        </w:rPr>
        <w:t>Chairman of the Board of Directors and</w:t>
      </w:r>
    </w:p>
    <w:p>
      <w:pPr>
        <w:spacing w:after="0" w:line="1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1277620</wp:posOffset>
            </wp:positionH>
            <wp:positionV relativeFrom="paragraph">
              <wp:posOffset>-51435</wp:posOffset>
            </wp:positionV>
            <wp:extent cx="13335" cy="6350"/>
            <wp:wrapNone/>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1476375</wp:posOffset>
            </wp:positionH>
            <wp:positionV relativeFrom="paragraph">
              <wp:posOffset>-51435</wp:posOffset>
            </wp:positionV>
            <wp:extent cx="13335" cy="6350"/>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33655</wp:posOffset>
            </wp:positionV>
            <wp:extent cx="6350" cy="6604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8">
                      <a:extLst>
                        <a:ext uri="{28A0092B-C50C-407E-A947-70E740481C1C}"/>
                      </a:extLst>
                    </a:blip>
                    <a:srcRect/>
                    <a:stretch>
                      <a:fillRect/>
                    </a:stretch>
                  </pic:blipFill>
                  <pic:spPr bwMode="auto">
                    <a:xfrm>
                      <a:off x="0" y="0"/>
                      <a:ext cx="6350" cy="66040"/>
                    </a:xfrm>
                    <a:prstGeom prst="rect">
                      <a:avLst/>
                    </a:prstGeom>
                    <a:noFill/>
                  </pic:spPr>
                </pic:pic>
              </a:graphicData>
            </a:graphic>
          </wp:anchor>
        </w:drawing>
      </w:r>
    </w:p>
    <w:p>
      <w:pPr>
        <w:spacing w:after="0" w:line="206" w:lineRule="exact"/>
        <w:rPr>
          <w:sz w:val="20"/>
          <w:szCs w:val="20"/>
          <w:color w:val="auto"/>
        </w:rPr>
      </w:pPr>
    </w:p>
    <w:p>
      <w:pPr>
        <w:ind w:right="4199" w:firstLine="278"/>
        <w:spacing w:after="0" w:line="319"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this Amendment No. 1 to the registration statement on Form F-3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3919855" cy="6350"/>
            <wp:wrapNone/>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9">
                      <a:extLst>
                        <a:ext uri="{28A0092B-C50C-407E-A947-70E740481C1C}"/>
                      </a:extLst>
                    </a:blip>
                    <a:srcRect/>
                    <a:stretch>
                      <a:fillRect/>
                    </a:stretch>
                  </pic:blipFill>
                  <pic:spPr bwMode="auto">
                    <a:xfrm>
                      <a:off x="0" y="0"/>
                      <a:ext cx="3919855" cy="6350"/>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2660" w:type="dxa"/>
            <w:vAlign w:val="bottom"/>
          </w:tcPr>
          <w:p>
            <w:pPr>
              <w:ind w:left="12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11"/>
                <w:szCs w:val="11"/>
                <w:b w:val="1"/>
                <w:bCs w:val="1"/>
                <w:color w:val="auto"/>
                <w:w w:val="99"/>
              </w:rPr>
              <w:t>Date</w:t>
            </w:r>
          </w:p>
        </w:tc>
      </w:tr>
      <w:tr>
        <w:trPr>
          <w:trHeight w:val="364"/>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2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9"/>
              </w:rPr>
              <w:t>December 17, 2003</w:t>
            </w:r>
          </w:p>
        </w:tc>
      </w:tr>
      <w:tr>
        <w:trPr>
          <w:trHeight w:val="172"/>
        </w:trPr>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Idan Ofer</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12"/>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2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Vice President and Chief Financial Officer</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9"/>
              </w:rPr>
              <w:t>December 17, 2003</w:t>
            </w:r>
          </w:p>
        </w:tc>
      </w:tr>
      <w:tr>
        <w:trPr>
          <w:trHeight w:val="172"/>
        </w:trPr>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Amir Harel</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12"/>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2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Vice-Chairman, Director</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9"/>
              </w:rPr>
              <w:t>December 17, 2003</w:t>
            </w:r>
          </w:p>
        </w:tc>
      </w:tr>
      <w:tr>
        <w:trPr>
          <w:trHeight w:val="172"/>
        </w:trPr>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Ehud Hillman</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12"/>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2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9"/>
              </w:rPr>
              <w:t>December 17, 2003</w:t>
            </w:r>
          </w:p>
        </w:tc>
      </w:tr>
      <w:tr>
        <w:trPr>
          <w:trHeight w:val="172"/>
        </w:trPr>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Dr. Eli Harari</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12"/>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2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9"/>
              </w:rPr>
              <w:t>December 17, 2003</w:t>
            </w:r>
          </w:p>
        </w:tc>
      </w:tr>
      <w:tr>
        <w:trPr>
          <w:trHeight w:val="172"/>
        </w:trPr>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Miin Wu</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12"/>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2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9"/>
              </w:rPr>
              <w:t>December 17, 2003</w:t>
            </w:r>
          </w:p>
        </w:tc>
      </w:tr>
      <w:tr>
        <w:trPr>
          <w:trHeight w:val="172"/>
        </w:trPr>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 Damodary Reddy</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12"/>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2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9"/>
              </w:rPr>
              <w:t>December 17, 2003</w:t>
            </w:r>
          </w:p>
        </w:tc>
      </w:tr>
      <w:tr>
        <w:trPr>
          <w:trHeight w:val="172"/>
        </w:trPr>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Zehava Simon</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12"/>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71"/>
              </w:rPr>
              <w:t>*</w:t>
            </w:r>
          </w:p>
        </w:tc>
        <w:tc>
          <w:tcPr>
            <w:tcW w:w="26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Director</w:t>
            </w:r>
          </w:p>
        </w:tc>
        <w:tc>
          <w:tcPr>
            <w:tcW w:w="122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9"/>
              </w:rPr>
              <w:t>December 17, 2003</w:t>
            </w:r>
          </w:p>
        </w:tc>
      </w:tr>
      <w:tr>
        <w:trPr>
          <w:trHeight w:val="172"/>
        </w:trPr>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Hans Rohrer</w:t>
            </w:r>
          </w:p>
        </w:tc>
        <w:tc>
          <w:tcPr>
            <w:tcW w:w="26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417"/>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*By: /s/  A</w:t>
            </w:r>
            <w:r>
              <w:rPr>
                <w:rFonts w:ascii="Times New Roman" w:cs="Times New Roman" w:eastAsia="Times New Roman" w:hAnsi="Times New Roman"/>
                <w:sz w:val="11"/>
                <w:szCs w:val="11"/>
                <w:color w:val="auto"/>
              </w:rPr>
              <w:t>MIR</w:t>
            </w:r>
            <w:r>
              <w:rPr>
                <w:rFonts w:ascii="Times New Roman" w:cs="Times New Roman" w:eastAsia="Times New Roman" w:hAnsi="Times New Roman"/>
                <w:sz w:val="14"/>
                <w:szCs w:val="14"/>
                <w:color w:val="auto"/>
              </w:rPr>
              <w:t xml:space="preserve"> H</w:t>
            </w:r>
            <w:r>
              <w:rPr>
                <w:rFonts w:ascii="Times New Roman" w:cs="Times New Roman" w:eastAsia="Times New Roman" w:hAnsi="Times New Roman"/>
                <w:sz w:val="11"/>
                <w:szCs w:val="11"/>
                <w:color w:val="auto"/>
              </w:rPr>
              <w:t>AREL</w:t>
            </w:r>
          </w:p>
        </w:tc>
        <w:tc>
          <w:tcPr>
            <w:tcW w:w="2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77"/>
        </w:trPr>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Amir Harel, Attorney-in-Fact</w:t>
            </w:r>
          </w:p>
        </w:tc>
        <w:tc>
          <w:tcPr>
            <w:tcW w:w="26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547"/>
        </w:trPr>
        <w:tc>
          <w:tcPr>
            <w:tcW w:w="2280" w:type="dxa"/>
            <w:vAlign w:val="bottom"/>
          </w:tcPr>
          <w:p>
            <w:pPr>
              <w:spacing w:after="0"/>
              <w:rPr>
                <w:sz w:val="24"/>
                <w:szCs w:val="24"/>
                <w:color w:val="auto"/>
              </w:rPr>
            </w:pPr>
          </w:p>
        </w:tc>
        <w:tc>
          <w:tcPr>
            <w:tcW w:w="266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II-3</w:t>
            </w: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245110</wp:posOffset>
            </wp:positionV>
            <wp:extent cx="5062220" cy="38735"/>
            <wp:wrapNone/>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20">
                      <a:extLst>
                        <a:ext uri="{28A0092B-C50C-407E-A947-70E740481C1C}"/>
                      </a:extLst>
                    </a:blip>
                    <a:srcRect/>
                    <a:stretch>
                      <a:fillRect/>
                    </a:stretch>
                  </pic:blipFill>
                  <pic:spPr bwMode="auto">
                    <a:xfrm>
                      <a:off x="0" y="0"/>
                      <a:ext cx="5062220"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-3754120</wp:posOffset>
            </wp:positionV>
            <wp:extent cx="6350" cy="106045"/>
            <wp:wrapNone/>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21">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-3542665</wp:posOffset>
            </wp:positionV>
            <wp:extent cx="6350" cy="6350"/>
            <wp:wrapNone/>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550545</wp:posOffset>
            </wp:positionH>
            <wp:positionV relativeFrom="paragraph">
              <wp:posOffset>-3536315</wp:posOffset>
            </wp:positionV>
            <wp:extent cx="6350" cy="165100"/>
            <wp:wrapNone/>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23">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-3371215</wp:posOffset>
            </wp:positionV>
            <wp:extent cx="6350" cy="106045"/>
            <wp:wrapNone/>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24">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-3159125</wp:posOffset>
            </wp:positionV>
            <wp:extent cx="6350" cy="6350"/>
            <wp:wrapNone/>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-3152775</wp:posOffset>
            </wp:positionV>
            <wp:extent cx="6350" cy="165100"/>
            <wp:wrapNone/>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6">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-2987675</wp:posOffset>
            </wp:positionV>
            <wp:extent cx="6350" cy="106045"/>
            <wp:wrapNone/>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7">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-2776220</wp:posOffset>
            </wp:positionV>
            <wp:extent cx="6350" cy="6350"/>
            <wp:wrapNone/>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471170</wp:posOffset>
            </wp:positionH>
            <wp:positionV relativeFrom="paragraph">
              <wp:posOffset>-2769235</wp:posOffset>
            </wp:positionV>
            <wp:extent cx="6350" cy="165100"/>
            <wp:wrapNone/>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9">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-2604135</wp:posOffset>
            </wp:positionV>
            <wp:extent cx="6350" cy="106045"/>
            <wp:wrapNone/>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30">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-2392680</wp:posOffset>
            </wp:positionV>
            <wp:extent cx="6350" cy="6350"/>
            <wp:wrapNone/>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3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478155</wp:posOffset>
            </wp:positionH>
            <wp:positionV relativeFrom="paragraph">
              <wp:posOffset>-2385695</wp:posOffset>
            </wp:positionV>
            <wp:extent cx="6350" cy="165100"/>
            <wp:wrapNone/>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32">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-2220595</wp:posOffset>
            </wp:positionV>
            <wp:extent cx="6350" cy="106045"/>
            <wp:wrapNone/>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33">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-2009140</wp:posOffset>
            </wp:positionV>
            <wp:extent cx="6350" cy="6350"/>
            <wp:wrapNone/>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-2002790</wp:posOffset>
            </wp:positionV>
            <wp:extent cx="6350" cy="165100"/>
            <wp:wrapNone/>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5">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-1837055</wp:posOffset>
            </wp:positionV>
            <wp:extent cx="6350" cy="106045"/>
            <wp:wrapNone/>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6">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-1625600</wp:posOffset>
            </wp:positionV>
            <wp:extent cx="6350" cy="6350"/>
            <wp:wrapNone/>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352425</wp:posOffset>
            </wp:positionH>
            <wp:positionV relativeFrom="paragraph">
              <wp:posOffset>-1619250</wp:posOffset>
            </wp:positionV>
            <wp:extent cx="6350" cy="165100"/>
            <wp:wrapNone/>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8">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-1454150</wp:posOffset>
            </wp:positionV>
            <wp:extent cx="6350" cy="106045"/>
            <wp:wrapNone/>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9">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-1242060</wp:posOffset>
            </wp:positionV>
            <wp:extent cx="6350" cy="6350"/>
            <wp:wrapNone/>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-1235710</wp:posOffset>
            </wp:positionV>
            <wp:extent cx="6350" cy="165100"/>
            <wp:wrapNone/>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41">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-1070610</wp:posOffset>
            </wp:positionV>
            <wp:extent cx="6350" cy="106045"/>
            <wp:wrapNone/>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42">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-859155</wp:posOffset>
            </wp:positionV>
            <wp:extent cx="6350" cy="6350"/>
            <wp:wrapNone/>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4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497840</wp:posOffset>
            </wp:positionH>
            <wp:positionV relativeFrom="paragraph">
              <wp:posOffset>-852170</wp:posOffset>
            </wp:positionV>
            <wp:extent cx="6350" cy="165100"/>
            <wp:wrapNone/>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44">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-687070</wp:posOffset>
            </wp:positionV>
            <wp:extent cx="6350" cy="106045"/>
            <wp:wrapNone/>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5">
                      <a:extLst>
                        <a:ext uri="{28A0092B-C50C-407E-A947-70E740481C1C}"/>
                      </a:extLst>
                    </a:blip>
                    <a:srcRect/>
                    <a:stretch>
                      <a:fillRect/>
                    </a:stretch>
                  </pic:blipFill>
                  <pic:spPr bwMode="auto">
                    <a:xfrm>
                      <a:off x="0" y="0"/>
                      <a:ext cx="6350" cy="1060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-468630</wp:posOffset>
            </wp:positionV>
            <wp:extent cx="6350" cy="6350"/>
            <wp:wrapNone/>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6">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200660</wp:posOffset>
            </wp:positionH>
            <wp:positionV relativeFrom="paragraph">
              <wp:posOffset>-462280</wp:posOffset>
            </wp:positionV>
            <wp:extent cx="6350" cy="165100"/>
            <wp:wrapNone/>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7">
                      <a:extLst>
                        <a:ext uri="{28A0092B-C50C-407E-A947-70E740481C1C}"/>
                      </a:extLst>
                    </a:blip>
                    <a:srcRect/>
                    <a:stretch>
                      <a:fillRect/>
                    </a:stretch>
                  </pic:blipFill>
                  <pic:spPr bwMode="auto">
                    <a:xfrm>
                      <a:off x="0" y="0"/>
                      <a:ext cx="6350" cy="165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-297180</wp:posOffset>
            </wp:positionV>
            <wp:extent cx="6350" cy="106045"/>
            <wp:wrapNone/>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8">
                      <a:extLst>
                        <a:ext uri="{28A0092B-C50C-407E-A947-70E740481C1C}"/>
                      </a:extLst>
                    </a:blip>
                    <a:srcRect/>
                    <a:stretch>
                      <a:fillRect/>
                    </a:stretch>
                  </pic:blipFill>
                  <pic:spPr bwMode="auto">
                    <a:xfrm>
                      <a:off x="0" y="0"/>
                      <a:ext cx="6350" cy="106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 REPRESENTATIVE IN THE UNITED STATES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Tower Semiconductor USA</w:t>
      </w:r>
    </w:p>
    <w:p>
      <w:pPr>
        <w:sectPr>
          <w:pgSz w:w="11900" w:h="16838" w:orient="portrait"/>
          <w:cols w:equalWidth="0" w:num="1">
            <w:col w:w="10239"/>
          </w:cols>
          <w:pgMar w:left="220" w:top="208" w:right="1440" w:bottom="0" w:gutter="0" w:footer="0" w:header="0"/>
        </w:sectPr>
      </w:pPr>
    </w:p>
    <w:p>
      <w:pPr>
        <w:spacing w:after="0" w:line="272" w:lineRule="exact"/>
        <w:rPr>
          <w:sz w:val="20"/>
          <w:szCs w:val="20"/>
          <w:color w:val="auto"/>
        </w:rPr>
      </w:pPr>
    </w:p>
    <w:p>
      <w:pPr>
        <w:spacing w:after="0"/>
        <w:tabs>
          <w:tab w:leader="none" w:pos="320" w:val="left"/>
          <w:tab w:leader="none" w:pos="5060" w:val="left"/>
        </w:tabs>
        <w:rPr>
          <w:sz w:val="20"/>
          <w:szCs w:val="20"/>
          <w:color w:val="auto"/>
        </w:rPr>
      </w:pPr>
      <w:r>
        <w:rPr>
          <w:rFonts w:ascii="Times New Roman" w:cs="Times New Roman" w:eastAsia="Times New Roman" w:hAnsi="Times New Roman"/>
          <w:sz w:val="14"/>
          <w:szCs w:val="14"/>
          <w:color w:val="auto"/>
        </w:rPr>
        <w:t>By:</w:t>
        <w:tab/>
        <w:t>/s/  D</w:t>
      </w:r>
      <w:r>
        <w:rPr>
          <w:rFonts w:ascii="Times New Roman" w:cs="Times New Roman" w:eastAsia="Times New Roman" w:hAnsi="Times New Roman"/>
          <w:sz w:val="11"/>
          <w:szCs w:val="11"/>
          <w:color w:val="auto"/>
        </w:rPr>
        <w:t>ORON</w:t>
      </w:r>
      <w:r>
        <w:rPr>
          <w:rFonts w:ascii="Times New Roman" w:cs="Times New Roman" w:eastAsia="Times New Roman" w:hAnsi="Times New Roman"/>
          <w:sz w:val="14"/>
          <w:szCs w:val="14"/>
          <w:color w:val="auto"/>
        </w:rPr>
        <w:t xml:space="preserve"> S</w:t>
      </w:r>
      <w:r>
        <w:rPr>
          <w:rFonts w:ascii="Times New Roman" w:cs="Times New Roman" w:eastAsia="Times New Roman" w:hAnsi="Times New Roman"/>
          <w:sz w:val="11"/>
          <w:szCs w:val="11"/>
          <w:color w:val="auto"/>
        </w:rPr>
        <w:t>IMON</w:t>
      </w:r>
      <w:r>
        <w:rPr>
          <w:sz w:val="20"/>
          <w:szCs w:val="20"/>
          <w:color w:val="auto"/>
        </w:rPr>
        <w:tab/>
      </w:r>
      <w:r>
        <w:rPr>
          <w:rFonts w:ascii="Times New Roman" w:cs="Times New Roman" w:eastAsia="Times New Roman" w:hAnsi="Times New Roman"/>
          <w:sz w:val="13"/>
          <w:szCs w:val="13"/>
          <w:color w:val="auto"/>
        </w:rPr>
        <w:t>December 17,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-6350</wp:posOffset>
            </wp:positionV>
            <wp:extent cx="1019175" cy="6350"/>
            <wp:wrapNone/>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9">
                      <a:extLst>
                        <a:ext uri="{28A0092B-C50C-407E-A947-70E740481C1C}"/>
                      </a:extLst>
                    </a:blip>
                    <a:srcRect/>
                    <a:stretch>
                      <a:fillRect/>
                    </a:stretch>
                  </pic:blipFill>
                  <pic:spPr bwMode="auto">
                    <a:xfrm>
                      <a:off x="0" y="0"/>
                      <a:ext cx="1019175" cy="6350"/>
                    </a:xfrm>
                    <a:prstGeom prst="rect">
                      <a:avLst/>
                    </a:prstGeom>
                    <a:noFill/>
                  </pic:spPr>
                </pic:pic>
              </a:graphicData>
            </a:graphic>
          </wp:anchor>
        </w:drawing>
      </w:r>
    </w:p>
    <w:p>
      <w:pPr>
        <w:sectPr>
          <w:pgSz w:w="11900" w:h="16838" w:orient="portrait"/>
          <w:cols w:equalWidth="0" w:num="1">
            <w:col w:w="10239"/>
          </w:cols>
          <w:pgMar w:left="220" w:top="208" w:right="1440" w:bottom="0" w:gutter="0" w:footer="0" w:header="0"/>
          <w:type w:val="continuous"/>
        </w:sectPr>
      </w:pPr>
    </w:p>
    <w:bookmarkStart w:id="84" w:name="page85"/>
    <w:bookmarkEnd w:id="84"/>
    <w:p>
      <w:pPr>
        <w:ind w:left="600"/>
        <w:spacing w:after="0"/>
        <w:rPr>
          <w:sz w:val="20"/>
          <w:szCs w:val="20"/>
          <w:color w:val="auto"/>
        </w:rPr>
      </w:pPr>
      <w:r>
        <w:rPr>
          <w:rFonts w:ascii="Times New Roman" w:cs="Times New Roman" w:eastAsia="Times New Roman" w:hAnsi="Times New Roman"/>
          <w:sz w:val="14"/>
          <w:szCs w:val="14"/>
          <w:color w:val="auto"/>
        </w:rPr>
        <w:t>Doron Simon</w:t>
      </w: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President</w:t>
      </w:r>
    </w:p>
    <w:p>
      <w:pPr>
        <w:spacing w:after="0" w:line="20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264795</wp:posOffset>
            </wp:positionV>
            <wp:extent cx="5062220" cy="3873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5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5"/>
                <w:szCs w:val="15"/>
                <w:color w:val="auto"/>
              </w:rPr>
            </w:pPr>
          </w:p>
        </w:tc>
        <w:tc>
          <w:tcPr>
            <w:tcW w:w="5200" w:type="dxa"/>
            <w:vAlign w:val="bottom"/>
          </w:tcPr>
          <w:p>
            <w:pPr>
              <w:ind w:left="222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56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Underwriting Agreement</w:t>
            </w:r>
          </w:p>
        </w:tc>
      </w:tr>
      <w:tr>
        <w:trPr>
          <w:trHeight w:val="198"/>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Opinion of Yigal Arnon &amp; Co.</w:t>
            </w:r>
          </w:p>
        </w:tc>
      </w:tr>
      <w:tr>
        <w:trPr>
          <w:trHeight w:val="198"/>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15.1</w:t>
            </w:r>
          </w:p>
        </w:tc>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8"/>
              </w:rPr>
              <w:t>Awareness letter regarding unaudited condensed interim consolidated financial statements</w:t>
            </w:r>
          </w:p>
        </w:tc>
      </w:tr>
      <w:tr>
        <w:trPr>
          <w:trHeight w:val="198"/>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Consent of Yigal Arnon &amp; Co. (contained in their opinion constituting Exhibit 5.1)</w:t>
            </w:r>
          </w:p>
        </w:tc>
      </w:tr>
      <w:tr>
        <w:trPr>
          <w:trHeight w:val="198"/>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Consent of Brightman Almagor &amp; Co.</w:t>
            </w:r>
          </w:p>
        </w:tc>
      </w:tr>
      <w:tr>
        <w:trPr>
          <w:trHeight w:val="198"/>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**24</w:t>
            </w:r>
          </w:p>
        </w:tc>
        <w:tc>
          <w:tcPr>
            <w:tcW w:w="5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-931545</wp:posOffset>
            </wp:positionV>
            <wp:extent cx="3926840" cy="7302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51">
                      <a:extLst>
                        <a:ext uri="{28A0092B-C50C-407E-A947-70E740481C1C}"/>
                      </a:extLst>
                    </a:blip>
                    <a:srcRect/>
                    <a:stretch>
                      <a:fillRect/>
                    </a:stretch>
                  </pic:blipFill>
                  <pic:spPr bwMode="auto">
                    <a:xfrm>
                      <a:off x="0" y="0"/>
                      <a:ext cx="3926840" cy="73025"/>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-799465</wp:posOffset>
            </wp:positionV>
            <wp:extent cx="13335" cy="635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52">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-673735</wp:posOffset>
            </wp:positionV>
            <wp:extent cx="13335" cy="6350"/>
            <wp:wrapNone/>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53">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-548005</wp:posOffset>
            </wp:positionV>
            <wp:extent cx="13335" cy="6350"/>
            <wp:wrapNone/>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54">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-422910</wp:posOffset>
            </wp:positionV>
            <wp:extent cx="13335" cy="6350"/>
            <wp:wrapNone/>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5">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-297180</wp:posOffset>
            </wp:positionV>
            <wp:extent cx="13335" cy="6350"/>
            <wp:wrapNone/>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6">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-171450</wp:posOffset>
            </wp:positionV>
            <wp:extent cx="13335" cy="6350"/>
            <wp:wrapNone/>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7">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-45720</wp:posOffset>
            </wp:positionV>
            <wp:extent cx="13335" cy="6350"/>
            <wp:wrapNone/>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8">
                      <a:extLst>
                        <a:ext uri="{28A0092B-C50C-407E-A947-70E740481C1C}"/>
                      </a:extLst>
                    </a:blip>
                    <a:srcRect/>
                    <a:stretch>
                      <a:fillRect/>
                    </a:stretch>
                  </pic:blipFill>
                  <pic:spPr bwMode="auto">
                    <a:xfrm>
                      <a:off x="0" y="0"/>
                      <a:ext cx="1333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19685</wp:posOffset>
            </wp:positionV>
            <wp:extent cx="3926840" cy="178435"/>
            <wp:wrapNone/>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9">
                      <a:extLst>
                        <a:ext uri="{28A0092B-C50C-407E-A947-70E740481C1C}"/>
                      </a:extLst>
                    </a:blip>
                    <a:srcRect/>
                    <a:stretch>
                      <a:fillRect/>
                    </a:stretch>
                  </pic:blipFill>
                  <pic:spPr bwMode="auto">
                    <a:xfrm>
                      <a:off x="0" y="0"/>
                      <a:ext cx="3926840" cy="178435"/>
                    </a:xfrm>
                    <a:prstGeom prst="rect">
                      <a:avLst/>
                    </a:prstGeom>
                    <a:noFill/>
                  </pic:spPr>
                </pic:pic>
              </a:graphicData>
            </a:graphic>
          </wp:anchor>
        </w:drawing>
      </w:r>
    </w:p>
    <w:p>
      <w:pPr>
        <w:spacing w:after="0" w:line="275" w:lineRule="exact"/>
        <w:rPr>
          <w:sz w:val="20"/>
          <w:szCs w:val="20"/>
          <w:color w:val="auto"/>
        </w:rPr>
      </w:pPr>
    </w:p>
    <w:p>
      <w:pPr>
        <w:ind w:right="8819" w:firstLine="3"/>
        <w:spacing w:after="0" w:line="406" w:lineRule="auto"/>
        <w:tabs>
          <w:tab w:leader="none" w:pos="229" w:val="left"/>
        </w:tabs>
        <w:numPr>
          <w:ilvl w:val="0"/>
          <w:numId w:val="20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 be filed by amendment. ** 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149225</wp:posOffset>
            </wp:positionV>
            <wp:extent cx="5062220" cy="38735"/>
            <wp:wrapNone/>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60">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208"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color w:val="auto"/>
        </w:rPr>
        <w:t>begin 644 html_92524towerlogo.jpg M_]C_X``02D9)1@`!`@``9`!D``#_[``11'5C:WD``0`$````9```_^X`#D%D M;V)E`&amp;3``````?</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_;`(0``0$!`0$!`0$!`0$!`0$!`0$!`0$!`0$!`0$!`0$! M`0$!`0$!`0$!`0$!`0("`@("`@("`@("`P,#`P,#`P,#`P$!`0$!`0$"`0$"</w:t>
      </w:r>
    </w:p>
    <w:p>
      <w:pPr>
        <w:spacing w:after="0" w:line="230" w:lineRule="auto"/>
        <w:rPr>
          <w:sz w:val="20"/>
          <w:szCs w:val="20"/>
          <w:color w:val="auto"/>
        </w:rPr>
      </w:pPr>
      <w:r>
        <w:rPr>
          <w:rFonts w:ascii="Times New Roman" w:cs="Times New Roman" w:eastAsia="Times New Roman" w:hAnsi="Times New Roman"/>
          <w:sz w:val="17"/>
          <w:szCs w:val="17"/>
          <w:color w:val="auto"/>
        </w:rPr>
        <w:t>M`@(!`@(#`P,#`P,#`P,#`P,#`P,#`P,#`P,#`P,#`P,#`P,#`P,#`P,#`P,# M`P,#`P,#`P,#_\``$0@`0@#*`P$1``(1`0,1`?_$`:(````&amp;`@,!````````</w:t>
      </w:r>
    </w:p>
    <w:p>
      <w:pPr>
        <w:spacing w:after="0"/>
        <w:rPr>
          <w:sz w:val="20"/>
          <w:szCs w:val="20"/>
          <w:color w:val="auto"/>
        </w:rPr>
      </w:pPr>
      <w:r>
        <w:rPr>
          <w:rFonts w:ascii="Times New Roman" w:cs="Times New Roman" w:eastAsia="Times New Roman" w:hAnsi="Times New Roman"/>
          <w:sz w:val="16"/>
          <w:szCs w:val="16"/>
          <w:color w:val="auto"/>
        </w:rPr>
        <w:t>M``````&lt;(!@4$"0,*`@$`"P$```8#`0$!````````````!@4$`P&lt;""`$)``H+ M$``"`0,$`0,#`@,#`P(&amp;"74!`@,$$042!B$'$R(`"#$403(C%0E10A9A)#,7 M4G&amp;!&amp;&amp;*1)4.AL?`F-'(*&amp;</w:t>
      </w:r>
    </w:p>
    <w:p>
      <w:pPr>
        <w:spacing w:after="0" w:line="234" w:lineRule="auto"/>
        <w:rPr>
          <w:sz w:val="20"/>
          <w:szCs w:val="20"/>
          <w:color w:val="auto"/>
        </w:rPr>
      </w:pPr>
      <w:r>
        <w:rPr>
          <w:rFonts w:ascii="Times New Roman" w:cs="Times New Roman" w:eastAsia="Times New Roman" w:hAnsi="Times New Roman"/>
          <w:sz w:val="17"/>
          <w:szCs w:val="17"/>
          <w:color w:val="auto"/>
        </w:rPr>
        <w:t>&lt;'1-2?A4S:"\9*B1%1S148W1V,H5597&amp;K+"TN+R M9(-TDX1EH[/#T^,I.&amp;;S=2HY.DA)2EA96F=H:6IV=WAY&gt;H6&amp;AXB)BI25EI&gt;8</w:t>
      </w:r>
    </w:p>
    <w:p>
      <w:pPr>
        <w:spacing w:after="0" w:line="230" w:lineRule="auto"/>
        <w:rPr>
          <w:sz w:val="20"/>
          <w:szCs w:val="20"/>
          <w:color w:val="auto"/>
        </w:rPr>
      </w:pPr>
      <w:r>
        <w:rPr>
          <w:rFonts w:ascii="Times New Roman" w:cs="Times New Roman" w:eastAsia="Times New Roman" w:hAnsi="Times New Roman"/>
          <w:sz w:val="17"/>
          <w:szCs w:val="17"/>
          <w:color w:val="auto"/>
        </w:rPr>
        <w:t>MF9JDI::GJ*FJM+6VM[BYNL3%QL?(R'EZ&gt;W MQ]?G]TA8:'B(F*BXR-CH^#E)66EYB9FIN]^Z]T7;LGY+;,V+NB3K7;&amp;!WCW3W,E%29%^G</w:t>
      </w:r>
    </w:p>
    <w:p>
      <w:pPr>
        <w:spacing w:after="0" w:line="230" w:lineRule="auto"/>
        <w:rPr>
          <w:sz w:val="20"/>
          <w:szCs w:val="20"/>
          <w:color w:val="auto"/>
        </w:rPr>
      </w:pPr>
      <w:r>
        <w:rPr>
          <w:rFonts w:ascii="Times New Roman" w:cs="Times New Roman" w:eastAsia="Times New Roman" w:hAnsi="Times New Roman"/>
          <w:sz w:val="17"/>
          <w:szCs w:val="17"/>
          <w:color w:val="auto"/>
        </w:rPr>
        <w:t>M^H&lt;=C,YNK$8[(*TN.RN_,]GLQMKKKJ7"Y2GBFDH:O=F;PD.5^WEBH#5U"&gt;$^ MZ]TCUIOG!OO15R9CX[?'/%.!_N`BV[OCY+[WJ*68B6&amp;&gt;;=DFY?</w:t>
      </w:r>
    </w:p>
    <w:p>
      <w:pPr>
        <w:spacing w:after="0"/>
        <w:rPr>
          <w:sz w:val="20"/>
          <w:szCs w:val="20"/>
          <w:color w:val="auto"/>
        </w:rPr>
      </w:pPr>
      <w:r>
        <w:rPr>
          <w:rFonts w:ascii="Times New Roman" w:cs="Times New Roman" w:eastAsia="Times New Roman" w:hAnsi="Times New Roman"/>
          <w:sz w:val="16"/>
          <w:szCs w:val="16"/>
          <w:color w:val="auto"/>
        </w:rPr>
        <w:t>C[LW9NZFKT-WFU)Y)_F[WFN9"MI^RZV^*&lt;&amp;V#(&amp;)C,N&amp; MK/C]D&lt;^T.@V=5S*,Q%U9/I[]U[J+_=WYL;+59\+V5T#WO04Q\4.V&gt;P]@[OZ+ MW7D(V4@5&gt;3[?</w:t>
      </w:r>
    </w:p>
    <w:p>
      <w:pPr>
        <w:spacing w:after="0" w:line="234" w:lineRule="auto"/>
        <w:rPr>
          <w:sz w:val="20"/>
          <w:szCs w:val="20"/>
          <w:color w:val="auto"/>
        </w:rPr>
      </w:pPr>
      <w:r>
        <w:rPr>
          <w:rFonts w:ascii="Times New Roman" w:cs="Times New Roman" w:eastAsia="Times New Roman" w:hAnsi="Times New Roman"/>
          <w:sz w:val="17"/>
          <w:szCs w:val="17"/>
          <w:color w:val="auto"/>
        </w:rPr>
        <w:t>V#N#M;:\,\!4$Q4W6T:3%FLT0`]^Z]T][/\`DY@ZK=.)ZX[? MV7NWX^]G9ZJ3';8P'8W\(J-H]AY$P/-]IU7VMMK(Y?K_`'KDZA::HEAPC5E#</w:t>
      </w:r>
    </w:p>
    <w:p>
      <w:pPr>
        <w:spacing w:after="0"/>
        <w:rPr>
          <w:sz w:val="20"/>
          <w:szCs w:val="20"/>
          <w:color w:val="auto"/>
        </w:rPr>
      </w:pPr>
      <w:r>
        <w:rPr>
          <w:rFonts w:ascii="Times New Roman" w:cs="Times New Roman" w:eastAsia="Times New Roman" w:hAnsi="Times New Roman"/>
          <w:sz w:val="16"/>
          <w:szCs w:val="16"/>
          <w:color w:val="auto"/>
        </w:rPr>
        <w:t>MNT4=.]34X:FALWOW7NC-^_=&gt;Z][]U[KWOW7NO&gt;_=&gt;Z][]U[KWOW7NO&gt;_=&gt;Z] M[]U[KWOW7NO&gt;_=&gt;Z][]U[KWOW7NO&gt;_=&gt;Z][]U[KWOW7NO&gt;_=&gt;Z]</w:t>
      </w:r>
    </w:p>
    <w:p>
      <w:pPr>
        <w:spacing w:after="0" w:line="234" w:lineRule="auto"/>
        <w:rPr>
          <w:sz w:val="20"/>
          <w:szCs w:val="20"/>
          <w:color w:val="auto"/>
        </w:rPr>
      </w:pPr>
      <w:r>
        <w:rPr>
          <w:rFonts w:ascii="Times New Roman" w:cs="Times New Roman" w:eastAsia="Times New Roman" w:hAnsi="Times New Roman"/>
          <w:sz w:val="17"/>
          <w:szCs w:val="17"/>
          <w:color w:val="auto"/>
        </w:rPr>
        <w:t>[]U[KWOW7 MNO&gt;_=&gt;Z][]U[HH_9&amp;]M[]O;\W!\&gt;ND]PY+9&lt;&amp;UZ:A7OSO;#4^+K*[K(9W'4N</w:t>
      </w:r>
    </w:p>
    <w:p>
      <w:pPr>
        <w:spacing w:after="0" w:line="230" w:lineRule="auto"/>
        <w:rPr>
          <w:sz w:val="20"/>
          <w:szCs w:val="20"/>
          <w:color w:val="auto"/>
        </w:rPr>
      </w:pPr>
      <w:r>
        <w:rPr>
          <w:rFonts w:ascii="Times New Roman" w:cs="Times New Roman" w:eastAsia="Times New Roman" w:hAnsi="Times New Roman"/>
          <w:sz w:val="17"/>
          <w:szCs w:val="17"/>
          <w:color w:val="auto"/>
        </w:rPr>
        <w:t>M6P_5_6ZY&gt;GR6'J&gt;\MR[&gt;R,&amp;3DGJJ2MH]J82II:ZJIY9\CBX9O=&gt;Z'+JSJ7K[ MI;:D6S.M]NP;?PQKZW,Y*5ZJOR^&gt;W-N3*LDN;WAO3=.:JLCN7&gt;V]MQ5*";)9</w:t>
      </w:r>
    </w:p>
    <w:p>
      <w:pPr>
        <w:spacing w:after="0" w:line="230" w:lineRule="auto"/>
        <w:rPr>
          <w:sz w:val="20"/>
          <w:szCs w:val="20"/>
          <w:color w:val="auto"/>
        </w:rPr>
      </w:pPr>
      <w:r>
        <w:rPr>
          <w:rFonts w:ascii="Times New Roman" w:cs="Times New Roman" w:eastAsia="Times New Roman" w:hAnsi="Times New Roman"/>
          <w:sz w:val="17"/>
          <w:szCs w:val="17"/>
          <w:color w:val="auto"/>
        </w:rPr>
        <w:t>MG+5=9D\A/&gt;2HGD_=&gt;Z2F^-B[+[,VGG-A]B;4V_O M?9&gt;Y:,X_&lt;&amp;U=TXFBSF!S%'Y8YU@R&amp;+R,-125*Q5$*2QED)CE174AE4CW7NBJ</w:t>
      </w:r>
    </w:p>
    <w:p>
      <w:pPr>
        <w:spacing w:after="0" w:line="230" w:lineRule="auto"/>
        <w:rPr>
          <w:sz w:val="20"/>
          <w:szCs w:val="20"/>
          <w:color w:val="auto"/>
        </w:rPr>
      </w:pPr>
      <w:r>
        <w:rPr>
          <w:rFonts w:ascii="Times New Roman" w:cs="Times New Roman" w:eastAsia="Times New Roman" w:hAnsi="Times New Roman"/>
          <w:sz w:val="17"/>
          <w:szCs w:val="17"/>
          <w:color w:val="auto"/>
        </w:rPr>
        <w:t>MX'/;M^+6]=M];]A;BS.]/CMO_-X?9W37:FZ\KD\_O/JK?&amp;7&gt;'&amp;;;Z5[CW7E9 M*W);JP.\Z][]U[KWOW7N MO&gt;_=&gt;Z][]U[KWOW7NO&gt;_=&gt;Z]</w:t>
      </w:r>
    </w:p>
    <w:p>
      <w:pPr>
        <w:spacing w:after="0" w:line="230" w:lineRule="auto"/>
        <w:rPr>
          <w:sz w:val="20"/>
          <w:szCs w:val="20"/>
          <w:color w:val="auto"/>
        </w:rPr>
      </w:pPr>
      <w:r>
        <w:rPr>
          <w:rFonts w:ascii="Times New Roman" w:cs="Times New Roman" w:eastAsia="Times New Roman" w:hAnsi="Times New Roman"/>
          <w:sz w:val="17"/>
          <w:szCs w:val="17"/>
          <w:color w:val="auto"/>
        </w:rPr>
        <w:t>[]U[KWOW7NO&gt;_=&gt;Z][]U[KWOW7NO&gt;_=&gt;Z][] MU[KWOW7NO&gt;_=&gt;Z][]U[KWOW7N@$^3';.0Z:Z?W#NG;JX:??&gt;6K,!L+K&amp;AW#- MX&lt;#5]E]A9R@V?LN?</w:t>
      </w:r>
    </w:p>
    <w:p>
      <w:pPr>
        <w:spacing w:after="0" w:line="230" w:lineRule="auto"/>
        <w:rPr>
          <w:sz w:val="20"/>
          <w:szCs w:val="20"/>
          <w:color w:val="auto"/>
        </w:rPr>
      </w:pPr>
      <w:r>
        <w:rPr>
          <w:rFonts w:ascii="Times New Roman" w:cs="Times New Roman" w:eastAsia="Times New Roman" w:hAnsi="Times New Roman"/>
          <w:sz w:val="17"/>
          <w:szCs w:val="17"/>
          <w:color w:val="auto"/>
        </w:rPr>
        <w:t>&lt;92II*E=GX+,Y=,IGYH7$M'@*"MJ1Q"Q%D1Y&amp;$&lt;8+.30 M`"I)]`//KW3)TX&gt;E&gt;A^J,1M.'MO9&gt;3BPS5&amp;4WQV#GMV[6H\CO?L+&gt;&amp;4J\YO3</w:t>
      </w:r>
    </w:p>
    <w:p>
      <w:pPr>
        <w:spacing w:after="0" w:line="230" w:lineRule="auto"/>
        <w:rPr>
          <w:sz w:val="20"/>
          <w:szCs w:val="20"/>
          <w:color w:val="auto"/>
        </w:rPr>
      </w:pPr>
      <w:r>
        <w:rPr>
          <w:rFonts w:ascii="Times New Roman" w:cs="Times New Roman" w:eastAsia="Times New Roman" w:hAnsi="Times New Roman"/>
          <w:sz w:val="17"/>
          <w:szCs w:val="17"/>
          <w:color w:val="auto"/>
        </w:rPr>
        <w:t>ML'=M3'D(L=3[C["WED*W(SQQ^.G2&gt;H,--''!''$BL;9N.L1BWG\1JT&amp;AJFG&amp; M@IFG6Z$\!T(1[TZ16@CRK=Q]5KBYJR?'PY(]A;2%!+7TL-/4U-#'6'+_`&amp;[U</w:t>
      </w:r>
    </w:p>
    <w:p>
      <w:pPr>
        <w:spacing w:after="0" w:line="230" w:lineRule="auto"/>
        <w:rPr>
          <w:sz w:val="20"/>
          <w:szCs w:val="20"/>
          <w:color w:val="auto"/>
        </w:rPr>
      </w:pPr>
      <w:r>
        <w:rPr>
          <w:rFonts w:ascii="Times New Roman" w:cs="Times New Roman" w:eastAsia="Times New Roman" w:hAnsi="Times New Roman"/>
          <w:sz w:val="17"/>
          <w:szCs w:val="17"/>
          <w:color w:val="auto"/>
        </w:rPr>
        <w:t>ME/3U&lt;4CQ!BZ)*C$`,";_`+IW77X7TUQX@%:&gt;&amp;]:&amp;H!I2M*@BOR/7M+&gt;AZ6V) MW5M?/X&amp;/=."W)@M&gt;M4(P&gt;/3&gt;&gt;P-A+60XYM[[17(</w:t>
      </w:r>
    </w:p>
    <w:p>
      <w:pPr>
        <w:spacing w:after="0"/>
        <w:rPr>
          <w:sz w:val="20"/>
          <w:szCs w:val="20"/>
          <w:color w:val="auto"/>
        </w:rPr>
      </w:pPr>
      <w:r>
        <w:rPr>
          <w:rFonts w:ascii="Times New Roman" w:cs="Times New Roman" w:eastAsia="Times New Roman" w:hAnsi="Times New Roman"/>
          <w:sz w:val="16"/>
          <w:szCs w:val="16"/>
          <w:color w:val="auto"/>
        </w:rPr>
        <w:t>M5#4JT]"=R885D[5Z124*PTQK?/*U9'.C1!5/D5U*W!'MSZ.[*EQ%)H%:G2U, M&lt;I/7JCK'%V1UW/%4SP[] MV7-!1QQRUDT6Z&lt;')%212S1TT4E3(E&lt;4@CDJ)4C4L0"</w:t>
      </w:r>
    </w:p>
    <w:p>
      <w:pPr>
        <w:spacing w:after="0" w:line="234" w:lineRule="auto"/>
        <w:rPr>
          <w:sz w:val="20"/>
          <w:szCs w:val="20"/>
          <w:color w:val="auto"/>
        </w:rPr>
      </w:pPr>
      <w:r>
        <w:rPr>
          <w:rFonts w:ascii="Times New Roman" w:cs="Times New Roman" w:eastAsia="Times New Roman" w:hAnsi="Times New Roman"/>
          <w:sz w:val="17"/>
          <w:szCs w:val="17"/>
          <w:color w:val="auto"/>
        </w:rPr>
        <w:t>[!1R0/&gt;S97H(4PR@GA MV-GSQCTSUZHZ26_:WHWM#8.Z=D;^W!U_N;K_`'IBLCM+ZH=[[\Z$WE5]4;CWM'5TU&lt;_8&gt;%H\3B=Q]:]F3UM&amp;L5#D1%#^P];Z--</w:t>
      </w:r>
    </w:p>
    <w:p>
      <w:pPr>
        <w:spacing w:after="0" w:line="230" w:lineRule="auto"/>
        <w:rPr>
          <w:sz w:val="20"/>
          <w:szCs w:val="20"/>
          <w:color w:val="auto"/>
        </w:rPr>
      </w:pPr>
      <w:r>
        <w:rPr>
          <w:rFonts w:ascii="Times New Roman" w:cs="Times New Roman" w:eastAsia="Times New Roman" w:hAnsi="Times New Roman"/>
          <w:sz w:val="17"/>
          <w:szCs w:val="17"/>
          <w:color w:val="auto"/>
        </w:rPr>
        <w:t>[IU[KJX_J/] MN/?NO=&gt;N/ZC_`&amp;X]^Z]UZX_J/]O[]U[KUQ_4?[&lt;&gt;_=&gt;Z]_ M=&gt;Z]]^I.P^@Z#+X##1XCX4_-GON7-;CR$N+P&amp;VMTX7K_;W1NT,</w:t>
      </w:r>
    </w:p>
    <w:p>
      <w:pPr>
        <w:spacing w:after="0" w:line="230" w:lineRule="auto"/>
        <w:rPr>
          <w:sz w:val="20"/>
          <w:szCs w:val="20"/>
          <w:color w:val="auto"/>
        </w:rPr>
      </w:pPr>
      <w:r>
        <w:rPr>
          <w:rFonts w:ascii="Times New Roman" w:cs="Times New Roman" w:eastAsia="Times New Roman" w:hAnsi="Times New Roman"/>
          <w:sz w:val="17"/>
          <w:szCs w:val="17"/>
          <w:color w:val="auto"/>
        </w:rPr>
        <w:t>MENROIJ2NJJ7;,NR^]-[54C)!4$28D.(V&gt;-/8V]MKY-L]P=EOY$DD2+&lt;[9M$8 M!=J2K14!*@L30`%@*G)'7O,=:-&gt;%_EB]G_'OXJ_+K:?&gt;W&gt;/QTZAG[+I.A:W;</w:t>
      </w:r>
    </w:p>
    <w:p>
      <w:pPr>
        <w:spacing w:after="0" w:line="230" w:lineRule="auto"/>
        <w:rPr>
          <w:sz w:val="20"/>
          <w:szCs w:val="20"/>
          <w:color w:val="auto"/>
        </w:rPr>
      </w:pPr>
      <w:r>
        <w:rPr>
          <w:rFonts w:ascii="Times New Roman" w:cs="Times New Roman" w:eastAsia="Times New Roman" w:hAnsi="Times New Roman"/>
          <w:sz w:val="17"/>
          <w:szCs w:val="17"/>
          <w:color w:val="auto"/>
        </w:rPr>
        <w:t>M&gt;6W]ENY,!BFIME]I&gt;3,33K4]*',2P^?/T=.DE+25,:U%1&amp;LK1!U)Z`S^ZFT\ MP\V[/=;'8[E=BU-T'6);:1JR046@2Z('P,&gt;XK@&amp;E:'JU*D$4(_U&gt;O6#9G\M?</w:t>
      </w:r>
    </w:p>
    <w:p>
      <w:pPr>
        <w:spacing w:after="0" w:line="230" w:lineRule="auto"/>
        <w:rPr>
          <w:sz w:val="20"/>
          <w:szCs w:val="20"/>
          <w:color w:val="auto"/>
        </w:rPr>
      </w:pPr>
      <w:r>
        <w:rPr>
          <w:rFonts w:ascii="Times New Roman" w:cs="Times New Roman" w:eastAsia="Times New Roman" w:hAnsi="Times New Roman"/>
          <w:sz w:val="17"/>
          <w:szCs w:val="17"/>
          <w:color w:val="auto"/>
        </w:rPr>
        <w:t>M=O&gt;/P!G2EDKI)O_&lt;_;]@Y[N-XWS;MSL[5]HM81XXM83J^ MHO'!K)=JE&amp;&amp;K2`Y8E'[0%J=A26H/3U'0H_-#9/&gt;&amp;Q/@G_+X_EZ9OYH_''JWK M3K?</w:t>
      </w:r>
    </w:p>
    <w:p>
      <w:pPr>
        <w:spacing w:after="0" w:line="230" w:lineRule="auto"/>
        <w:rPr>
          <w:sz w:val="20"/>
          <w:szCs w:val="20"/>
          <w:color w:val="auto"/>
        </w:rPr>
      </w:pPr>
      <w:r>
        <w:rPr>
          <w:rFonts w:ascii="Times New Roman" w:cs="Times New Roman" w:eastAsia="Times New Roman" w:hAnsi="Times New Roman"/>
          <w:sz w:val="17"/>
          <w:szCs w:val="17"/>
          <w:color w:val="auto"/>
        </w:rPr>
        <w:t>J[O3L/L#8^9WMW7L1.Q.RMS?-SY18:&gt;;&lt;.W7P84V^S;L87! M56FUZRT;,&amp;B\+NRRCP7C6G23W/\`&amp;['R?S9OBYN1?DC\90^,WO\`RUWCVX^_</w:t>
      </w:r>
    </w:p>
    <w:p>
      <w:pPr>
        <w:spacing w:after="0" w:line="230" w:lineRule="auto"/>
        <w:rPr>
          <w:sz w:val="20"/>
          <w:szCs w:val="20"/>
          <w:color w:val="auto"/>
        </w:rPr>
      </w:pPr>
      <w:r>
        <w:rPr>
          <w:rFonts w:ascii="Times New Roman" w:cs="Times New Roman" w:eastAsia="Times New Roman" w:hAnsi="Times New Roman"/>
          <w:sz w:val="17"/>
          <w:szCs w:val="17"/>
          <w:color w:val="auto"/>
        </w:rPr>
        <w:t>MMS1[ERO]WNIOC31Q)BZ"78B4TK[B&amp;.$V-$L\/FAJ86D\19E1=8\TN/:?&lt;[0[ M7NW?!O'?X*&gt;&amp;NN&gt;\/V%S^=ZMJ.W/B5\KNN]KS]@[.Q^.EW1MNCBS^[(6J</w:t>
      </w:r>
    </w:p>
    <w:p>
      <w:pPr>
        <w:spacing w:after="0" w:line="230" w:lineRule="auto"/>
        <w:rPr>
          <w:sz w:val="20"/>
          <w:szCs w:val="20"/>
          <w:color w:val="auto"/>
        </w:rPr>
      </w:pPr>
      <w:r>
        <w:rPr>
          <w:rFonts w:ascii="Times New Roman" w:cs="Times New Roman" w:eastAsia="Times New Roman" w:hAnsi="Times New Roman"/>
          <w:sz w:val="17"/>
          <w:szCs w:val="17"/>
          <w:color w:val="auto"/>
        </w:rPr>
        <w:t>M9):4@4M/4RPB&lt;0,/9=S#[I;-#R_L7*5S9;M#O&lt;]WLK0J]J56&lt;6]]8S/X,A;1 M(2L9"@'XBJMIKUX^G2&amp;_D_\`3&amp;VNI-^]N[PS/9GQ][]PV*G^*V6RO6/76O\`]</w:t>
      </w:r>
    </w:p>
    <w:p>
      <w:pPr>
        <w:spacing w:after="0" w:line="230" w:lineRule="auto"/>
        <w:rPr>
          <w:sz w:val="20"/>
          <w:szCs w:val="20"/>
          <w:color w:val="auto"/>
        </w:rPr>
      </w:pPr>
      <w:r>
        <w:rPr>
          <w:rFonts w:ascii="Times New Roman" w:cs="Times New Roman" w:eastAsia="Times New Roman" w:hAnsi="Times New Roman"/>
          <w:sz w:val="17"/>
          <w:szCs w:val="17"/>
          <w:color w:val="auto"/>
        </w:rPr>
        <w:t>(5'UMF]C8^@K*(8ZEE0 MUT4#RB*-KOI4@8TI9[R_+)VJ/=7:[#&gt;(;Q9V:()X@'A&amp;99"0:D'032I&amp;,]5(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M93GCT&gt;G^72,/@.R8CR5'%#'XVQ\:KY$AU1Q'SXEQ'S!HNI&amp;FF6RM%,C'5XA2 MUB0N&amp;)8LK%25)-2*''5RP:E/(=#U_-TZL^27&gt;W\O+Y)=%?$W:E)N_NCNC:E!</w:t>
      </w:r>
    </w:p>
    <w:p>
      <w:pPr>
        <w:spacing w:after="0" w:line="234" w:lineRule="auto"/>
        <w:rPr>
          <w:sz w:val="20"/>
          <w:szCs w:val="20"/>
          <w:color w:val="auto"/>
        </w:rPr>
      </w:pPr>
      <w:r>
        <w:rPr>
          <w:rFonts w:ascii="Times New Roman" w:cs="Times New Roman" w:eastAsia="Times New Roman" w:hAnsi="Times New Roman"/>
          <w:sz w:val="17"/>
          <w:szCs w:val="17"/>
          <w:color w:val="auto"/>
        </w:rPr>
        <w:t>MUEC^:Y#%LMG,9F(1I#KC5FA`5`Q_MM!)I0`'JO7SN-Y?\)POYIW M7-%29+L+K;I;8F.KZHT-#D-Y?*'X_P"UZ*MK1$]0:.DJLWV!0P5%4((F?QHQ M?0I-</w:t>
      </w:r>
    </w:p>
    <w:p>
      <w:pPr>
        <w:spacing w:after="0" w:line="230" w:lineRule="auto"/>
        <w:rPr>
          <w:sz w:val="20"/>
          <w:szCs w:val="20"/>
          <w:color w:val="auto"/>
        </w:rPr>
      </w:pPr>
      <w:r>
        <w:rPr>
          <w:rFonts w:ascii="Times New Roman" w:cs="Times New Roman" w:eastAsia="Times New Roman" w:hAnsi="Times New Roman"/>
          <w:sz w:val="17"/>
          <w:szCs w:val="17"/>
          <w:color w:val="auto"/>
        </w:rPr>
        <w:t>K`GWT(L_O#^U&gt;XN8MOGO)Y%%2([*Y&lt;@&lt;*D+$2!7%&gt;MXZS;/_`.$W7\U7 ML/%S9O8'6'3&gt;^&lt;+3ULN,GR^S_DYT%N;%P9*"&amp;GJ9L?-7X7?U;21UL-/612-$</w:t>
      </w:r>
    </w:p>
    <w:p>
      <w:pPr>
        <w:spacing w:after="0" w:line="230" w:lineRule="auto"/>
        <w:rPr>
          <w:sz w:val="20"/>
          <w:szCs w:val="20"/>
          <w:color w:val="auto"/>
        </w:rPr>
      </w:pPr>
      <w:r>
        <w:rPr>
          <w:rFonts w:ascii="Times New Roman" w:cs="Times New Roman" w:eastAsia="Times New Roman" w:hAnsi="Times New Roman"/>
          <w:sz w:val="17"/>
          <w:szCs w:val="17"/>
          <w:color w:val="auto"/>
        </w:rPr>
        <w:t>MSB14E1B+,"=7?WB?:G;Y?`OY[N"8BNF2RN4:AJ`:-$#0D'/#!Z]CJ\O^4)_* M5^&gt;'\K'"_.OY9=N[#ZGV+\@8_C'5]2_$:#&gt;/;_4E7LNM[([`S/W]1F=R;AJ-</w:t>
      </w:r>
    </w:p>
    <w:p>
      <w:pPr>
        <w:spacing w:after="0" w:line="230" w:lineRule="auto"/>
        <w:rPr>
          <w:sz w:val="20"/>
          <w:szCs w:val="20"/>
          <w:color w:val="auto"/>
        </w:rPr>
      </w:pPr>
      <w:r>
        <w:rPr>
          <w:rFonts w:ascii="Times New Roman" w:cs="Times New Roman" w:eastAsia="Times New Roman" w:hAnsi="Times New Roman"/>
          <w:sz w:val="17"/>
          <w:szCs w:val="17"/>
          <w:color w:val="auto"/>
        </w:rPr>
        <w:t>MVQ[7VY28#/[2V^C+7U=(^1IJZ&gt;FA^ M,=O,)!%&amp;NG3&amp;@36Y9'F/:K!2JL1PZ]CJE[+?R'_YPOROWUOCLW)P=8_(/L+, M91,UV!O&amp;+Y@]#=C[@ER6QN;RV-</w:t>
      </w:r>
    </w:p>
    <w:p>
      <w:pPr>
        <w:spacing w:after="0" w:line="230" w:lineRule="auto"/>
        <w:rPr>
          <w:sz w:val="20"/>
          <w:szCs w:val="20"/>
          <w:color w:val="auto"/>
        </w:rPr>
      </w:pPr>
      <w:r>
        <w:rPr>
          <w:rFonts w:ascii="Times New Roman" w:cs="Times New Roman" w:eastAsia="Times New Roman" w:hAnsi="Times New Roman"/>
          <w:sz w:val="17"/>
          <w:szCs w:val="17"/>
          <w:color w:val="auto"/>
        </w:rPr>
        <w:t>Q\.&amp;VWN3(Y6;RX M_;M7*SI$RQI"6:RW(%G)OO%[&gt;\^[N=CY9N))MQ$+2E3;RH`B%0Q+,@4991DY M)H,]&gt;%#ULM?R1OYG'&gt;W6'\E3^8QV5W!NW&lt;&amp;\&lt;1\,</w:t>
      </w:r>
    </w:p>
    <w:p>
      <w:pPr>
        <w:spacing w:after="0"/>
        <w:rPr>
          <w:sz w:val="20"/>
          <w:szCs w:val="20"/>
          <w:color w:val="auto"/>
        </w:rPr>
      </w:pPr>
      <w:r>
        <w:rPr>
          <w:rFonts w:ascii="Times New Roman" w:cs="Times New Roman" w:eastAsia="Times New Roman" w:hAnsi="Times New Roman"/>
          <w:sz w:val="16"/>
          <w:szCs w:val="16"/>
          <w:color w:val="auto"/>
        </w:rPr>
        <w:t>&lt;&gt;N,^.^\-W92MRN4IMQ] ME;3GP^S.L%S=&gt;U55SX+;/8]9A7HXY&amp;E&gt;BI\WX([4\5/%'C7[V&gt;V&gt;Q;C[S\O[ M7LT4&lt;,N]$-=QQ@*NF*2LD^D4`9X1)JI0,8BQ[BS'QZI?</w:t>
      </w:r>
    </w:p>
    <w:p>
      <w:pPr>
        <w:spacing w:after="0" w:line="234" w:lineRule="auto"/>
        <w:rPr>
          <w:sz w:val="20"/>
          <w:szCs w:val="20"/>
          <w:color w:val="auto"/>
        </w:rPr>
      </w:pPr>
      <w:r>
        <w:rPr>
          <w:rFonts w:ascii="Times New Roman" w:cs="Times New Roman" w:eastAsia="Times New Roman" w:hAnsi="Times New Roman"/>
          <w:sz w:val="17"/>
          <w:szCs w:val="17"/>
          <w:color w:val="auto"/>
        </w:rPr>
        <w:t>_P"$Z7^C'JKY&lt;]Q? M/?OW)'#=-_`GXY=A=O9S/31?&gt;25._NP13]1;%VK002L%KMU;PIMXY&gt;/$PEO) M49*&amp;)$];!EF3[Q0O]RY3LN0]@C#</w:t>
      </w:r>
    </w:p>
    <w:p>
      <w:pPr>
        <w:spacing w:after="0" w:line="230" w:lineRule="auto"/>
        <w:rPr>
          <w:sz w:val="20"/>
          <w:szCs w:val="20"/>
          <w:color w:val="auto"/>
        </w:rPr>
      </w:pPr>
      <w:r>
        <w:rPr>
          <w:rFonts w:ascii="Times New Roman" w:cs="Times New Roman" w:eastAsia="Times New Roman" w:hAnsi="Times New Roman"/>
          <w:sz w:val="17"/>
          <w:szCs w:val="17"/>
          <w:color w:val="auto"/>
        </w:rPr>
        <w:t>[SONXQ0(@Q^E#6&gt;1R1P2,I&amp;7/`(23@=&gt;H M.JF?FO\`+3LGYS?*'N#Y1]JSVW1VINJIRM+A8JB6IQNSMJT&lt;&lt;&gt;,V;L;"M*%;</w:t>
      </w:r>
    </w:p>
    <w:p>
      <w:pPr>
        <w:spacing w:after="0" w:line="230" w:lineRule="auto"/>
        <w:rPr>
          <w:sz w:val="20"/>
          <w:szCs w:val="20"/>
          <w:color w:val="auto"/>
        </w:rPr>
      </w:pPr>
      <w:r>
        <w:rPr>
          <w:rFonts w:ascii="Times New Roman" w:cs="Times New Roman" w:eastAsia="Times New Roman" w:hAnsi="Times New Roman"/>
          <w:sz w:val="17"/>
          <w:szCs w:val="17"/>
          <w:color w:val="auto"/>
        </w:rPr>
        <w:t>M^$;0VS1TM!"Y`DG\)FEU32R,TMF\:2"7R)+ENQL1B] ME;+BKE4E(:W#8K8.6E1#:3PY8.1I&gt;,F'O9OEM8^?.=N:ID_MM\EM8R1P$3M+</w:t>
      </w:r>
    </w:p>
    <w:p>
      <w:pPr>
        <w:spacing w:after="0" w:line="230" w:lineRule="auto"/>
        <w:rPr>
          <w:sz w:val="20"/>
          <w:szCs w:val="20"/>
          <w:color w:val="auto"/>
        </w:rPr>
      </w:pPr>
      <w:r>
        <w:rPr>
          <w:rFonts w:ascii="Times New Roman" w:cs="Times New Roman" w:eastAsia="Times New Roman" w:hAnsi="Times New Roman"/>
          <w:sz w:val="17"/>
          <w:szCs w:val="17"/>
          <w:color w:val="auto"/>
        </w:rPr>
        <w:t>M+3Y,98QZ52GD&gt;M#JR[/_`,IKYQ=W_P`A3^7'\;?B7U5B=S5G:N_]W?-GY#5N M7W[LKKX_?;RQ%;!T93M%N[-X&gt;?+19+J[&gt;M+Y8XO,DJ.O?]`O_P#.._[Q\V-_</w:t>
      </w:r>
    </w:p>
    <w:p>
      <w:pPr>
        <w:spacing w:after="0"/>
        <w:rPr>
          <w:sz w:val="20"/>
          <w:szCs w:val="20"/>
          <w:color w:val="auto"/>
        </w:rPr>
      </w:pPr>
      <w:r>
        <w:rPr>
          <w:rFonts w:ascii="Times New Roman" w:cs="Times New Roman" w:eastAsia="Times New Roman" w:hAnsi="Times New Roman"/>
          <w:sz w:val="16"/>
          <w:szCs w:val="16"/>
          <w:color w:val="auto"/>
        </w:rPr>
        <w:t>MZ/OIC_[,_?O^"8]F_P#E.F_[)+C_`*U]&gt;J.KFJO&gt;_P`BNQ,SF-Q[VV?N'%[[[:V5N?]N.=/;RZYTW[W)YHBN)MSN]Q9;$_0W-P(K M6,!8W4QPNB2N@1#D2((R!I5SJ\-</w:t>
      </w:r>
    </w:p>
    <w:p>
      <w:pPr>
        <w:spacing w:after="0" w:line="234" w:lineRule="auto"/>
        <w:rPr>
          <w:sz w:val="20"/>
          <w:szCs w:val="20"/>
          <w:color w:val="auto"/>
        </w:rPr>
      </w:pPr>
      <w:r>
        <w:rPr>
          <w:rFonts w:ascii="Times New Roman" w:cs="Times New Roman" w:eastAsia="Times New Roman" w:hAnsi="Times New Roman"/>
          <w:sz w:val="17"/>
          <w:szCs w:val="17"/>
          <w:color w:val="auto"/>
        </w:rPr>
        <w:t>(XD#JF&amp;A_X34_SEMH*^A^1OQCJZ*MHJN))Z6KI*J#N&amp;2"II:F"17CD1F1T8$$@^YI;[ROL_&amp;Q1 M]QF5U-"#:70((X@CP&lt;$&gt;G5NWU'\_\W1%]N[E^:?</w:t>
      </w:r>
    </w:p>
    <w:p>
      <w:pPr>
        <w:spacing w:after="0" w:line="230" w:lineRule="auto"/>
        <w:rPr>
          <w:sz w:val="20"/>
          <w:szCs w:val="20"/>
          <w:color w:val="auto"/>
        </w:rPr>
      </w:pPr>
      <w:r>
        <w:rPr>
          <w:rFonts w:ascii="Times New Roman" w:cs="Times New Roman" w:eastAsia="Times New Roman" w:hAnsi="Times New Roman"/>
          <w:sz w:val="17"/>
          <w:szCs w:val="17"/>
          <w:color w:val="auto"/>
        </w:rPr>
        <w:t>\I'YG56+Q&amp;:S?2WR5Z-W9 MMZFWAM;;6\L3N;"9:22EQ.Y8]D;ODV+GLUM+?6V,[BLI#%78YJBJA99WAD5) MT8(.;BVY*]W.2Q/-&amp;EWRY&gt;Q.8Y)</w:t>
      </w:r>
    </w:p>
    <w:p>
      <w:pPr>
        <w:spacing w:after="0" w:line="230" w:lineRule="auto"/>
        <w:rPr>
          <w:sz w:val="20"/>
          <w:szCs w:val="20"/>
          <w:color w:val="auto"/>
        </w:rPr>
      </w:pPr>
      <w:r>
        <w:rPr>
          <w:rFonts w:ascii="Times New Roman" w:cs="Times New Roman" w:eastAsia="Times New Roman" w:hAnsi="Times New Roman"/>
          <w:sz w:val="17"/>
          <w:szCs w:val="17"/>
          <w:color w:val="auto"/>
        </w:rPr>
        <w:t>(RCI0LADC\15&gt;)T925&gt;@X`Y4YT&gt;OK_P#] M]=V?\^_RG_,KO[Z_\"7_`./L_P"&gt;`_X!?\73_F[^K_FW[Y&amp;?36_^_E_M]'#\ M'^_./#Y?SZKU75\XSC,?</w:t>
      </w:r>
    </w:p>
    <w:p>
      <w:pPr>
        <w:spacing w:after="0" w:line="230" w:lineRule="auto"/>
        <w:rPr>
          <w:sz w:val="20"/>
          <w:szCs w:val="20"/>
          <w:color w:val="auto"/>
        </w:rPr>
      </w:pPr>
      <w:r>
        <w:rPr>
          <w:rFonts w:ascii="Times New Roman" w:cs="Times New Roman" w:eastAsia="Times New Roman" w:hAnsi="Times New Roman"/>
          <w:sz w:val="17"/>
          <w:szCs w:val="17"/>
          <w:color w:val="auto"/>
        </w:rPr>
        <w:t>N7YC4^Z1EL9@=^?RG^\32[BP&amp;'H-R[AI\;U7E-\) MV&amp;NW=JYG=NP\-NC+8VC[FP&lt;\='49G%033R0PS5]"D_G]G')1E'.&gt;T&amp;W5&amp;G&amp;Y</w:t>
      </w:r>
    </w:p>
    <w:p>
      <w:pPr>
        <w:spacing w:after="0" w:line="230" w:lineRule="auto"/>
        <w:rPr>
          <w:sz w:val="20"/>
          <w:szCs w:val="20"/>
          <w:color w:val="auto"/>
        </w:rPr>
      </w:pPr>
      <w:r>
        <w:rPr>
          <w:rFonts w:ascii="Times New Roman" w:cs="Times New Roman" w:eastAsia="Times New Roman" w:hAnsi="Times New Roman"/>
          <w:sz w:val="17"/>
          <w:szCs w:val="17"/>
          <w:color w:val="auto"/>
        </w:rPr>
        <w:t>MVNE68HI;QXZ!G5)&amp;12&lt;%A'(5%2$TL130822@P'V52FXJFIK7R-7&amp;^.A2D2HG$OO]]?N%\T?.T.WV%J(+$A MH;ZYE!8/N?AC4-G9JL#-J!B"KH0B1BY5?`Y-</w:t>
      </w:r>
    </w:p>
    <w:p>
      <w:pPr>
        <w:spacing w:after="0" w:line="230" w:lineRule="auto"/>
        <w:rPr>
          <w:sz w:val="20"/>
          <w:szCs w:val="20"/>
          <w:color w:val="auto"/>
        </w:rPr>
      </w:pPr>
      <w:r>
        <w:rPr>
          <w:rFonts w:ascii="Times New Roman" w:cs="Times New Roman" w:eastAsia="Times New Roman" w:hAnsi="Times New Roman"/>
          <w:sz w:val="17"/>
          <w:szCs w:val="17"/>
          <w:color w:val="auto"/>
        </w:rPr>
        <w:t>1BG^7H*?YSG9'\MS=NP.FNF_ MF1BOF1L/YAXW,_+KMS!=R]+]#=`UV&amp;P5!V/\]/E9@-\]4]@=:Y;YHYZASN&amp;V MOVGL#,MBACMYUC?9_;UL&gt;2A?(5V.B-</w:t>
      </w:r>
    </w:p>
    <w:p>
      <w:pPr>
        <w:spacing w:after="0" w:line="230" w:lineRule="auto"/>
        <w:rPr>
          <w:sz w:val="20"/>
          <w:szCs w:val="20"/>
          <w:color w:val="auto"/>
        </w:rPr>
      </w:pPr>
      <w:r>
        <w:rPr>
          <w:rFonts w:ascii="Times New Roman" w:cs="Times New Roman" w:eastAsia="Times New Roman" w:hAnsi="Times New Roman"/>
          <w:sz w:val="17"/>
          <w:szCs w:val="17"/>
          <w:color w:val="auto"/>
        </w:rPr>
        <w:t>O9C;_.3FV&gt;XY39+&amp;![&gt;XN;D M%S%MMFT4\4HL%*,\,L&gt;O7`,ZD,;&gt;''(:K\N'1(-R[-^"A_FM?%ZNG^1ORUC[ M!AWG_+=;`[8A^%73LVS&gt;_]:G-</w:t>
      </w:r>
    </w:p>
    <w:p>
      <w:pPr>
        <w:spacing w:after="0"/>
        <w:rPr>
          <w:sz w:val="20"/>
          <w:szCs w:val="20"/>
          <w:color w:val="auto"/>
        </w:rPr>
      </w:pPr>
      <w:r>
        <w:rPr>
          <w:rFonts w:ascii="Times New Roman" w:cs="Times New Roman" w:eastAsia="Times New Roman" w:hAnsi="Times New Roman"/>
          <w:sz w:val="16"/>
          <w:szCs w:val="16"/>
          <w:color w:val="auto"/>
        </w:rPr>
        <w:t>3G&lt;;@2`&amp;&gt;\\73%^["K%"6"`RKX M@"EC&amp;6(7PK3IQ^-&lt;'Q/VY\R/YA.+Z[^4?S49^P?C!_-1V[WWM9?A#T]0[+'6 ML7Q\[YW+NJHEW+2_S!LK79L[-W+A:'(;?CJ&lt;-</w:t>
      </w:r>
    </w:p>
    <w:p>
      <w:pPr>
        <w:spacing w:after="0" w:line="234" w:lineRule="auto"/>
        <w:rPr>
          <w:sz w:val="20"/>
          <w:szCs w:val="20"/>
          <w:color w:val="auto"/>
        </w:rPr>
      </w:pPr>
      <w:r>
        <w:rPr>
          <w:rFonts w:ascii="Times New Roman" w:cs="Times New Roman" w:eastAsia="Times New Roman" w:hAnsi="Times New Roman"/>
          <w:sz w:val="17"/>
          <w:szCs w:val="17"/>
          <w:color w:val="auto"/>
        </w:rPr>
        <w:t>C8\YFJ.AH:BHP\5=-6TC/-# MU?\`&gt;,YD\;ZFV1!H.UJ%\1&amp;992)'\.-G=5E*!&amp;\: MTZ2/\M?L7X+_`!2I_D?\BNO/D)\LMZ5'36"^-_8^3H-Y_!/I["PQ_P!S_F#T</w:t>
      </w:r>
    </w:p>
    <w:p>
      <w:pPr>
        <w:spacing w:after="0" w:line="230" w:lineRule="auto"/>
        <w:rPr>
          <w:sz w:val="20"/>
          <w:szCs w:val="20"/>
          <w:color w:val="auto"/>
        </w:rPr>
      </w:pPr>
      <w:r>
        <w:rPr>
          <w:rFonts w:ascii="Times New Roman" w:cs="Times New Roman" w:eastAsia="Times New Roman" w:hAnsi="Times New Roman"/>
          <w:sz w:val="17"/>
          <w:szCs w:val="17"/>
          <w:color w:val="auto"/>
        </w:rPr>
        <w:t>M5G&lt;#%0XG!_S(:JCJ)I84I)U/N9MO/G-DFV1*8]RG&gt;OB6%RK59MJ71I0LRD))J8!2J@EU\ILBO(6OPNWNNIIX5X*P9DL M;B1;9\?&lt;_P"7?</w:t>
      </w:r>
    </w:p>
    <w:p>
      <w:pPr>
        <w:spacing w:after="0"/>
        <w:rPr>
          <w:sz w:val="20"/>
          <w:szCs w:val="20"/>
          <w:color w:val="auto"/>
        </w:rPr>
      </w:pPr>
      <w:r>
        <w:rPr>
          <w:rFonts w:ascii="Times New Roman" w:cs="Times New Roman" w:eastAsia="Times New Roman" w:hAnsi="Times New Roman"/>
          <w:sz w:val="16"/>
          <w:szCs w:val="16"/>
          <w:color w:val="auto"/>
        </w:rPr>
        <w:t>`V/=&gt;:95[[FY2VC)_A@7Q'(^3-,H/SC^1ZV.MG?_A/W\=/] MEL_E-_$[`5E$:3@%L!$U/DTJR/Z=V.O'JI+_A89\CFV M5\2_CA\8\77&amp;#)=Z]OY?L'&lt;4,$K&gt;2HV5TK@X(?</w:t>
      </w:r>
    </w:p>
    <w:p>
      <w:pPr>
        <w:spacing w:after="0" w:line="234" w:lineRule="auto"/>
        <w:rPr>
          <w:sz w:val="20"/>
          <w:szCs w:val="20"/>
          <w:color w:val="auto"/>
        </w:rPr>
      </w:pPr>
      <w:r>
        <w:rPr>
          <w:rFonts w:ascii="Times New Roman" w:cs="Times New Roman" w:eastAsia="Times New Roman" w:hAnsi="Times New Roman"/>
          <w:sz w:val="17"/>
          <w:szCs w:val="17"/>
          <w:color w:val="auto"/>
        </w:rPr>
        <w:t>X=71*=*T&gt;0WEV)BJN(N`7F MQ1T7T/:6/NB0":&amp;K&gt;N&gt;HHCUUM^GJZ_^%D_R.\^X/AU\ M1\77Z1C&lt;1O3Y%</w:t>
      </w:r>
    </w:p>
    <w:p>
      <w:pPr>
        <w:spacing w:after="0" w:line="230" w:lineRule="auto"/>
        <w:rPr>
          <w:sz w:val="20"/>
          <w:szCs w:val="20"/>
          <w:color w:val="auto"/>
        </w:rPr>
      </w:pPr>
      <w:r>
        <w:rPr>
          <w:rFonts w:ascii="Times New Roman" w:cs="Times New Roman" w:eastAsia="Times New Roman" w:hAnsi="Times New Roman"/>
          <w:sz w:val="17"/>
          <w:szCs w:val="17"/>
          <w:color w:val="auto"/>
        </w:rPr>
        <w:t>[WQNK4)GS%8_6O5U:%!`C:E7";O1KZBXG%M.DZI#^YYR[2/ M&gt;.;95XF.TC;[!XTX_G;GKPZKQ^3[-\.?^$V7PCZ$A/\`"=^_S$_D/O3Y0[]I M`1&amp;-AZYR"R-</w:t>
      </w:r>
    </w:p>
    <w:p>
      <w:pPr>
        <w:spacing w:after="0" w:line="230" w:lineRule="auto"/>
        <w:rPr>
          <w:sz w:val="20"/>
          <w:szCs w:val="20"/>
          <w:color w:val="auto"/>
        </w:rPr>
      </w:pPr>
      <w:r>
        <w:rPr>
          <w:rFonts w:ascii="Times New Roman" w:cs="Times New Roman" w:eastAsia="Times New Roman" w:hAnsi="Times New Roman"/>
          <w:sz w:val="17"/>
          <w:szCs w:val="17"/>
          <w:color w:val="auto"/>
        </w:rPr>
        <w:t>9(V1D"MZ9`/N5Q_7+[R.];^&gt;^PY&gt;L$ MLXC_``S255OL[C&gt;+3SX^HZWY]:^F*[UW7M[X\[M^.^W9#A]K=E=G[9[)[1J*</w:t>
      </w:r>
    </w:p>
    <w:p>
      <w:pPr>
        <w:spacing w:after="0"/>
        <w:rPr>
          <w:sz w:val="20"/>
          <w:szCs w:val="20"/>
          <w:color w:val="auto"/>
        </w:rPr>
      </w:pPr>
      <w:r>
        <w:rPr>
          <w:rFonts w:ascii="Times New Roman" w:cs="Times New Roman" w:eastAsia="Times New Roman" w:hAnsi="Times New Roman"/>
          <w:sz w:val="16"/>
          <w:szCs w:val="16"/>
          <w:color w:val="auto"/>
        </w:rPr>
        <w:t>M5RE1O=^N,#E,3U5@,X:=Q_2D6.%*BA"HPK1R.O=&amp;*^;?P0WM\'MH?$!^T)*ZB[ M)^2WQX@^0VX=GUE.M,VP,1N?&gt;^Z,+LG:]5$\&lt;=8N&gt;;:."I*_)QSA)*.NKI*,</w:t>
      </w:r>
    </w:p>
    <w:p>
      <w:pPr>
        <w:spacing w:after="0" w:line="234" w:lineRule="auto"/>
        <w:rPr>
          <w:sz w:val="20"/>
          <w:szCs w:val="20"/>
          <w:color w:val="auto"/>
        </w:rPr>
      </w:pPr>
      <w:r>
        <w:rPr>
          <w:rFonts w:ascii="Times New Roman" w:cs="Times New Roman" w:eastAsia="Times New Roman" w:hAnsi="Times New Roman"/>
          <w:sz w:val="17"/>
          <w:szCs w:val="17"/>
          <w:color w:val="auto"/>
        </w:rPr>
        <w:t>MH#3&amp;20/Q&gt;GJ*LB724IZ&amp;2MI*G,5 M+/Z(FJ9I'(4$A9/]!R#RONF\2:?"B:^OY"&lt;:FD&gt;6XT_,T*Q+YF@`SU[K&lt;[^= MG_"FK,_R]_E-V;\).@_BSUMV)U?</w:t>
      </w:r>
    </w:p>
    <w:p>
      <w:pPr>
        <w:spacing w:after="0"/>
        <w:rPr>
          <w:sz w:val="20"/>
          <w:szCs w:val="20"/>
          <w:color w:val="auto"/>
        </w:rPr>
      </w:pPr>
      <w:r>
        <w:rPr>
          <w:rFonts w:ascii="Times New Roman" w:cs="Times New Roman" w:eastAsia="Times New Roman" w:hAnsi="Times New Roman"/>
          <w:sz w:val="16"/>
          <w:szCs w:val="16"/>
          <w:color w:val="auto"/>
        </w:rPr>
        <w:t>\8AL_J/!;IS/8&amp;XL'62U&gt;U]B[:IL[@QBL M5@ZJCI(-GYQJC#J!(Q?[`N=.K2N&amp;W(GW:1[@=4[9@[ M6W364^Y-TTG9&amp;\LC4[8V5MC`9?&gt;.]&lt;]34DNWHZ:&gt;NH-K[?</w:t>
      </w:r>
    </w:p>
    <w:p>
      <w:pPr>
        <w:spacing w:after="0" w:line="234" w:lineRule="auto"/>
        <w:rPr>
          <w:sz w:val="20"/>
          <w:szCs w:val="20"/>
          <w:color w:val="auto"/>
        </w:rPr>
      </w:pPr>
      <w:r>
        <w:rPr>
          <w:rFonts w:ascii="Times New Roman" w:cs="Times New Roman" w:eastAsia="Times New Roman" w:hAnsi="Times New Roman"/>
          <w:sz w:val="17"/>
          <w:szCs w:val="17"/>
          <w:color w:val="auto"/>
        </w:rPr>
        <w:t>JC2QS/'%+5F*-F M4/?V"O&lt;3[M.P\@\FWW-XDY/6J'JB7^7OL[&gt;G\U_^=QU[O/&gt;6%DFB[7^3NX?E)V[CH1-E\/M MW8&amp;TMRUO;6;VO55KP0&gt;+;TU-C:7:U'-</w:t>
      </w:r>
    </w:p>
    <w:p>
      <w:pPr>
        <w:spacing w:after="0" w:line="230" w:lineRule="auto"/>
        <w:rPr>
          <w:sz w:val="20"/>
          <w:szCs w:val="20"/>
          <w:color w:val="auto"/>
        </w:rPr>
      </w:pPr>
      <w:r>
        <w:rPr>
          <w:rFonts w:ascii="Times New Roman" w:cs="Times New Roman" w:eastAsia="Times New Roman" w:hAnsi="Times New Roman"/>
          <w:sz w:val="17"/>
          <w:szCs w:val="17"/>
          <w:color w:val="auto"/>
        </w:rPr>
        <w:t>(D8UUM-&amp;%#NJ^YO\`&lt;*[L_:GV1GL+ M.0:[;;$L8&amp;PK/+(@@$@%3WY:=@"?A8\!ULX'7UC;#_&gt;+?[#WRMZKT0WYL]&lt;8 M'=E1U;D-U564QNP]_P!-V?</w:t>
      </w:r>
    </w:p>
    <w:p>
      <w:pPr>
        <w:spacing w:after="0" w:line="230" w:lineRule="auto"/>
        <w:rPr>
          <w:sz w:val="20"/>
          <w:szCs w:val="20"/>
          <w:color w:val="auto"/>
        </w:rPr>
      </w:pPr>
      <w:r>
        <w:rPr>
          <w:rFonts w:ascii="Times New Roman" w:cs="Times New Roman" w:eastAsia="Times New Roman" w:hAnsi="Times New Roman"/>
          <w:sz w:val="17"/>
          <w:szCs w:val="17"/>
          <w:color w:val="auto"/>
        </w:rPr>
        <w:t>\`#7MW,X&gt;HIZ?*83JSYE[;QNQZ.OPCUE#E*2+&lt; M-9WWM/8&amp;.I9Y*::*F2OEED5H5D1E^U;C/L^Z6V[VH4W-K&lt;1S(&amp;!*EHW#J&amp;`( M)4E14`@TK0CCU[H+?</w:t>
      </w:r>
    </w:p>
    <w:p>
      <w:pPr>
        <w:spacing w:after="0" w:line="230" w:lineRule="auto"/>
        <w:rPr>
          <w:sz w:val="20"/>
          <w:szCs w:val="20"/>
          <w:color w:val="auto"/>
        </w:rPr>
      </w:pPr>
      <w:r>
        <w:rPr>
          <w:rFonts w:ascii="Times New Roman" w:cs="Times New Roman" w:eastAsia="Times New Roman" w:hAnsi="Times New Roman"/>
          <w:sz w:val="17"/>
          <w:szCs w:val="17"/>
          <w:color w:val="auto"/>
        </w:rPr>
        <w:t>F%_*@Z3^&gt;6U#L_Y/=O?('?F+CQ'\#QTU!ENH=FUV)H) M-U[5WE5K12[.Z:P&lt;$\M;F-F4&amp;MJJ*I*Q1LL&gt;@NQ(ZY1]S]XY&amp;OQN/+-I86]Q</w:t>
      </w:r>
    </w:p>
    <w:p>
      <w:pPr>
        <w:spacing w:after="0" w:line="230" w:lineRule="auto"/>
        <w:rPr>
          <w:sz w:val="20"/>
          <w:szCs w:val="20"/>
          <w:color w:val="auto"/>
        </w:rPr>
      </w:pPr>
      <w:r>
        <w:rPr>
          <w:rFonts w:ascii="Times New Roman" w:cs="Times New Roman" w:eastAsia="Times New Roman" w:hAnsi="Times New Roman"/>
          <w:sz w:val="17"/>
          <w:szCs w:val="17"/>
          <w:color w:val="auto"/>
        </w:rPr>
        <w:t>MJJ:K/(&amp;.B2,5$EPW!9'II*Y-36@ZW4TIY5Z#_P"(_P#)5^-_P5QE!1_%WM[Y M)=;9+'YSL7-IN67&lt;'3V],S.O:6(ZKP^[,144^_&gt;D]S[=_ADT73&gt;$E@,=!'5P</w:t>
      </w:r>
    </w:p>
    <w:p>
      <w:pPr>
        <w:spacing w:after="0"/>
        <w:rPr>
          <w:sz w:val="20"/>
          <w:szCs w:val="20"/>
          <w:color w:val="auto"/>
        </w:rPr>
      </w:pPr>
      <w:r>
        <w:rPr>
          <w:rFonts w:ascii="Times New Roman" w:cs="Times New Roman" w:eastAsia="Times New Roman" w:hAnsi="Times New Roman"/>
          <w:sz w:val="16"/>
          <w:szCs w:val="16"/>
          <w:color w:val="auto"/>
        </w:rPr>
        <w:t>MRQRVG*2E`OYP]X&gt;8^&gt;YC+S/;;?&lt;*4A72$GC4&gt;`9RC#P[A6K_`(S*#5BI!&amp;*B MO7@2.@'^6?\`PG*^%'S4WGM+L+O#MKY6UN\=J;8W?MHYK;6].G=O-N'^_7?'</w:t>
      </w:r>
    </w:p>
    <w:p>
      <w:pPr>
        <w:spacing w:after="0" w:line="234" w:lineRule="auto"/>
        <w:rPr>
          <w:sz w:val="20"/>
          <w:szCs w:val="20"/>
          <w:color w:val="auto"/>
        </w:rPr>
      </w:pPr>
      <w:r>
        <w:rPr>
          <w:rFonts w:ascii="Times New Roman" w:cs="Times New Roman" w:eastAsia="Times New Roman" w:hAnsi="Times New Roman"/>
          <w:sz w:val="17"/>
          <w:szCs w:val="17"/>
          <w:color w:val="auto"/>
        </w:rPr>
        <w:t>MBI\2F9J^P&gt;],TJ#'T]!118^.EA2G#Q/+*&gt;#YVY+LY;#8 M[?;%M)9(WTO%,^GPK:"U15)N-6D16\==19BVHZL@#P('D/Y_Y^N=5_PF^_E^</w:t>
      </w:r>
    </w:p>
    <w:p>
      <w:pPr>
        <w:spacing w:after="0" w:line="230" w:lineRule="auto"/>
        <w:rPr>
          <w:sz w:val="20"/>
          <w:szCs w:val="20"/>
          <w:color w:val="auto"/>
        </w:rPr>
      </w:pPr>
      <w:r>
        <w:rPr>
          <w:rFonts w:ascii="Times New Roman" w:cs="Times New Roman" w:eastAsia="Times New Roman" w:hAnsi="Times New Roman"/>
          <w:sz w:val="17"/>
          <w:szCs w:val="17"/>
          <w:color w:val="auto"/>
        </w:rPr>
        <w:t>M5OR#Z\^3%5N#Y&amp;3=E=:9'HK*8"_8VTTV]4UGQZVUL3:VQ9,KBHNMTEJ%JL=U MY0-D5BG@6HF:8QB%754U/EO@MB[)W6-S_-78_;W6G=/;&amp;SEV</w:t>
      </w:r>
    </w:p>
    <w:p>
      <w:pPr>
        <w:spacing w:after="0" w:line="230" w:lineRule="auto"/>
        <w:rPr>
          <w:sz w:val="20"/>
          <w:szCs w:val="20"/>
          <w:color w:val="auto"/>
        </w:rPr>
      </w:pPr>
      <w:r>
        <w:rPr>
          <w:rFonts w:ascii="Times New Roman" w:cs="Times New Roman" w:eastAsia="Times New Roman" w:hAnsi="Times New Roman"/>
          <w:sz w:val="17"/>
          <w:szCs w:val="17"/>
          <w:color w:val="auto"/>
        </w:rPr>
        <w:t>M'W739NGWAM;8V6J&lt;4,%LO%"3.//$E)C09ZBGI7K35FEAT!S&gt;?&gt;;GK?;K:9[^ M&gt;(VVS302VT"IIA\2W*^&amp;\B@ZI&amp;[:$L^`6":-1K[CT3O9?_"7S^6WL/8O&lt;77F</w:t>
      </w:r>
    </w:p>
    <w:p>
      <w:pPr>
        <w:spacing w:after="0" w:line="230" w:lineRule="auto"/>
        <w:rPr>
          <w:sz w:val="20"/>
          <w:szCs w:val="20"/>
          <w:color w:val="auto"/>
        </w:rPr>
      </w:pPr>
      <w:r>
        <w:rPr>
          <w:rFonts w:ascii="Times New Roman" w:cs="Times New Roman" w:eastAsia="Times New Roman" w:hAnsi="Times New Roman"/>
          <w:sz w:val="17"/>
          <w:szCs w:val="17"/>
          <w:color w:val="auto"/>
        </w:rPr>
        <w:t>M#SWR9?`=X[7VOM'&gt;CUW9^TJC(18K:78&gt;U.S&lt;4V$J(^LX(J&amp;K;&lt;&gt;SJ197DCG5 MZ8R(%5F#J,;W[S7N/?W]GN,Z;;]18RO)'2!P-4D+PMJ'C&amp;HT2-2A%&amp;H&lt;\.O5</w:t>
      </w:r>
    </w:p>
    <w:p>
      <w:pPr>
        <w:spacing w:after="0" w:line="230" w:lineRule="auto"/>
        <w:rPr>
          <w:sz w:val="20"/>
          <w:szCs w:val="20"/>
          <w:color w:val="auto"/>
        </w:rPr>
      </w:pPr>
      <w:r>
        <w:rPr>
          <w:rFonts w:ascii="Times New Roman" w:cs="Times New Roman" w:eastAsia="Times New Roman" w:hAnsi="Times New Roman"/>
          <w:sz w:val="17"/>
          <w:szCs w:val="17"/>
          <w:color w:val="auto"/>
        </w:rPr>
        <w:t>M/7O^@7S^6W_H7_T$?Q[Y,_W(_P!)_P#I;\O^D_:7\&lt;_O5_=3^YWC^_\`]&amp;?V M_P#"?X0+^'P:_-ZO);T^ZG[S'N/^^_W_`*-M^O\`I?I_[!]'A^)XG#QJZM7G</w:t>
      </w:r>
    </w:p>
    <w:p>
      <w:pPr>
        <w:spacing w:after="0"/>
        <w:rPr>
          <w:sz w:val="20"/>
          <w:szCs w:val="20"/>
          <w:color w:val="auto"/>
        </w:rPr>
      </w:pPr>
      <w:r>
        <w:rPr>
          <w:rFonts w:ascii="Times New Roman" w:cs="Times New Roman" w:eastAsia="Times New Roman" w:hAnsi="Times New Roman"/>
          <w:sz w:val="16"/>
          <w:szCs w:val="16"/>
          <w:color w:val="auto"/>
        </w:rPr>
        <w:t>M6E,4\^O9X^?1S_Y&gt;_P`,&gt;H/B%O3=.&lt;=WY\YA MFYFWP0CAVG MLO9E&gt;U5#W!\L=L?&amp;78.3IG\N/HMF;'S.#Z1Q^ZZ3TS)#AI,1MJ;/S-H/IFEE M9-18&gt;^J/M_%!</w:t>
      </w:r>
    </w:p>
    <w:p>
      <w:pPr>
        <w:spacing w:after="0" w:line="234" w:lineRule="auto"/>
        <w:rPr>
          <w:sz w:val="20"/>
          <w:szCs w:val="20"/>
          <w:color w:val="auto"/>
        </w:rPr>
      </w:pPr>
      <w:r>
        <w:rPr>
          <w:rFonts w:ascii="Times New Roman" w:cs="Times New Roman" w:eastAsia="Times New Roman" w:hAnsi="Times New Roman"/>
          <w:sz w:val="17"/>
          <w:szCs w:val="17"/>
          <w:color w:val="auto"/>
        </w:rPr>
        <w:t>[8&gt;Q=M?W:T&gt;UVI[V13@F256N/#/#NJZQ#[`*]6'7U:]K[:PF MS-L[=V?MG'08C;&gt;U,%B=M[?Q-*"*;&amp;83!T%/B\5CZ&lt;,68045#2QQIN^K:&gt;FC=S12;EW-CI.V]T96-</w:t>
      </w:r>
    </w:p>
    <w:p>
      <w:pPr>
        <w:spacing w:after="0" w:line="230" w:lineRule="auto"/>
        <w:rPr>
          <w:sz w:val="20"/>
          <w:szCs w:val="20"/>
          <w:color w:val="auto"/>
        </w:rPr>
      </w:pPr>
      <w:r>
        <w:rPr>
          <w:rFonts w:ascii="Times New Roman" w:cs="Times New Roman" w:eastAsia="Times New Roman" w:hAnsi="Times New Roman"/>
          <w:sz w:val="17"/>
          <w:szCs w:val="17"/>
          <w:color w:val="auto"/>
        </w:rPr>
        <w:t>6)`KI$[`HL;4%;`_PI%M=23TH^ZQR\-H] ML5W5Q_C&amp;YWD^!I,MOS,4\T.XY(98LWO7(U]8"C,A\_!(L M?&gt;#//EOS/S3SGNG,#[??</w:t>
      </w:r>
    </w:p>
    <w:p>
      <w:pPr>
        <w:spacing w:after="0"/>
        <w:rPr>
          <w:sz w:val="20"/>
          <w:szCs w:val="20"/>
          <w:color w:val="auto"/>
        </w:rPr>
      </w:pPr>
      <w:r>
        <w:rPr>
          <w:rFonts w:ascii="Times New Roman" w:cs="Times New Roman" w:eastAsia="Times New Roman" w:hAnsi="Times New Roman"/>
          <w:sz w:val="16"/>
          <w:szCs w:val="16"/>
          <w:color w:val="auto"/>
        </w:rPr>
        <w:t>Z;J]E=:V\H(CUD1*1H_#&amp;%7\NJ]?.\_G.=MY3^8E M_.?[:VYU1E:/&gt;%!D^V&gt;OOBATO/BJJ/+8BO.V)\/UN9\/D,S*K*Y M*"HIV&gt;*6"M#QLR%6/0;V;VN+V[]F+:\W5##</w:t>
      </w:r>
    </w:p>
    <w:p>
      <w:pPr>
        <w:spacing w:after="0" w:line="234" w:lineRule="auto"/>
        <w:rPr>
          <w:sz w:val="20"/>
          <w:szCs w:val="20"/>
          <w:color w:val="auto"/>
        </w:rPr>
      </w:pPr>
      <w:r>
        <w:rPr>
          <w:rFonts w:ascii="Times New Roman" w:cs="Times New Roman" w:eastAsia="Times New Roman" w:hAnsi="Times New Roman"/>
          <w:sz w:val="17"/>
          <w:szCs w:val="17"/>
          <w:color w:val="auto"/>
        </w:rPr>
        <w:t>(MK-?W`8:6&amp;L-*-0-"K+`L:$' M(*T/IU8=#O\`\*;&gt;Q-N47S4Z=^&amp;?7E1HZR^`WQ8Z;Z%P6*CT_;T.Y9O55Z*$4$TWJ#0B.,X.MBZU\,CKQZ.I_PL:%OG)\8`/^\4*?</w:t>
      </w:r>
    </w:p>
    <w:p>
      <w:pPr>
        <w:spacing w:after="0"/>
        <w:rPr>
          <w:sz w:val="20"/>
          <w:szCs w:val="20"/>
          <w:color w:val="auto"/>
        </w:rPr>
      </w:pPr>
      <w:r>
        <w:rPr>
          <w:rFonts w:ascii="Times New Roman" w:cs="Times New Roman" w:eastAsia="Times New Roman" w:hAnsi="Times New Roman"/>
          <w:sz w:val="16"/>
          <w:szCs w:val="16"/>
          <w:color w:val="auto"/>
        </w:rPr>
        <w:t>\`]^_V7[!WW/\` M_E2MT_Z6G_6"+K0Z*+_PERZ$QO:7\SO%=O;J^SH]B?$[J#LCN_.YK,3P46WL M;EJC&amp;1]&lt;[UJ;W= M;R&amp;W55J6*J?&amp;?2!DU,:1D#)\0#SZV&gt;MT#?</w:t>
      </w:r>
    </w:p>
    <w:p>
      <w:pPr>
        <w:spacing w:after="0" w:line="234" w:lineRule="auto"/>
        <w:rPr>
          <w:sz w:val="20"/>
          <w:szCs w:val="20"/>
          <w:color w:val="auto"/>
        </w:rPr>
      </w:pPr>
      <w:r>
        <w:rPr>
          <w:rFonts w:ascii="Times New Roman" w:cs="Times New Roman" w:eastAsia="Times New Roman" w:hAnsi="Times New Roman"/>
          <w:sz w:val="17"/>
          <w:szCs w:val="17"/>
          <w:color w:val="auto"/>
        </w:rPr>
        <w:t>W\N3^0GVEOK&gt;?9G8.POB9NO?O8 M&gt;Z]P[XWKNC*]^SR9/&lt;&gt;[-UY:KSNXL[D'B[4BB:MRV7KYIY2JJNN0V`%A[PSL M.?\`WRVNQAVW;[G&gt;(;"WB6.-</w:t>
      </w:r>
    </w:p>
    <w:p>
      <w:pPr>
        <w:spacing w:after="0" w:line="230" w:lineRule="auto"/>
        <w:rPr>
          <w:sz w:val="20"/>
          <w:szCs w:val="20"/>
          <w:color w:val="auto"/>
        </w:rPr>
      </w:pPr>
      <w:r>
        <w:rPr>
          <w:rFonts w:ascii="Times New Roman" w:cs="Times New Roman" w:eastAsia="Times New Roman" w:hAnsi="Times New Roman"/>
          <w:sz w:val="17"/>
          <w:szCs w:val="17"/>
          <w:color w:val="auto"/>
        </w:rPr>
        <w:t>%MR%1$4*BC]'@J@`=&gt;UGY?L'22_X:I_X3R?\ M^C^'G_H^JK_[;'M7_KG&gt;_P!_RF[U_P`X#_UIZ]K/R_8.F3M;H/\`E1_RS?B[ M\J_GY\-.J^C-L]L]&amp;]$;^Q&gt;U-</w:t>
      </w:r>
    </w:p>
    <w:p>
      <w:pPr>
        <w:spacing w:after="0" w:line="230" w:lineRule="auto"/>
        <w:rPr>
          <w:sz w:val="20"/>
          <w:szCs w:val="20"/>
          <w:color w:val="auto"/>
        </w:rPr>
      </w:pPr>
      <w:r>
        <w:rPr>
          <w:rFonts w:ascii="Times New Roman" w:cs="Times New Roman" w:eastAsia="Times New Roman" w:hAnsi="Times New Roman"/>
          <w:sz w:val="17"/>
          <w:szCs w:val="17"/>
          <w:color w:val="auto"/>
        </w:rPr>
        <w:t>_\`6V]\COJIPV^&gt;P&lt;2=H]&gt;8"I=MX[FH&lt;0V[ M-]93&amp;T1E,2S"&amp;633=-:L[M&gt;]^Z/N1S-M?(?-]WN$NV7U]$7BF3PP8XVURN!H M0MX&lt;0=O2H'G3KU2V,?</w:t>
      </w:r>
    </w:p>
    <w:p>
      <w:pPr>
        <w:spacing w:after="0" w:line="230" w:lineRule="auto"/>
        <w:rPr>
          <w:sz w:val="20"/>
          <w:szCs w:val="20"/>
          <w:color w:val="auto"/>
        </w:rPr>
      </w:pPr>
      <w:r>
        <w:rPr>
          <w:rFonts w:ascii="Times New Roman" w:cs="Times New Roman" w:eastAsia="Times New Roman" w:hAnsi="Times New Roman"/>
          <w:sz w:val="17"/>
          <w:szCs w:val="17"/>
          <w:color w:val="auto"/>
        </w:rPr>
        <w:t>L'6F__`,)R_P"7)TY_,8^9/8V&amp;^3.Q:SL;H7J/IC,[ MQW3@UW1O/:467WWN7&lt;.%VWL3&amp;UNXMB;@VQN&gt;E+P3Y?)J(JZ,3/B]$@=&amp;93F-</w:t>
      </w:r>
    </w:p>
    <w:p>
      <w:pPr>
        <w:spacing w:after="0" w:line="230" w:lineRule="auto"/>
        <w:rPr>
          <w:sz w:val="20"/>
          <w:szCs w:val="20"/>
          <w:color w:val="auto"/>
        </w:rPr>
      </w:pPr>
      <w:r>
        <w:rPr>
          <w:rFonts w:ascii="Times New Roman" w:cs="Times New Roman" w:eastAsia="Times New Roman" w:hAnsi="Times New Roman"/>
          <w:sz w:val="17"/>
          <w:szCs w:val="17"/>
          <w:color w:val="auto"/>
        </w:rPr>
        <w:t>M]XKW$WCV\Y0M7Y:G%MOMW&gt;+&amp;C:(WTQ1HSRD)(CH&lt;^&amp;F5P'J*&amp;G7CT&gt;]*Z@GR.$Q^?C&gt;"GE@B9:)&amp;T,VH@'?=J]VN:.?+W=-FYPN_J[^&amp;**:`^'</w:t>
      </w:r>
    </w:p>
    <w:p>
      <w:pPr>
        <w:spacing w:after="0"/>
        <w:rPr>
          <w:sz w:val="20"/>
          <w:szCs w:val="20"/>
          <w:color w:val="auto"/>
        </w:rPr>
      </w:pPr>
      <w:r>
        <w:rPr>
          <w:rFonts w:ascii="Times New Roman" w:cs="Times New Roman" w:eastAsia="Times New Roman" w:hAnsi="Times New Roman"/>
          <w:sz w:val="16"/>
          <w:szCs w:val="16"/>
          <w:color w:val="auto"/>
        </w:rPr>
        <w:t>M#&amp;1'J9)A2&amp;.,$!FB-2"1J.1UH=7Q_P#"4C9WQFK_`.731=L];]3[*VY\A:;? M_8?3_P`@.RZ&amp;DEJ]Z;PK,#GJ?&gt;^TZ2NS&amp;3J:_(XW")L+&gt;&amp;")Q](]/CI*NG,X MA$I)$%?</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&gt;FN^9$]QGVK783!%/:0DTCC5T\-RJ@!2WBQR]Y!?312:#KQZV MA_&gt;,_6ND+V?USMCMWKO&gt;G6&amp;\Z&gt;JJ-K[[VWE=L9G^'UU7A=P8F9UJL?70%:BAK88IX666-</w:t>
      </w:r>
    </w:p>
    <w:p>
      <w:pPr>
        <w:spacing w:after="0" w:line="234" w:lineRule="auto"/>
        <w:rPr>
          <w:sz w:val="20"/>
          <w:szCs w:val="20"/>
          <w:color w:val="auto"/>
        </w:rPr>
      </w:pPr>
      <w:r>
        <w:rPr>
          <w:rFonts w:ascii="Times New Roman" w:cs="Times New Roman" w:eastAsia="Times New Roman" w:hAnsi="Times New Roman"/>
          <w:sz w:val="17"/>
          <w:szCs w:val="17"/>
          <w:color w:val="auto"/>
        </w:rPr>
        <w:t>&amp;'NO=`Y\&lt;.S=R9:FSW27;V1BG^072D&amp;) MQ&gt;^:MJ2#%1]F[2R#5U+L#OW;6,@"0)MGM.@P\[U&lt;-,K4V%W/1Y;#+)+_``X3 MS&gt;Z]T9WW[KW7O?</w:t>
      </w:r>
    </w:p>
    <w:p>
      <w:pPr>
        <w:spacing w:after="0" w:line="230" w:lineRule="auto"/>
        <w:rPr>
          <w:sz w:val="20"/>
          <w:szCs w:val="20"/>
          <w:color w:val="auto"/>
        </w:rPr>
      </w:pPr>
      <w:r>
        <w:rPr>
          <w:rFonts w:ascii="Times New Roman" w:cs="Times New Roman" w:eastAsia="Times New Roman" w:hAnsi="Times New Roman"/>
          <w:sz w:val="17"/>
          <w:szCs w:val="17"/>
          <w:color w:val="auto"/>
        </w:rPr>
        <w:t>NO=&gt;]^Z]U[W[KW7O?NO=`?WSW$&gt;H=J4!P.#3&gt;_:F_,PFR. MF.LTR0Q53V#V'7T-;7T&gt;/JZ&lt;&gt;BNK&amp;Z=ZTPNSZ_.-NS=4U5F]U]A[UDHUQ\N^.S-</w:t>
      </w:r>
    </w:p>
    <w:p>
      <w:pPr>
        <w:spacing w:after="0" w:line="230" w:lineRule="auto"/>
        <w:rPr>
          <w:sz w:val="20"/>
          <w:szCs w:val="20"/>
          <w:color w:val="auto"/>
        </w:rPr>
      </w:pPr>
      <w:r>
        <w:rPr>
          <w:rFonts w:ascii="Times New Roman" w:cs="Times New Roman" w:eastAsia="Times New Roman" w:hAnsi="Times New Roman"/>
          <w:sz w:val="17"/>
          <w:szCs w:val="17"/>
          <w:color w:val="auto"/>
        </w:rPr>
        <w:t>[9JNW9V#NXXY9JA M&lt;31YO=&gt;7JI*+'I(\.+Q_@HH"(*&gt;)1[KW3IW..S6ZA[13I:GP55W!+U_N^'JV M'=&amp;3FPNVF["FP%?%L]MP9:FQV7J_ M*OY8YKI#-</w:t>
      </w:r>
    </w:p>
    <w:p>
      <w:pPr>
        <w:spacing w:after="0" w:line="230" w:lineRule="auto"/>
        <w:rPr>
          <w:sz w:val="20"/>
          <w:szCs w:val="20"/>
          <w:color w:val="auto"/>
        </w:rPr>
      </w:pPr>
      <w:r>
        <w:rPr>
          <w:rFonts w:ascii="Times New Roman" w:cs="Times New Roman" w:eastAsia="Times New Roman" w:hAnsi="Times New Roman"/>
          <w:sz w:val="17"/>
          <w:szCs w:val="17"/>
          <w:color w:val="auto"/>
        </w:rPr>
        <w:t>[0ZNV_V#F]OTVR-];DWCG\EV9N?;U7L_#U=?19C96WZMVKWA?UKK36_G9_\)M.[/FO\J]R?+[X@]A=9T.=[7H]N M_P"EOK3MG,9_;,,&amp;Y]L;-V?</w:t>
      </w:r>
    </w:p>
    <w:p>
      <w:pPr>
        <w:spacing w:after="0" w:line="230" w:lineRule="auto"/>
        <w:rPr>
          <w:sz w:val="20"/>
          <w:szCs w:val="20"/>
          <w:color w:val="auto"/>
        </w:rPr>
      </w:pPr>
      <w:r>
        <w:rPr>
          <w:rFonts w:ascii="Times New Roman" w:cs="Times New Roman" w:eastAsia="Times New Roman" w:hAnsi="Times New Roman"/>
          <w:sz w:val="17"/>
          <w:szCs w:val="17"/>
          <w:color w:val="auto"/>
        </w:rPr>
        <w:t>DGE&gt;/E'FVWN6MK5G^GF@5'.AW:0QR(SH&gt;UV;2ZEJJ0I M4:=3;!ZIC_Z!(_YJ'_._^*7_`*-S&gt;/\`]JKW,_\`P6/M=_OO=?\`G!'_`-;^</w:t>
      </w:r>
    </w:p>
    <w:p>
      <w:pPr>
        <w:spacing w:after="0" w:line="230" w:lineRule="auto"/>
        <w:rPr>
          <w:sz w:val="20"/>
          <w:szCs w:val="20"/>
          <w:color w:val="auto"/>
        </w:rPr>
      </w:pPr>
      <w:r>
        <w:rPr>
          <w:rFonts w:ascii="Times New Roman" w:cs="Times New Roman" w:eastAsia="Times New Roman" w:hAnsi="Times New Roman"/>
          <w:sz w:val="17"/>
          <w:szCs w:val="17"/>
          <w:color w:val="auto"/>
        </w:rPr>
        <w:t>MMUZMO_DW_P#"93O+XG_+;9'RM^9&gt;_NIZZ'I3(5.X&gt;KNLNJ\ON#=LF?WVV,J: M'$;GW?G:=4CTQ!@62-5&gt;0L9*:69BH5"P`8M5=$]$&amp;^:/\`PG`_FX_*OY;?</w:t>
      </w:r>
    </w:p>
    <w:p>
      <w:pPr>
        <w:spacing w:after="0"/>
        <w:rPr>
          <w:sz w:val="20"/>
          <w:szCs w:val="20"/>
          <w:color w:val="auto"/>
        </w:rPr>
      </w:pPr>
      <w:r>
        <w:rPr>
          <w:rFonts w:ascii="Times New Roman" w:cs="Times New Roman" w:eastAsia="Times New Roman" w:hAnsi="Times New Roman"/>
          <w:sz w:val="17"/>
          <w:szCs w:val="17"/>
          <w:color w:val="auto"/>
        </w:rPr>
        <w:t>M)'Y'5U#\?Y%[F[G["W[B8:ON6038W;.5#`8O[_`'&lt;&amp;Y*:CDWEN0M(J MSOCJ9Z:'&amp;8M9!Y(^XO.%US+=ZE@=M$$9-?"MT)$:&gt;E M:$N],&amp;1G88/5#U0Y_P`*&amp;?</w:t>
      </w:r>
    </w:p>
    <w:p>
      <w:pPr>
        <w:sectPr>
          <w:pgSz w:w="11900" w:h="16838" w:orient="portrait"/>
          <w:cols w:equalWidth="0" w:num="1">
            <w:col w:w="11460"/>
          </w:cols>
          <w:pgMar w:left="220" w:top="118" w:right="219" w:bottom="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Y+OS3_`)EGR;Z4[6^,]'U=4;3V'T3%U[GFWUOT M[3R*[A3L#&gt;&gt;Y&amp;6CHOX-DON:+^&amp;YR#]W6OKU+;BYG/[O_`+S\G&gt;VO+E[M7,@N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MS=7%]XJ^%$'71X4:9)=:&amp;JG%.'5EIYFG0$?#_P#D._/KXM?RPOYC'26(INI( MOEW\TJ_K#JK"U%%V2S;5PG0.V*M*G?!K=SG!Q&amp;FJ]XX?=^XL7-0QPDS+]N\I</w:t>
      </w:r>
    </w:p>
    <w:p>
      <w:pPr>
        <w:spacing w:after="0" w:line="230" w:lineRule="auto"/>
        <w:rPr>
          <w:sz w:val="20"/>
          <w:szCs w:val="20"/>
          <w:color w:val="auto"/>
        </w:rPr>
      </w:pPr>
      <w:r>
        <w:rPr>
          <w:rFonts w:ascii="Times New Roman" w:cs="Times New Roman" w:eastAsia="Times New Roman" w:hAnsi="Times New Roman"/>
          <w:sz w:val="17"/>
          <w:szCs w:val="17"/>
          <w:color w:val="auto"/>
        </w:rPr>
        <w:t>M9%50&lt;\X&gt;^O(W-7N;R[OLPO?ZI;*)9V4Q+XC73_V=$\2A"-'"X8MCN`%UGIN?\`V3K_`-;&gt;O8]1_/\`S=6T MO_(8_F!=&gt;?</w:t>
      </w:r>
    </w:p>
    <w:p>
      <w:pPr>
        <w:spacing w:after="0"/>
        <w:rPr>
          <w:sz w:val="20"/>
          <w:szCs w:val="20"/>
          <w:color w:val="auto"/>
        </w:rPr>
      </w:pPr>
      <w:r>
        <w:rPr>
          <w:rFonts w:ascii="Times New Roman" w:cs="Times New Roman" w:eastAsia="Times New Roman" w:hAnsi="Times New Roman"/>
          <w:sz w:val="16"/>
          <w:szCs w:val="16"/>
          <w:color w:val="auto"/>
        </w:rPr>
        <w:t>R7JKX*]9X3JK(=_P#&gt;OS"B[L^1-:W9M%C]KTW5&gt;R=M18O8.S1-Q]YEY[W,W:[!8[1]-:+X-9/ M&amp;D:LLC*&amp;(4:))4K6K#3\^JFE?7JUO_A.O_*I[D_ED=&amp;_("/Y'XW:&amp;.</w:t>
      </w:r>
    </w:p>
    <w:p>
      <w:pPr>
        <w:spacing w:after="0" w:line="234" w:lineRule="auto"/>
        <w:rPr>
          <w:sz w:val="20"/>
          <w:szCs w:val="20"/>
          <w:color w:val="auto"/>
        </w:rPr>
      </w:pPr>
      <w:r>
        <w:rPr>
          <w:rFonts w:ascii="Times New Roman" w:cs="Times New Roman" w:eastAsia="Times New Roman" w:hAnsi="Times New Roman"/>
          <w:sz w:val="17"/>
          <w:szCs w:val="17"/>
          <w:color w:val="auto"/>
        </w:rPr>
        <w:t>[L[K[1 MP$\T&gt;S=QP;KQR=8=?;66'94=5EZ&gt;GIHDR)W3O#'5 M&gt;?\`PG,_EM_._P#EHTORX&lt;' MNF*JH*2FIY*&gt;/&lt;.!R&amp;-/F-U!Q87ZL/8_^\-</w:t>
      </w:r>
    </w:p>
    <w:p>
      <w:pPr>
        <w:spacing w:after="0" w:line="230" w:lineRule="auto"/>
        <w:rPr>
          <w:sz w:val="20"/>
          <w:szCs w:val="20"/>
          <w:color w:val="auto"/>
        </w:rPr>
      </w:pPr>
      <w:r>
        <w:rPr>
          <w:rFonts w:ascii="Times New Roman" w:cs="Times New Roman" w:eastAsia="Times New Roman" w:hAnsi="Times New Roman"/>
          <w:sz w:val="17"/>
          <w:szCs w:val="17"/>
          <w:color w:val="auto"/>
        </w:rPr>
        <w:t>[C\C^Y4VV;CRNUP=PM5ECE\2( MIJC8HT=#4UT,),?TZ^77B:];._O&amp;OK77O?NO=`7W1TJO9O\`=[=&gt;U-SS=:=T M]&gt;C+3=8=JT&amp;+3-</w:t>
      </w:r>
    </w:p>
    <w:p>
      <w:pPr>
        <w:spacing w:after="0" w:line="230" w:lineRule="auto"/>
        <w:rPr>
          <w:sz w:val="20"/>
          <w:szCs w:val="20"/>
          <w:color w:val="auto"/>
        </w:rPr>
      </w:pPr>
      <w:r>
        <w:rPr>
          <w:rFonts w:ascii="Times New Roman" w:cs="Times New Roman" w:eastAsia="Times New Roman" w:hAnsi="Times New Roman"/>
          <w:sz w:val="17"/>
          <w:szCs w:val="17"/>
          <w:color w:val="auto"/>
        </w:rPr>
        <w:t>R8$YJ.C&amp;=VIN[;;U^)AW_U3O)L92#/;=GJZ1:PT=+64=5C M\O08S*4/NO=!]MWY04NT*QME_*?%8SH+?-#3EXMX9;*.OQ]['@B\:C*];=O9 MB'&amp;X2FR-</w:t>
      </w:r>
    </w:p>
    <w:p>
      <w:pPr>
        <w:spacing w:after="0" w:line="230" w:lineRule="auto"/>
        <w:rPr>
          <w:sz w:val="20"/>
          <w:szCs w:val="20"/>
          <w:color w:val="auto"/>
        </w:rPr>
      </w:pPr>
      <w:r>
        <w:rPr>
          <w:rFonts w:ascii="Times New Roman" w:cs="Times New Roman" w:eastAsia="Times New Roman" w:hAnsi="Times New Roman"/>
          <w:sz w:val="17"/>
          <w:szCs w:val="17"/>
          <w:color w:val="auto"/>
        </w:rPr>
        <w:t>4'+2;6SS8O=-(8:AHZ2MQ\*92H]U[I:?[-G\5_\`O);H#_T_=&gt;Z]_LV?Q7_P"\EN@/_1Q]=_\` MV1&gt;_=&gt;Z2VX?EMUY724^W&gt;A?%\FNQVQA1Y$B&amp;6[1[3HY:[8</w:t>
      </w:r>
    </w:p>
    <w:p>
      <w:pPr>
        <w:spacing w:after="0"/>
        <w:rPr>
          <w:sz w:val="20"/>
          <w:szCs w:val="20"/>
          <w:color w:val="auto"/>
        </w:rPr>
      </w:pPr>
      <w:r>
        <w:rPr>
          <w:rFonts w:ascii="Times New Roman" w:cs="Times New Roman" w:eastAsia="Times New Roman" w:hAnsi="Times New Roman"/>
          <w:sz w:val="16"/>
          <w:szCs w:val="16"/>
          <w:color w:val="auto"/>
        </w:rPr>
        <w:t>M756W(-;3%\E5'+9"""=Z,;[]U[HG/STW]O7KOXQ[VS/7._9&gt;K=ZU^6V1@,+V$=G;FWEC]LQ9; M&gt;&gt;#BSSY&lt;;4V+V;D-H4F;VQ'6XN')$`Q*Z@M:`TIJ9`:&amp;ATZ@6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M`(!%:]5K]]?(OY,[1^#?PVRE'N[LCK7M#N7O'.Q=@[F[,W2VU]S;?ZJQ^![R MWU18_,=D[;^%_8V1P&gt;(R+8C;&amp;*P&gt;1KNGJ;-U^/JJ1+$@3:00=)84!.K2UV]MUN1(L;V\</w:t>
      </w:r>
    </w:p>
    <w:p>
      <w:pPr>
        <w:spacing w:after="0" w:line="234" w:lineRule="auto"/>
        <w:rPr>
          <w:sz w:val="20"/>
          <w:szCs w:val="20"/>
          <w:color w:val="auto"/>
        </w:rPr>
      </w:pPr>
      <w:r>
        <w:rPr>
          <w:rFonts w:ascii="Times New Roman" w:cs="Times New Roman" w:eastAsia="Times New Roman" w:hAnsi="Times New Roman"/>
          <w:sz w:val="17"/>
          <w:szCs w:val="17"/>
          <w:color w:val="auto"/>
        </w:rPr>
        <w:t>&lt;0TA14%R8UPA MG6I%69@)BH(.DE0`1A^2'R&amp;^2/QYS/P2RFTZ3LWM_8^W^NMU;N^4&amp;V=G8%NS MMZ=MY/=D?4O273&amp;T,7NB#KOK2*KS&gt;7[A[A_BT-</w:t>
      </w:r>
    </w:p>
    <w:p>
      <w:pPr>
        <w:spacing w:after="0" w:line="230" w:lineRule="auto"/>
        <w:rPr>
          <w:sz w:val="20"/>
          <w:szCs w:val="20"/>
          <w:color w:val="auto"/>
        </w:rPr>
      </w:pPr>
      <w:r>
        <w:rPr>
          <w:rFonts w:ascii="Times New Roman" w:cs="Times New Roman" w:eastAsia="Times New Roman" w:hAnsi="Times New Roman"/>
          <w:sz w:val="17"/>
          <w:szCs w:val="17"/>
          <w:color w:val="auto"/>
        </w:rPr>
        <w:t>+=K(4CF9P(BQT*@&amp;N M1R1J;`1---398`%C2LSXM]F?,K-2]!4W7R=)BI)Y7J$BGO6]AVY? M%^G`$:BW1234U=-;N17CVD-</w:t>
      </w:r>
    </w:p>
    <w:p>
      <w:pPr>
        <w:spacing w:after="0" w:line="230" w:lineRule="auto"/>
        <w:rPr>
          <w:sz w:val="20"/>
          <w:szCs w:val="20"/>
          <w:color w:val="auto"/>
        </w:rPr>
      </w:pPr>
      <w:r>
        <w:rPr>
          <w:rFonts w:ascii="Times New Roman" w:cs="Times New Roman" w:eastAsia="Times New Roman" w:hAnsi="Times New Roman"/>
          <w:sz w:val="17"/>
          <w:szCs w:val="17"/>
          <w:color w:val="auto"/>
        </w:rPr>
        <w:t>3`)IC'7K^';%\8VH"QJ+9%JU6JZ%Y'(KDU4A@ M.U2U!3'4CXR=Z=F[KZZW%VUM_M'N;Y%]O47Q6W'V)V?TCD&gt;O,%MCJ?:OR.EH M\7GMM](;7J#LS:.]-</w:t>
      </w:r>
    </w:p>
    <w:p>
      <w:pPr>
        <w:spacing w:after="0" w:line="230" w:lineRule="auto"/>
        <w:rPr>
          <w:sz w:val="20"/>
          <w:szCs w:val="20"/>
          <w:color w:val="auto"/>
        </w:rPr>
      </w:pPr>
      <w:r>
        <w:rPr>
          <w:rFonts w:ascii="Times New Roman" w:cs="Times New Roman" w:eastAsia="Times New Roman" w:hAnsi="Times New Roman"/>
          <w:sz w:val="17"/>
          <w:szCs w:val="17"/>
          <w:color w:val="auto"/>
        </w:rPr>
        <w:t>A[XVYEZ/+[=_NQ-497)C&amp;F&amp;KS\D=&gt;**HR&amp;KVVA280.D M&lt;-OXX57#$N8\@N&gt;XJP(HVK`K4)BH%;VU@CG%LZ10VQN`JR:B6,=2"Y[BK*00</w:t>
      </w:r>
    </w:p>
    <w:p>
      <w:pPr>
        <w:spacing w:after="0"/>
        <w:rPr>
          <w:sz w:val="20"/>
          <w:szCs w:val="20"/>
          <w:color w:val="auto"/>
        </w:rPr>
      </w:pPr>
      <w:r>
        <w:rPr>
          <w:rFonts w:ascii="Times New Roman" w:cs="Times New Roman" w:eastAsia="Times New Roman" w:hAnsi="Times New Roman"/>
          <w:sz w:val="16"/>
          <w:szCs w:val="16"/>
          <w:color w:val="auto"/>
        </w:rPr>
        <w:t>MVL`"M0F*@)GK?Y`=E8;;O8_;NS.].VODQLW9/PH[A[;[LJ&lt;]UUA\7MS;?R8V M]2;*W#USL3J+#T/7&gt;T,MA\T&lt;-0[TILSLV1\M6XE*;#+DA#75!ER%YK2%W2WD</w:t>
      </w:r>
    </w:p>
    <w:p>
      <w:pPr>
        <w:spacing w:after="0" w:line="234" w:lineRule="auto"/>
        <w:rPr>
          <w:sz w:val="20"/>
          <w:szCs w:val="20"/>
          <w:color w:val="auto"/>
        </w:rPr>
      </w:pPr>
      <w:r>
        <w:rPr>
          <w:rFonts w:ascii="Times New Roman" w:cs="Times New Roman" w:eastAsia="Times New Roman" w:hAnsi="Times New Roman"/>
          <w:sz w:val="17"/>
          <w:szCs w:val="17"/>
          <w:color w:val="auto"/>
        </w:rPr>
        <w:t>MB2&amp;1KE%2C$DQG4&amp;9SJ(.=%'P#W4J!AR:T@9DMY8HX)6ND1*,23$=09G)9@17 M05?`:KZ:J**!^1^1?SPV'TM\H=I]Q[EWA@.T_C=TC\8NDINX\'U]C/[M[^[;</w:t>
      </w:r>
    </w:p>
    <w:p>
      <w:pPr>
        <w:spacing w:after="0" w:line="230" w:lineRule="auto"/>
        <w:rPr>
          <w:sz w:val="20"/>
          <w:szCs w:val="20"/>
          <w:color w:val="auto"/>
        </w:rPr>
      </w:pPr>
      <w:r>
        <w:rPr>
          <w:rFonts w:ascii="Times New Roman" w:cs="Times New Roman" w:eastAsia="Times New Roman" w:hAnsi="Times New Roman"/>
          <w:sz w:val="17"/>
          <w:szCs w:val="17"/>
          <w:color w:val="auto"/>
        </w:rPr>
        <w:t>M^0_&gt;6YMI-\CMK0T^WY]86N6`7UZ5+9;5/=026RJ;&gt;&gt;65]!$&gt;X M'N&lt;.JDG4RA36IZ,'/WCVGL#IC=.ZXNYNX-T=(P_,OXZ[:V;\C.QMD;7BW5#\ M?$R/4N?</w:t>
      </w:r>
    </w:p>
    <w:p>
      <w:pPr>
        <w:spacing w:after="0" w:line="230" w:lineRule="auto"/>
        <w:rPr>
          <w:sz w:val="20"/>
          <w:szCs w:val="20"/>
          <w:color w:val="auto"/>
        </w:rPr>
      </w:pPr>
      <w:r>
        <w:rPr>
          <w:rFonts w:ascii="Times New Roman" w:cs="Times New Roman" w:eastAsia="Times New Roman" w:hAnsi="Times New Roman"/>
          <w:sz w:val="17"/>
          <w:szCs w:val="17"/>
          <w:color w:val="auto"/>
        </w:rPr>
        <w:t>[TSN4DP_6VT:&amp;HZ@RV,R'M*+:": MY"&amp;.-;GZ:0F-2:&gt;)W!`.X]X!5M(-,`$5U#I']);RW"1"-%N?II"T:L:&gt;)1Q&amp; M,N3K`TN5#&gt;0!%2R].F&gt;^1W9=7LW;&amp;]]U]J;PZ0Z-</w:t>
      </w:r>
    </w:p>
    <w:p>
      <w:pPr>
        <w:spacing w:after="0"/>
        <w:rPr>
          <w:sz w:val="20"/>
          <w:szCs w:val="20"/>
          <w:color w:val="auto"/>
        </w:rPr>
      </w:pPr>
      <w:r>
        <w:rPr>
          <w:rFonts w:ascii="Times New Roman" w:cs="Times New Roman" w:eastAsia="Times New Roman" w:hAnsi="Times New Roman"/>
          <w:sz w:val="16"/>
          <w:szCs w:val="16"/>
          <w:color w:val="auto"/>
        </w:rPr>
        <w:t>[]^7G:6'I.ZLIM'!8.LZ MO^.&gt;R=@[EP_6M'B*G&gt;FSJK%[#Q??F]^N(6ZRSV,BV_L/ISGCO[L3,]9=D[!Z8[#^27&lt;'4'5M!TEE=U8[M[ M#8#9.8[8^0O;J[EDPT?76'R/^B?</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=&amp;`K=U[.P$$&gt;6&amp;V\#MZ#,[EJ,I2BECEHZ M'(4E16UA6:![F&amp;&amp;.2O]_;E^*$U?\`)#?F MT\KL;8NU&gt;IODCW)E.K-B=![Q[MR-9U7W1C\+L'$[ZPN[J#+4&gt;%Q-90)E,C3M</w:t>
      </w:r>
    </w:p>
    <w:p>
      <w:pPr>
        <w:spacing w:after="0" w:line="234" w:lineRule="auto"/>
        <w:rPr>
          <w:sz w:val="20"/>
          <w:szCs w:val="20"/>
          <w:color w:val="auto"/>
        </w:rPr>
      </w:pPr>
      <w:r>
        <w:rPr>
          <w:rFonts w:ascii="Times New Roman" w:cs="Times New Roman" w:eastAsia="Times New Roman" w:hAnsi="Times New Roman"/>
          <w:sz w:val="17"/>
          <w:szCs w:val="17"/>
          <w:color w:val="auto"/>
        </w:rPr>
        <w:t>M+-%C*9YR96-GMK&amp;XEHKQ"&gt;D:D,Q:-`S.J=R$L5*$$D&amp;@.-1IT:;=:;2QNIG\ M-X5N/TU.IF&gt;)-;2!!K3N*E""Q!H#0:C3J_'$-E,'M'%MO#+4^6S6'VY1'=&amp;=</w:t>
      </w:r>
    </w:p>
    <w:p>
      <w:pPr>
        <w:spacing w:after="0" w:line="230" w:lineRule="auto"/>
        <w:rPr>
          <w:sz w:val="20"/>
          <w:szCs w:val="20"/>
          <w:color w:val="auto"/>
        </w:rPr>
      </w:pPr>
      <w:r>
        <w:rPr>
          <w:rFonts w:ascii="Times New Roman" w:cs="Times New Roman" w:eastAsia="Times New Roman" w:hAnsi="Times New Roman"/>
          <w:sz w:val="17"/>
          <w:szCs w:val="17"/>
          <w:color w:val="auto"/>
        </w:rPr>
        <w:t>MH,:]!2Y/*4&amp;,B_C&gt;6H\/`]9)1T];5Q2S1TR-*T:L$!8BY"[:6D/ABBDX!/`5 MP*_Y&gt;@DVEG.@44G`^7D*]5*5?R%[&amp;[;_`)668[-V%WEOG&amp;?*O;W0N'WSE)]@</w:t>
      </w:r>
    </w:p>
    <w:p>
      <w:pPr>
        <w:spacing w:after="0" w:line="230" w:lineRule="auto"/>
        <w:rPr>
          <w:sz w:val="20"/>
          <w:szCs w:val="20"/>
          <w:color w:val="auto"/>
        </w:rPr>
      </w:pPr>
      <w:r>
        <w:rPr>
          <w:rFonts w:ascii="Times New Roman" w:cs="Times New Roman" w:eastAsia="Times New Roman" w:hAnsi="Times New Roman"/>
          <w:sz w:val="17"/>
          <w:szCs w:val="17"/>
          <w:color w:val="auto"/>
        </w:rPr>
        <w:t>M878\6[&lt;-W[OG:M7D]F]2;IP6YNOMU;&gt;@PM#O_-TN&amp;R$=+CQ6BFH&amp;*3"349#X M6D,&amp;^"&amp;6)38F4J-1:A0&amp;A&lt;$,#72"PJ:9X="$V4-</w:t>
      </w:r>
    </w:p>
    <w:p>
      <w:pPr>
        <w:spacing w:after="0" w:line="230" w:lineRule="auto"/>
        <w:rPr>
          <w:sz w:val="20"/>
          <w:szCs w:val="20"/>
          <w:color w:val="auto"/>
        </w:rPr>
      </w:pPr>
      <w:r>
        <w:rPr>
          <w:rFonts w:ascii="Times New Roman" w:cs="Times New Roman" w:eastAsia="Times New Roman" w:hAnsi="Times New Roman"/>
          <w:sz w:val="17"/>
          <w:szCs w:val="17"/>
          <w:color w:val="auto"/>
        </w:rPr>
        <w:t>MOPMYXE_=YF*C46H8U:A&lt; M$,#E06!K3/2J[]WUO?HG??0'1N:^8'R`VUMJHZ=^1'8V_&gt;X&lt;;UUTMO[N3L3&gt;</w:t>
      </w:r>
    </w:p>
    <w:p>
      <w:pPr>
        <w:spacing w:after="0" w:line="230" w:lineRule="auto"/>
        <w:rPr>
          <w:sz w:val="20"/>
          <w:szCs w:val="20"/>
          <w:color w:val="auto"/>
        </w:rPr>
      </w:pPr>
      <w:r>
        <w:rPr>
          <w:rFonts w:ascii="Times New Roman" w:cs="Times New Roman" w:eastAsia="Times New Roman" w:hAnsi="Times New Roman"/>
          <w:sz w:val="17"/>
          <w:szCs w:val="17"/>
          <w:color w:val="auto"/>
        </w:rPr>
        <w:t>M^"W7TUA&gt;H^M\3AIOCKO#9U;E,Q!O31NUCBN8Y; MI;&gt;)G\2-534ZHH(FK.".Z@FNDMXF&lt;2QJ$+.J*I#EV)\0-</w:t>
      </w:r>
    </w:p>
    <w:p>
      <w:pPr>
        <w:spacing w:after="0" w:line="230" w:lineRule="auto"/>
        <w:rPr>
          <w:sz w:val="20"/>
          <w:szCs w:val="20"/>
          <w:color w:val="auto"/>
        </w:rPr>
      </w:pPr>
      <w:r>
        <w:rPr>
          <w:rFonts w:ascii="Times New Roman" w:cs="Times New Roman" w:eastAsia="Times New Roman" w:hAnsi="Times New Roman"/>
          <w:sz w:val="17"/>
          <w:szCs w:val="17"/>
          <w:color w:val="auto"/>
        </w:rPr>
        <w:t>M0:5!+-0:B&lt;='T^/6Z]_9[J+J2A[M3%8SY$)TCU!NGO+:^)CCAIV&amp;BW M0E)3P2U--#BGWO@,S3TRQS2J%HV`8@!B5W:1+&lt;2&amp;VJ;3Q7"$^:@X_/217[&gt;B</w:t>
      </w:r>
    </w:p>
    <w:p>
      <w:pPr>
        <w:spacing w:after="0"/>
        <w:rPr>
          <w:sz w:val="20"/>
          <w:szCs w:val="20"/>
          <w:color w:val="auto"/>
        </w:rPr>
      </w:pPr>
      <w:r>
        <w:rPr>
          <w:rFonts w:ascii="Times New Roman" w:cs="Times New Roman" w:eastAsia="Times New Roman" w:hAnsi="Times New Roman"/>
          <w:sz w:val="16"/>
          <w:szCs w:val="16"/>
          <w:color w:val="auto"/>
        </w:rPr>
        <w:t>MJ[CA2XD-K4V?BN$)\U!Q_P`9*G\^AP]INDW7O?NO=&gt;]^Z]UT?]A^?K_L/?CU MH]=?\D^]?LZU^SKW_)/OW[.O?LZ]_P`D^_?LZ]^SKL?[#_8&gt;_#K8_+KOWOK?</w:t>
      </w:r>
    </w:p>
    <w:p>
      <w:pPr>
        <w:spacing w:after="0" w:line="234" w:lineRule="auto"/>
        <w:rPr>
          <w:sz w:val="20"/>
          <w:szCs w:val="20"/>
          <w:color w:val="auto"/>
        </w:rPr>
      </w:pPr>
      <w:r>
        <w:rPr>
          <w:rFonts w:ascii="Times New Roman" w:cs="Times New Roman" w:eastAsia="Times New Roman" w:hAnsi="Times New Roman"/>
          <w:sz w:val="17"/>
          <w:szCs w:val="17"/>
          <w:color w:val="auto"/>
        </w:rPr>
        <w:t>M7O?NO=&gt;]^Z]U[W[KW7O?NO=&gt;]^Z]UQ7_`)!_Y!]^Z]U[^R?T?7_D'\?7_'W[ MKW7?]?I]/^*_7_#W[KW71_3_`&amp;?H/K^G_D7OW7NNC^D?H_V/Z?S]/?NO==GZ</w:t>
      </w:r>
    </w:p>
    <w:p>
      <w:pPr>
        <w:spacing w:after="0" w:line="230" w:lineRule="auto"/>
        <w:rPr>
          <w:sz w:val="20"/>
          <w:szCs w:val="20"/>
          <w:color w:val="auto"/>
        </w:rPr>
      </w:pPr>
      <w:r>
        <w:rPr>
          <w:rFonts w:ascii="Times New Roman" w:cs="Times New Roman" w:eastAsia="Times New Roman" w:hAnsi="Times New Roman"/>
          <w:sz w:val="17"/>
          <w:szCs w:val="17"/>
          <w:color w:val="auto"/>
        </w:rPr>
        <w:t>M#]/X^OT^GX]^Z]UYOQ^G_D+_`(CW[KW71^O]C\?7Z^_=&gt;ZY'Z'Z?['Z?['W[ MKW7'\?V/J/\`6_/^\^]GKW79^H_3^/K]?K^/&gt;NO==_D_3\?Z_P#L??NO==^_</w:t>
      </w:r>
    </w:p>
    <w:p>
      <w:pPr>
        <w:spacing w:after="0"/>
        <w:rPr>
          <w:sz w:val="20"/>
          <w:szCs w:val="20"/>
          <w:color w:val="auto"/>
        </w:rPr>
      </w:pPr>
      <w:r>
        <w:rPr>
          <w:rFonts w:ascii="Times New Roman" w:cs="Times New Roman" w:eastAsia="Times New Roman" w:hAnsi="Times New Roman"/>
          <w:sz w:val="17"/>
          <w:szCs w:val="17"/>
          <w:color w:val="auto"/>
        </w:rPr>
        <w:t>%=&gt;Z__]D_ ` end</w:t>
      </w:r>
    </w:p>
    <w:p>
      <w:pPr>
        <w:sectPr>
          <w:pgSz w:w="11900" w:h="16838" w:orient="portrait"/>
          <w:cols w:equalWidth="0" w:num="1">
            <w:col w:w="11460"/>
          </w:cols>
          <w:pgMar w:left="220" w:top="118" w:right="219" w:bottom="1440" w:gutter="0" w:footer="0" w:header="0"/>
        </w:sectPr>
      </w:pPr>
    </w:p>
    <w:bookmarkStart w:id="87" w:name="page88"/>
    <w:bookmarkEnd w:id="87"/>
    <w:p>
      <w:pPr>
        <w:jc w:val="right"/>
        <w:ind w:right="3899"/>
        <w:spacing w:after="0"/>
        <w:rPr>
          <w:sz w:val="20"/>
          <w:szCs w:val="20"/>
          <w:color w:val="auto"/>
        </w:rPr>
      </w:pPr>
      <w:r>
        <w:rPr>
          <w:rFonts w:ascii="Times New Roman" w:cs="Times New Roman" w:eastAsia="Times New Roman" w:hAnsi="Times New Roman"/>
          <w:sz w:val="14"/>
          <w:szCs w:val="14"/>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172720</wp:posOffset>
            </wp:positionV>
            <wp:extent cx="542290" cy="337185"/>
            <wp:wrapNone/>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61">
                      <a:extLst>
                        <a:ext uri="{28A0092B-C50C-407E-A947-70E740481C1C}"/>
                      </a:extLst>
                    </a:blip>
                    <a:srcRect/>
                    <a:stretch>
                      <a:fillRect/>
                    </a:stretch>
                  </pic:blipFill>
                  <pic:spPr bwMode="auto">
                    <a:xfrm>
                      <a:off x="0" y="0"/>
                      <a:ext cx="542290" cy="33718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3"/>
          <w:szCs w:val="13"/>
          <w:color w:val="auto"/>
        </w:rPr>
        <w:t>December 17, 2003</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Tower Semiconductor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Migdal Ha'emek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Israel</w:t>
      </w:r>
    </w:p>
    <w:p>
      <w:pPr>
        <w:spacing w:after="0" w:line="157" w:lineRule="exact"/>
        <w:rPr>
          <w:sz w:val="20"/>
          <w:szCs w:val="20"/>
          <w:color w:val="auto"/>
        </w:rPr>
      </w:pPr>
    </w:p>
    <w:p>
      <w:pPr>
        <w:ind w:right="3939"/>
        <w:spacing w:after="0" w:line="256" w:lineRule="auto"/>
        <w:rPr>
          <w:sz w:val="20"/>
          <w:szCs w:val="20"/>
          <w:color w:val="auto"/>
        </w:rPr>
      </w:pPr>
      <w:r>
        <w:rPr>
          <w:rFonts w:ascii="Times New Roman" w:cs="Times New Roman" w:eastAsia="Times New Roman" w:hAnsi="Times New Roman"/>
          <w:sz w:val="14"/>
          <w:szCs w:val="14"/>
          <w:color w:val="auto"/>
        </w:rPr>
        <w:t>We have made a review, in accordance with standards established by the Institute of Certified Public Accountants in Israel, of the unaudited interim consolidated financial statements of Tower Semiconductor Ltd. (the "Company") and its subsidiary for the periods ended March 31, 2003, June 30, 2003 and September 30, 2003, as indicated in our reports dated May 1, 2003, August 8, 2003, and December 17, 2003, respectively; because we did not perform an audit, we expressed no opinion on these interim financial statements.</w:t>
      </w:r>
    </w:p>
    <w:p>
      <w:pPr>
        <w:spacing w:after="0" w:line="57" w:lineRule="exact"/>
        <w:rPr>
          <w:sz w:val="20"/>
          <w:szCs w:val="20"/>
          <w:color w:val="auto"/>
        </w:rPr>
      </w:pPr>
    </w:p>
    <w:p>
      <w:pPr>
        <w:ind w:right="3919"/>
        <w:spacing w:after="0" w:line="254" w:lineRule="auto"/>
        <w:rPr>
          <w:sz w:val="20"/>
          <w:szCs w:val="20"/>
          <w:color w:val="auto"/>
        </w:rPr>
      </w:pPr>
      <w:r>
        <w:rPr>
          <w:rFonts w:ascii="Times New Roman" w:cs="Times New Roman" w:eastAsia="Times New Roman" w:hAnsi="Times New Roman"/>
          <w:sz w:val="14"/>
          <w:szCs w:val="14"/>
          <w:color w:val="auto"/>
        </w:rPr>
        <w:t>We are aware that our reports relating to the periods ended March 31, 2003 and June 30, 2003, which were included in the Company's Immediate Reports on Form 6-K relating to the Company's unaudited interim consolidated financial statements for the quarters ended March 31, 2003 and June 30, 2003, submitted on May 4, 2003 and August 11, 2003, are incorporated by reference in this Registration Statement. We are further aware that our report relating to the period ended September 30, 2003 is being used in this Registration Statement (File No. 333-110486).</w:t>
      </w:r>
    </w:p>
    <w:p>
      <w:pPr>
        <w:spacing w:after="0" w:line="60" w:lineRule="exact"/>
        <w:rPr>
          <w:sz w:val="20"/>
          <w:szCs w:val="20"/>
          <w:color w:val="auto"/>
        </w:rPr>
      </w:pPr>
    </w:p>
    <w:p>
      <w:pPr>
        <w:ind w:right="3919"/>
        <w:spacing w:after="0" w:line="263" w:lineRule="auto"/>
        <w:rPr>
          <w:sz w:val="20"/>
          <w:szCs w:val="20"/>
          <w:color w:val="auto"/>
        </w:rPr>
      </w:pPr>
      <w:r>
        <w:rPr>
          <w:rFonts w:ascii="Times New Roman" w:cs="Times New Roman" w:eastAsia="Times New Roman" w:hAnsi="Times New Roman"/>
          <w:sz w:val="14"/>
          <w:szCs w:val="14"/>
          <w:color w:val="auto"/>
        </w:rPr>
        <w:t>We also are aware that the aforementioned reports, pursuant to Rule 436(c) under the Securities Act of 1933, are not considered a "part" of the Registration Statement prepared or certified by an accountant or a "report" prepared or certified by an accountant within the meaning of Sections 7 and 11 of that Act.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Brightman Almagor &amp; Co.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Brightman Almagor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Certified Public Accountants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member firm of Deloitte Touche Tohmatsu</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 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224790</wp:posOffset>
            </wp:positionV>
            <wp:extent cx="5062220" cy="38735"/>
            <wp:wrapNone/>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62">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p>
      <w:pPr>
        <w:sectPr>
          <w:pgSz w:w="11900" w:h="16838" w:orient="portrait"/>
          <w:cols w:equalWidth="0" w:num="1">
            <w:col w:w="10239"/>
          </w:cols>
          <w:pgMar w:left="220" w:top="289"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color w:val="auto"/>
        </w:rPr>
        <w:t>begin 644 html_92524deloitte.jpg M_]C_X``02D9)1@`!`0$!(`$@``#__@`Z($EM86=E(&amp;=E;F5R871E9"!B&gt;2!! M;&amp;%D9&amp;EN($=H;W-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T8H*10\-9*JJK"G+7!Y5O'/S_;KBA; MI[,H"M;;8I^\M"Y9/1PU_'M]FX]TFSE+W.-Q$4)KLRK!ZT$2,B,*.V2V7C9H MJV17435-</w:t>
      </w:r>
    </w:p>
    <w:p>
      <w:pPr>
        <w:spacing w:after="0" w:line="230" w:lineRule="auto"/>
        <w:rPr>
          <w:sz w:val="20"/>
          <w:szCs w:val="20"/>
          <w:color w:val="auto"/>
        </w:rPr>
      </w:pPr>
      <w:r>
        <w:rPr>
          <w:rFonts w:ascii="Times New Roman" w:cs="Times New Roman" w:eastAsia="Times New Roman" w:hAnsi="Times New Roman"/>
          <w:sz w:val="17"/>
          <w:szCs w:val="17"/>
          <w:color w:val="auto"/>
        </w:rPr>
        <w:t>T/Y/.GH+Y\^,&gt;%:_F\GWU5D0FQUAI#PADO(-I)$KP*X*Q^Q47 M*CO0Z#C5(0&gt;UNF;69] M[&gt;*AE1/D#H2IJ!OEY(3TDITW'7LU)=717*D&gt;(M5*WE$?</w:t>
      </w:r>
    </w:p>
    <w:p>
      <w:pPr>
        <w:spacing w:after="0" w:line="230" w:lineRule="auto"/>
        <w:rPr>
          <w:sz w:val="20"/>
          <w:szCs w:val="20"/>
          <w:color w:val="auto"/>
        </w:rPr>
      </w:pPr>
      <w:r>
        <w:rPr>
          <w:rFonts w:ascii="Times New Roman" w:cs="Times New Roman" w:eastAsia="Times New Roman" w:hAnsi="Times New Roman"/>
          <w:sz w:val="17"/>
          <w:szCs w:val="17"/>
          <w:color w:val="auto"/>
        </w:rPr>
        <w:t>AKR2:;:#D!KY,_4I\U=&amp;][7/S.:(P2&amp;4@P73!PSQRZXS$D+&amp;D,TF4O.$P@R/PE#,!BT(]U*-&gt;SV06.K4H0CO`++:5V5G^"NH)L%8 MVB[B:,"62)%]T1XPSJ=R#</w:t>
      </w:r>
    </w:p>
    <w:p>
      <w:pPr>
        <w:spacing w:after="0"/>
        <w:rPr>
          <w:sz w:val="20"/>
          <w:szCs w:val="20"/>
          <w:color w:val="auto"/>
        </w:rPr>
      </w:pPr>
      <w:r>
        <w:rPr>
          <w:rFonts w:ascii="Times New Roman" w:cs="Times New Roman" w:eastAsia="Times New Roman" w:hAnsi="Times New Roman"/>
          <w:sz w:val="16"/>
          <w:szCs w:val="16"/>
          <w:color w:val="auto"/>
        </w:rPr>
        <w:t>(+.F"R!+9F^9N5W'8S[O7\&gt;O\_]\9QZ_P"_UQ_7 M'K_./3^WIQZ8_M_]:_\`Y\:/WGROFK.9//;XK+^N`^J`KNGJLBD]GA`4-7/G M6D=#V_;&amp;,;M(\-WP7([.%W&amp;K9%-</w:t>
      </w:r>
    </w:p>
    <w:p>
      <w:pPr>
        <w:spacing w:after="0" w:line="234" w:lineRule="auto"/>
        <w:rPr>
          <w:sz w:val="20"/>
          <w:szCs w:val="20"/>
          <w:color w:val="auto"/>
        </w:rPr>
      </w:pPr>
      <w:r>
        <w:rPr>
          <w:rFonts w:ascii="Times New Roman" w:cs="Times New Roman" w:eastAsia="Times New Roman" w:hAnsi="Times New Roman"/>
          <w:sz w:val="17"/>
          <w:szCs w:val="17"/>
          <w:color w:val="auto"/>
        </w:rPr>
        <w:t>JFKMG3=RLF@XT;+H*1Y/^HP'G5\X7CJDO M#L#G!:C^'2H&amp;Q+6O0]%E8JBB'&amp;SH58A==\F1;;KA1C8G'!$-A@L\L@6E4E.2 M!R)$(#6BI-9"-</w:t>
      </w:r>
    </w:p>
    <w:p>
      <w:pPr>
        <w:spacing w:after="0" w:line="230" w:lineRule="auto"/>
        <w:rPr>
          <w:sz w:val="20"/>
          <w:szCs w:val="20"/>
          <w:color w:val="auto"/>
        </w:rPr>
      </w:pPr>
      <w:r>
        <w:rPr>
          <w:rFonts w:ascii="Times New Roman" w:cs="Times New Roman" w:eastAsia="Times New Roman" w:hAnsi="Times New Roman"/>
          <w:sz w:val="17"/>
          <w:szCs w:val="17"/>
          <w:color w:val="auto"/>
        </w:rPr>
        <w:t>C-!L&lt;*1\3N+&gt;%RBB&amp;@3+5SOZI[M M4P3I*X^4.5N*/+GR'Y#JE.*&gt;2&amp;TI_)6];/YQ4;V1V&amp;]FKD3AE'S@NS7;!ZM&amp; M$1MIIFI^L:;D6#22C#Z94$YE'W#+-</w:t>
      </w:r>
    </w:p>
    <w:p>
      <w:pPr>
        <w:spacing w:after="0" w:line="230" w:lineRule="auto"/>
        <w:rPr>
          <w:sz w:val="20"/>
          <w:szCs w:val="20"/>
          <w:color w:val="auto"/>
        </w:rPr>
      </w:pPr>
      <w:r>
        <w:rPr>
          <w:rFonts w:ascii="Times New Roman" w:cs="Times New Roman" w:eastAsia="Times New Roman" w:hAnsi="Times New Roman"/>
          <w:sz w:val="17"/>
          <w:szCs w:val="17"/>
          <w:color w:val="auto"/>
        </w:rPr>
        <w:t>(X:IKFV:BL3])O#;J%'HQ,!\HN`DYC$ MI1?CI'&amp;8K/;[1-UN%-L2V$787.T-/`63:/$&amp;B#D:FII'$==%F^C-M/G&amp;$LYS MXN_4P=GTY&gt;M(M8X]Z*LT'#N-</w:t>
      </w:r>
    </w:p>
    <w:p>
      <w:pPr>
        <w:spacing w:after="0" w:line="230" w:lineRule="auto"/>
        <w:rPr>
          <w:sz w:val="20"/>
          <w:szCs w:val="20"/>
          <w:color w:val="auto"/>
        </w:rPr>
      </w:pPr>
      <w:r>
        <w:rPr>
          <w:rFonts w:ascii="Times New Roman" w:cs="Times New Roman" w:eastAsia="Times New Roman" w:hAnsi="Times New Roman"/>
          <w:sz w:val="17"/>
          <w:szCs w:val="17"/>
          <w:color w:val="auto"/>
        </w:rPr>
        <w:t>=6E1QS,;A4AD9`)*8\?B;1PQ&amp;XA\&gt;DL&gt;W)AF M4W@S-=LD_:$!))7&amp;SARJG"O#X2/5!Y)?-%X\2U5;07IOLF/=2UUQ@76A+(2-</w:t>
      </w:r>
    </w:p>
    <w:p>
      <w:pPr>
        <w:spacing w:after="0"/>
        <w:rPr>
          <w:sz w:val="20"/>
          <w:szCs w:val="20"/>
          <w:color w:val="auto"/>
        </w:rPr>
      </w:pPr>
      <w:r>
        <w:rPr>
          <w:rFonts w:ascii="Times New Roman" w:cs="Times New Roman" w:eastAsia="Times New Roman" w:hAnsi="Times New Roman"/>
          <w:sz w:val="16"/>
          <w:szCs w:val="16"/>
          <w:color w:val="auto"/>
        </w:rPr>
        <w:t>MBN7PGH*3C$1YI=FS=02OY[!I("F/7./7T_OCX1[YO^N:.X&gt;HR$6M*N4*DZ@OJ MV9\!H.C`-JP6,EHWH&gt;+_`%IK'[SFAD`4?!(&gt;)3^L=)AAKE)X8,D$DF6K-ODP</w:t>
      </w:r>
    </w:p>
    <w:p>
      <w:pPr>
        <w:spacing w:after="0" w:line="234" w:lineRule="auto"/>
        <w:rPr>
          <w:sz w:val="20"/>
          <w:szCs w:val="20"/>
          <w:color w:val="auto"/>
        </w:rPr>
      </w:pPr>
      <w:r>
        <w:rPr>
          <w:rFonts w:ascii="Times New Roman" w:cs="Times New Roman" w:eastAsia="Times New Roman" w:hAnsi="Times New Roman"/>
          <w:sz w:val="17"/>
          <w:szCs w:val="17"/>
          <w:color w:val="auto"/>
        </w:rPr>
        <w:t>M8'Q+X@?)!.+EZ/ZI\&gt;%]&lt;:4YR+T'RFP;RZ4#&gt;=2PEY3AT86.B1BZ35BS'L]V M)IO^YH\43((/S+(\S+.=]]0;]@NP7&amp;KS4=Q]3\</w:t>
      </w:r>
    </w:p>
    <w:p>
      <w:pPr>
        <w:spacing w:after="0"/>
        <w:rPr>
          <w:sz w:val="20"/>
          <w:szCs w:val="20"/>
          <w:color w:val="auto"/>
        </w:rPr>
      </w:pPr>
      <w:r>
        <w:rPr>
          <w:rFonts w:ascii="Times New Roman" w:cs="Times New Roman" w:eastAsia="Times New Roman" w:hAnsi="Times New Roman"/>
          <w:sz w:val="16"/>
          <w:szCs w:val="16"/>
          <w:color w:val="auto"/>
        </w:rPr>
        <w:t>&lt;])KV4Q\3E'=8HZZZ*K*;6TUW%X_GE1..DS M/3G,1&gt;E8E,Q407N5:QH"=@\?GV=(8%*,!9&gt;F[4LM[#4R)%@=9MS`U[69=S=U MKP]V&gt;+DMPK)(O=D\9HSRC^/?</w:t>
      </w:r>
    </w:p>
    <w:p>
      <w:pPr>
        <w:spacing w:after="0" w:line="234" w:lineRule="auto"/>
        <w:rPr>
          <w:sz w:val="20"/>
          <w:szCs w:val="20"/>
          <w:color w:val="auto"/>
        </w:rPr>
      </w:pPr>
      <w:r>
        <w:rPr>
          <w:rFonts w:ascii="Times New Roman" w:cs="Times New Roman" w:eastAsia="Times New Roman" w:hAnsi="Times New Roman"/>
          <w:sz w:val="17"/>
          <w:szCs w:val="17"/>
          <w:color w:val="auto"/>
        </w:rPr>
        <w:t>I&gt;XRO/M#];4W9MQ!\EO?!HU(U%")7[%ESDO MF*.W;-H(FVHQ%HZ&gt;/F?S_7^OQIQ?J8K</w:t>
      </w:r>
    </w:p>
    <w:p>
      <w:pPr>
        <w:spacing w:after="0"/>
        <w:rPr>
          <w:sz w:val="20"/>
          <w:szCs w:val="20"/>
          <w:color w:val="auto"/>
        </w:rPr>
      </w:pPr>
      <w:r>
        <w:rPr>
          <w:rFonts w:ascii="Times New Roman" w:cs="Times New Roman" w:eastAsia="Times New Roman" w:hAnsi="Times New Roman"/>
          <w:sz w:val="16"/>
          <w:szCs w:val="16"/>
          <w:color w:val="auto"/>
        </w:rPr>
        <w:t>M]DT_Z'XP\8,NFU74+S/TE]@L^Q&gt;D9W&amp;D#A2NY8!GQN.QHR)+E#08?#1&lt;1=,A MVQXTP=L"KQA-7#!X;%`_K-'FMERU;_65,7VAXR.;[=IBHNE+=['%"+0\CU47</w:t>
      </w:r>
    </w:p>
    <w:p>
      <w:pPr>
        <w:spacing w:after="0" w:line="234" w:lineRule="auto"/>
        <w:rPr>
          <w:sz w:val="20"/>
          <w:szCs w:val="20"/>
          <w:color w:val="auto"/>
        </w:rPr>
      </w:pPr>
      <w:r>
        <w:rPr>
          <w:rFonts w:ascii="Times New Roman" w:cs="Times New Roman" w:eastAsia="Times New Roman" w:hAnsi="Times New Roman"/>
          <w:sz w:val="17"/>
          <w:szCs w:val="17"/>
          <w:color w:val="auto"/>
        </w:rPr>
        <w:t>M4@?+V[`G@EV@)B#ZY"N)$RD%:LEC!&amp;:Q3`;9G(#TTV$Q0B#&gt;3%-5RIOI^&gt;,3 MJR\,O&lt;(G+P@3V'4:(:X(E%OK"I#&lt;7-H+HF[(N/E)_4$'JC;5=XK\E/YKI593</w:t>
      </w:r>
    </w:p>
    <w:p>
      <w:pPr>
        <w:spacing w:after="0" w:line="230" w:lineRule="auto"/>
        <w:rPr>
          <w:sz w:val="20"/>
          <w:szCs w:val="20"/>
          <w:color w:val="auto"/>
        </w:rPr>
      </w:pPr>
      <w:r>
        <w:rPr>
          <w:rFonts w:ascii="Times New Roman" w:cs="Times New Roman" w:eastAsia="Times New Roman" w:hAnsi="Times New Roman"/>
          <w:sz w:val="17"/>
          <w:szCs w:val="17"/>
          <w:color w:val="auto"/>
        </w:rPr>
        <w:t>M&amp;$L[&gt;N--#JO8YMXF_P!.J"MIR;&gt;&lt;-*3P M8,4RYP[Y6-Z836U:J;L&lt;#WE^ZPYC&amp;TGNZK+&gt;9_=D@6EODQC2TC\&gt;Y7BKG&lt;14#B&lt;#"IVHF$4;\O!PB3U4&gt;V</w:t>
      </w:r>
    </w:p>
    <w:p>
      <w:pPr>
        <w:spacing w:after="0" w:line="230" w:lineRule="auto"/>
        <w:rPr>
          <w:sz w:val="20"/>
          <w:szCs w:val="20"/>
          <w:color w:val="auto"/>
        </w:rPr>
      </w:pPr>
      <w:r>
        <w:rPr>
          <w:rFonts w:ascii="Times New Roman" w:cs="Times New Roman" w:eastAsia="Times New Roman" w:hAnsi="Times New Roman"/>
          <w:sz w:val="17"/>
          <w:szCs w:val="17"/>
          <w:color w:val="auto"/>
        </w:rPr>
        <w:t>M5&lt;(O8_&amp;+NSSZ=I`H=&gt;E-'IE'`H)HXRO]-I` M)%9(\0V2]_VD"9*"QK?+1U]'G`?%_6E5=%WGXND@_D$XLJZX:EN")OH71T!Y</w:t>
      </w:r>
    </w:p>
    <w:p>
      <w:pPr>
        <w:spacing w:after="0" w:line="230" w:lineRule="auto"/>
        <w:rPr>
          <w:sz w:val="20"/>
          <w:szCs w:val="20"/>
          <w:color w:val="auto"/>
        </w:rPr>
      </w:pPr>
      <w:r>
        <w:rPr>
          <w:rFonts w:ascii="Times New Roman" w:cs="Times New Roman" w:eastAsia="Times New Roman" w:hAnsi="Times New Roman"/>
          <w:sz w:val="17"/>
          <w:szCs w:val="17"/>
          <w:color w:val="auto"/>
        </w:rPr>
        <w:t>M7GM&lt;]%DGW;\8S_&amp;/QGT_&amp;/[?CX$3KWE;C#LR/QRDNO:VJ^U6KU\\* MP:-S-\@+F30@@GIDH0KXN,*A9R))$6WU@]+Z4MAPTUV3P.(CPO&gt; M).-Q&gt;-</w:t>
      </w:r>
    </w:p>
    <w:p>
      <w:pPr>
        <w:spacing w:after="0" w:line="230" w:lineRule="auto"/>
        <w:rPr>
          <w:sz w:val="20"/>
          <w:szCs w:val="20"/>
          <w:color w:val="auto"/>
        </w:rPr>
      </w:pPr>
      <w:r>
        <w:rPr>
          <w:rFonts w:ascii="Times New Roman" w:cs="Times New Roman" w:eastAsia="Times New Roman" w:hAnsi="Times New Roman"/>
          <w:sz w:val="17"/>
          <w:szCs w:val="17"/>
          <w:color w:val="auto"/>
        </w:rPr>
        <w:t>UFRX0YB^V!]RQ&gt;/MC$&amp;'&amp;Y:HMM@:B3*[2LVY?3@RLWWU%[*/WIM[D&lt; MYV9KHJ-7"J6^YR774M(="5[*N:KLC\:GT$L&gt;**(2BKS119)221`26#_.759C</w:t>
      </w:r>
    </w:p>
    <w:p>
      <w:pPr>
        <w:spacing w:after="0" w:line="230" w:lineRule="auto"/>
        <w:rPr>
          <w:sz w:val="20"/>
          <w:szCs w:val="20"/>
          <w:color w:val="auto"/>
        </w:rPr>
      </w:pPr>
      <w:r>
        <w:rPr>
          <w:rFonts w:ascii="Times New Roman" w:cs="Times New Roman" w:eastAsia="Times New Roman" w:hAnsi="Times New Roman"/>
          <w:sz w:val="17"/>
          <w:szCs w:val="17"/>
          <w:color w:val="auto"/>
        </w:rPr>
        <w:t>MB+`_L+8&amp;2-XS3538K'BWHN7,:CDUE]!B)!\X;#=7#G M#%%M]2O\R&amp;WWBK\:Y5],"9/A3E$F_GQ-0Q+G;ZCX"\5.E5BBIE=\YW6#;X2&lt;</w:t>
      </w:r>
    </w:p>
    <w:p>
      <w:pPr>
        <w:spacing w:after="0" w:line="230" w:lineRule="auto"/>
        <w:rPr>
          <w:sz w:val="20"/>
          <w:szCs w:val="20"/>
          <w:color w:val="auto"/>
        </w:rPr>
      </w:pPr>
      <w:r>
        <w:rPr>
          <w:rFonts w:ascii="Times New Roman" w:cs="Times New Roman" w:eastAsia="Times New Roman" w:hAnsi="Times New Roman"/>
          <w:sz w:val="17"/>
          <w:szCs w:val="17"/>
          <w:color w:val="auto"/>
        </w:rPr>
        <w:t>MN";A=XXW9X:_4++*:JX43WRG\2--Z3X&gt;NNNJX@UA5IS+:-6P.0-J]JF,2J.5 MK+X5$Y2":*1-M"H&amp;/((/Q(&gt;0"V(=6._MH%A`D@@,4%JL,?0921S./\G\KQ?:</w:t>
      </w:r>
    </w:p>
    <w:p>
      <w:pPr>
        <w:spacing w:after="0" w:line="230" w:lineRule="auto"/>
        <w:rPr>
          <w:sz w:val="20"/>
          <w:szCs w:val="20"/>
          <w:color w:val="auto"/>
        </w:rPr>
      </w:pPr>
      <w:r>
        <w:rPr>
          <w:rFonts w:ascii="Times New Roman" w:cs="Times New Roman" w:eastAsia="Times New Roman" w:hAnsi="Times New Roman"/>
          <w:sz w:val="17"/>
          <w:szCs w:val="17"/>
          <w:color w:val="auto"/>
        </w:rPr>
        <w:t>ML58SSC0X)6D]7^U/N`]3P-@XJO)9^Y+%5*\&lt;-@6BT-W*%7CLF15`*,%'Q)RX M?.=E72RBFV;QZG*:DVSM?99;=5TB[365RHKG=3/OW]9P_C\?V_P"GQJD&gt;</w:t>
      </w:r>
    </w:p>
    <w:p>
      <w:pPr>
        <w:spacing w:after="0" w:line="230" w:lineRule="auto"/>
        <w:rPr>
          <w:sz w:val="20"/>
          <w:szCs w:val="20"/>
          <w:color w:val="auto"/>
        </w:rPr>
      </w:pPr>
      <w:r>
        <w:rPr>
          <w:rFonts w:ascii="Times New Roman" w:cs="Times New Roman" w:eastAsia="Times New Roman" w:hAnsi="Times New Roman"/>
          <w:sz w:val="17"/>
          <w:szCs w:val="17"/>
          <w:color w:val="auto"/>
        </w:rPr>
        <w:t>M7+,39&gt;:;QAR`P]JK63@A%0.(2#EBDDTM^1/WW;M&lt;`S([G+(5^Q`J3S[$7?+S M`?/,.09*IDIVF'U;GVS9QKDE?];]G;\QP;J:S#U23WHJ4&lt;#^4^^:JEX"C`&amp;\</w:t>
      </w:r>
    </w:p>
    <w:p>
      <w:pPr>
        <w:spacing w:after="0" w:line="230" w:lineRule="auto"/>
        <w:rPr>
          <w:sz w:val="20"/>
          <w:szCs w:val="20"/>
          <w:color w:val="auto"/>
        </w:rPr>
      </w:pPr>
      <w:r>
        <w:rPr>
          <w:rFonts w:ascii="Times New Roman" w:cs="Times New Roman" w:eastAsia="Times New Roman" w:hAnsi="Times New Roman"/>
          <w:sz w:val="17"/>
          <w:szCs w:val="17"/>
          <w:color w:val="auto"/>
        </w:rPr>
        <w:t>MIK^+02R&gt;;FU4Q04V%+9&lt;2,2.#Z.)K/!C-DU83MXVC`]ZBZ")+$TGX)(2X;9^XD5MNV;VUUS5%%W&lt;`HCR$'1MAQKR4=^+3,HI6--S`]" M1@:RQ*</w:t>
      </w:r>
    </w:p>
    <w:p>
      <w:pPr>
        <w:spacing w:after="0" w:line="230" w:lineRule="auto"/>
        <w:rPr>
          <w:sz w:val="20"/>
          <w:szCs w:val="20"/>
          <w:color w:val="auto"/>
        </w:rPr>
      </w:pPr>
      <w:r>
        <w:rPr>
          <w:rFonts w:ascii="Times New Roman" w:cs="Times New Roman" w:eastAsia="Times New Roman" w:hAnsi="Times New Roman"/>
          <w:sz w:val="17"/>
          <w:szCs w:val="17"/>
          <w:color w:val="auto"/>
        </w:rPr>
        <w:t>&lt;&gt;IN5#)*&amp;*I)#'["Q!]V,GR_VLRWCY,-&amp;H_P#31!%AHA?8_P"1WL76 M^_'G5Y7H)0\0L[C2])-=`G6/5.`'V;+:VC';@]M:8.+LX"\F(F6-950L$?&amp;L</w:t>
      </w:r>
    </w:p>
    <w:p>
      <w:pPr>
        <w:spacing w:after="0" w:line="230" w:lineRule="auto"/>
        <w:rPr>
          <w:sz w:val="20"/>
          <w:szCs w:val="20"/>
          <w:color w:val="auto"/>
        </w:rPr>
      </w:pPr>
      <w:r>
        <w:rPr>
          <w:rFonts w:ascii="Times New Roman" w:cs="Times New Roman" w:eastAsia="Times New Roman" w:hAnsi="Times New Roman"/>
          <w:sz w:val="17"/>
          <w:szCs w:val="17"/>
          <w:color w:val="auto"/>
        </w:rPr>
        <w:t>M@ID#K^+KN!H56&amp;2166/E1)[&gt;,+IKH*+\+=)6SV?(BEG,X[#W;7`23/:NO5VVZ0Z*A$SSTI.CT!C+W$TWIB*4=)8.ZD@V# MEIJY)'"(T!OL7*-1,S&gt;-.PNP.HP--</w:t>
      </w:r>
    </w:p>
    <w:p>
      <w:pPr>
        <w:spacing w:after="0" w:line="230" w:lineRule="auto"/>
        <w:rPr>
          <w:sz w:val="20"/>
          <w:szCs w:val="20"/>
          <w:color w:val="auto"/>
        </w:rPr>
      </w:pPr>
      <w:r>
        <w:rPr>
          <w:rFonts w:ascii="Times New Roman" w:cs="Times New Roman" w:eastAsia="Times New Roman" w:hAnsi="Times New Roman"/>
          <w:sz w:val="17"/>
          <w:szCs w:val="17"/>
          <w:color w:val="auto"/>
        </w:rPr>
        <w:t>*2#IKKDJA'?(76DAO&gt;1SJ+RB#O&amp;LI@_ M(5L6%TYR\@S&gt;1J/M-.-:*O1HYYG&lt;`^&amp;JZO![%UHIJNT;J)COXEX!$`/CSY(=LPJ3LH M;K',^-</w:t>
      </w:r>
    </w:p>
    <w:p>
      <w:pPr>
        <w:spacing w:after="0" w:line="230" w:lineRule="auto"/>
        <w:rPr>
          <w:sz w:val="20"/>
          <w:szCs w:val="20"/>
          <w:color w:val="auto"/>
        </w:rPr>
      </w:pPr>
      <w:r>
        <w:rPr>
          <w:rFonts w:ascii="Times New Roman" w:cs="Times New Roman" w:eastAsia="Times New Roman" w:hAnsi="Times New Roman"/>
          <w:sz w:val="17"/>
          <w:szCs w:val="17"/>
          <w:color w:val="auto"/>
        </w:rPr>
        <w:t>'C[E]*9,8F=D2MQ8DZDI6429T7D)$M)YNXVDI-T\)K;*DT6:NGR]1[ M'1NQW4(%U4?JZAQ6JCUVJ\&gt;J8',\;O':B#=LH[=[X1]SERHW:MFZCA?.ZNZ# M=!';?</w:t>
      </w:r>
    </w:p>
    <w:p>
      <w:pPr>
        <w:spacing w:after="0" w:line="230" w:lineRule="auto"/>
        <w:rPr>
          <w:sz w:val="20"/>
          <w:szCs w:val="20"/>
          <w:color w:val="auto"/>
        </w:rPr>
      </w:pPr>
      <w:r>
        <w:rPr>
          <w:rFonts w:ascii="Times New Roman" w:cs="Times New Roman" w:eastAsia="Times New Roman" w:hAnsi="Times New Roman"/>
          <w:sz w:val="17"/>
          <w:szCs w:val="17"/>
          <w:color w:val="auto"/>
        </w:rPr>
        <w:t>*:*&gt;NM3J/8:KHK:L66JR22R:2NK1OJJDFILOLHFDIA/&amp;Z&gt;BFRBFRFFF MVNN^RBF=\9RIOG:MTTTTTVUTTUTU_P`F/;KKC77TUQC37'MQC&amp;/3737777'I</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MZ:ZZZXQZ8UQZB2&gt;FFO^37&amp;OJIG.?;^/7.?YVSZ?SMGTQG.V?\V</w:t>
      </w:r>
    </w:p>
    <w:p>
      <w:pPr>
        <w:spacing w:after="0" w:line="22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8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b w:val="1"/>
          <w:bCs w:val="1"/>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5020"/>
        <w:spacing w:after="0" w:line="256" w:lineRule="auto"/>
        <w:rPr>
          <w:sz w:val="20"/>
          <w:szCs w:val="20"/>
          <w:color w:val="auto"/>
        </w:rPr>
      </w:pPr>
      <w:r>
        <w:rPr>
          <w:rFonts w:ascii="Times New Roman" w:cs="Times New Roman" w:eastAsia="Times New Roman" w:hAnsi="Times New Roman"/>
          <w:sz w:val="14"/>
          <w:szCs w:val="14"/>
          <w:color w:val="auto"/>
        </w:rPr>
        <w:t>We consent to the incorporation by reference in Amendment No. 1 to the Registration Statement of Tower Semiconductor Ltd. (the "Company"), on Form F-3 (File No. 333-110486), of our report dated February 24, 2003 appearing in the Annual Report on Form 20-F of the Company for the year ended December 31, 2002, and to the reference to us under the headings "Selected Consolidated Financial Data" and "Experts" in the Prospectus, which is part of this Amendment No. 1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Brightman Almagor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Brightman Almagor &amp; Co.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Certified Public Accountants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member of Deloitte Touche Tohmatsu</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Tel Aviv, Israel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17,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215265</wp:posOffset>
            </wp:positionV>
            <wp:extent cx="5062220" cy="38735"/>
            <wp:wrapNone/>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63">
                      <a:extLst>
                        <a:ext uri="{28A0092B-C50C-407E-A947-70E740481C1C}"/>
                      </a:extLst>
                    </a:blip>
                    <a:srcRect/>
                    <a:stretch>
                      <a:fillRect/>
                    </a:stretch>
                  </pic:blipFill>
                  <pic:spPr bwMode="auto">
                    <a:xfrm>
                      <a:off x="0" y="0"/>
                      <a:ext cx="5062220" cy="38735"/>
                    </a:xfrm>
                    <a:prstGeom prst="rect">
                      <a:avLst/>
                    </a:prstGeom>
                    <a:noFill/>
                  </pic:spPr>
                </pic:pic>
              </a:graphicData>
            </a:graphic>
          </wp:anchor>
        </w:drawing>
      </w:r>
    </w:p>
    <w:sectPr>
      <w:pgSz w:w="11900" w:h="16838" w:orient="portrait"/>
      <w:cols w:equalWidth="0" w:num="1">
        <w:col w:w="11360"/>
      </w:cols>
      <w:pgMar w:left="22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A3DD3E8"/>
    <w:multiLevelType w:val="hybridMultilevel"/>
    <w:lvl w:ilvl="0">
      <w:lvlJc w:val="left"/>
      <w:lvlText w:val="$"/>
      <w:numFmt w:val="bullet"/>
      <w:start w:val="1"/>
    </w:lvl>
  </w:abstractNum>
  <w:abstractNum w:abstractNumId="1">
    <w:nsid w:val="71C91298"/>
    <w:multiLevelType w:val="hybridMultilevel"/>
    <w:lvl w:ilvl="0">
      <w:lvlJc w:val="left"/>
      <w:lvlText w:val="["/>
      <w:numFmt w:val="bullet"/>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
      <w:numFmt w:val="bullet"/>
      <w:start w:val="1"/>
    </w:lvl>
  </w:abstractNum>
  <w:abstractNum w:abstractNumId="4">
    <w:nsid w:val="1FBFE8E0"/>
    <w:multiLevelType w:val="hybridMultilevel"/>
    <w:lvl w:ilvl="0">
      <w:lvlJc w:val="left"/>
      <w:lvlText w:val="(%1)"/>
      <w:numFmt w:val="decimal"/>
      <w:start w:val="1"/>
    </w:lvl>
  </w:abstractNum>
  <w:abstractNum w:abstractNumId="5">
    <w:nsid w:val="5092CA79"/>
    <w:multiLevelType w:val="hybridMultilevel"/>
    <w:lvl w:ilvl="0">
      <w:lvlJc w:val="left"/>
      <w:lvlText w:val="(%1)"/>
      <w:numFmt w:val="decimal"/>
      <w:start w:val="2"/>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
      <w:numFmt w:val="bullet"/>
      <w:start w:val="1"/>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1)"/>
      <w:numFmt w:val="decimal"/>
      <w:start w:val="1"/>
    </w:lvl>
  </w:abstractNum>
  <w:abstractNum w:abstractNumId="20">
    <w:nsid w:val="E7FFA2B"/>
    <w:multiLevelType w:val="hybridMultilevel"/>
    <w:lvl w:ilvl="0">
      <w:lvlJc w:val="left"/>
      <w:lvlText w:val="(%1)"/>
      <w:numFmt w:val="decimal"/>
      <w:start w:val="1"/>
    </w:lvl>
  </w:abstractNum>
  <w:abstractNum w:abstractNumId="21">
    <w:nsid w:val="3C5991AA"/>
    <w:multiLevelType w:val="hybridMultilevel"/>
    <w:lvl w:ilvl="0">
      <w:lvlJc w:val="left"/>
      <w:lvlText w:val="(%1)"/>
      <w:numFmt w:val="decimal"/>
      <w:start w:val="3"/>
    </w:lvl>
  </w:abstractNum>
  <w:abstractNum w:abstractNumId="22">
    <w:nsid w:val="4BD8591A"/>
    <w:multiLevelType w:val="hybridMultilevel"/>
    <w:lvl w:ilvl="0">
      <w:lvlJc w:val="left"/>
      <w:lvlText w:val="(%1)"/>
      <w:numFmt w:val="decimal"/>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
      <w:numFmt w:val="bullet"/>
      <w:start w:val="1"/>
    </w:lvl>
  </w:abstractNum>
  <w:abstractNum w:abstractNumId="25">
    <w:nsid w:val="2B0D8DBE"/>
    <w:multiLevelType w:val="hybridMultilevel"/>
    <w:lvl w:ilvl="0">
      <w:lvlJc w:val="left"/>
      <w:lvlText w:val="•"/>
      <w:numFmt w:val="bullet"/>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
      <w:numFmt w:val="bullet"/>
      <w:start w:val="1"/>
    </w:lvl>
  </w:abstractNum>
  <w:abstractNum w:abstractNumId="28">
    <w:nsid w:val="69E373"/>
    <w:multiLevelType w:val="hybridMultilevel"/>
    <w:lvl w:ilvl="0">
      <w:lvlJc w:val="left"/>
      <w:lvlText w:val="•"/>
      <w:numFmt w:val="bullet"/>
      <w:start w:val="1"/>
    </w:lvl>
  </w:abstractNum>
  <w:abstractNum w:abstractNumId="29">
    <w:nsid w:val="2C27173B"/>
    <w:multiLevelType w:val="hybridMultilevel"/>
    <w:lvl w:ilvl="0">
      <w:lvlJc w:val="left"/>
      <w:lvlText w:val="•"/>
      <w:numFmt w:val="bullet"/>
      <w:start w:val="1"/>
    </w:lvl>
  </w:abstractNum>
  <w:abstractNum w:abstractNumId="30">
    <w:nsid w:val="4C9B0904"/>
    <w:multiLevelType w:val="hybridMultilevel"/>
    <w:lvl w:ilvl="0">
      <w:lvlJc w:val="left"/>
      <w:lvlText w:val="•"/>
      <w:numFmt w:val="bullet"/>
      <w:start w:val="1"/>
    </w:lvl>
  </w:abstractNum>
  <w:abstractNum w:abstractNumId="31">
    <w:nsid w:val="6AA7B75C"/>
    <w:multiLevelType w:val="hybridMultilevel"/>
    <w:lvl w:ilvl="0">
      <w:lvlJc w:val="left"/>
      <w:lvlText w:val="•"/>
      <w:numFmt w:val="bullet"/>
      <w:start w:val="1"/>
    </w:lvl>
  </w:abstractNum>
  <w:abstractNum w:abstractNumId="32">
    <w:nsid w:val="1DF029D3"/>
    <w:multiLevelType w:val="hybridMultilevel"/>
    <w:lvl w:ilvl="0">
      <w:lvlJc w:val="left"/>
      <w:lvlText w:val="•"/>
      <w:numFmt w:val="bullet"/>
      <w:start w:val="1"/>
    </w:lvl>
  </w:abstractNum>
  <w:abstractNum w:abstractNumId="33">
    <w:nsid w:val="5675FF36"/>
    <w:multiLevelType w:val="hybridMultilevel"/>
    <w:lvl w:ilvl="0">
      <w:lvlJc w:val="left"/>
      <w:lvlText w:val="•"/>
      <w:numFmt w:val="bullet"/>
      <w:start w:val="1"/>
    </w:lvl>
  </w:abstractNum>
  <w:abstractNum w:abstractNumId="34">
    <w:nsid w:val="3DD15094"/>
    <w:multiLevelType w:val="hybridMultilevel"/>
    <w:lvl w:ilvl="0">
      <w:lvlJc w:val="left"/>
      <w:lvlText w:val="(*)"/>
      <w:numFmt w:val="bullet"/>
      <w:start w:val="1"/>
    </w:lvl>
  </w:abstractNum>
  <w:abstractNum w:abstractNumId="35">
    <w:nsid w:val="3DB012B3"/>
    <w:multiLevelType w:val="hybridMultilevel"/>
    <w:lvl w:ilvl="0">
      <w:lvlJc w:val="left"/>
      <w:lvlText w:val="•"/>
      <w:numFmt w:val="bullet"/>
      <w:start w:val="1"/>
    </w:lvl>
  </w:abstractNum>
  <w:abstractNum w:abstractNumId="36">
    <w:nsid w:val="2708C9AF"/>
    <w:multiLevelType w:val="hybridMultilevel"/>
    <w:lvl w:ilvl="0">
      <w:lvlJc w:val="left"/>
      <w:lvlText w:val="•"/>
      <w:numFmt w:val="bullet"/>
      <w:start w:val="1"/>
    </w:lvl>
  </w:abstractNum>
  <w:abstractNum w:abstractNumId="37">
    <w:nsid w:val="5B25ACE2"/>
    <w:multiLevelType w:val="hybridMultilevel"/>
    <w:lvl w:ilvl="0">
      <w:lvlJc w:val="left"/>
      <w:lvlText w:val="*"/>
      <w:numFmt w:val="bullet"/>
      <w:start w:val="1"/>
    </w:lvl>
  </w:abstractNum>
  <w:abstractNum w:abstractNumId="38">
    <w:nsid w:val="175DFCF0"/>
    <w:multiLevelType w:val="hybridMultilevel"/>
    <w:lvl w:ilvl="0">
      <w:lvlJc w:val="left"/>
      <w:lvlText w:val="(%1)"/>
      <w:numFmt w:val="decimal"/>
      <w:start w:val="1"/>
    </w:lvl>
  </w:abstractNum>
  <w:abstractNum w:abstractNumId="39">
    <w:nsid w:val="4F97E3E4"/>
    <w:multiLevelType w:val="hybridMultilevel"/>
    <w:lvl w:ilvl="0">
      <w:lvlJc w:val="left"/>
      <w:lvlText w:val="•"/>
      <w:numFmt w:val="bullet"/>
      <w:start w:val="1"/>
    </w:lvl>
  </w:abstractNum>
  <w:abstractNum w:abstractNumId="40">
    <w:nsid w:val="53B0A9E"/>
    <w:multiLevelType w:val="hybridMultilevel"/>
    <w:lvl w:ilvl="0">
      <w:lvlJc w:val="left"/>
      <w:lvlText w:val="•"/>
      <w:numFmt w:val="bullet"/>
      <w:start w:val="1"/>
    </w:lvl>
  </w:abstractNum>
  <w:abstractNum w:abstractNumId="41">
    <w:nsid w:val="34FD6B4F"/>
    <w:multiLevelType w:val="hybridMultilevel"/>
    <w:lvl w:ilvl="0">
      <w:lvlJc w:val="left"/>
      <w:lvlText w:val="•"/>
      <w:numFmt w:val="bullet"/>
      <w:start w:val="1"/>
    </w:lvl>
  </w:abstractNum>
  <w:abstractNum w:abstractNumId="42">
    <w:nsid w:val="5915FF32"/>
    <w:multiLevelType w:val="hybridMultilevel"/>
    <w:lvl w:ilvl="0">
      <w:lvlJc w:val="left"/>
      <w:lvlText w:val="•"/>
      <w:numFmt w:val="bullet"/>
      <w:start w:val="1"/>
    </w:lvl>
  </w:abstractNum>
  <w:abstractNum w:abstractNumId="43">
    <w:nsid w:val="56438D15"/>
    <w:multiLevelType w:val="hybridMultilevel"/>
    <w:lvl w:ilvl="0">
      <w:lvlJc w:val="left"/>
      <w:lvlText w:val="•"/>
      <w:numFmt w:val="bullet"/>
      <w:start w:val="1"/>
    </w:lvl>
  </w:abstractNum>
  <w:abstractNum w:abstractNumId="44">
    <w:nsid w:val="519E3149"/>
    <w:multiLevelType w:val="hybridMultilevel"/>
    <w:lvl w:ilvl="0">
      <w:lvlJc w:val="left"/>
      <w:lvlText w:val="•"/>
      <w:numFmt w:val="bullet"/>
      <w:start w:val="1"/>
    </w:lvl>
  </w:abstractNum>
  <w:abstractNum w:abstractNumId="45">
    <w:nsid w:val="2C6E4AFD"/>
    <w:multiLevelType w:val="hybridMultilevel"/>
    <w:lvl w:ilvl="0">
      <w:lvlJc w:val="left"/>
      <w:lvlText w:val="•"/>
      <w:numFmt w:val="bullet"/>
      <w:start w:val="1"/>
    </w:lvl>
  </w:abstractNum>
  <w:abstractNum w:abstractNumId="46">
    <w:nsid w:val="17A1B582"/>
    <w:multiLevelType w:val="hybridMultilevel"/>
    <w:lvl w:ilvl="0">
      <w:lvlJc w:val="left"/>
      <w:lvlText w:val="$"/>
      <w:numFmt w:val="bullet"/>
      <w:start w:val="1"/>
    </w:lvl>
  </w:abstractNum>
  <w:abstractNum w:abstractNumId="47">
    <w:nsid w:val="4DF72E4E"/>
    <w:multiLevelType w:val="hybridMultilevel"/>
    <w:lvl w:ilvl="0">
      <w:lvlJc w:val="left"/>
      <w:lvlText w:val="$"/>
      <w:numFmt w:val="bullet"/>
      <w:start w:val="1"/>
    </w:lvl>
  </w:abstractNum>
  <w:abstractNum w:abstractNumId="48">
    <w:nsid w:val="5046B5A9"/>
    <w:multiLevelType w:val="hybridMultilevel"/>
    <w:lvl w:ilvl="0">
      <w:lvlJc w:val="left"/>
      <w:lvlText w:val="•"/>
      <w:numFmt w:val="bullet"/>
      <w:start w:val="1"/>
    </w:lvl>
  </w:abstractNum>
  <w:abstractNum w:abstractNumId="49">
    <w:nsid w:val="5D888A08"/>
    <w:multiLevelType w:val="hybridMultilevel"/>
    <w:lvl w:ilvl="0">
      <w:lvlJc w:val="left"/>
      <w:lvlText w:val="•"/>
      <w:numFmt w:val="bullet"/>
      <w:start w:val="1"/>
    </w:lvl>
  </w:abstractNum>
  <w:abstractNum w:abstractNumId="50">
    <w:nsid w:val="2A082C70"/>
    <w:multiLevelType w:val="hybridMultilevel"/>
    <w:lvl w:ilvl="0">
      <w:lvlJc w:val="left"/>
      <w:lvlText w:val="•"/>
      <w:numFmt w:val="bullet"/>
      <w:start w:val="1"/>
    </w:lvl>
  </w:abstractNum>
  <w:abstractNum w:abstractNumId="51">
    <w:nsid w:val="5EC6AFD4"/>
    <w:multiLevelType w:val="hybridMultilevel"/>
    <w:lvl w:ilvl="0">
      <w:lvlJc w:val="left"/>
      <w:lvlText w:val="•"/>
      <w:numFmt w:val="bullet"/>
      <w:start w:val="1"/>
    </w:lvl>
  </w:abstractNum>
  <w:abstractNum w:abstractNumId="52">
    <w:nsid w:val="19E21BB2"/>
    <w:multiLevelType w:val="hybridMultilevel"/>
    <w:lvl w:ilvl="0">
      <w:lvlJc w:val="left"/>
      <w:lvlText w:val="•"/>
      <w:numFmt w:val="bullet"/>
      <w:start w:val="1"/>
    </w:lvl>
  </w:abstractNum>
  <w:abstractNum w:abstractNumId="53">
    <w:nsid w:val="75E0858A"/>
    <w:multiLevelType w:val="hybridMultilevel"/>
    <w:lvl w:ilvl="0">
      <w:lvlJc w:val="left"/>
      <w:lvlText w:val="%1)"/>
      <w:numFmt w:val="upperLetter"/>
      <w:start w:val="1"/>
    </w:lvl>
  </w:abstractNum>
  <w:abstractNum w:abstractNumId="54">
    <w:nsid w:val="57A61A29"/>
    <w:multiLevelType w:val="hybridMultilevel"/>
    <w:lvl w:ilvl="0">
      <w:lvlJc w:val="left"/>
      <w:lvlText w:val="&amp;"/>
      <w:numFmt w:val="bullet"/>
      <w:start w:val="1"/>
    </w:lvl>
  </w:abstractNum>
  <w:abstractNum w:abstractNumId="55">
    <w:nsid w:val="5399C654"/>
    <w:multiLevelType w:val="hybridMultilevel"/>
    <w:lvl w:ilvl="0">
      <w:lvlJc w:val="left"/>
      <w:lvlText w:val="•"/>
      <w:numFmt w:val="bullet"/>
      <w:start w:val="1"/>
    </w:lvl>
  </w:abstractNum>
  <w:abstractNum w:abstractNumId="56">
    <w:nsid w:val="20EE1348"/>
    <w:multiLevelType w:val="hybridMultilevel"/>
    <w:lvl w:ilvl="0">
      <w:lvlJc w:val="left"/>
      <w:lvlText w:val="%1."/>
      <w:numFmt w:val="upperLetter"/>
      <w:start w:val="1"/>
    </w:lvl>
  </w:abstractNum>
  <w:abstractNum w:abstractNumId="57">
    <w:nsid w:val="4427069A"/>
    <w:multiLevelType w:val="hybridMultilevel"/>
    <w:lvl w:ilvl="0">
      <w:lvlJc w:val="left"/>
      <w:lvlText w:val="%1."/>
      <w:numFmt w:val="upperLetter"/>
      <w:start w:val="2"/>
    </w:lvl>
  </w:abstractNum>
  <w:abstractNum w:abstractNumId="58">
    <w:nsid w:val="B37E80A"/>
    <w:multiLevelType w:val="hybridMultilevel"/>
    <w:lvl w:ilvl="0">
      <w:lvlJc w:val="left"/>
      <w:lvlText w:val="%1."/>
      <w:numFmt w:val="upperLetter"/>
      <w:start w:val="3"/>
    </w:lvl>
  </w:abstractNum>
  <w:abstractNum w:abstractNumId="59">
    <w:nsid w:val="2157F6BC"/>
    <w:multiLevelType w:val="hybridMultilevel"/>
    <w:lvl w:ilvl="0">
      <w:lvlJc w:val="left"/>
      <w:lvlText w:val="%1."/>
      <w:numFmt w:val="upperLetter"/>
      <w:start w:val="1"/>
    </w:lvl>
  </w:abstractNum>
  <w:abstractNum w:abstractNumId="60">
    <w:nsid w:val="704E1DD5"/>
    <w:multiLevelType w:val="hybridMultilevel"/>
    <w:lvl w:ilvl="0">
      <w:lvlJc w:val="left"/>
      <w:lvlText w:val="%1."/>
      <w:numFmt w:val="upperLetter"/>
      <w:start w:val="2"/>
    </w:lvl>
  </w:abstractNum>
  <w:abstractNum w:abstractNumId="61">
    <w:nsid w:val="57D2F10E"/>
    <w:multiLevelType w:val="hybridMultilevel"/>
    <w:lvl w:ilvl="0">
      <w:lvlJc w:val="left"/>
      <w:lvlText w:val="%1."/>
      <w:numFmt w:val="upperLetter"/>
      <w:start w:val="3"/>
    </w:lvl>
  </w:abstractNum>
  <w:abstractNum w:abstractNumId="62">
    <w:nsid w:val="BFFAE18"/>
    <w:multiLevelType w:val="hybridMultilevel"/>
    <w:lvl w:ilvl="0">
      <w:lvlJc w:val="left"/>
      <w:lvlText w:val="%1."/>
      <w:numFmt w:val="upperLetter"/>
      <w:start w:val="4"/>
    </w:lvl>
  </w:abstractNum>
  <w:abstractNum w:abstractNumId="63">
    <w:nsid w:val="E3E47A8"/>
    <w:multiLevelType w:val="hybridMultilevel"/>
    <w:lvl w:ilvl="0">
      <w:lvlJc w:val="left"/>
      <w:lvlText w:val="%1."/>
      <w:numFmt w:val="upperLetter"/>
      <w:start w:val="5"/>
    </w:lvl>
  </w:abstractNum>
  <w:abstractNum w:abstractNumId="64">
    <w:nsid w:val="2E48F044"/>
    <w:multiLevelType w:val="hybridMultilevel"/>
    <w:lvl w:ilvl="0">
      <w:lvlJc w:val="left"/>
      <w:lvlText w:val="%1."/>
      <w:numFmt w:val="upperLetter"/>
      <w:start w:val="6"/>
    </w:lvl>
    <w:lvl w:ilvl="1">
      <w:lvlJc w:val="left"/>
      <w:lvlText w:val="(%2)"/>
      <w:numFmt w:val="decimal"/>
      <w:start w:val="1"/>
    </w:lvl>
  </w:abstractNum>
  <w:abstractNum w:abstractNumId="65">
    <w:nsid w:val="49D0FEAC"/>
    <w:multiLevelType w:val="hybridMultilevel"/>
    <w:lvl w:ilvl="0">
      <w:lvlJc w:val="left"/>
      <w:lvlText w:val="%1."/>
      <w:numFmt w:val="upperLetter"/>
      <w:start w:val="6"/>
    </w:lvl>
    <w:lvl w:ilvl="1">
      <w:lvlJc w:val="left"/>
      <w:lvlText w:val="(%2)"/>
      <w:numFmt w:val="decimal"/>
      <w:start w:val="2"/>
    </w:lvl>
  </w:abstractNum>
  <w:abstractNum w:abstractNumId="66">
    <w:nsid w:val="4BEE5A5B"/>
    <w:multiLevelType w:val="hybridMultilevel"/>
    <w:lvl w:ilvl="0">
      <w:lvlJc w:val="left"/>
      <w:lvlText w:val="%1."/>
      <w:numFmt w:val="upperLetter"/>
      <w:start w:val="8"/>
    </w:lvl>
  </w:abstractNum>
  <w:abstractNum w:abstractNumId="67">
    <w:nsid w:val="5551B9F3"/>
    <w:multiLevelType w:val="hybridMultilevel"/>
    <w:lvl w:ilvl="0">
      <w:lvlJc w:val="left"/>
      <w:lvlText w:val="%1."/>
      <w:numFmt w:val="upperLetter"/>
      <w:start w:val="9"/>
    </w:lvl>
  </w:abstractNum>
  <w:abstractNum w:abstractNumId="68">
    <w:nsid w:val="24F6AB8E"/>
    <w:multiLevelType w:val="hybridMultilevel"/>
    <w:lvl w:ilvl="0">
      <w:lvlJc w:val="left"/>
      <w:lvlText w:val="%1."/>
      <w:numFmt w:val="upperLetter"/>
      <w:start w:val="9"/>
    </w:lvl>
  </w:abstractNum>
  <w:abstractNum w:abstractNumId="69">
    <w:nsid w:val="634C574C"/>
    <w:multiLevelType w:val="hybridMultilevel"/>
    <w:lvl w:ilvl="0">
      <w:lvlJc w:val="left"/>
      <w:lvlText w:val="%1."/>
      <w:numFmt w:val="upperLetter"/>
      <w:start w:val="10"/>
    </w:lvl>
  </w:abstractNum>
  <w:abstractNum w:abstractNumId="70">
    <w:nsid w:val="24E99DD7"/>
    <w:multiLevelType w:val="hybridMultilevel"/>
    <w:lvl w:ilvl="0">
      <w:lvlJc w:val="left"/>
      <w:lvlText w:val="%1."/>
      <w:numFmt w:val="upperLetter"/>
      <w:start w:val="11"/>
    </w:lvl>
  </w:abstractNum>
  <w:abstractNum w:abstractNumId="71">
    <w:nsid w:val="2A31B62D"/>
    <w:multiLevelType w:val="hybridMultilevel"/>
    <w:lvl w:ilvl="0">
      <w:lvlJc w:val="left"/>
      <w:lvlText w:val="%1."/>
      <w:numFmt w:val="upperLetter"/>
      <w:start w:val="12"/>
    </w:lvl>
  </w:abstractNum>
  <w:abstractNum w:abstractNumId="72">
    <w:nsid w:val="1849C29B"/>
    <w:multiLevelType w:val="hybridMultilevel"/>
    <w:lvl w:ilvl="0">
      <w:lvlJc w:val="left"/>
      <w:lvlText w:val="%1."/>
      <w:numFmt w:val="upperLetter"/>
      <w:start w:val="13"/>
    </w:lvl>
  </w:abstractNum>
  <w:abstractNum w:abstractNumId="73">
    <w:nsid w:val="7DFF9D09"/>
    <w:multiLevelType w:val="hybridMultilevel"/>
    <w:lvl w:ilvl="0">
      <w:lvlJc w:val="left"/>
      <w:lvlText w:val="%1."/>
      <w:numFmt w:val="upperLetter"/>
      <w:start w:val="13"/>
    </w:lvl>
  </w:abstractNum>
  <w:abstractNum w:abstractNumId="74">
    <w:nsid w:val="754342"/>
    <w:multiLevelType w:val="hybridMultilevel"/>
    <w:lvl w:ilvl="0">
      <w:lvlJc w:val="left"/>
      <w:lvlText w:val="%1."/>
      <w:numFmt w:val="upperLetter"/>
      <w:start w:val="14"/>
    </w:lvl>
  </w:abstractNum>
  <w:abstractNum w:abstractNumId="75">
    <w:nsid w:val="69E7F3E5"/>
    <w:multiLevelType w:val="hybridMultilevel"/>
    <w:lvl w:ilvl="0">
      <w:lvlJc w:val="left"/>
      <w:lvlText w:val="%1."/>
      <w:numFmt w:val="upperLetter"/>
      <w:start w:val="15"/>
    </w:lvl>
  </w:abstractNum>
  <w:abstractNum w:abstractNumId="76">
    <w:nsid w:val="2A6DE806"/>
    <w:multiLevelType w:val="hybridMultilevel"/>
    <w:lvl w:ilvl="0">
      <w:lvlJc w:val="left"/>
      <w:lvlText w:val="%1."/>
      <w:numFmt w:val="upperLetter"/>
      <w:start w:val="16"/>
    </w:lvl>
    <w:lvl w:ilvl="1">
      <w:lvlJc w:val="left"/>
      <w:lvlText w:val="(%2)"/>
      <w:numFmt w:val="decimal"/>
      <w:start w:val="1"/>
    </w:lvl>
  </w:abstractNum>
  <w:abstractNum w:abstractNumId="77">
    <w:nsid w:val="1816F8C4"/>
    <w:multiLevelType w:val="hybridMultilevel"/>
    <w:lvl w:ilvl="0">
      <w:lvlJc w:val="left"/>
      <w:lvlText w:val="%1."/>
      <w:numFmt w:val="upperLetter"/>
      <w:start w:val="16"/>
    </w:lvl>
  </w:abstractNum>
  <w:abstractNum w:abstractNumId="78">
    <w:nsid w:val="37DF2233"/>
    <w:multiLevelType w:val="hybridMultilevel"/>
    <w:lvl w:ilvl="0">
      <w:lvlJc w:val="left"/>
      <w:lvlText w:val="(%1)"/>
      <w:numFmt w:val="decimal"/>
      <w:start w:val="2"/>
    </w:lvl>
  </w:abstractNum>
  <w:abstractNum w:abstractNumId="79">
    <w:nsid w:val="7AB49DAF"/>
    <w:multiLevelType w:val="hybridMultilevel"/>
    <w:lvl w:ilvl="0">
      <w:lvlJc w:val="left"/>
      <w:lvlText w:val="(%1)"/>
      <w:numFmt w:val="decimal"/>
      <w:start w:val="4"/>
    </w:lvl>
  </w:abstractNum>
  <w:abstractNum w:abstractNumId="80">
    <w:nsid w:val="759F82CD"/>
    <w:multiLevelType w:val="hybridMultilevel"/>
    <w:lvl w:ilvl="0">
      <w:lvlJc w:val="left"/>
      <w:lvlText w:val="%1."/>
      <w:numFmt w:val="upperLetter"/>
      <w:start w:val="16"/>
    </w:lvl>
  </w:abstractNum>
  <w:abstractNum w:abstractNumId="81">
    <w:nsid w:val="61E74EA3"/>
    <w:multiLevelType w:val="hybridMultilevel"/>
    <w:lvl w:ilvl="0">
      <w:lvlJc w:val="left"/>
      <w:lvlText w:val="%1"/>
      <w:numFmt w:val="upperLetter"/>
      <w:start w:val="1"/>
    </w:lvl>
    <w:lvl w:ilvl="1">
      <w:lvlJc w:val="left"/>
      <w:lvlText w:val="(%2)"/>
      <w:numFmt w:val="decimal"/>
      <w:start w:val="5"/>
    </w:lvl>
  </w:abstractNum>
  <w:abstractNum w:abstractNumId="82">
    <w:nsid w:val="597B4D84"/>
    <w:multiLevelType w:val="hybridMultilevel"/>
    <w:lvl w:ilvl="0">
      <w:lvlJc w:val="left"/>
      <w:lvlText w:val="%1."/>
      <w:numFmt w:val="upperLetter"/>
      <w:start w:val="17"/>
    </w:lvl>
    <w:lvl w:ilvl="1">
      <w:lvlJc w:val="left"/>
      <w:lvlText w:val="%2"/>
      <w:numFmt w:val="decimal"/>
      <w:start w:val="1"/>
    </w:lvl>
  </w:abstractNum>
  <w:abstractNum w:abstractNumId="83">
    <w:nsid w:val="F819E7F"/>
    <w:multiLevelType w:val="hybridMultilevel"/>
    <w:lvl w:ilvl="0">
      <w:lvlJc w:val="left"/>
      <w:lvlText w:val="%1."/>
      <w:numFmt w:val="upperLetter"/>
      <w:start w:val="18"/>
    </w:lvl>
  </w:abstractNum>
  <w:abstractNum w:abstractNumId="84">
    <w:nsid w:val="57C7D42D"/>
    <w:multiLevelType w:val="hybridMultilevel"/>
    <w:lvl w:ilvl="0">
      <w:lvlJc w:val="left"/>
      <w:lvlText w:val="(*)"/>
      <w:numFmt w:val="bullet"/>
      <w:start w:val="1"/>
    </w:lvl>
  </w:abstractNum>
  <w:abstractNum w:abstractNumId="85">
    <w:nsid w:val="312167AD"/>
    <w:multiLevelType w:val="hybridMultilevel"/>
    <w:lvl w:ilvl="0">
      <w:lvlJc w:val="left"/>
      <w:lvlText w:val="%1."/>
      <w:numFmt w:val="upperLetter"/>
      <w:start w:val="1"/>
    </w:lvl>
  </w:abstractNum>
  <w:abstractNum w:abstractNumId="86">
    <w:nsid w:val="631B64D4"/>
    <w:multiLevelType w:val="hybridMultilevel"/>
    <w:lvl w:ilvl="0">
      <w:lvlJc w:val="left"/>
      <w:lvlText w:val="%1."/>
      <w:numFmt w:val="upperLetter"/>
      <w:start w:val="4"/>
    </w:lvl>
  </w:abstractNum>
  <w:abstractNum w:abstractNumId="87">
    <w:nsid w:val="78B5E776"/>
    <w:multiLevelType w:val="hybridMultilevel"/>
    <w:lvl w:ilvl="0">
      <w:lvlJc w:val="left"/>
      <w:lvlText w:val="%1."/>
      <w:numFmt w:val="upperLetter"/>
      <w:start w:val="1"/>
    </w:lvl>
  </w:abstractNum>
  <w:abstractNum w:abstractNumId="88">
    <w:nsid w:val="75486E47"/>
    <w:multiLevelType w:val="hybridMultilevel"/>
    <w:lvl w:ilvl="0">
      <w:lvlJc w:val="left"/>
      <w:lvlText w:val="$"/>
      <w:numFmt w:val="bullet"/>
      <w:start w:val="1"/>
    </w:lvl>
  </w:abstractNum>
  <w:abstractNum w:abstractNumId="89">
    <w:nsid w:val="6E534CDE"/>
    <w:multiLevelType w:val="hybridMultilevel"/>
    <w:lvl w:ilvl="0">
      <w:lvlJc w:val="left"/>
      <w:lvlText w:val="(%1)"/>
      <w:numFmt w:val="decimal"/>
      <w:start w:val="1"/>
    </w:lvl>
  </w:abstractNum>
  <w:abstractNum w:abstractNumId="90">
    <w:nsid w:val="1A0DDE32"/>
    <w:multiLevelType w:val="hybridMultilevel"/>
    <w:lvl w:ilvl="0">
      <w:lvlJc w:val="left"/>
      <w:lvlText w:val="%1."/>
      <w:numFmt w:val="upperLetter"/>
      <w:start w:val="2"/>
    </w:lvl>
  </w:abstractNum>
  <w:abstractNum w:abstractNumId="91">
    <w:nsid w:val="65968C1C"/>
    <w:multiLevelType w:val="hybridMultilevel"/>
    <w:lvl w:ilvl="0">
      <w:lvlJc w:val="left"/>
      <w:lvlText w:val="%1."/>
      <w:numFmt w:val="upperLetter"/>
      <w:start w:val="2"/>
    </w:lvl>
  </w:abstractNum>
  <w:abstractNum w:abstractNumId="92">
    <w:nsid w:val="46263DEC"/>
    <w:multiLevelType w:val="hybridMultilevel"/>
    <w:lvl w:ilvl="0">
      <w:lvlJc w:val="left"/>
      <w:lvlText w:val="%1."/>
      <w:numFmt w:val="upperLetter"/>
      <w:start w:val="3"/>
    </w:lvl>
  </w:abstractNum>
  <w:abstractNum w:abstractNumId="93">
    <w:nsid w:val="260D8C4A"/>
    <w:multiLevelType w:val="hybridMultilevel"/>
    <w:lvl w:ilvl="0">
      <w:lvlJc w:val="left"/>
      <w:lvlText w:val="(*)"/>
      <w:numFmt w:val="bullet"/>
      <w:start w:val="1"/>
    </w:lvl>
  </w:abstractNum>
  <w:abstractNum w:abstractNumId="94">
    <w:nsid w:val="73D4D3C4"/>
    <w:multiLevelType w:val="hybridMultilevel"/>
    <w:lvl w:ilvl="0">
      <w:lvlJc w:val="left"/>
      <w:lvlText w:val="%1."/>
      <w:numFmt w:val="upperLetter"/>
      <w:start w:val="2"/>
    </w:lvl>
  </w:abstractNum>
  <w:abstractNum w:abstractNumId="95">
    <w:nsid w:val="746F2E30"/>
    <w:multiLevelType w:val="hybridMultilevel"/>
    <w:lvl w:ilvl="0">
      <w:lvlJc w:val="left"/>
      <w:lvlText w:val="%1."/>
      <w:numFmt w:val="upperLetter"/>
      <w:start w:val="3"/>
    </w:lvl>
  </w:abstractNum>
  <w:abstractNum w:abstractNumId="96">
    <w:nsid w:val="6FDE8AF6"/>
    <w:multiLevelType w:val="hybridMultilevel"/>
    <w:lvl w:ilvl="0">
      <w:lvlJc w:val="left"/>
      <w:lvlText w:val="%1."/>
      <w:numFmt w:val="upperLetter"/>
      <w:start w:val="5"/>
    </w:lvl>
  </w:abstractNum>
  <w:abstractNum w:abstractNumId="97">
    <w:nsid w:val="3FC32E20"/>
    <w:multiLevelType w:val="hybridMultilevel"/>
    <w:lvl w:ilvl="0">
      <w:lvlJc w:val="left"/>
      <w:lvlText w:val="%1."/>
      <w:numFmt w:val="upperLetter"/>
      <w:start w:val="1"/>
    </w:lvl>
  </w:abstractNum>
  <w:abstractNum w:abstractNumId="98">
    <w:nsid w:val="49C0E823"/>
    <w:multiLevelType w:val="hybridMultilevel"/>
    <w:lvl w:ilvl="0">
      <w:lvlJc w:val="left"/>
      <w:lvlText w:val="%1."/>
      <w:numFmt w:val="upperLetter"/>
      <w:start w:val="1"/>
    </w:lvl>
  </w:abstractNum>
  <w:abstractNum w:abstractNumId="99">
    <w:nsid w:val="14D53685"/>
    <w:multiLevelType w:val="hybridMultilevel"/>
    <w:lvl w:ilvl="0">
      <w:lvlJc w:val="left"/>
      <w:lvlText w:val="%1."/>
      <w:numFmt w:val="upperLetter"/>
      <w:start w:val="1"/>
    </w:lvl>
  </w:abstractNum>
  <w:abstractNum w:abstractNumId="100">
    <w:nsid w:val="230F856C"/>
    <w:multiLevelType w:val="hybridMultilevel"/>
    <w:lvl w:ilvl="0">
      <w:lvlJc w:val="left"/>
      <w:lvlText w:val="%1."/>
      <w:numFmt w:val="upperLetter"/>
      <w:start w:val="1"/>
    </w:lvl>
  </w:abstractNum>
  <w:abstractNum w:abstractNumId="101">
    <w:nsid w:val="6EAA85FB"/>
    <w:multiLevelType w:val="hybridMultilevel"/>
    <w:lvl w:ilvl="0">
      <w:lvlJc w:val="left"/>
      <w:lvlText w:val="(%1)"/>
      <w:numFmt w:val="decimal"/>
      <w:start w:val="1"/>
    </w:lvl>
  </w:abstractNum>
  <w:abstractNum w:abstractNumId="102">
    <w:nsid w:val="3F06ECB2"/>
    <w:multiLevelType w:val="hybridMultilevel"/>
    <w:lvl w:ilvl="0">
      <w:lvlJc w:val="left"/>
      <w:lvlText w:val="(%1)"/>
      <w:numFmt w:val="decimal"/>
      <w:start w:val="2"/>
    </w:lvl>
  </w:abstractNum>
  <w:abstractNum w:abstractNumId="103">
    <w:nsid w:val="3B594807"/>
    <w:multiLevelType w:val="hybridMultilevel"/>
    <w:lvl w:ilvl="0">
      <w:lvlJc w:val="left"/>
      <w:lvlText w:val="%1."/>
      <w:numFmt w:val="upperLetter"/>
      <w:start w:val="1"/>
    </w:lvl>
  </w:abstractNum>
  <w:abstractNum w:abstractNumId="104">
    <w:nsid w:val="6CAA2304"/>
    <w:multiLevelType w:val="hybridMultilevel"/>
    <w:lvl w:ilvl="0">
      <w:lvlJc w:val="left"/>
      <w:lvlText w:val="%1."/>
      <w:numFmt w:val="upperLetter"/>
      <w:start w:val="1"/>
    </w:lvl>
  </w:abstractNum>
  <w:abstractNum w:abstractNumId="105">
    <w:nsid w:val="3F7C2FF4"/>
    <w:multiLevelType w:val="hybridMultilevel"/>
    <w:lvl w:ilvl="0">
      <w:lvlJc w:val="left"/>
      <w:lvlText w:val="(%1)"/>
      <w:numFmt w:val="decimal"/>
      <w:start w:val="3"/>
    </w:lvl>
  </w:abstractNum>
  <w:abstractNum w:abstractNumId="106">
    <w:nsid w:val="25413BEC"/>
    <w:multiLevelType w:val="hybridMultilevel"/>
    <w:lvl w:ilvl="0">
      <w:lvlJc w:val="left"/>
      <w:lvlText w:val="%1."/>
      <w:numFmt w:val="upperLetter"/>
      <w:start w:val="1"/>
    </w:lvl>
  </w:abstractNum>
  <w:abstractNum w:abstractNumId="107">
    <w:nsid w:val="17180B0B"/>
    <w:multiLevelType w:val="hybridMultilevel"/>
    <w:lvl w:ilvl="0">
      <w:lvlJc w:val="left"/>
      <w:lvlText w:val="(%1)"/>
      <w:numFmt w:val="decimal"/>
      <w:start w:val="4"/>
    </w:lvl>
  </w:abstractNum>
  <w:abstractNum w:abstractNumId="108">
    <w:nsid w:val="579328B9"/>
    <w:multiLevelType w:val="hybridMultilevel"/>
    <w:lvl w:ilvl="0">
      <w:lvlJc w:val="left"/>
      <w:lvlText w:val="%1."/>
      <w:numFmt w:val="upperLetter"/>
      <w:start w:val="1"/>
    </w:lvl>
  </w:abstractNum>
  <w:abstractNum w:abstractNumId="109">
    <w:nsid w:val="5D205E20"/>
    <w:multiLevelType w:val="hybridMultilevel"/>
    <w:lvl w:ilvl="0">
      <w:lvlJc w:val="left"/>
      <w:lvlText w:val="(%1)"/>
      <w:numFmt w:val="decimal"/>
      <w:start w:val="5"/>
    </w:lvl>
  </w:abstractNum>
  <w:abstractNum w:abstractNumId="110">
    <w:nsid w:val="11CCA8BA"/>
    <w:multiLevelType w:val="hybridMultilevel"/>
    <w:lvl w:ilvl="0">
      <w:lvlJc w:val="left"/>
      <w:lvlText w:val="(%1)"/>
      <w:numFmt w:val="decimal"/>
      <w:start w:val="6"/>
    </w:lvl>
  </w:abstractNum>
  <w:abstractNum w:abstractNumId="111">
    <w:nsid w:val="4D32AB86"/>
    <w:multiLevelType w:val="hybridMultilevel"/>
    <w:lvl w:ilvl="0">
      <w:lvlJc w:val="left"/>
      <w:lvlText w:val="%1."/>
      <w:numFmt w:val="upperLetter"/>
      <w:start w:val="1"/>
    </w:lvl>
  </w:abstractNum>
  <w:abstractNum w:abstractNumId="112">
    <w:nsid w:val="3F07ACC3"/>
    <w:multiLevelType w:val="hybridMultilevel"/>
    <w:lvl w:ilvl="0">
      <w:lvlJc w:val="left"/>
      <w:lvlText w:val="(%1)"/>
      <w:numFmt w:val="decimal"/>
      <w:start w:val="7"/>
    </w:lvl>
  </w:abstractNum>
  <w:abstractNum w:abstractNumId="113">
    <w:nsid w:val="6B47F63E"/>
    <w:multiLevelType w:val="hybridMultilevel"/>
    <w:lvl w:ilvl="0">
      <w:lvlJc w:val="left"/>
      <w:lvlText w:val="(%1)"/>
      <w:numFmt w:val="decimal"/>
      <w:start w:val="8"/>
    </w:lvl>
  </w:abstractNum>
  <w:abstractNum w:abstractNumId="114">
    <w:nsid w:val="5CB44A05"/>
    <w:multiLevelType w:val="hybridMultilevel"/>
    <w:lvl w:ilvl="0">
      <w:lvlJc w:val="left"/>
      <w:lvlText w:val="(%1)"/>
      <w:numFmt w:val="decimal"/>
      <w:start w:val="9"/>
    </w:lvl>
  </w:abstractNum>
  <w:abstractNum w:abstractNumId="115">
    <w:nsid w:val="16CF80F1"/>
    <w:multiLevelType w:val="hybridMultilevel"/>
    <w:lvl w:ilvl="0">
      <w:lvlJc w:val="left"/>
      <w:lvlText w:val="%1."/>
      <w:numFmt w:val="upperLetter"/>
      <w:start w:val="2"/>
    </w:lvl>
    <w:lvl w:ilvl="1">
      <w:lvlJc w:val="left"/>
      <w:lvlText w:val="(%2)"/>
      <w:numFmt w:val="decimal"/>
      <w:start w:val="1"/>
    </w:lvl>
  </w:abstractNum>
  <w:abstractNum w:abstractNumId="116">
    <w:nsid w:val="1C695DEC"/>
    <w:multiLevelType w:val="hybridMultilevel"/>
    <w:lvl w:ilvl="0">
      <w:lvlJc w:val="left"/>
      <w:lvlText w:val="%1."/>
      <w:numFmt w:val="upperLetter"/>
      <w:start w:val="2"/>
    </w:lvl>
  </w:abstractNum>
  <w:abstractNum w:abstractNumId="117">
    <w:nsid w:val="3FCFAED9"/>
    <w:multiLevelType w:val="hybridMultilevel"/>
    <w:lvl w:ilvl="0">
      <w:lvlJc w:val="left"/>
      <w:lvlText w:val="%1."/>
      <w:numFmt w:val="upperLetter"/>
      <w:start w:val="3"/>
    </w:lvl>
    <w:lvl w:ilvl="1">
      <w:lvlJc w:val="left"/>
      <w:lvlText w:val="(%2)"/>
      <w:numFmt w:val="decimal"/>
      <w:start w:val="1"/>
    </w:lvl>
  </w:abstractNum>
  <w:abstractNum w:abstractNumId="118">
    <w:nsid w:val="F856867"/>
    <w:multiLevelType w:val="hybridMultilevel"/>
    <w:lvl w:ilvl="0">
      <w:lvlJc w:val="left"/>
      <w:lvlText w:val="%1."/>
      <w:numFmt w:val="upperLetter"/>
      <w:start w:val="5"/>
    </w:lvl>
  </w:abstractNum>
  <w:abstractNum w:abstractNumId="119">
    <w:nsid w:val="11B1CC33"/>
    <w:multiLevelType w:val="hybridMultilevel"/>
    <w:lvl w:ilvl="0">
      <w:lvlJc w:val="left"/>
      <w:lvlText w:val="%1."/>
      <w:numFmt w:val="upperLetter"/>
      <w:start w:val="6"/>
    </w:lvl>
    <w:lvl w:ilvl="1">
      <w:lvlJc w:val="left"/>
      <w:lvlText w:val="(%2)"/>
      <w:numFmt w:val="decimal"/>
      <w:start w:val="1"/>
    </w:lvl>
  </w:abstractNum>
  <w:abstractNum w:abstractNumId="120">
    <w:nsid w:val="2E22FBB7"/>
    <w:multiLevelType w:val="hybridMultilevel"/>
    <w:lvl w:ilvl="0">
      <w:lvlJc w:val="left"/>
      <w:lvlText w:val="%1."/>
      <w:numFmt w:val="upperLetter"/>
      <w:start w:val="6"/>
    </w:lvl>
    <w:lvl w:ilvl="1">
      <w:lvlJc w:val="left"/>
      <w:lvlText w:val="(%2)"/>
      <w:numFmt w:val="decimal"/>
      <w:start w:val="4"/>
    </w:lvl>
  </w:abstractNum>
  <w:abstractNum w:abstractNumId="121">
    <w:nsid w:val="29934699"/>
    <w:multiLevelType w:val="hybridMultilevel"/>
    <w:lvl w:ilvl="0">
      <w:lvlJc w:val="left"/>
      <w:lvlText w:val="%1."/>
      <w:numFmt w:val="upperLetter"/>
      <w:start w:val="8"/>
    </w:lvl>
  </w:abstractNum>
  <w:abstractNum w:abstractNumId="122">
    <w:nsid w:val="77485850"/>
    <w:multiLevelType w:val="hybridMultilevel"/>
    <w:lvl w:ilvl="0">
      <w:lvlJc w:val="left"/>
      <w:lvlText w:val="%1."/>
      <w:numFmt w:val="upperLetter"/>
      <w:start w:val="1"/>
    </w:lvl>
  </w:abstractNum>
  <w:abstractNum w:abstractNumId="123">
    <w:nsid w:val="744939A3"/>
    <w:multiLevelType w:val="hybridMultilevel"/>
    <w:lvl w:ilvl="0">
      <w:lvlJc w:val="left"/>
      <w:lvlText w:val="%1."/>
      <w:numFmt w:val="upperLetter"/>
      <w:start w:val="2"/>
    </w:lvl>
    <w:lvl w:ilvl="1">
      <w:lvlJc w:val="left"/>
      <w:lvlText w:val="(%2)"/>
      <w:numFmt w:val="decimal"/>
      <w:start w:val="1"/>
    </w:lvl>
  </w:abstractNum>
  <w:abstractNum w:abstractNumId="124">
    <w:nsid w:val="4FA0D2E3"/>
    <w:multiLevelType w:val="hybridMultilevel"/>
    <w:lvl w:ilvl="0">
      <w:lvlJc w:val="left"/>
      <w:lvlText w:val="(%1)"/>
      <w:numFmt w:val="lowerLetter"/>
      <w:start w:val="1"/>
    </w:lvl>
  </w:abstractNum>
  <w:abstractNum w:abstractNumId="125">
    <w:nsid w:val="6B1D2C14"/>
    <w:multiLevelType w:val="hybridMultilevel"/>
    <w:lvl w:ilvl="0">
      <w:lvlJc w:val="left"/>
      <w:lvlText w:val="(%1)"/>
      <w:numFmt w:val="lowerLetter"/>
      <w:start w:val="2"/>
    </w:lvl>
  </w:abstractNum>
  <w:abstractNum w:abstractNumId="126">
    <w:nsid w:val="68B867D3"/>
    <w:multiLevelType w:val="hybridMultilevel"/>
    <w:lvl w:ilvl="0">
      <w:lvlJc w:val="left"/>
      <w:lvlText w:val="(%1)"/>
      <w:numFmt w:val="lowerLetter"/>
      <w:start w:val="4"/>
    </w:lvl>
  </w:abstractNum>
  <w:abstractNum w:abstractNumId="127">
    <w:nsid w:val="3F7F5DD9"/>
    <w:multiLevelType w:val="hybridMultilevel"/>
    <w:lvl w:ilvl="0">
      <w:lvlJc w:val="left"/>
      <w:lvlText w:val="%1."/>
      <w:numFmt w:val="upperLetter"/>
      <w:start w:val="2"/>
    </w:lvl>
  </w:abstractNum>
  <w:abstractNum w:abstractNumId="128">
    <w:nsid w:val="2AE05A34"/>
    <w:multiLevelType w:val="hybridMultilevel"/>
    <w:lvl w:ilvl="0">
      <w:lvlJc w:val="left"/>
      <w:lvlText w:val="(%1)"/>
      <w:numFmt w:val="lowerLetter"/>
      <w:start w:val="5"/>
    </w:lvl>
  </w:abstractNum>
  <w:abstractNum w:abstractNumId="129">
    <w:nsid w:val="32794FF7"/>
    <w:multiLevelType w:val="hybridMultilevel"/>
    <w:lvl w:ilvl="0">
      <w:lvlJc w:val="left"/>
      <w:lvlText w:val="(%1)"/>
      <w:numFmt w:val="decimal"/>
      <w:start w:val="2"/>
    </w:lvl>
  </w:abstractNum>
  <w:abstractNum w:abstractNumId="130">
    <w:nsid w:val="5454945E"/>
    <w:multiLevelType w:val="hybridMultilevel"/>
    <w:lvl w:ilvl="0">
      <w:lvlJc w:val="left"/>
      <w:lvlText w:val="%1."/>
      <w:numFmt w:val="upperLetter"/>
      <w:start w:val="2"/>
    </w:lvl>
  </w:abstractNum>
  <w:abstractNum w:abstractNumId="131">
    <w:nsid w:val="4DEFDFA0"/>
    <w:multiLevelType w:val="hybridMultilevel"/>
    <w:lvl w:ilvl="0">
      <w:lvlJc w:val="left"/>
      <w:lvlText w:val="(%1)"/>
      <w:numFmt w:val="decimal"/>
      <w:start w:val="3"/>
    </w:lvl>
  </w:abstractNum>
  <w:abstractNum w:abstractNumId="132">
    <w:nsid w:val="2123D5F2"/>
    <w:multiLevelType w:val="hybridMultilevel"/>
    <w:lvl w:ilvl="0">
      <w:lvlJc w:val="left"/>
      <w:lvlText w:val="(%1)"/>
      <w:numFmt w:val="decimal"/>
      <w:start w:val="4"/>
    </w:lvl>
  </w:abstractNum>
  <w:abstractNum w:abstractNumId="133">
    <w:nsid w:val="135B8110"/>
    <w:multiLevelType w:val="hybridMultilevel"/>
    <w:lvl w:ilvl="0">
      <w:lvlJc w:val="left"/>
      <w:lvlText w:val="(%1)"/>
      <w:numFmt w:val="decimal"/>
      <w:start w:val="5"/>
    </w:lvl>
    <w:lvl w:ilvl="1">
      <w:lvlJc w:val="left"/>
      <w:lvlText w:val="(%2)"/>
      <w:numFmt w:val="lowerLetter"/>
      <w:start w:val="1"/>
    </w:lvl>
  </w:abstractNum>
  <w:abstractNum w:abstractNumId="134">
    <w:nsid w:val="94927A8"/>
    <w:multiLevelType w:val="hybridMultilevel"/>
    <w:lvl w:ilvl="0">
      <w:lvlJc w:val="left"/>
      <w:lvlText w:val="(%1)"/>
      <w:numFmt w:val="lowerLetter"/>
      <w:start w:val="2"/>
    </w:lvl>
  </w:abstractNum>
  <w:abstractNum w:abstractNumId="135">
    <w:nsid w:val="DCDF8F6"/>
    <w:multiLevelType w:val="hybridMultilevel"/>
    <w:lvl w:ilvl="0">
      <w:lvlJc w:val="left"/>
      <w:lvlText w:val="(%1)"/>
      <w:numFmt w:val="decimal"/>
      <w:start w:val="6"/>
    </w:lvl>
  </w:abstractNum>
  <w:abstractNum w:abstractNumId="136">
    <w:nsid w:val="52D7B105"/>
    <w:multiLevelType w:val="hybridMultilevel"/>
    <w:lvl w:ilvl="0">
      <w:lvlJc w:val="left"/>
      <w:lvlText w:val="%1."/>
      <w:numFmt w:val="upperLetter"/>
      <w:start w:val="2"/>
    </w:lvl>
  </w:abstractNum>
  <w:abstractNum w:abstractNumId="137">
    <w:nsid w:val="2E8A6394"/>
    <w:multiLevelType w:val="hybridMultilevel"/>
    <w:lvl w:ilvl="0">
      <w:lvlJc w:val="left"/>
      <w:lvlText w:val="%1."/>
      <w:numFmt w:val="upperLetter"/>
      <w:start w:val="4"/>
    </w:lvl>
  </w:abstractNum>
  <w:abstractNum w:abstractNumId="138">
    <w:nsid w:val="24E60401"/>
    <w:multiLevelType w:val="hybridMultilevel"/>
    <w:lvl w:ilvl="0">
      <w:lvlJc w:val="left"/>
      <w:lvlText w:val="%1."/>
      <w:numFmt w:val="upperLetter"/>
      <w:start w:val="5"/>
    </w:lvl>
  </w:abstractNum>
  <w:abstractNum w:abstractNumId="139">
    <w:nsid w:val="2A6AD9BE"/>
    <w:multiLevelType w:val="hybridMultilevel"/>
    <w:lvl w:ilvl="0">
      <w:lvlJc w:val="left"/>
      <w:lvlText w:val="(%1)"/>
      <w:numFmt w:val="decimal"/>
      <w:start w:val="1"/>
    </w:lvl>
  </w:abstractNum>
  <w:abstractNum w:abstractNumId="140">
    <w:nsid w:val="BAAC1B4"/>
    <w:multiLevelType w:val="hybridMultilevel"/>
    <w:lvl w:ilvl="0">
      <w:lvlJc w:val="left"/>
      <w:lvlText w:val="%1."/>
      <w:numFmt w:val="upperLetter"/>
      <w:start w:val="6"/>
    </w:lvl>
  </w:abstractNum>
  <w:abstractNum w:abstractNumId="141">
    <w:nsid w:val="36B2ACBC"/>
    <w:multiLevelType w:val="hybridMultilevel"/>
    <w:lvl w:ilvl="0">
      <w:lvlJc w:val="left"/>
      <w:lvlText w:val="%1."/>
      <w:numFmt w:val="upperLetter"/>
      <w:start w:val="1"/>
    </w:lvl>
  </w:abstractNum>
  <w:abstractNum w:abstractNumId="142">
    <w:nsid w:val="779D8544"/>
    <w:multiLevelType w:val="hybridMultilevel"/>
    <w:lvl w:ilvl="0">
      <w:lvlJc w:val="left"/>
      <w:lvlText w:val="%1."/>
      <w:numFmt w:val="upperLetter"/>
      <w:start w:val="2"/>
    </w:lvl>
  </w:abstractNum>
  <w:abstractNum w:abstractNumId="143">
    <w:nsid w:val="4AB26E78"/>
    <w:multiLevelType w:val="hybridMultilevel"/>
    <w:lvl w:ilvl="0">
      <w:lvlJc w:val="left"/>
      <w:lvlText w:val="(*)"/>
      <w:numFmt w:val="bullet"/>
      <w:start w:val="1"/>
    </w:lvl>
  </w:abstractNum>
  <w:abstractNum w:abstractNumId="144">
    <w:nsid w:val="21FAA2FA"/>
    <w:multiLevelType w:val="hybridMultilevel"/>
    <w:lvl w:ilvl="0">
      <w:lvlJc w:val="left"/>
      <w:lvlText w:val="%1."/>
      <w:numFmt w:val="upperLetter"/>
      <w:start w:val="1"/>
    </w:lvl>
  </w:abstractNum>
  <w:abstractNum w:abstractNumId="145">
    <w:nsid w:val="5451CF49"/>
    <w:multiLevelType w:val="hybridMultilevel"/>
    <w:lvl w:ilvl="0">
      <w:lvlJc w:val="left"/>
      <w:lvlText w:val="%1."/>
      <w:numFmt w:val="upperLetter"/>
      <w:start w:val="2"/>
    </w:lvl>
  </w:abstractNum>
  <w:abstractNum w:abstractNumId="146">
    <w:nsid w:val="6181EF69"/>
    <w:multiLevelType w:val="hybridMultilevel"/>
    <w:lvl w:ilvl="0">
      <w:lvlJc w:val="left"/>
      <w:lvlText w:val="%1."/>
      <w:numFmt w:val="upperLetter"/>
      <w:start w:val="3"/>
    </w:lvl>
  </w:abstractNum>
  <w:abstractNum w:abstractNumId="147">
    <w:nsid w:val="3E6400E6"/>
    <w:multiLevelType w:val="hybridMultilevel"/>
    <w:lvl w:ilvl="0">
      <w:lvlJc w:val="left"/>
      <w:lvlText w:val="%1."/>
      <w:numFmt w:val="upperLetter"/>
      <w:start w:val="4"/>
    </w:lvl>
  </w:abstractNum>
  <w:abstractNum w:abstractNumId="148">
    <w:nsid w:val="14217E23"/>
    <w:multiLevelType w:val="hybridMultilevel"/>
    <w:lvl w:ilvl="0">
      <w:lvlJc w:val="left"/>
      <w:lvlText w:val="%1."/>
      <w:numFmt w:val="upperLetter"/>
      <w:start w:val="5"/>
    </w:lvl>
  </w:abstractNum>
  <w:abstractNum w:abstractNumId="149">
    <w:nsid w:val="710757D0"/>
    <w:multiLevelType w:val="hybridMultilevel"/>
    <w:lvl w:ilvl="0">
      <w:lvlJc w:val="left"/>
      <w:lvlText w:val="%1."/>
      <w:numFmt w:val="upperLetter"/>
      <w:start w:val="1"/>
    </w:lvl>
  </w:abstractNum>
  <w:abstractNum w:abstractNumId="150">
    <w:nsid w:val="5015CD1A"/>
    <w:multiLevelType w:val="hybridMultilevel"/>
    <w:lvl w:ilvl="0">
      <w:lvlJc w:val="left"/>
      <w:lvlText w:val="%1."/>
      <w:numFmt w:val="upperLetter"/>
      <w:start w:val="2"/>
    </w:lvl>
  </w:abstractNum>
  <w:abstractNum w:abstractNumId="151">
    <w:nsid w:val="424479DA"/>
    <w:multiLevelType w:val="hybridMultilevel"/>
    <w:lvl w:ilvl="0">
      <w:lvlJc w:val="left"/>
      <w:lvlText w:val="%1."/>
      <w:numFmt w:val="upperLetter"/>
      <w:start w:val="2"/>
    </w:lvl>
  </w:abstractNum>
  <w:abstractNum w:abstractNumId="152">
    <w:nsid w:val="1A9A9E69"/>
    <w:multiLevelType w:val="hybridMultilevel"/>
    <w:lvl w:ilvl="0">
      <w:lvlJc w:val="left"/>
      <w:lvlText w:val="%1."/>
      <w:numFmt w:val="upperLetter"/>
      <w:start w:val="3"/>
    </w:lvl>
    <w:lvl w:ilvl="1">
      <w:lvlJc w:val="left"/>
      <w:lvlText w:val="(%2)"/>
      <w:numFmt w:val="decimal"/>
      <w:start w:val="1"/>
    </w:lvl>
  </w:abstractNum>
  <w:abstractNum w:abstractNumId="153">
    <w:nsid w:val="475E256A"/>
    <w:multiLevelType w:val="hybridMultilevel"/>
    <w:lvl w:ilvl="0">
      <w:lvlJc w:val="left"/>
      <w:lvlText w:val="%1."/>
      <w:numFmt w:val="upperLetter"/>
      <w:start w:val="1"/>
    </w:lvl>
  </w:abstractNum>
  <w:abstractNum w:abstractNumId="154">
    <w:nsid w:val="368DB37E"/>
    <w:multiLevelType w:val="hybridMultilevel"/>
    <w:lvl w:ilvl="0">
      <w:lvlJc w:val="left"/>
      <w:lvlText w:val="%1."/>
      <w:numFmt w:val="upperLetter"/>
      <w:start w:val="2"/>
    </w:lvl>
  </w:abstractNum>
  <w:abstractNum w:abstractNumId="155">
    <w:nsid w:val="6A3B714C"/>
    <w:multiLevelType w:val="hybridMultilevel"/>
    <w:lvl w:ilvl="0">
      <w:lvlJc w:val="left"/>
      <w:lvlText w:val="%1."/>
      <w:numFmt w:val="upperLetter"/>
      <w:start w:val="3"/>
    </w:lvl>
  </w:abstractNum>
  <w:abstractNum w:abstractNumId="156">
    <w:nsid w:val="327B517E"/>
    <w:multiLevelType w:val="hybridMultilevel"/>
    <w:lvl w:ilvl="0">
      <w:lvlJc w:val="left"/>
      <w:lvlText w:val="%1."/>
      <w:numFmt w:val="upperLetter"/>
      <w:start w:val="1"/>
    </w:lvl>
  </w:abstractNum>
  <w:abstractNum w:abstractNumId="157">
    <w:nsid w:val="1F461B51"/>
    <w:multiLevelType w:val="hybridMultilevel"/>
    <w:lvl w:ilvl="0">
      <w:lvlJc w:val="left"/>
      <w:lvlText w:val="%1."/>
      <w:numFmt w:val="upperLetter"/>
      <w:start w:val="2"/>
    </w:lvl>
  </w:abstractNum>
  <w:abstractNum w:abstractNumId="158">
    <w:nsid w:val="29BACF25"/>
    <w:multiLevelType w:val="hybridMultilevel"/>
    <w:lvl w:ilvl="0">
      <w:lvlJc w:val="left"/>
      <w:lvlText w:val="%1."/>
      <w:numFmt w:val="upperLetter"/>
      <w:start w:val="3"/>
    </w:lvl>
  </w:abstractNum>
  <w:abstractNum w:abstractNumId="159">
    <w:nsid w:val="5D5BABB3"/>
    <w:multiLevelType w:val="hybridMultilevel"/>
    <w:lvl w:ilvl="0">
      <w:lvlJc w:val="left"/>
      <w:lvlText w:val="(%1)"/>
      <w:numFmt w:val="decimal"/>
      <w:start w:val="1"/>
    </w:lvl>
  </w:abstractNum>
  <w:abstractNum w:abstractNumId="160">
    <w:nsid w:val="51BF6B48"/>
    <w:multiLevelType w:val="hybridMultilevel"/>
    <w:lvl w:ilvl="0">
      <w:lvlJc w:val="left"/>
      <w:lvlText w:val="%1."/>
      <w:numFmt w:val="upperLetter"/>
      <w:start w:val="3"/>
    </w:lvl>
  </w:abstractNum>
  <w:abstractNum w:abstractNumId="161">
    <w:nsid w:val="7E0F6384"/>
    <w:multiLevelType w:val="hybridMultilevel"/>
    <w:lvl w:ilvl="0">
      <w:lvlJc w:val="left"/>
      <w:lvlText w:val="(%1)"/>
      <w:numFmt w:val="decimal"/>
      <w:start w:val="2"/>
    </w:lvl>
  </w:abstractNum>
  <w:abstractNum w:abstractNumId="162">
    <w:nsid w:val="2B4B8B53"/>
    <w:multiLevelType w:val="hybridMultilevel"/>
    <w:lvl w:ilvl="0">
      <w:lvlJc w:val="left"/>
      <w:lvlText w:val="%1."/>
      <w:numFmt w:val="upperLetter"/>
      <w:start w:val="3"/>
    </w:lvl>
    <w:lvl w:ilvl="1">
      <w:lvlJc w:val="left"/>
      <w:lvlText w:val="(%2)"/>
      <w:numFmt w:val="decimal"/>
      <w:start w:val="3"/>
    </w:lvl>
  </w:abstractNum>
  <w:abstractNum w:abstractNumId="163">
    <w:nsid w:val="72E3413A"/>
    <w:multiLevelType w:val="hybridMultilevel"/>
    <w:lvl w:ilvl="0">
      <w:lvlJc w:val="left"/>
      <w:lvlText w:val="%1."/>
      <w:numFmt w:val="upperLetter"/>
      <w:start w:val="6"/>
    </w:lvl>
  </w:abstractNum>
  <w:abstractNum w:abstractNumId="164">
    <w:nsid w:val="116AE494"/>
    <w:multiLevelType w:val="hybridMultilevel"/>
    <w:lvl w:ilvl="0">
      <w:lvlJc w:val="left"/>
      <w:lvlText w:val="(*)"/>
      <w:numFmt w:val="bullet"/>
      <w:start w:val="1"/>
    </w:lvl>
    <w:lvl w:ilvl="1">
      <w:lvlJc w:val="left"/>
      <w:lvlText w:val="%2."/>
      <w:numFmt w:val="upperLetter"/>
      <w:start w:val="7"/>
    </w:lvl>
  </w:abstractNum>
  <w:abstractNum w:abstractNumId="165">
    <w:nsid w:val="3494B2FB"/>
    <w:multiLevelType w:val="hybridMultilevel"/>
    <w:lvl w:ilvl="0">
      <w:lvlJc w:val="left"/>
      <w:lvlText w:val="%1."/>
      <w:numFmt w:val="upperLetter"/>
      <w:start w:val="8"/>
    </w:lvl>
  </w:abstractNum>
  <w:abstractNum w:abstractNumId="166">
    <w:nsid w:val="B13A31"/>
    <w:multiLevelType w:val="hybridMultilevel"/>
    <w:lvl w:ilvl="0">
      <w:lvlJc w:val="left"/>
      <w:lvlText w:val="%1."/>
      <w:numFmt w:val="upperLetter"/>
      <w:start w:val="8"/>
    </w:lvl>
  </w:abstractNum>
  <w:abstractNum w:abstractNumId="167">
    <w:nsid w:val="64429599"/>
    <w:multiLevelType w:val="hybridMultilevel"/>
    <w:lvl w:ilvl="0">
      <w:lvlJc w:val="left"/>
      <w:lvlText w:val="%1."/>
      <w:numFmt w:val="upperLetter"/>
      <w:start w:val="9"/>
    </w:lvl>
  </w:abstractNum>
  <w:abstractNum w:abstractNumId="168">
    <w:nsid w:val="631F1690"/>
    <w:multiLevelType w:val="hybridMultilevel"/>
    <w:lvl w:ilvl="0">
      <w:lvlJc w:val="left"/>
      <w:lvlText w:val="%1."/>
      <w:numFmt w:val="upperLetter"/>
      <w:start w:val="9"/>
    </w:lvl>
  </w:abstractNum>
  <w:abstractNum w:abstractNumId="169">
    <w:nsid w:val="25973E32"/>
    <w:multiLevelType w:val="hybridMultilevel"/>
    <w:lvl w:ilvl="0">
      <w:lvlJc w:val="left"/>
      <w:lvlText w:val="%1."/>
      <w:numFmt w:val="upperLetter"/>
      <w:start w:val="9"/>
    </w:lvl>
  </w:abstractNum>
  <w:abstractNum w:abstractNumId="170">
    <w:nsid w:val="EAD6F57"/>
    <w:multiLevelType w:val="hybridMultilevel"/>
    <w:lvl w:ilvl="0">
      <w:lvlJc w:val="left"/>
      <w:lvlText w:val="•"/>
      <w:numFmt w:val="bullet"/>
      <w:start w:val="1"/>
    </w:lvl>
  </w:abstractNum>
  <w:abstractNum w:abstractNumId="171">
    <w:nsid w:val="6EC9D844"/>
    <w:multiLevelType w:val="hybridMultilevel"/>
    <w:lvl w:ilvl="0">
      <w:lvlJc w:val="left"/>
      <w:lvlText w:val="%1."/>
      <w:numFmt w:val="upperLetter"/>
      <w:start w:val="1"/>
    </w:lvl>
  </w:abstractNum>
  <w:abstractNum w:abstractNumId="172">
    <w:nsid w:val="5C49EAEE"/>
    <w:multiLevelType w:val="hybridMultilevel"/>
    <w:lvl w:ilvl="0">
      <w:lvlJc w:val="left"/>
      <w:lvlText w:val="%1."/>
      <w:numFmt w:val="upperLetter"/>
      <w:start w:val="3"/>
    </w:lvl>
  </w:abstractNum>
  <w:abstractNum w:abstractNumId="173">
    <w:nsid w:val="64AF49B"/>
    <w:multiLevelType w:val="hybridMultilevel"/>
    <w:lvl w:ilvl="0">
      <w:lvlJc w:val="left"/>
      <w:lvlText w:val="%1."/>
      <w:numFmt w:val="upperLetter"/>
      <w:start w:val="3"/>
    </w:lvl>
  </w:abstractNum>
  <w:abstractNum w:abstractNumId="174">
    <w:nsid w:val="397C46BC"/>
    <w:multiLevelType w:val="hybridMultilevel"/>
    <w:lvl w:ilvl="0">
      <w:lvlJc w:val="left"/>
      <w:lvlText w:val="%1."/>
      <w:numFmt w:val="upperLetter"/>
      <w:start w:val="4"/>
    </w:lvl>
  </w:abstractNum>
  <w:abstractNum w:abstractNumId="175">
    <w:nsid w:val="7E448DE9"/>
    <w:multiLevelType w:val="hybridMultilevel"/>
    <w:lvl w:ilvl="0">
      <w:lvlJc w:val="left"/>
      <w:lvlText w:val="(%1)"/>
      <w:numFmt w:val="decimal"/>
      <w:start w:val="1"/>
    </w:lvl>
  </w:abstractNum>
  <w:abstractNum w:abstractNumId="176">
    <w:nsid w:val="5A9CC3E5"/>
    <w:multiLevelType w:val="hybridMultilevel"/>
    <w:lvl w:ilvl="0">
      <w:lvlJc w:val="left"/>
      <w:lvlText w:val="(%1)"/>
      <w:numFmt w:val="decimal"/>
      <w:start w:val="2"/>
    </w:lvl>
  </w:abstractNum>
  <w:abstractNum w:abstractNumId="177">
    <w:nsid w:val="1AFE3625"/>
    <w:multiLevelType w:val="hybridMultilevel"/>
    <w:lvl w:ilvl="0">
      <w:lvlJc w:val="left"/>
      <w:lvlText w:val="(*)"/>
      <w:numFmt w:val="bullet"/>
      <w:start w:val="1"/>
    </w:lvl>
  </w:abstractNum>
  <w:abstractNum w:abstractNumId="178">
    <w:nsid w:val="3CA88ECF"/>
    <w:multiLevelType w:val="hybridMultilevel"/>
    <w:lvl w:ilvl="0">
      <w:lvlJc w:val="left"/>
      <w:lvlText w:val="%1."/>
      <w:numFmt w:val="upperLetter"/>
      <w:start w:val="1"/>
    </w:lvl>
  </w:abstractNum>
  <w:abstractNum w:abstractNumId="179">
    <w:nsid w:val="6EBE4208"/>
    <w:multiLevelType w:val="hybridMultilevel"/>
    <w:lvl w:ilvl="0">
      <w:lvlJc w:val="left"/>
      <w:lvlText w:val="%1."/>
      <w:numFmt w:val="upperLetter"/>
      <w:start w:val="1"/>
    </w:lvl>
  </w:abstractNum>
  <w:abstractNum w:abstractNumId="180">
    <w:nsid w:val="C058DF5"/>
    <w:multiLevelType w:val="hybridMultilevel"/>
    <w:lvl w:ilvl="0">
      <w:lvlJc w:val="left"/>
      <w:lvlText w:val="%1."/>
      <w:numFmt w:val="upperLetter"/>
      <w:start w:val="1"/>
    </w:lvl>
  </w:abstractNum>
  <w:abstractNum w:abstractNumId="181">
    <w:nsid w:val="CBE5BE9"/>
    <w:multiLevelType w:val="hybridMultilevel"/>
    <w:lvl w:ilvl="0">
      <w:lvlJc w:val="left"/>
      <w:lvlText w:val="%1."/>
      <w:numFmt w:val="upperLetter"/>
      <w:start w:val="2"/>
    </w:lvl>
  </w:abstractNum>
  <w:abstractNum w:abstractNumId="182">
    <w:nsid w:val="3102BBE2"/>
    <w:multiLevelType w:val="hybridMultilevel"/>
    <w:lvl w:ilvl="0">
      <w:lvlJc w:val="left"/>
      <w:lvlText w:val="%1."/>
      <w:numFmt w:val="upperLetter"/>
      <w:start w:val="2"/>
    </w:lvl>
  </w:abstractNum>
  <w:abstractNum w:abstractNumId="183">
    <w:nsid w:val="26A02C5E"/>
    <w:multiLevelType w:val="hybridMultilevel"/>
    <w:lvl w:ilvl="0">
      <w:lvlJc w:val="left"/>
      <w:lvlText w:val="%1."/>
      <w:numFmt w:val="upperLetter"/>
      <w:start w:val="2"/>
    </w:lvl>
  </w:abstractNum>
  <w:abstractNum w:abstractNumId="184">
    <w:nsid w:val="541C8153"/>
    <w:multiLevelType w:val="hybridMultilevel"/>
    <w:lvl w:ilvl="0">
      <w:lvlJc w:val="left"/>
      <w:lvlText w:val="%1."/>
      <w:numFmt w:val="upperLetter"/>
      <w:start w:val="2"/>
    </w:lvl>
  </w:abstractNum>
  <w:abstractNum w:abstractNumId="185">
    <w:nsid w:val="67906F60"/>
    <w:multiLevelType w:val="hybridMultilevel"/>
    <w:lvl w:ilvl="0">
      <w:lvlJc w:val="left"/>
      <w:lvlText w:val="%1."/>
      <w:numFmt w:val="upperLetter"/>
      <w:start w:val="3"/>
    </w:lvl>
  </w:abstractNum>
  <w:abstractNum w:abstractNumId="186">
    <w:nsid w:val="10DB9DAA"/>
    <w:multiLevelType w:val="hybridMultilevel"/>
    <w:lvl w:ilvl="0">
      <w:lvlJc w:val="left"/>
      <w:lvlText w:val="%1."/>
      <w:numFmt w:val="upperLetter"/>
      <w:start w:val="4"/>
    </w:lvl>
  </w:abstractNum>
  <w:abstractNum w:abstractNumId="187">
    <w:nsid w:val="697D2D2"/>
    <w:multiLevelType w:val="hybridMultilevel"/>
    <w:lvl w:ilvl="0">
      <w:lvlJc w:val="left"/>
      <w:lvlText w:val="%1."/>
      <w:numFmt w:val="upperLetter"/>
      <w:start w:val="5"/>
    </w:lvl>
  </w:abstractNum>
  <w:abstractNum w:abstractNumId="188">
    <w:nsid w:val="6D68AB2"/>
    <w:multiLevelType w:val="hybridMultilevel"/>
    <w:lvl w:ilvl="0">
      <w:lvlJc w:val="left"/>
      <w:lvlText w:val="%1."/>
      <w:numFmt w:val="upperLetter"/>
      <w:start w:val="6"/>
    </w:lvl>
  </w:abstractNum>
  <w:abstractNum w:abstractNumId="189">
    <w:nsid w:val="3A966CD0"/>
    <w:multiLevelType w:val="hybridMultilevel"/>
    <w:lvl w:ilvl="0">
      <w:lvlJc w:val="left"/>
      <w:lvlText w:val="%1."/>
      <w:numFmt w:val="upperLetter"/>
      <w:start w:val="1"/>
    </w:lvl>
    <w:lvl w:ilvl="1">
      <w:lvlJc w:val="left"/>
      <w:lvlText w:val="(%2)"/>
      <w:numFmt w:val="decimal"/>
      <w:start w:val="1"/>
    </w:lvl>
  </w:abstractNum>
  <w:abstractNum w:abstractNumId="190">
    <w:nsid w:val="63F37E85"/>
    <w:multiLevelType w:val="hybridMultilevel"/>
    <w:lvl w:ilvl="0">
      <w:lvlJc w:val="left"/>
      <w:lvlText w:val="%1."/>
      <w:numFmt w:val="upperLetter"/>
      <w:start w:val="2"/>
    </w:lvl>
  </w:abstractNum>
  <w:abstractNum w:abstractNumId="191">
    <w:nsid w:val="5895F5FA"/>
    <w:multiLevelType w:val="hybridMultilevel"/>
    <w:lvl w:ilvl="0">
      <w:lvlJc w:val="left"/>
      <w:lvlText w:val="%1."/>
      <w:numFmt w:val="upperLetter"/>
      <w:start w:val="3"/>
    </w:lvl>
  </w:abstractNum>
  <w:abstractNum w:abstractNumId="192">
    <w:nsid w:val="38A5D054"/>
    <w:multiLevelType w:val="hybridMultilevel"/>
    <w:lvl w:ilvl="0">
      <w:lvlJc w:val="left"/>
      <w:lvlText w:val="%1."/>
      <w:numFmt w:val="upperLetter"/>
      <w:start w:val="1"/>
    </w:lvl>
  </w:abstractNum>
  <w:abstractNum w:abstractNumId="193">
    <w:nsid w:val="F3F09D8"/>
    <w:multiLevelType w:val="hybridMultilevel"/>
    <w:lvl w:ilvl="0">
      <w:lvlJc w:val="left"/>
      <w:lvlText w:val="%1."/>
      <w:numFmt w:val="upperLetter"/>
      <w:start w:val="2"/>
    </w:lvl>
  </w:abstractNum>
  <w:abstractNum w:abstractNumId="194">
    <w:nsid w:val="4B793735"/>
    <w:multiLevelType w:val="hybridMultilevel"/>
    <w:lvl w:ilvl="0">
      <w:lvlJc w:val="left"/>
      <w:lvlText w:val="%1."/>
      <w:numFmt w:val="upperLetter"/>
      <w:start w:val="3"/>
    </w:lvl>
  </w:abstractNum>
  <w:abstractNum w:abstractNumId="195">
    <w:nsid w:val="4A10B4E8"/>
    <w:multiLevelType w:val="hybridMultilevel"/>
    <w:lvl w:ilvl="0">
      <w:lvlJc w:val="left"/>
      <w:lvlText w:val="%1."/>
      <w:numFmt w:val="upperLetter"/>
      <w:start w:val="4"/>
    </w:lvl>
  </w:abstractNum>
  <w:abstractNum w:abstractNumId="196">
    <w:nsid w:val="43D3BCD4"/>
    <w:multiLevelType w:val="hybridMultilevel"/>
    <w:lvl w:ilvl="0">
      <w:lvlJc w:val="left"/>
      <w:lvlText w:val="%1."/>
      <w:numFmt w:val="upperLetter"/>
      <w:start w:val="5"/>
    </w:lvl>
  </w:abstractNum>
  <w:abstractNum w:abstractNumId="197">
    <w:nsid w:val="4C2A7166"/>
    <w:multiLevelType w:val="hybridMultilevel"/>
    <w:lvl w:ilvl="0">
      <w:lvlJc w:val="left"/>
      <w:lvlText w:val="%1."/>
      <w:numFmt w:val="upperLetter"/>
      <w:start w:val="6"/>
    </w:lvl>
  </w:abstractNum>
  <w:abstractNum w:abstractNumId="198">
    <w:nsid w:val="2E534A82"/>
    <w:multiLevelType w:val="hybridMultilevel"/>
    <w:lvl w:ilvl="0">
      <w:lvlJc w:val="left"/>
      <w:lvlText w:val="(*)"/>
      <w:numFmt w:val="bullet"/>
      <w:start w:val="1"/>
    </w:lvl>
    <w:lvl w:ilvl="1">
      <w:lvlJc w:val="left"/>
      <w:lvlText w:val="%2."/>
      <w:numFmt w:val="upperLetter"/>
      <w:start w:val="7"/>
    </w:lvl>
  </w:abstractNum>
  <w:abstractNum w:abstractNumId="199">
    <w:nsid w:val="26F2D364"/>
    <w:multiLevelType w:val="hybridMultilevel"/>
    <w:lvl w:ilvl="0">
      <w:lvlJc w:val="left"/>
      <w:lvlText w:val="%1."/>
      <w:numFmt w:val="upperLetter"/>
      <w:start w:val="8"/>
    </w:lvl>
  </w:abstractNum>
  <w:abstractNum w:abstractNumId="200">
    <w:nsid w:val="71C1AF98"/>
    <w:multiLevelType w:val="hybridMultilevel"/>
    <w:lvl w:ilvl="0">
      <w:lvlJc w:val="left"/>
      <w:lvlText w:val="%1."/>
      <w:numFmt w:val="decimal"/>
      <w:start w:val="1"/>
    </w:lvl>
  </w:abstractNum>
  <w:abstractNum w:abstractNumId="201">
    <w:nsid w:val="3D00B9D9"/>
    <w:multiLevelType w:val="hybridMultilevel"/>
    <w:lvl w:ilvl="0">
      <w:lvlJc w:val="left"/>
      <w:lvlText w:val="(%1)"/>
      <w:numFmt w:val="lowerLetter"/>
      <w:start w:val="1"/>
    </w:lvl>
  </w:abstractNum>
  <w:abstractNum w:abstractNumId="202">
    <w:nsid w:val="15BCABA8"/>
    <w:multiLevelType w:val="hybridMultilevel"/>
    <w:lvl w:ilvl="0">
      <w:lvlJc w:val="left"/>
      <w:lvlText w:val="(%1)"/>
      <w:numFmt w:val="lowerLetter"/>
      <w:start w:val="1"/>
    </w:lvl>
  </w:abstractNum>
  <w:abstractNum w:abstractNumId="203">
    <w:nsid w:val="4E0B9A87"/>
    <w:multiLevelType w:val="hybridMultilevel"/>
    <w:lvl w:ilvl="0">
      <w:lvlJc w:val="left"/>
      <w:lvlText w:val="•"/>
      <w:numFmt w:val="bullet"/>
      <w:start w:val="1"/>
    </w:lvl>
  </w:abstractNum>
  <w:abstractNum w:abstractNumId="204">
    <w:nsid w:val="434BAE75"/>
    <w:multiLevelType w:val="hybridMultilevel"/>
    <w:lvl w:ilvl="0">
      <w:lvlJc w:val="left"/>
      <w:lvlText w:val="*"/>
      <w:numFmt w:val="bullet"/>
      <w:start w:val="1"/>
    </w:lvl>
  </w:abstractNum>
  <w:abstractNum w:abstractNumId="205">
    <w:nsid w:val="4F38F265"/>
    <w:multiLevelType w:val="hybridMultilevel"/>
    <w:lvl w:ilvl="0">
      <w:lvlJc w:val="left"/>
      <w:lvlText w:val="(%1)"/>
      <w:numFmt w:val="decimal"/>
      <w:start w:val="1"/>
    </w:lvl>
  </w:abstractNum>
  <w:abstractNum w:abstractNumId="206">
    <w:nsid w:val="4C5028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jpeg"/><Relationship Id="rId396" Type="http://schemas.openxmlformats.org/officeDocument/2006/relationships/image" Target="media/image389.jpe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jpe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jpe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jpeg"/><Relationship Id="rId410" Type="http://schemas.openxmlformats.org/officeDocument/2006/relationships/image" Target="media/image403.jpe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jpe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jpe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jpe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jpe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jpeg"/><Relationship Id="rId550" Type="http://schemas.openxmlformats.org/officeDocument/2006/relationships/image" Target="media/image543.jpeg"/><Relationship Id="rId551" Type="http://schemas.openxmlformats.org/officeDocument/2006/relationships/image" Target="media/image544.jpeg"/><Relationship Id="rId552" Type="http://schemas.openxmlformats.org/officeDocument/2006/relationships/image" Target="media/image545.jpe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jpeg"/><Relationship Id="rId569" Type="http://schemas.openxmlformats.org/officeDocument/2006/relationships/image" Target="media/image562.jpeg"/><Relationship Id="rId570" Type="http://schemas.openxmlformats.org/officeDocument/2006/relationships/image" Target="media/image563.jpeg"/><Relationship Id="rId571" Type="http://schemas.openxmlformats.org/officeDocument/2006/relationships/image" Target="media/image564.jpeg"/><Relationship Id="rId572" Type="http://schemas.openxmlformats.org/officeDocument/2006/relationships/image" Target="media/image565.jpe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jpe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jpeg"/><Relationship Id="rId581" Type="http://schemas.openxmlformats.org/officeDocument/2006/relationships/image" Target="media/image574.jpeg"/><Relationship Id="rId582" Type="http://schemas.openxmlformats.org/officeDocument/2006/relationships/image" Target="media/image575.jpeg"/><Relationship Id="rId583" Type="http://schemas.openxmlformats.org/officeDocument/2006/relationships/image" Target="media/image576.jpeg"/><Relationship Id="rId584" Type="http://schemas.openxmlformats.org/officeDocument/2006/relationships/image" Target="media/image577.jpe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jpeg"/><Relationship Id="rId593" Type="http://schemas.openxmlformats.org/officeDocument/2006/relationships/image" Target="media/image586.jpeg"/><Relationship Id="rId594" Type="http://schemas.openxmlformats.org/officeDocument/2006/relationships/image" Target="media/image587.jpeg"/><Relationship Id="rId595" Type="http://schemas.openxmlformats.org/officeDocument/2006/relationships/image" Target="media/image588.jpeg"/><Relationship Id="rId596" Type="http://schemas.openxmlformats.org/officeDocument/2006/relationships/image" Target="media/image589.jpeg"/><Relationship Id="rId597" Type="http://schemas.openxmlformats.org/officeDocument/2006/relationships/image" Target="media/image590.jpeg"/><Relationship Id="rId598" Type="http://schemas.openxmlformats.org/officeDocument/2006/relationships/image" Target="media/image591.jpeg"/><Relationship Id="rId599" Type="http://schemas.openxmlformats.org/officeDocument/2006/relationships/image" Target="media/image592.jpeg"/><Relationship Id="rId600" Type="http://schemas.openxmlformats.org/officeDocument/2006/relationships/image" Target="media/image593.jpeg"/><Relationship Id="rId601" Type="http://schemas.openxmlformats.org/officeDocument/2006/relationships/image" Target="media/image594.jpeg"/><Relationship Id="rId602" Type="http://schemas.openxmlformats.org/officeDocument/2006/relationships/image" Target="media/image595.jpe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jpeg"/><Relationship Id="rId606" Type="http://schemas.openxmlformats.org/officeDocument/2006/relationships/image" Target="media/image599.jpeg"/><Relationship Id="rId607" Type="http://schemas.openxmlformats.org/officeDocument/2006/relationships/image" Target="media/image600.jpeg"/><Relationship Id="rId608" Type="http://schemas.openxmlformats.org/officeDocument/2006/relationships/image" Target="media/image601.jpeg"/><Relationship Id="rId609" Type="http://schemas.openxmlformats.org/officeDocument/2006/relationships/image" Target="media/image602.jpe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jpeg"/><Relationship Id="rId613" Type="http://schemas.openxmlformats.org/officeDocument/2006/relationships/image" Target="media/image606.jpeg"/><Relationship Id="rId614" Type="http://schemas.openxmlformats.org/officeDocument/2006/relationships/image" Target="media/image607.jpe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jpe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jpe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jpe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jpeg"/><Relationship Id="rId629" Type="http://schemas.openxmlformats.org/officeDocument/2006/relationships/image" Target="media/image622.jpeg"/><Relationship Id="rId630" Type="http://schemas.openxmlformats.org/officeDocument/2006/relationships/image" Target="media/image623.jpeg"/><Relationship Id="rId631" Type="http://schemas.openxmlformats.org/officeDocument/2006/relationships/image" Target="media/image624.jpeg"/><Relationship Id="rId632" Type="http://schemas.openxmlformats.org/officeDocument/2006/relationships/image" Target="media/image625.jpe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jpeg"/><Relationship Id="rId636" Type="http://schemas.openxmlformats.org/officeDocument/2006/relationships/image" Target="media/image629.jpeg"/><Relationship Id="rId637" Type="http://schemas.openxmlformats.org/officeDocument/2006/relationships/image" Target="media/image630.jpeg"/><Relationship Id="rId638" Type="http://schemas.openxmlformats.org/officeDocument/2006/relationships/image" Target="media/image631.jpeg"/><Relationship Id="rId639" Type="http://schemas.openxmlformats.org/officeDocument/2006/relationships/image" Target="media/image632.jpeg"/><Relationship Id="rId640" Type="http://schemas.openxmlformats.org/officeDocument/2006/relationships/image" Target="media/image633.jpeg"/><Relationship Id="rId641" Type="http://schemas.openxmlformats.org/officeDocument/2006/relationships/image" Target="media/image634.jpe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jpeg"/><Relationship Id="rId659" Type="http://schemas.openxmlformats.org/officeDocument/2006/relationships/image" Target="media/image652.png"/><Relationship Id="rId660" Type="http://schemas.openxmlformats.org/officeDocument/2006/relationships/image" Target="media/image653.jpeg"/><Relationship Id="rId661" Type="http://schemas.openxmlformats.org/officeDocument/2006/relationships/image" Target="media/image654.jpeg"/><Relationship Id="rId662" Type="http://schemas.openxmlformats.org/officeDocument/2006/relationships/image" Target="media/image655.jpeg"/><Relationship Id="rId663" Type="http://schemas.openxmlformats.org/officeDocument/2006/relationships/image" Target="media/image656.jpeg"/><Relationship Id="rId664" Type="http://schemas.openxmlformats.org/officeDocument/2006/relationships/image" Target="media/image657.jpeg"/><Relationship Id="rId665" Type="http://schemas.openxmlformats.org/officeDocument/2006/relationships/image" Target="media/image658.jpe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jpe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jpeg"/><Relationship Id="rId672" Type="http://schemas.openxmlformats.org/officeDocument/2006/relationships/image" Target="media/image665.jpe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jpeg"/><Relationship Id="rId678" Type="http://schemas.openxmlformats.org/officeDocument/2006/relationships/image" Target="media/image671.jpeg"/><Relationship Id="rId679" Type="http://schemas.openxmlformats.org/officeDocument/2006/relationships/image" Target="media/image672.jpeg"/><Relationship Id="rId680" Type="http://schemas.openxmlformats.org/officeDocument/2006/relationships/image" Target="media/image673.jpeg"/><Relationship Id="rId681" Type="http://schemas.openxmlformats.org/officeDocument/2006/relationships/image" Target="media/image674.jpeg"/><Relationship Id="rId682" Type="http://schemas.openxmlformats.org/officeDocument/2006/relationships/image" Target="media/image675.jpeg"/><Relationship Id="rId683" Type="http://schemas.openxmlformats.org/officeDocument/2006/relationships/image" Target="media/image676.jpeg"/><Relationship Id="rId684" Type="http://schemas.openxmlformats.org/officeDocument/2006/relationships/image" Target="media/image677.jpeg"/><Relationship Id="rId685" Type="http://schemas.openxmlformats.org/officeDocument/2006/relationships/image" Target="media/image678.jpeg"/><Relationship Id="rId686" Type="http://schemas.openxmlformats.org/officeDocument/2006/relationships/image" Target="media/image679.jpeg"/><Relationship Id="rId687" Type="http://schemas.openxmlformats.org/officeDocument/2006/relationships/image" Target="media/image680.jpeg"/><Relationship Id="rId688" Type="http://schemas.openxmlformats.org/officeDocument/2006/relationships/image" Target="media/image681.jpeg"/><Relationship Id="rId689" Type="http://schemas.openxmlformats.org/officeDocument/2006/relationships/image" Target="media/image682.jpeg"/><Relationship Id="rId690" Type="http://schemas.openxmlformats.org/officeDocument/2006/relationships/image" Target="media/image683.jpeg"/><Relationship Id="rId691" Type="http://schemas.openxmlformats.org/officeDocument/2006/relationships/image" Target="media/image684.jpeg"/><Relationship Id="rId692" Type="http://schemas.openxmlformats.org/officeDocument/2006/relationships/image" Target="media/image685.jpeg"/><Relationship Id="rId693" Type="http://schemas.openxmlformats.org/officeDocument/2006/relationships/image" Target="media/image686.jpeg"/><Relationship Id="rId694" Type="http://schemas.openxmlformats.org/officeDocument/2006/relationships/image" Target="media/image687.jpeg"/><Relationship Id="rId695" Type="http://schemas.openxmlformats.org/officeDocument/2006/relationships/image" Target="media/image688.jpeg"/><Relationship Id="rId696" Type="http://schemas.openxmlformats.org/officeDocument/2006/relationships/image" Target="media/image689.jpeg"/><Relationship Id="rId697" Type="http://schemas.openxmlformats.org/officeDocument/2006/relationships/image" Target="media/image690.jpeg"/><Relationship Id="rId698" Type="http://schemas.openxmlformats.org/officeDocument/2006/relationships/image" Target="media/image691.jpeg"/><Relationship Id="rId699" Type="http://schemas.openxmlformats.org/officeDocument/2006/relationships/image" Target="media/image692.jpeg"/><Relationship Id="rId700" Type="http://schemas.openxmlformats.org/officeDocument/2006/relationships/image" Target="media/image693.jpeg"/><Relationship Id="rId701" Type="http://schemas.openxmlformats.org/officeDocument/2006/relationships/image" Target="media/image694.jpeg"/><Relationship Id="rId702" Type="http://schemas.openxmlformats.org/officeDocument/2006/relationships/image" Target="media/image695.jpe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jpeg"/><Relationship Id="rId713" Type="http://schemas.openxmlformats.org/officeDocument/2006/relationships/image" Target="media/image706.jpeg"/><Relationship Id="rId714" Type="http://schemas.openxmlformats.org/officeDocument/2006/relationships/image" Target="media/image707.jpeg"/><Relationship Id="rId715" Type="http://schemas.openxmlformats.org/officeDocument/2006/relationships/image" Target="media/image708.jpeg"/><Relationship Id="rId716" Type="http://schemas.openxmlformats.org/officeDocument/2006/relationships/image" Target="media/image709.jpeg"/><Relationship Id="rId717" Type="http://schemas.openxmlformats.org/officeDocument/2006/relationships/image" Target="media/image710.jpeg"/><Relationship Id="rId718" Type="http://schemas.openxmlformats.org/officeDocument/2006/relationships/image" Target="media/image711.jpeg"/><Relationship Id="rId719" Type="http://schemas.openxmlformats.org/officeDocument/2006/relationships/image" Target="media/image712.jpeg"/><Relationship Id="rId720" Type="http://schemas.openxmlformats.org/officeDocument/2006/relationships/image" Target="media/image713.jpeg"/><Relationship Id="rId721" Type="http://schemas.openxmlformats.org/officeDocument/2006/relationships/image" Target="media/image714.jpeg"/><Relationship Id="rId722" Type="http://schemas.openxmlformats.org/officeDocument/2006/relationships/image" Target="media/image715.jpeg"/><Relationship Id="rId723" Type="http://schemas.openxmlformats.org/officeDocument/2006/relationships/image" Target="media/image716.jpeg"/><Relationship Id="rId724" Type="http://schemas.openxmlformats.org/officeDocument/2006/relationships/image" Target="media/image717.jpeg"/><Relationship Id="rId725" Type="http://schemas.openxmlformats.org/officeDocument/2006/relationships/image" Target="media/image718.jpeg"/><Relationship Id="rId726" Type="http://schemas.openxmlformats.org/officeDocument/2006/relationships/image" Target="media/image719.jpeg"/><Relationship Id="rId727" Type="http://schemas.openxmlformats.org/officeDocument/2006/relationships/image" Target="media/image720.jpeg"/><Relationship Id="rId728" Type="http://schemas.openxmlformats.org/officeDocument/2006/relationships/image" Target="media/image721.jpeg"/><Relationship Id="rId729" Type="http://schemas.openxmlformats.org/officeDocument/2006/relationships/image" Target="media/image722.jpeg"/><Relationship Id="rId730" Type="http://schemas.openxmlformats.org/officeDocument/2006/relationships/image" Target="media/image723.jpeg"/><Relationship Id="rId731" Type="http://schemas.openxmlformats.org/officeDocument/2006/relationships/image" Target="media/image724.jpeg"/><Relationship Id="rId732" Type="http://schemas.openxmlformats.org/officeDocument/2006/relationships/image" Target="media/image725.jpeg"/><Relationship Id="rId733" Type="http://schemas.openxmlformats.org/officeDocument/2006/relationships/image" Target="media/image726.jpeg"/><Relationship Id="rId734" Type="http://schemas.openxmlformats.org/officeDocument/2006/relationships/image" Target="media/image727.jpeg"/><Relationship Id="rId735" Type="http://schemas.openxmlformats.org/officeDocument/2006/relationships/image" Target="media/image728.jpeg"/><Relationship Id="rId736" Type="http://schemas.openxmlformats.org/officeDocument/2006/relationships/image" Target="media/image729.jpeg"/><Relationship Id="rId737" Type="http://schemas.openxmlformats.org/officeDocument/2006/relationships/image" Target="media/image730.jpeg"/><Relationship Id="rId738" Type="http://schemas.openxmlformats.org/officeDocument/2006/relationships/image" Target="media/image731.jpeg"/><Relationship Id="rId739" Type="http://schemas.openxmlformats.org/officeDocument/2006/relationships/image" Target="media/image732.jpeg"/><Relationship Id="rId740" Type="http://schemas.openxmlformats.org/officeDocument/2006/relationships/image" Target="media/image733.jpeg"/><Relationship Id="rId741" Type="http://schemas.openxmlformats.org/officeDocument/2006/relationships/image" Target="media/image734.jpeg"/><Relationship Id="rId742" Type="http://schemas.openxmlformats.org/officeDocument/2006/relationships/image" Target="media/image735.jpe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jpeg"/><Relationship Id="rId747" Type="http://schemas.openxmlformats.org/officeDocument/2006/relationships/image" Target="media/image740.jpeg"/><Relationship Id="rId748" Type="http://schemas.openxmlformats.org/officeDocument/2006/relationships/image" Target="media/image741.jpeg"/><Relationship Id="rId749" Type="http://schemas.openxmlformats.org/officeDocument/2006/relationships/image" Target="media/image742.jpeg"/><Relationship Id="rId750" Type="http://schemas.openxmlformats.org/officeDocument/2006/relationships/image" Target="media/image743.jpeg"/><Relationship Id="rId751" Type="http://schemas.openxmlformats.org/officeDocument/2006/relationships/image" Target="media/image744.jpeg"/><Relationship Id="rId752" Type="http://schemas.openxmlformats.org/officeDocument/2006/relationships/image" Target="media/image745.jpeg"/><Relationship Id="rId753" Type="http://schemas.openxmlformats.org/officeDocument/2006/relationships/image" Target="media/image746.jpeg"/><Relationship Id="rId754" Type="http://schemas.openxmlformats.org/officeDocument/2006/relationships/image" Target="media/image747.jpeg"/><Relationship Id="rId755" Type="http://schemas.openxmlformats.org/officeDocument/2006/relationships/image" Target="media/image748.jpeg"/><Relationship Id="rId756" Type="http://schemas.openxmlformats.org/officeDocument/2006/relationships/image" Target="media/image749.jpeg"/><Relationship Id="rId757" Type="http://schemas.openxmlformats.org/officeDocument/2006/relationships/image" Target="media/image750.jpeg"/><Relationship Id="rId758" Type="http://schemas.openxmlformats.org/officeDocument/2006/relationships/image" Target="media/image751.jpeg"/><Relationship Id="rId759" Type="http://schemas.openxmlformats.org/officeDocument/2006/relationships/image" Target="media/image752.jpeg"/><Relationship Id="rId760" Type="http://schemas.openxmlformats.org/officeDocument/2006/relationships/image" Target="media/image753.jpeg"/><Relationship Id="rId761" Type="http://schemas.openxmlformats.org/officeDocument/2006/relationships/image" Target="media/image754.jpeg"/><Relationship Id="rId762" Type="http://schemas.openxmlformats.org/officeDocument/2006/relationships/image" Target="media/image755.jpeg"/><Relationship Id="rId763" Type="http://schemas.openxmlformats.org/officeDocument/2006/relationships/image" Target="media/image756.jpeg"/><Relationship Id="rId764" Type="http://schemas.openxmlformats.org/officeDocument/2006/relationships/image" Target="media/image757.jpeg"/><Relationship Id="rId765" Type="http://schemas.openxmlformats.org/officeDocument/2006/relationships/image" Target="media/image758.jpeg"/><Relationship Id="rId766" Type="http://schemas.openxmlformats.org/officeDocument/2006/relationships/image" Target="media/image759.jpeg"/><Relationship Id="rId767" Type="http://schemas.openxmlformats.org/officeDocument/2006/relationships/image" Target="media/image760.jpeg"/><Relationship Id="rId768" Type="http://schemas.openxmlformats.org/officeDocument/2006/relationships/image" Target="media/image761.jpeg"/><Relationship Id="rId769" Type="http://schemas.openxmlformats.org/officeDocument/2006/relationships/image" Target="media/image762.jpeg"/><Relationship Id="rId770" Type="http://schemas.openxmlformats.org/officeDocument/2006/relationships/image" Target="media/image763.jpeg"/><Relationship Id="rId771" Type="http://schemas.openxmlformats.org/officeDocument/2006/relationships/image" Target="media/image764.jpeg"/><Relationship Id="rId772" Type="http://schemas.openxmlformats.org/officeDocument/2006/relationships/image" Target="media/image765.jpeg"/><Relationship Id="rId773" Type="http://schemas.openxmlformats.org/officeDocument/2006/relationships/image" Target="media/image766.jpeg"/><Relationship Id="rId774" Type="http://schemas.openxmlformats.org/officeDocument/2006/relationships/image" Target="media/image767.jpeg"/><Relationship Id="rId775" Type="http://schemas.openxmlformats.org/officeDocument/2006/relationships/image" Target="media/image768.jpeg"/><Relationship Id="rId776" Type="http://schemas.openxmlformats.org/officeDocument/2006/relationships/image" Target="media/image769.jpeg"/><Relationship Id="rId777" Type="http://schemas.openxmlformats.org/officeDocument/2006/relationships/image" Target="media/image770.jpeg"/><Relationship Id="rId778" Type="http://schemas.openxmlformats.org/officeDocument/2006/relationships/image" Target="media/image771.jpeg"/><Relationship Id="rId779" Type="http://schemas.openxmlformats.org/officeDocument/2006/relationships/image" Target="media/image772.jpeg"/><Relationship Id="rId780" Type="http://schemas.openxmlformats.org/officeDocument/2006/relationships/image" Target="media/image773.jpeg"/><Relationship Id="rId781" Type="http://schemas.openxmlformats.org/officeDocument/2006/relationships/image" Target="media/image774.jpeg"/><Relationship Id="rId782" Type="http://schemas.openxmlformats.org/officeDocument/2006/relationships/image" Target="media/image775.jpeg"/><Relationship Id="rId783" Type="http://schemas.openxmlformats.org/officeDocument/2006/relationships/image" Target="media/image776.jpeg"/><Relationship Id="rId784" Type="http://schemas.openxmlformats.org/officeDocument/2006/relationships/image" Target="media/image777.jpeg"/><Relationship Id="rId785" Type="http://schemas.openxmlformats.org/officeDocument/2006/relationships/image" Target="media/image778.jpeg"/><Relationship Id="rId786" Type="http://schemas.openxmlformats.org/officeDocument/2006/relationships/image" Target="media/image779.jpe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jpeg"/><Relationship Id="rId792" Type="http://schemas.openxmlformats.org/officeDocument/2006/relationships/image" Target="media/image785.jpeg"/><Relationship Id="rId793" Type="http://schemas.openxmlformats.org/officeDocument/2006/relationships/image" Target="media/image786.jpeg"/><Relationship Id="rId794" Type="http://schemas.openxmlformats.org/officeDocument/2006/relationships/image" Target="media/image787.jpeg"/><Relationship Id="rId795" Type="http://schemas.openxmlformats.org/officeDocument/2006/relationships/image" Target="media/image788.jpe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jpeg"/><Relationship Id="rId799" Type="http://schemas.openxmlformats.org/officeDocument/2006/relationships/image" Target="media/image792.jpeg"/><Relationship Id="rId800" Type="http://schemas.openxmlformats.org/officeDocument/2006/relationships/image" Target="media/image793.jpe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jpeg"/><Relationship Id="rId805" Type="http://schemas.openxmlformats.org/officeDocument/2006/relationships/image" Target="media/image798.jpeg"/><Relationship Id="rId806" Type="http://schemas.openxmlformats.org/officeDocument/2006/relationships/image" Target="media/image799.jpe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jpeg"/><Relationship Id="rId811" Type="http://schemas.openxmlformats.org/officeDocument/2006/relationships/image" Target="media/image804.png"/><Relationship Id="rId812" Type="http://schemas.openxmlformats.org/officeDocument/2006/relationships/image" Target="media/image805.jpeg"/><Relationship Id="rId813" Type="http://schemas.openxmlformats.org/officeDocument/2006/relationships/image" Target="media/image806.jpeg"/><Relationship Id="rId814" Type="http://schemas.openxmlformats.org/officeDocument/2006/relationships/image" Target="media/image807.jpeg"/><Relationship Id="rId815" Type="http://schemas.openxmlformats.org/officeDocument/2006/relationships/image" Target="media/image808.jpeg"/><Relationship Id="rId816" Type="http://schemas.openxmlformats.org/officeDocument/2006/relationships/image" Target="media/image809.jpeg"/><Relationship Id="rId817" Type="http://schemas.openxmlformats.org/officeDocument/2006/relationships/image" Target="media/image810.jpeg"/><Relationship Id="rId818" Type="http://schemas.openxmlformats.org/officeDocument/2006/relationships/image" Target="media/image811.jpeg"/><Relationship Id="rId819" Type="http://schemas.openxmlformats.org/officeDocument/2006/relationships/image" Target="media/image812.jpeg"/><Relationship Id="rId820" Type="http://schemas.openxmlformats.org/officeDocument/2006/relationships/image" Target="media/image813.jpeg"/><Relationship Id="rId821" Type="http://schemas.openxmlformats.org/officeDocument/2006/relationships/image" Target="media/image814.jpe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jpeg"/><Relationship Id="rId825" Type="http://schemas.openxmlformats.org/officeDocument/2006/relationships/image" Target="media/image818.jpeg"/><Relationship Id="rId826" Type="http://schemas.openxmlformats.org/officeDocument/2006/relationships/image" Target="media/image819.jpe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jpeg"/><Relationship Id="rId832" Type="http://schemas.openxmlformats.org/officeDocument/2006/relationships/image" Target="media/image825.jpe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jpeg"/><Relationship Id="rId844" Type="http://schemas.openxmlformats.org/officeDocument/2006/relationships/image" Target="media/image837.png"/><Relationship Id="rId845" Type="http://schemas.openxmlformats.org/officeDocument/2006/relationships/image" Target="media/image838.jpeg"/><Relationship Id="rId846" Type="http://schemas.openxmlformats.org/officeDocument/2006/relationships/image" Target="media/image839.jpeg"/><Relationship Id="rId847" Type="http://schemas.openxmlformats.org/officeDocument/2006/relationships/image" Target="media/image840.jpeg"/><Relationship Id="rId848" Type="http://schemas.openxmlformats.org/officeDocument/2006/relationships/image" Target="media/image841.jpeg"/><Relationship Id="rId849" Type="http://schemas.openxmlformats.org/officeDocument/2006/relationships/image" Target="media/image842.jpeg"/><Relationship Id="rId850" Type="http://schemas.openxmlformats.org/officeDocument/2006/relationships/image" Target="media/image843.jpe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jpeg"/><Relationship Id="rId859" Type="http://schemas.openxmlformats.org/officeDocument/2006/relationships/image" Target="media/image852.png"/><Relationship Id="rId860" Type="http://schemas.openxmlformats.org/officeDocument/2006/relationships/image" Target="media/image853.jpe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jpeg"/><Relationship Id="rId864" Type="http://schemas.openxmlformats.org/officeDocument/2006/relationships/image" Target="media/image857.jpeg"/><Relationship Id="rId865" Type="http://schemas.openxmlformats.org/officeDocument/2006/relationships/image" Target="media/image858.jpeg"/><Relationship Id="rId866" Type="http://schemas.openxmlformats.org/officeDocument/2006/relationships/image" Target="media/image859.jpeg"/><Relationship Id="rId867" Type="http://schemas.openxmlformats.org/officeDocument/2006/relationships/image" Target="media/image860.jpeg"/><Relationship Id="rId868" Type="http://schemas.openxmlformats.org/officeDocument/2006/relationships/image" Target="media/image861.jpeg"/><Relationship Id="rId869" Type="http://schemas.openxmlformats.org/officeDocument/2006/relationships/image" Target="media/image862.jpeg"/><Relationship Id="rId870" Type="http://schemas.openxmlformats.org/officeDocument/2006/relationships/image" Target="media/image863.jpeg"/><Relationship Id="rId871" Type="http://schemas.openxmlformats.org/officeDocument/2006/relationships/image" Target="media/image864.jpeg"/><Relationship Id="rId872" Type="http://schemas.openxmlformats.org/officeDocument/2006/relationships/image" Target="media/image865.jpeg"/><Relationship Id="rId873" Type="http://schemas.openxmlformats.org/officeDocument/2006/relationships/image" Target="media/image866.jpeg"/><Relationship Id="rId874" Type="http://schemas.openxmlformats.org/officeDocument/2006/relationships/image" Target="media/image867.jpeg"/><Relationship Id="rId875" Type="http://schemas.openxmlformats.org/officeDocument/2006/relationships/image" Target="media/image868.jpeg"/><Relationship Id="rId876" Type="http://schemas.openxmlformats.org/officeDocument/2006/relationships/image" Target="media/image869.jpeg"/><Relationship Id="rId877" Type="http://schemas.openxmlformats.org/officeDocument/2006/relationships/image" Target="media/image870.jpeg"/><Relationship Id="rId878" Type="http://schemas.openxmlformats.org/officeDocument/2006/relationships/image" Target="media/image871.jpeg"/><Relationship Id="rId879" Type="http://schemas.openxmlformats.org/officeDocument/2006/relationships/image" Target="media/image872.jpeg"/><Relationship Id="rId880" Type="http://schemas.openxmlformats.org/officeDocument/2006/relationships/image" Target="media/image873.jpeg"/><Relationship Id="rId881" Type="http://schemas.openxmlformats.org/officeDocument/2006/relationships/image" Target="media/image874.png"/><Relationship Id="rId882" Type="http://schemas.openxmlformats.org/officeDocument/2006/relationships/image" Target="media/image875.jpeg"/><Relationship Id="rId883" Type="http://schemas.openxmlformats.org/officeDocument/2006/relationships/image" Target="media/image876.jpeg"/><Relationship Id="rId884" Type="http://schemas.openxmlformats.org/officeDocument/2006/relationships/image" Target="media/image877.jpeg"/><Relationship Id="rId885" Type="http://schemas.openxmlformats.org/officeDocument/2006/relationships/image" Target="media/image878.jpeg"/><Relationship Id="rId886" Type="http://schemas.openxmlformats.org/officeDocument/2006/relationships/image" Target="media/image879.jpeg"/><Relationship Id="rId887" Type="http://schemas.openxmlformats.org/officeDocument/2006/relationships/image" Target="media/image880.jpeg"/><Relationship Id="rId888" Type="http://schemas.openxmlformats.org/officeDocument/2006/relationships/image" Target="media/image881.jpeg"/><Relationship Id="rId889" Type="http://schemas.openxmlformats.org/officeDocument/2006/relationships/image" Target="media/image882.jpeg"/><Relationship Id="rId890" Type="http://schemas.openxmlformats.org/officeDocument/2006/relationships/image" Target="media/image883.jpeg"/><Relationship Id="rId891" Type="http://schemas.openxmlformats.org/officeDocument/2006/relationships/image" Target="media/image884.jpeg"/><Relationship Id="rId892" Type="http://schemas.openxmlformats.org/officeDocument/2006/relationships/image" Target="media/image885.jpeg"/><Relationship Id="rId893" Type="http://schemas.openxmlformats.org/officeDocument/2006/relationships/image" Target="media/image886.jpeg"/><Relationship Id="rId894" Type="http://schemas.openxmlformats.org/officeDocument/2006/relationships/image" Target="media/image887.jpeg"/><Relationship Id="rId895" Type="http://schemas.openxmlformats.org/officeDocument/2006/relationships/image" Target="media/image888.jpeg"/><Relationship Id="rId896" Type="http://schemas.openxmlformats.org/officeDocument/2006/relationships/image" Target="media/image889.jpeg"/><Relationship Id="rId897" Type="http://schemas.openxmlformats.org/officeDocument/2006/relationships/image" Target="media/image890.jpeg"/><Relationship Id="rId898" Type="http://schemas.openxmlformats.org/officeDocument/2006/relationships/image" Target="media/image891.jpeg"/><Relationship Id="rId899" Type="http://schemas.openxmlformats.org/officeDocument/2006/relationships/image" Target="media/image892.jpeg"/><Relationship Id="rId900" Type="http://schemas.openxmlformats.org/officeDocument/2006/relationships/image" Target="media/image893.jpeg"/><Relationship Id="rId901" Type="http://schemas.openxmlformats.org/officeDocument/2006/relationships/image" Target="media/image894.jpeg"/><Relationship Id="rId902" Type="http://schemas.openxmlformats.org/officeDocument/2006/relationships/image" Target="media/image895.jpeg"/><Relationship Id="rId903" Type="http://schemas.openxmlformats.org/officeDocument/2006/relationships/image" Target="media/image896.jpeg"/><Relationship Id="rId904" Type="http://schemas.openxmlformats.org/officeDocument/2006/relationships/image" Target="media/image897.jpeg"/><Relationship Id="rId905" Type="http://schemas.openxmlformats.org/officeDocument/2006/relationships/image" Target="media/image898.jpeg"/><Relationship Id="rId906" Type="http://schemas.openxmlformats.org/officeDocument/2006/relationships/image" Target="media/image899.jpeg"/><Relationship Id="rId907" Type="http://schemas.openxmlformats.org/officeDocument/2006/relationships/image" Target="media/image900.jpeg"/><Relationship Id="rId908" Type="http://schemas.openxmlformats.org/officeDocument/2006/relationships/image" Target="media/image901.jpeg"/><Relationship Id="rId909" Type="http://schemas.openxmlformats.org/officeDocument/2006/relationships/image" Target="media/image902.jpeg"/><Relationship Id="rId910" Type="http://schemas.openxmlformats.org/officeDocument/2006/relationships/image" Target="media/image903.jpeg"/><Relationship Id="rId911" Type="http://schemas.openxmlformats.org/officeDocument/2006/relationships/image" Target="media/image904.jpeg"/><Relationship Id="rId912" Type="http://schemas.openxmlformats.org/officeDocument/2006/relationships/image" Target="media/image905.jpeg"/><Relationship Id="rId913" Type="http://schemas.openxmlformats.org/officeDocument/2006/relationships/image" Target="media/image906.jpeg"/><Relationship Id="rId914" Type="http://schemas.openxmlformats.org/officeDocument/2006/relationships/image" Target="media/image907.jpeg"/><Relationship Id="rId915" Type="http://schemas.openxmlformats.org/officeDocument/2006/relationships/image" Target="media/image908.jpeg"/><Relationship Id="rId916" Type="http://schemas.openxmlformats.org/officeDocument/2006/relationships/image" Target="media/image909.jpeg"/><Relationship Id="rId917" Type="http://schemas.openxmlformats.org/officeDocument/2006/relationships/image" Target="media/image910.jpeg"/><Relationship Id="rId918" Type="http://schemas.openxmlformats.org/officeDocument/2006/relationships/image" Target="media/image911.jpeg"/><Relationship Id="rId919" Type="http://schemas.openxmlformats.org/officeDocument/2006/relationships/image" Target="media/image912.jpe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jpeg"/><Relationship Id="rId924" Type="http://schemas.openxmlformats.org/officeDocument/2006/relationships/image" Target="media/image917.png"/><Relationship Id="rId925" Type="http://schemas.openxmlformats.org/officeDocument/2006/relationships/image" Target="media/image918.jpeg"/><Relationship Id="rId926" Type="http://schemas.openxmlformats.org/officeDocument/2006/relationships/image" Target="media/image919.jpeg"/><Relationship Id="rId927" Type="http://schemas.openxmlformats.org/officeDocument/2006/relationships/image" Target="media/image920.jpeg"/><Relationship Id="rId928" Type="http://schemas.openxmlformats.org/officeDocument/2006/relationships/image" Target="media/image921.jpeg"/><Relationship Id="rId929" Type="http://schemas.openxmlformats.org/officeDocument/2006/relationships/image" Target="media/image922.jpeg"/><Relationship Id="rId930" Type="http://schemas.openxmlformats.org/officeDocument/2006/relationships/image" Target="media/image923.jpeg"/><Relationship Id="rId931" Type="http://schemas.openxmlformats.org/officeDocument/2006/relationships/image" Target="media/image924.png"/><Relationship Id="rId932" Type="http://schemas.openxmlformats.org/officeDocument/2006/relationships/image" Target="media/image925.jpeg"/><Relationship Id="rId933" Type="http://schemas.openxmlformats.org/officeDocument/2006/relationships/image" Target="media/image926.jpeg"/><Relationship Id="rId934" Type="http://schemas.openxmlformats.org/officeDocument/2006/relationships/image" Target="media/image927.jpeg"/><Relationship Id="rId935" Type="http://schemas.openxmlformats.org/officeDocument/2006/relationships/image" Target="media/image928.jpeg"/><Relationship Id="rId936" Type="http://schemas.openxmlformats.org/officeDocument/2006/relationships/image" Target="media/image929.jpeg"/><Relationship Id="rId937" Type="http://schemas.openxmlformats.org/officeDocument/2006/relationships/image" Target="media/image930.jpeg"/><Relationship Id="rId938" Type="http://schemas.openxmlformats.org/officeDocument/2006/relationships/image" Target="media/image931.jpeg"/><Relationship Id="rId939" Type="http://schemas.openxmlformats.org/officeDocument/2006/relationships/image" Target="media/image932.jpeg"/><Relationship Id="rId940" Type="http://schemas.openxmlformats.org/officeDocument/2006/relationships/image" Target="media/image933.jpeg"/><Relationship Id="rId941" Type="http://schemas.openxmlformats.org/officeDocument/2006/relationships/image" Target="media/image934.jpe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jpeg"/><Relationship Id="rId951" Type="http://schemas.openxmlformats.org/officeDocument/2006/relationships/image" Target="media/image944.jpeg"/><Relationship Id="rId952" Type="http://schemas.openxmlformats.org/officeDocument/2006/relationships/image" Target="media/image945.jpeg"/><Relationship Id="rId953" Type="http://schemas.openxmlformats.org/officeDocument/2006/relationships/image" Target="media/image946.jpe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jpeg"/><Relationship Id="rId957" Type="http://schemas.openxmlformats.org/officeDocument/2006/relationships/image" Target="media/image950.jpeg"/><Relationship Id="rId958" Type="http://schemas.openxmlformats.org/officeDocument/2006/relationships/image" Target="media/image951.jpeg"/><Relationship Id="rId959" Type="http://schemas.openxmlformats.org/officeDocument/2006/relationships/image" Target="media/image952.jpeg"/><Relationship Id="rId960" Type="http://schemas.openxmlformats.org/officeDocument/2006/relationships/image" Target="media/image953.jpeg"/><Relationship Id="rId961" Type="http://schemas.openxmlformats.org/officeDocument/2006/relationships/image" Target="media/image954.jpeg"/><Relationship Id="rId962" Type="http://schemas.openxmlformats.org/officeDocument/2006/relationships/image" Target="media/image955.jpeg"/><Relationship Id="rId963" Type="http://schemas.openxmlformats.org/officeDocument/2006/relationships/image" Target="media/image956.jpeg"/><Relationship Id="rId964" Type="http://schemas.openxmlformats.org/officeDocument/2006/relationships/image" Target="media/image957.jpeg"/><Relationship Id="rId965" Type="http://schemas.openxmlformats.org/officeDocument/2006/relationships/image" Target="media/image958.jpeg"/><Relationship Id="rId966" Type="http://schemas.openxmlformats.org/officeDocument/2006/relationships/image" Target="media/image959.jpeg"/><Relationship Id="rId967" Type="http://schemas.openxmlformats.org/officeDocument/2006/relationships/image" Target="media/image960.jpe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jpeg"/><Relationship Id="rId972" Type="http://schemas.openxmlformats.org/officeDocument/2006/relationships/image" Target="media/image965.jpeg"/><Relationship Id="rId973" Type="http://schemas.openxmlformats.org/officeDocument/2006/relationships/image" Target="media/image966.jpeg"/><Relationship Id="rId974" Type="http://schemas.openxmlformats.org/officeDocument/2006/relationships/image" Target="media/image967.jpeg"/><Relationship Id="rId975" Type="http://schemas.openxmlformats.org/officeDocument/2006/relationships/image" Target="media/image968.jpeg"/><Relationship Id="rId976" Type="http://schemas.openxmlformats.org/officeDocument/2006/relationships/image" Target="media/image969.jpeg"/><Relationship Id="rId977" Type="http://schemas.openxmlformats.org/officeDocument/2006/relationships/image" Target="media/image970.jpeg"/><Relationship Id="rId978" Type="http://schemas.openxmlformats.org/officeDocument/2006/relationships/image" Target="media/image971.jpeg"/><Relationship Id="rId979" Type="http://schemas.openxmlformats.org/officeDocument/2006/relationships/image" Target="media/image972.jpeg"/><Relationship Id="rId980" Type="http://schemas.openxmlformats.org/officeDocument/2006/relationships/image" Target="media/image973.jpeg"/><Relationship Id="rId981" Type="http://schemas.openxmlformats.org/officeDocument/2006/relationships/image" Target="media/image974.jpeg"/><Relationship Id="rId982" Type="http://schemas.openxmlformats.org/officeDocument/2006/relationships/image" Target="media/image975.jpeg"/><Relationship Id="rId983" Type="http://schemas.openxmlformats.org/officeDocument/2006/relationships/image" Target="media/image976.jpeg"/><Relationship Id="rId984" Type="http://schemas.openxmlformats.org/officeDocument/2006/relationships/image" Target="media/image977.jpeg"/><Relationship Id="rId985" Type="http://schemas.openxmlformats.org/officeDocument/2006/relationships/image" Target="media/image978.jpeg"/><Relationship Id="rId986" Type="http://schemas.openxmlformats.org/officeDocument/2006/relationships/image" Target="media/image979.jpeg"/><Relationship Id="rId987" Type="http://schemas.openxmlformats.org/officeDocument/2006/relationships/image" Target="media/image980.jpeg"/><Relationship Id="rId988" Type="http://schemas.openxmlformats.org/officeDocument/2006/relationships/image" Target="media/image981.jpeg"/><Relationship Id="rId989" Type="http://schemas.openxmlformats.org/officeDocument/2006/relationships/image" Target="media/image982.jpeg"/><Relationship Id="rId990" Type="http://schemas.openxmlformats.org/officeDocument/2006/relationships/image" Target="media/image983.jpeg"/><Relationship Id="rId991" Type="http://schemas.openxmlformats.org/officeDocument/2006/relationships/image" Target="media/image984.jpeg"/><Relationship Id="rId992" Type="http://schemas.openxmlformats.org/officeDocument/2006/relationships/image" Target="media/image985.jpeg"/><Relationship Id="rId993" Type="http://schemas.openxmlformats.org/officeDocument/2006/relationships/image" Target="media/image986.jpeg"/><Relationship Id="rId994" Type="http://schemas.openxmlformats.org/officeDocument/2006/relationships/image" Target="media/image987.jpeg"/><Relationship Id="rId995" Type="http://schemas.openxmlformats.org/officeDocument/2006/relationships/image" Target="media/image988.jpeg"/><Relationship Id="rId996" Type="http://schemas.openxmlformats.org/officeDocument/2006/relationships/image" Target="media/image989.jpeg"/><Relationship Id="rId997" Type="http://schemas.openxmlformats.org/officeDocument/2006/relationships/image" Target="media/image990.jpeg"/><Relationship Id="rId998" Type="http://schemas.openxmlformats.org/officeDocument/2006/relationships/image" Target="media/image991.jpeg"/><Relationship Id="rId999" Type="http://schemas.openxmlformats.org/officeDocument/2006/relationships/image" Target="media/image992.jpeg"/><Relationship Id="rId1000" Type="http://schemas.openxmlformats.org/officeDocument/2006/relationships/image" Target="media/image993.jpeg"/><Relationship Id="rId1001" Type="http://schemas.openxmlformats.org/officeDocument/2006/relationships/image" Target="media/image994.jpeg"/><Relationship Id="rId1002" Type="http://schemas.openxmlformats.org/officeDocument/2006/relationships/image" Target="media/image995.jpeg"/><Relationship Id="rId1003" Type="http://schemas.openxmlformats.org/officeDocument/2006/relationships/image" Target="media/image996.jpeg"/><Relationship Id="rId1004" Type="http://schemas.openxmlformats.org/officeDocument/2006/relationships/image" Target="media/image997.jpeg"/><Relationship Id="rId1005" Type="http://schemas.openxmlformats.org/officeDocument/2006/relationships/image" Target="media/image998.jpeg"/><Relationship Id="rId1006" Type="http://schemas.openxmlformats.org/officeDocument/2006/relationships/image" Target="media/image999.jpeg"/><Relationship Id="rId1007" Type="http://schemas.openxmlformats.org/officeDocument/2006/relationships/image" Target="media/image1000.jpeg"/><Relationship Id="rId1008" Type="http://schemas.openxmlformats.org/officeDocument/2006/relationships/image" Target="media/image1001.jpeg"/><Relationship Id="rId1009" Type="http://schemas.openxmlformats.org/officeDocument/2006/relationships/image" Target="media/image1002.jpeg"/><Relationship Id="rId1010" Type="http://schemas.openxmlformats.org/officeDocument/2006/relationships/image" Target="media/image1003.jpeg"/><Relationship Id="rId1011" Type="http://schemas.openxmlformats.org/officeDocument/2006/relationships/image" Target="media/image1004.jpeg"/><Relationship Id="rId1012" Type="http://schemas.openxmlformats.org/officeDocument/2006/relationships/image" Target="media/image1005.jpeg"/><Relationship Id="rId1013" Type="http://schemas.openxmlformats.org/officeDocument/2006/relationships/image" Target="media/image1006.jpeg"/><Relationship Id="rId1014" Type="http://schemas.openxmlformats.org/officeDocument/2006/relationships/image" Target="media/image1007.jpeg"/><Relationship Id="rId1015" Type="http://schemas.openxmlformats.org/officeDocument/2006/relationships/image" Target="media/image1008.jpeg"/><Relationship Id="rId1016" Type="http://schemas.openxmlformats.org/officeDocument/2006/relationships/image" Target="media/image1009.jpeg"/><Relationship Id="rId1017" Type="http://schemas.openxmlformats.org/officeDocument/2006/relationships/image" Target="media/image1010.jpeg"/><Relationship Id="rId1018" Type="http://schemas.openxmlformats.org/officeDocument/2006/relationships/image" Target="media/image1011.jpeg"/><Relationship Id="rId1019" Type="http://schemas.openxmlformats.org/officeDocument/2006/relationships/image" Target="media/image1012.jpeg"/><Relationship Id="rId1020" Type="http://schemas.openxmlformats.org/officeDocument/2006/relationships/image" Target="media/image1013.jpeg"/><Relationship Id="rId1021" Type="http://schemas.openxmlformats.org/officeDocument/2006/relationships/image" Target="media/image1014.jpeg"/><Relationship Id="rId1022" Type="http://schemas.openxmlformats.org/officeDocument/2006/relationships/image" Target="media/image1015.jpeg"/><Relationship Id="rId1023" Type="http://schemas.openxmlformats.org/officeDocument/2006/relationships/image" Target="media/image1016.jpeg"/><Relationship Id="rId1024" Type="http://schemas.openxmlformats.org/officeDocument/2006/relationships/image" Target="media/image1017.jpeg"/><Relationship Id="rId1025" Type="http://schemas.openxmlformats.org/officeDocument/2006/relationships/image" Target="media/image1018.jpeg"/><Relationship Id="rId1026" Type="http://schemas.openxmlformats.org/officeDocument/2006/relationships/image" Target="media/image1019.jpeg"/><Relationship Id="rId1027" Type="http://schemas.openxmlformats.org/officeDocument/2006/relationships/image" Target="media/image1020.jpeg"/><Relationship Id="rId1028" Type="http://schemas.openxmlformats.org/officeDocument/2006/relationships/image" Target="media/image1021.jpeg"/><Relationship Id="rId1029" Type="http://schemas.openxmlformats.org/officeDocument/2006/relationships/image" Target="media/image1022.jpeg"/><Relationship Id="rId1030" Type="http://schemas.openxmlformats.org/officeDocument/2006/relationships/image" Target="media/image1023.jpeg"/><Relationship Id="rId1031" Type="http://schemas.openxmlformats.org/officeDocument/2006/relationships/image" Target="media/image1024.jpeg"/><Relationship Id="rId1032" Type="http://schemas.openxmlformats.org/officeDocument/2006/relationships/image" Target="media/image1025.jpeg"/><Relationship Id="rId1033" Type="http://schemas.openxmlformats.org/officeDocument/2006/relationships/image" Target="media/image1026.jpeg"/><Relationship Id="rId1034" Type="http://schemas.openxmlformats.org/officeDocument/2006/relationships/image" Target="media/image1027.jpeg"/><Relationship Id="rId1035" Type="http://schemas.openxmlformats.org/officeDocument/2006/relationships/image" Target="media/image1028.jpeg"/><Relationship Id="rId1036" Type="http://schemas.openxmlformats.org/officeDocument/2006/relationships/image" Target="media/image1029.jpeg"/><Relationship Id="rId1037" Type="http://schemas.openxmlformats.org/officeDocument/2006/relationships/image" Target="media/image1030.jpeg"/><Relationship Id="rId1038" Type="http://schemas.openxmlformats.org/officeDocument/2006/relationships/image" Target="media/image1031.jpeg"/><Relationship Id="rId1039" Type="http://schemas.openxmlformats.org/officeDocument/2006/relationships/image" Target="media/image1032.jpeg"/><Relationship Id="rId1040" Type="http://schemas.openxmlformats.org/officeDocument/2006/relationships/image" Target="media/image1033.jpeg"/><Relationship Id="rId1041" Type="http://schemas.openxmlformats.org/officeDocument/2006/relationships/image" Target="media/image1034.jpeg"/><Relationship Id="rId1042" Type="http://schemas.openxmlformats.org/officeDocument/2006/relationships/image" Target="media/image1035.jpeg"/><Relationship Id="rId1043" Type="http://schemas.openxmlformats.org/officeDocument/2006/relationships/image" Target="media/image1036.jpeg"/><Relationship Id="rId1044" Type="http://schemas.openxmlformats.org/officeDocument/2006/relationships/image" Target="media/image1037.jpeg"/><Relationship Id="rId1045" Type="http://schemas.openxmlformats.org/officeDocument/2006/relationships/image" Target="media/image1038.jpeg"/><Relationship Id="rId1046" Type="http://schemas.openxmlformats.org/officeDocument/2006/relationships/image" Target="media/image1039.jpeg"/><Relationship Id="rId1047" Type="http://schemas.openxmlformats.org/officeDocument/2006/relationships/image" Target="media/image1040.jpeg"/><Relationship Id="rId1048" Type="http://schemas.openxmlformats.org/officeDocument/2006/relationships/image" Target="media/image1041.jpeg"/><Relationship Id="rId1049" Type="http://schemas.openxmlformats.org/officeDocument/2006/relationships/image" Target="media/image1042.jpeg"/><Relationship Id="rId1050" Type="http://schemas.openxmlformats.org/officeDocument/2006/relationships/image" Target="media/image1043.jpeg"/><Relationship Id="rId1051" Type="http://schemas.openxmlformats.org/officeDocument/2006/relationships/image" Target="media/image1044.jpeg"/><Relationship Id="rId1052" Type="http://schemas.openxmlformats.org/officeDocument/2006/relationships/image" Target="media/image1045.jpeg"/><Relationship Id="rId1053" Type="http://schemas.openxmlformats.org/officeDocument/2006/relationships/image" Target="media/image1046.jpeg"/><Relationship Id="rId1054" Type="http://schemas.openxmlformats.org/officeDocument/2006/relationships/image" Target="media/image1047.jpeg"/><Relationship Id="rId1055" Type="http://schemas.openxmlformats.org/officeDocument/2006/relationships/image" Target="media/image1048.jpeg"/><Relationship Id="rId1056" Type="http://schemas.openxmlformats.org/officeDocument/2006/relationships/image" Target="media/image1049.jpeg"/><Relationship Id="rId1057" Type="http://schemas.openxmlformats.org/officeDocument/2006/relationships/image" Target="media/image1050.jpeg"/><Relationship Id="rId1058" Type="http://schemas.openxmlformats.org/officeDocument/2006/relationships/image" Target="media/image1051.jpeg"/><Relationship Id="rId1059" Type="http://schemas.openxmlformats.org/officeDocument/2006/relationships/image" Target="media/image1052.jpeg"/><Relationship Id="rId1060" Type="http://schemas.openxmlformats.org/officeDocument/2006/relationships/image" Target="media/image1053.jpeg"/><Relationship Id="rId1061" Type="http://schemas.openxmlformats.org/officeDocument/2006/relationships/image" Target="media/image1054.jpeg"/><Relationship Id="rId1062" Type="http://schemas.openxmlformats.org/officeDocument/2006/relationships/image" Target="media/image1055.jpeg"/><Relationship Id="rId1063" Type="http://schemas.openxmlformats.org/officeDocument/2006/relationships/image" Target="media/image1056.jpeg"/><Relationship Id="rId1064" Type="http://schemas.openxmlformats.org/officeDocument/2006/relationships/image" Target="media/image1057.jpeg"/><Relationship Id="rId1065" Type="http://schemas.openxmlformats.org/officeDocument/2006/relationships/image" Target="media/image1058.jpeg"/><Relationship Id="rId1066" Type="http://schemas.openxmlformats.org/officeDocument/2006/relationships/image" Target="media/image1059.jpeg"/><Relationship Id="rId1067" Type="http://schemas.openxmlformats.org/officeDocument/2006/relationships/image" Target="media/image1060.jpeg"/><Relationship Id="rId1068" Type="http://schemas.openxmlformats.org/officeDocument/2006/relationships/image" Target="media/image1061.jpeg"/><Relationship Id="rId1069" Type="http://schemas.openxmlformats.org/officeDocument/2006/relationships/image" Target="media/image1062.jpeg"/><Relationship Id="rId1070" Type="http://schemas.openxmlformats.org/officeDocument/2006/relationships/image" Target="media/image1063.jpeg"/><Relationship Id="rId1071" Type="http://schemas.openxmlformats.org/officeDocument/2006/relationships/image" Target="media/image1064.jpeg"/><Relationship Id="rId1072" Type="http://schemas.openxmlformats.org/officeDocument/2006/relationships/image" Target="media/image1065.jpeg"/><Relationship Id="rId1073" Type="http://schemas.openxmlformats.org/officeDocument/2006/relationships/image" Target="media/image1066.jpeg"/><Relationship Id="rId1074" Type="http://schemas.openxmlformats.org/officeDocument/2006/relationships/image" Target="media/image1067.jpeg"/><Relationship Id="rId1075" Type="http://schemas.openxmlformats.org/officeDocument/2006/relationships/image" Target="media/image1068.jpeg"/><Relationship Id="rId1076" Type="http://schemas.openxmlformats.org/officeDocument/2006/relationships/image" Target="media/image1069.jpeg"/><Relationship Id="rId1077" Type="http://schemas.openxmlformats.org/officeDocument/2006/relationships/image" Target="media/image1070.jpeg"/><Relationship Id="rId1078" Type="http://schemas.openxmlformats.org/officeDocument/2006/relationships/image" Target="media/image1071.jpeg"/><Relationship Id="rId1079" Type="http://schemas.openxmlformats.org/officeDocument/2006/relationships/image" Target="media/image1072.jpeg"/><Relationship Id="rId1080" Type="http://schemas.openxmlformats.org/officeDocument/2006/relationships/image" Target="media/image1073.jpeg"/><Relationship Id="rId1081" Type="http://schemas.openxmlformats.org/officeDocument/2006/relationships/image" Target="media/image1074.jpe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jpeg"/><Relationship Id="rId1085" Type="http://schemas.openxmlformats.org/officeDocument/2006/relationships/image" Target="media/image1078.jpeg"/><Relationship Id="rId1086" Type="http://schemas.openxmlformats.org/officeDocument/2006/relationships/image" Target="media/image1079.jpeg"/><Relationship Id="rId1087" Type="http://schemas.openxmlformats.org/officeDocument/2006/relationships/image" Target="media/image1080.jpeg"/><Relationship Id="rId1088" Type="http://schemas.openxmlformats.org/officeDocument/2006/relationships/image" Target="media/image1081.jpeg"/><Relationship Id="rId1089" Type="http://schemas.openxmlformats.org/officeDocument/2006/relationships/image" Target="media/image1082.jpeg"/><Relationship Id="rId1090" Type="http://schemas.openxmlformats.org/officeDocument/2006/relationships/image" Target="media/image1083.jpeg"/><Relationship Id="rId1091" Type="http://schemas.openxmlformats.org/officeDocument/2006/relationships/image" Target="media/image1084.jpeg"/><Relationship Id="rId1092" Type="http://schemas.openxmlformats.org/officeDocument/2006/relationships/image" Target="media/image1085.jpeg"/><Relationship Id="rId1093" Type="http://schemas.openxmlformats.org/officeDocument/2006/relationships/image" Target="media/image1086.jpeg"/><Relationship Id="rId1094" Type="http://schemas.openxmlformats.org/officeDocument/2006/relationships/image" Target="media/image1087.jpeg"/><Relationship Id="rId1095" Type="http://schemas.openxmlformats.org/officeDocument/2006/relationships/image" Target="media/image1088.jpeg"/><Relationship Id="rId1096" Type="http://schemas.openxmlformats.org/officeDocument/2006/relationships/image" Target="media/image1089.jpeg"/><Relationship Id="rId1097" Type="http://schemas.openxmlformats.org/officeDocument/2006/relationships/image" Target="media/image1090.jpeg"/><Relationship Id="rId1098" Type="http://schemas.openxmlformats.org/officeDocument/2006/relationships/image" Target="media/image1091.jpeg"/><Relationship Id="rId1099" Type="http://schemas.openxmlformats.org/officeDocument/2006/relationships/image" Target="media/image1092.jpeg"/><Relationship Id="rId1100" Type="http://schemas.openxmlformats.org/officeDocument/2006/relationships/image" Target="media/image1093.jpeg"/><Relationship Id="rId1101" Type="http://schemas.openxmlformats.org/officeDocument/2006/relationships/image" Target="media/image1094.jpeg"/><Relationship Id="rId1102" Type="http://schemas.openxmlformats.org/officeDocument/2006/relationships/image" Target="media/image1095.jpeg"/><Relationship Id="rId1103" Type="http://schemas.openxmlformats.org/officeDocument/2006/relationships/image" Target="media/image1096.jpeg"/><Relationship Id="rId1104" Type="http://schemas.openxmlformats.org/officeDocument/2006/relationships/image" Target="media/image1097.jpeg"/><Relationship Id="rId1105" Type="http://schemas.openxmlformats.org/officeDocument/2006/relationships/image" Target="media/image1098.jpeg"/><Relationship Id="rId1106" Type="http://schemas.openxmlformats.org/officeDocument/2006/relationships/image" Target="media/image1099.jpeg"/><Relationship Id="rId1107" Type="http://schemas.openxmlformats.org/officeDocument/2006/relationships/image" Target="media/image1100.jpeg"/><Relationship Id="rId1108" Type="http://schemas.openxmlformats.org/officeDocument/2006/relationships/image" Target="media/image1101.jpeg"/><Relationship Id="rId1109" Type="http://schemas.openxmlformats.org/officeDocument/2006/relationships/image" Target="media/image1102.jpeg"/><Relationship Id="rId1110" Type="http://schemas.openxmlformats.org/officeDocument/2006/relationships/image" Target="media/image1103.jpeg"/><Relationship Id="rId1111" Type="http://schemas.openxmlformats.org/officeDocument/2006/relationships/image" Target="media/image1104.jpeg"/><Relationship Id="rId1112" Type="http://schemas.openxmlformats.org/officeDocument/2006/relationships/image" Target="media/image1105.jpeg"/><Relationship Id="rId1113" Type="http://schemas.openxmlformats.org/officeDocument/2006/relationships/image" Target="media/image1106.jpeg"/><Relationship Id="rId1114" Type="http://schemas.openxmlformats.org/officeDocument/2006/relationships/image" Target="media/image1107.jpeg"/><Relationship Id="rId1115" Type="http://schemas.openxmlformats.org/officeDocument/2006/relationships/image" Target="media/image1108.jpeg"/><Relationship Id="rId1116" Type="http://schemas.openxmlformats.org/officeDocument/2006/relationships/image" Target="media/image1109.jpeg"/><Relationship Id="rId1117" Type="http://schemas.openxmlformats.org/officeDocument/2006/relationships/image" Target="media/image1110.jpeg"/><Relationship Id="rId1118" Type="http://schemas.openxmlformats.org/officeDocument/2006/relationships/image" Target="media/image1111.jpeg"/><Relationship Id="rId1119" Type="http://schemas.openxmlformats.org/officeDocument/2006/relationships/image" Target="media/image1112.jpeg"/><Relationship Id="rId1120" Type="http://schemas.openxmlformats.org/officeDocument/2006/relationships/image" Target="media/image1113.jpeg"/><Relationship Id="rId1121" Type="http://schemas.openxmlformats.org/officeDocument/2006/relationships/image" Target="media/image1114.jpeg"/><Relationship Id="rId1122" Type="http://schemas.openxmlformats.org/officeDocument/2006/relationships/image" Target="media/image1115.jpeg"/><Relationship Id="rId1123" Type="http://schemas.openxmlformats.org/officeDocument/2006/relationships/image" Target="media/image1116.jpeg"/><Relationship Id="rId1124" Type="http://schemas.openxmlformats.org/officeDocument/2006/relationships/image" Target="media/image1117.jpeg"/><Relationship Id="rId1125" Type="http://schemas.openxmlformats.org/officeDocument/2006/relationships/image" Target="media/image1118.jpeg"/><Relationship Id="rId1126" Type="http://schemas.openxmlformats.org/officeDocument/2006/relationships/image" Target="media/image1119.jpeg"/><Relationship Id="rId1127" Type="http://schemas.openxmlformats.org/officeDocument/2006/relationships/image" Target="media/image1120.jpeg"/><Relationship Id="rId1128" Type="http://schemas.openxmlformats.org/officeDocument/2006/relationships/image" Target="media/image1121.jpeg"/><Relationship Id="rId1129" Type="http://schemas.openxmlformats.org/officeDocument/2006/relationships/image" Target="media/image1122.jpeg"/><Relationship Id="rId1130" Type="http://schemas.openxmlformats.org/officeDocument/2006/relationships/image" Target="media/image1123.jpeg"/><Relationship Id="rId1131" Type="http://schemas.openxmlformats.org/officeDocument/2006/relationships/image" Target="media/image1124.jpeg"/><Relationship Id="rId1132" Type="http://schemas.openxmlformats.org/officeDocument/2006/relationships/image" Target="media/image1125.jpeg"/><Relationship Id="rId1133" Type="http://schemas.openxmlformats.org/officeDocument/2006/relationships/image" Target="media/image1126.jpeg"/><Relationship Id="rId1134" Type="http://schemas.openxmlformats.org/officeDocument/2006/relationships/image" Target="media/image1127.jpeg"/><Relationship Id="rId1135" Type="http://schemas.openxmlformats.org/officeDocument/2006/relationships/image" Target="media/image1128.jpeg"/><Relationship Id="rId1136" Type="http://schemas.openxmlformats.org/officeDocument/2006/relationships/image" Target="media/image1129.jpeg"/><Relationship Id="rId1137" Type="http://schemas.openxmlformats.org/officeDocument/2006/relationships/image" Target="media/image1130.jpeg"/><Relationship Id="rId1138" Type="http://schemas.openxmlformats.org/officeDocument/2006/relationships/image" Target="media/image1131.jpeg"/><Relationship Id="rId1139" Type="http://schemas.openxmlformats.org/officeDocument/2006/relationships/image" Target="media/image1132.jpeg"/><Relationship Id="rId1140" Type="http://schemas.openxmlformats.org/officeDocument/2006/relationships/image" Target="media/image1133.jpeg"/><Relationship Id="rId1141" Type="http://schemas.openxmlformats.org/officeDocument/2006/relationships/image" Target="media/image1134.jpeg"/><Relationship Id="rId1142" Type="http://schemas.openxmlformats.org/officeDocument/2006/relationships/image" Target="media/image1135.jpeg"/><Relationship Id="rId1143" Type="http://schemas.openxmlformats.org/officeDocument/2006/relationships/image" Target="media/image1136.jpeg"/><Relationship Id="rId1144" Type="http://schemas.openxmlformats.org/officeDocument/2006/relationships/image" Target="media/image1137.jpeg"/><Relationship Id="rId1145" Type="http://schemas.openxmlformats.org/officeDocument/2006/relationships/image" Target="media/image1138.jpeg"/><Relationship Id="rId1146" Type="http://schemas.openxmlformats.org/officeDocument/2006/relationships/image" Target="media/image1139.jpeg"/><Relationship Id="rId1147" Type="http://schemas.openxmlformats.org/officeDocument/2006/relationships/image" Target="media/image1140.jpeg"/><Relationship Id="rId1148" Type="http://schemas.openxmlformats.org/officeDocument/2006/relationships/image" Target="media/image1141.jpeg"/><Relationship Id="rId1149" Type="http://schemas.openxmlformats.org/officeDocument/2006/relationships/image" Target="media/image1142.jpeg"/><Relationship Id="rId1150" Type="http://schemas.openxmlformats.org/officeDocument/2006/relationships/image" Target="media/image1143.jpeg"/><Relationship Id="rId1151" Type="http://schemas.openxmlformats.org/officeDocument/2006/relationships/image" Target="media/image1144.jpeg"/><Relationship Id="rId1152" Type="http://schemas.openxmlformats.org/officeDocument/2006/relationships/image" Target="media/image1145.jpeg"/><Relationship Id="rId1153" Type="http://schemas.openxmlformats.org/officeDocument/2006/relationships/image" Target="media/image1146.jpeg"/><Relationship Id="rId1154" Type="http://schemas.openxmlformats.org/officeDocument/2006/relationships/image" Target="media/image1147.jpeg"/><Relationship Id="rId1155" Type="http://schemas.openxmlformats.org/officeDocument/2006/relationships/image" Target="media/image1148.jpeg"/><Relationship Id="rId1156" Type="http://schemas.openxmlformats.org/officeDocument/2006/relationships/image" Target="media/image1149.jpeg"/><Relationship Id="rId1157" Type="http://schemas.openxmlformats.org/officeDocument/2006/relationships/image" Target="media/image1150.jpeg"/><Relationship Id="rId1158" Type="http://schemas.openxmlformats.org/officeDocument/2006/relationships/image" Target="media/image1151.jpeg"/><Relationship Id="rId1159" Type="http://schemas.openxmlformats.org/officeDocument/2006/relationships/image" Target="media/image1152.jpeg"/><Relationship Id="rId1160" Type="http://schemas.openxmlformats.org/officeDocument/2006/relationships/image" Target="media/image1153.jpeg"/><Relationship Id="rId1161" Type="http://schemas.openxmlformats.org/officeDocument/2006/relationships/image" Target="media/image1154.jpeg"/><Relationship Id="rId1162" Type="http://schemas.openxmlformats.org/officeDocument/2006/relationships/image" Target="media/image1155.jpe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jpeg"/><Relationship Id="rId1167" Type="http://schemas.openxmlformats.org/officeDocument/2006/relationships/image" Target="media/image1160.jpeg"/><Relationship Id="rId1168" Type="http://schemas.openxmlformats.org/officeDocument/2006/relationships/image" Target="media/image1161.jpeg"/><Relationship Id="rId1169" Type="http://schemas.openxmlformats.org/officeDocument/2006/relationships/image" Target="media/image1162.jpeg"/><Relationship Id="rId1170" Type="http://schemas.openxmlformats.org/officeDocument/2006/relationships/image" Target="media/image1163.jpeg"/><Relationship Id="rId1171" Type="http://schemas.openxmlformats.org/officeDocument/2006/relationships/image" Target="media/image1164.jpeg"/><Relationship Id="rId1172" Type="http://schemas.openxmlformats.org/officeDocument/2006/relationships/image" Target="media/image1165.jpeg"/><Relationship Id="rId1173" Type="http://schemas.openxmlformats.org/officeDocument/2006/relationships/image" Target="media/image1166.jpeg"/><Relationship Id="rId1174" Type="http://schemas.openxmlformats.org/officeDocument/2006/relationships/image" Target="media/image1167.jpeg"/><Relationship Id="rId1175" Type="http://schemas.openxmlformats.org/officeDocument/2006/relationships/image" Target="media/image1168.jpeg"/><Relationship Id="rId1176" Type="http://schemas.openxmlformats.org/officeDocument/2006/relationships/image" Target="media/image1169.jpeg"/><Relationship Id="rId1177" Type="http://schemas.openxmlformats.org/officeDocument/2006/relationships/image" Target="media/image1170.jpeg"/><Relationship Id="rId1178" Type="http://schemas.openxmlformats.org/officeDocument/2006/relationships/image" Target="media/image1171.jpeg"/><Relationship Id="rId1179" Type="http://schemas.openxmlformats.org/officeDocument/2006/relationships/image" Target="media/image1172.jpeg"/><Relationship Id="rId1180" Type="http://schemas.openxmlformats.org/officeDocument/2006/relationships/image" Target="media/image1173.jpeg"/><Relationship Id="rId1181" Type="http://schemas.openxmlformats.org/officeDocument/2006/relationships/image" Target="media/image1174.jpeg"/><Relationship Id="rId1182" Type="http://schemas.openxmlformats.org/officeDocument/2006/relationships/image" Target="media/image1175.jpeg"/><Relationship Id="rId1183" Type="http://schemas.openxmlformats.org/officeDocument/2006/relationships/image" Target="media/image1176.jpeg"/><Relationship Id="rId1184" Type="http://schemas.openxmlformats.org/officeDocument/2006/relationships/image" Target="media/image1177.jpeg"/><Relationship Id="rId1185" Type="http://schemas.openxmlformats.org/officeDocument/2006/relationships/image" Target="media/image1178.jpeg"/><Relationship Id="rId1186" Type="http://schemas.openxmlformats.org/officeDocument/2006/relationships/image" Target="media/image1179.jpeg"/><Relationship Id="rId1187" Type="http://schemas.openxmlformats.org/officeDocument/2006/relationships/image" Target="media/image1180.jpeg"/><Relationship Id="rId1188" Type="http://schemas.openxmlformats.org/officeDocument/2006/relationships/image" Target="media/image1181.jpeg"/><Relationship Id="rId1189" Type="http://schemas.openxmlformats.org/officeDocument/2006/relationships/image" Target="media/image1182.jpeg"/><Relationship Id="rId1190" Type="http://schemas.openxmlformats.org/officeDocument/2006/relationships/image" Target="media/image1183.jpeg"/><Relationship Id="rId1191" Type="http://schemas.openxmlformats.org/officeDocument/2006/relationships/image" Target="media/image1184.jpeg"/><Relationship Id="rId1192" Type="http://schemas.openxmlformats.org/officeDocument/2006/relationships/image" Target="media/image1185.jpeg"/><Relationship Id="rId1193" Type="http://schemas.openxmlformats.org/officeDocument/2006/relationships/image" Target="media/image1186.jpeg"/><Relationship Id="rId1194" Type="http://schemas.openxmlformats.org/officeDocument/2006/relationships/image" Target="media/image1187.jpeg"/><Relationship Id="rId1195" Type="http://schemas.openxmlformats.org/officeDocument/2006/relationships/image" Target="media/image1188.jpeg"/><Relationship Id="rId1196" Type="http://schemas.openxmlformats.org/officeDocument/2006/relationships/image" Target="media/image1189.jpeg"/><Relationship Id="rId1197" Type="http://schemas.openxmlformats.org/officeDocument/2006/relationships/image" Target="media/image1190.jpeg"/><Relationship Id="rId1198" Type="http://schemas.openxmlformats.org/officeDocument/2006/relationships/image" Target="media/image1191.jpeg"/><Relationship Id="rId1199" Type="http://schemas.openxmlformats.org/officeDocument/2006/relationships/image" Target="media/image1192.jpeg"/><Relationship Id="rId1200" Type="http://schemas.openxmlformats.org/officeDocument/2006/relationships/image" Target="media/image1193.jpeg"/><Relationship Id="rId1201" Type="http://schemas.openxmlformats.org/officeDocument/2006/relationships/image" Target="media/image1194.jpeg"/><Relationship Id="rId1202" Type="http://schemas.openxmlformats.org/officeDocument/2006/relationships/image" Target="media/image1195.jpeg"/><Relationship Id="rId1203" Type="http://schemas.openxmlformats.org/officeDocument/2006/relationships/image" Target="media/image1196.jpeg"/><Relationship Id="rId1204" Type="http://schemas.openxmlformats.org/officeDocument/2006/relationships/image" Target="media/image1197.jpeg"/><Relationship Id="rId1205" Type="http://schemas.openxmlformats.org/officeDocument/2006/relationships/image" Target="media/image1198.jpeg"/><Relationship Id="rId1206" Type="http://schemas.openxmlformats.org/officeDocument/2006/relationships/image" Target="media/image1199.jpeg"/><Relationship Id="rId1207" Type="http://schemas.openxmlformats.org/officeDocument/2006/relationships/image" Target="media/image1200.jpeg"/><Relationship Id="rId1208" Type="http://schemas.openxmlformats.org/officeDocument/2006/relationships/image" Target="media/image1201.jpeg"/><Relationship Id="rId1209" Type="http://schemas.openxmlformats.org/officeDocument/2006/relationships/image" Target="media/image1202.jpeg"/><Relationship Id="rId1210" Type="http://schemas.openxmlformats.org/officeDocument/2006/relationships/image" Target="media/image1203.jpeg"/><Relationship Id="rId1211" Type="http://schemas.openxmlformats.org/officeDocument/2006/relationships/image" Target="media/image1204.jpeg"/><Relationship Id="rId1212" Type="http://schemas.openxmlformats.org/officeDocument/2006/relationships/image" Target="media/image1205.jpeg"/><Relationship Id="rId1213" Type="http://schemas.openxmlformats.org/officeDocument/2006/relationships/image" Target="media/image1206.jpeg"/><Relationship Id="rId1214" Type="http://schemas.openxmlformats.org/officeDocument/2006/relationships/image" Target="media/image1207.jpeg"/><Relationship Id="rId1215" Type="http://schemas.openxmlformats.org/officeDocument/2006/relationships/image" Target="media/image1208.jpeg"/><Relationship Id="rId1216" Type="http://schemas.openxmlformats.org/officeDocument/2006/relationships/image" Target="media/image1209.jpeg"/><Relationship Id="rId1217" Type="http://schemas.openxmlformats.org/officeDocument/2006/relationships/image" Target="media/image1210.jpeg"/><Relationship Id="rId1218" Type="http://schemas.openxmlformats.org/officeDocument/2006/relationships/image" Target="media/image1211.jpeg"/><Relationship Id="rId1219" Type="http://schemas.openxmlformats.org/officeDocument/2006/relationships/image" Target="media/image1212.jpeg"/><Relationship Id="rId1220" Type="http://schemas.openxmlformats.org/officeDocument/2006/relationships/image" Target="media/image1213.jpeg"/><Relationship Id="rId1221" Type="http://schemas.openxmlformats.org/officeDocument/2006/relationships/image" Target="media/image1214.jpeg"/><Relationship Id="rId1222" Type="http://schemas.openxmlformats.org/officeDocument/2006/relationships/image" Target="media/image1215.jpeg"/><Relationship Id="rId1223" Type="http://schemas.openxmlformats.org/officeDocument/2006/relationships/image" Target="media/image1216.jpeg"/><Relationship Id="rId1224" Type="http://schemas.openxmlformats.org/officeDocument/2006/relationships/image" Target="media/image1217.jpeg"/><Relationship Id="rId1225" Type="http://schemas.openxmlformats.org/officeDocument/2006/relationships/image" Target="media/image1218.jpeg"/><Relationship Id="rId1226" Type="http://schemas.openxmlformats.org/officeDocument/2006/relationships/image" Target="media/image1219.jpeg"/><Relationship Id="rId1227" Type="http://schemas.openxmlformats.org/officeDocument/2006/relationships/image" Target="media/image1220.jpeg"/><Relationship Id="rId1228" Type="http://schemas.openxmlformats.org/officeDocument/2006/relationships/image" Target="media/image1221.jpeg"/><Relationship Id="rId1229" Type="http://schemas.openxmlformats.org/officeDocument/2006/relationships/image" Target="media/image1222.jpeg"/><Relationship Id="rId1230" Type="http://schemas.openxmlformats.org/officeDocument/2006/relationships/image" Target="media/image1223.jpeg"/><Relationship Id="rId1231" Type="http://schemas.openxmlformats.org/officeDocument/2006/relationships/image" Target="media/image1224.jpeg"/><Relationship Id="rId1232" Type="http://schemas.openxmlformats.org/officeDocument/2006/relationships/image" Target="media/image1225.jpeg"/><Relationship Id="rId1233" Type="http://schemas.openxmlformats.org/officeDocument/2006/relationships/image" Target="media/image1226.jpeg"/><Relationship Id="rId1234" Type="http://schemas.openxmlformats.org/officeDocument/2006/relationships/image" Target="media/image1227.jpeg"/><Relationship Id="rId1235" Type="http://schemas.openxmlformats.org/officeDocument/2006/relationships/image" Target="media/image1228.jpeg"/><Relationship Id="rId1236" Type="http://schemas.openxmlformats.org/officeDocument/2006/relationships/image" Target="media/image1229.jpeg"/><Relationship Id="rId1237" Type="http://schemas.openxmlformats.org/officeDocument/2006/relationships/image" Target="media/image1230.jpeg"/><Relationship Id="rId1238" Type="http://schemas.openxmlformats.org/officeDocument/2006/relationships/image" Target="media/image1231.jpeg"/><Relationship Id="rId1239" Type="http://schemas.openxmlformats.org/officeDocument/2006/relationships/image" Target="media/image1232.jpeg"/><Relationship Id="rId1240" Type="http://schemas.openxmlformats.org/officeDocument/2006/relationships/image" Target="media/image1233.jpeg"/><Relationship Id="rId1241" Type="http://schemas.openxmlformats.org/officeDocument/2006/relationships/image" Target="media/image1234.jpeg"/><Relationship Id="rId1242" Type="http://schemas.openxmlformats.org/officeDocument/2006/relationships/image" Target="media/image1235.jpeg"/><Relationship Id="rId1243" Type="http://schemas.openxmlformats.org/officeDocument/2006/relationships/image" Target="media/image1236.jpeg"/><Relationship Id="rId1244" Type="http://schemas.openxmlformats.org/officeDocument/2006/relationships/image" Target="media/image1237.jpeg"/><Relationship Id="rId1245" Type="http://schemas.openxmlformats.org/officeDocument/2006/relationships/image" Target="media/image1238.jpeg"/><Relationship Id="rId1246" Type="http://schemas.openxmlformats.org/officeDocument/2006/relationships/image" Target="media/image1239.jpeg"/><Relationship Id="rId1247" Type="http://schemas.openxmlformats.org/officeDocument/2006/relationships/image" Target="media/image1240.jpeg"/><Relationship Id="rId1248" Type="http://schemas.openxmlformats.org/officeDocument/2006/relationships/image" Target="media/image1241.jpeg"/><Relationship Id="rId1249" Type="http://schemas.openxmlformats.org/officeDocument/2006/relationships/image" Target="media/image1242.jpeg"/><Relationship Id="rId1250" Type="http://schemas.openxmlformats.org/officeDocument/2006/relationships/image" Target="media/image1243.jpeg"/><Relationship Id="rId1251" Type="http://schemas.openxmlformats.org/officeDocument/2006/relationships/image" Target="media/image1244.jpeg"/><Relationship Id="rId1252" Type="http://schemas.openxmlformats.org/officeDocument/2006/relationships/image" Target="media/image1245.jpeg"/><Relationship Id="rId1253" Type="http://schemas.openxmlformats.org/officeDocument/2006/relationships/image" Target="media/image1246.jpeg"/><Relationship Id="rId1254" Type="http://schemas.openxmlformats.org/officeDocument/2006/relationships/image" Target="media/image1247.jpeg"/><Relationship Id="rId1255" Type="http://schemas.openxmlformats.org/officeDocument/2006/relationships/image" Target="media/image1248.jpeg"/><Relationship Id="rId1256" Type="http://schemas.openxmlformats.org/officeDocument/2006/relationships/image" Target="media/image1249.jpeg"/><Relationship Id="rId1257" Type="http://schemas.openxmlformats.org/officeDocument/2006/relationships/image" Target="media/image1250.jpeg"/><Relationship Id="rId1258" Type="http://schemas.openxmlformats.org/officeDocument/2006/relationships/image" Target="media/image1251.jpeg"/><Relationship Id="rId1259" Type="http://schemas.openxmlformats.org/officeDocument/2006/relationships/image" Target="media/image1252.jpeg"/><Relationship Id="rId1260" Type="http://schemas.openxmlformats.org/officeDocument/2006/relationships/image" Target="media/image1253.jpeg"/><Relationship Id="rId1261" Type="http://schemas.openxmlformats.org/officeDocument/2006/relationships/image" Target="media/image1254.jpeg"/><Relationship Id="rId1262" Type="http://schemas.openxmlformats.org/officeDocument/2006/relationships/image" Target="media/image1255.jpeg"/><Relationship Id="rId1263" Type="http://schemas.openxmlformats.org/officeDocument/2006/relationships/image" Target="media/image1256.jpeg"/><Relationship Id="rId1264" Type="http://schemas.openxmlformats.org/officeDocument/2006/relationships/image" Target="media/image1257.jpeg"/><Relationship Id="rId1265" Type="http://schemas.openxmlformats.org/officeDocument/2006/relationships/image" Target="media/image1258.jpeg"/><Relationship Id="rId1266" Type="http://schemas.openxmlformats.org/officeDocument/2006/relationships/image" Target="media/image1259.jpeg"/><Relationship Id="rId1267" Type="http://schemas.openxmlformats.org/officeDocument/2006/relationships/image" Target="media/image1260.jpeg"/><Relationship Id="rId1268" Type="http://schemas.openxmlformats.org/officeDocument/2006/relationships/image" Target="media/image1261.jpeg"/><Relationship Id="rId1269" Type="http://schemas.openxmlformats.org/officeDocument/2006/relationships/image" Target="media/image1262.jpeg"/><Relationship Id="rId1270" Type="http://schemas.openxmlformats.org/officeDocument/2006/relationships/image" Target="media/image1263.jpeg"/><Relationship Id="rId1271" Type="http://schemas.openxmlformats.org/officeDocument/2006/relationships/image" Target="media/image1264.jpeg"/><Relationship Id="rId1272" Type="http://schemas.openxmlformats.org/officeDocument/2006/relationships/image" Target="media/image1265.jpeg"/><Relationship Id="rId1273" Type="http://schemas.openxmlformats.org/officeDocument/2006/relationships/image" Target="media/image1266.jpeg"/><Relationship Id="rId1274" Type="http://schemas.openxmlformats.org/officeDocument/2006/relationships/image" Target="media/image1267.jpeg"/><Relationship Id="rId1275" Type="http://schemas.openxmlformats.org/officeDocument/2006/relationships/image" Target="media/image1268.jpeg"/><Relationship Id="rId1276" Type="http://schemas.openxmlformats.org/officeDocument/2006/relationships/image" Target="media/image1269.jpeg"/><Relationship Id="rId1277" Type="http://schemas.openxmlformats.org/officeDocument/2006/relationships/image" Target="media/image1270.jpeg"/><Relationship Id="rId1278" Type="http://schemas.openxmlformats.org/officeDocument/2006/relationships/image" Target="media/image1271.jpeg"/><Relationship Id="rId1279" Type="http://schemas.openxmlformats.org/officeDocument/2006/relationships/image" Target="media/image1272.jpeg"/><Relationship Id="rId1280" Type="http://schemas.openxmlformats.org/officeDocument/2006/relationships/image" Target="media/image1273.jpeg"/><Relationship Id="rId1281" Type="http://schemas.openxmlformats.org/officeDocument/2006/relationships/image" Target="media/image1274.jpeg"/><Relationship Id="rId1282" Type="http://schemas.openxmlformats.org/officeDocument/2006/relationships/image" Target="media/image1275.jpeg"/><Relationship Id="rId1283" Type="http://schemas.openxmlformats.org/officeDocument/2006/relationships/image" Target="media/image1276.jpeg"/><Relationship Id="rId1284" Type="http://schemas.openxmlformats.org/officeDocument/2006/relationships/image" Target="media/image1277.jpeg"/><Relationship Id="rId1285" Type="http://schemas.openxmlformats.org/officeDocument/2006/relationships/image" Target="media/image1278.jpeg"/><Relationship Id="rId1286" Type="http://schemas.openxmlformats.org/officeDocument/2006/relationships/image" Target="media/image1279.jpeg"/><Relationship Id="rId1287" Type="http://schemas.openxmlformats.org/officeDocument/2006/relationships/image" Target="media/image1280.jpeg"/><Relationship Id="rId1288" Type="http://schemas.openxmlformats.org/officeDocument/2006/relationships/image" Target="media/image1281.jpeg"/><Relationship Id="rId1289" Type="http://schemas.openxmlformats.org/officeDocument/2006/relationships/image" Target="media/image1282.jpeg"/><Relationship Id="rId1290" Type="http://schemas.openxmlformats.org/officeDocument/2006/relationships/image" Target="media/image1283.jpeg"/><Relationship Id="rId1291" Type="http://schemas.openxmlformats.org/officeDocument/2006/relationships/image" Target="media/image1284.jpeg"/><Relationship Id="rId1292" Type="http://schemas.openxmlformats.org/officeDocument/2006/relationships/image" Target="media/image1285.jpeg"/><Relationship Id="rId1293" Type="http://schemas.openxmlformats.org/officeDocument/2006/relationships/image" Target="media/image1286.jpeg"/><Relationship Id="rId1294" Type="http://schemas.openxmlformats.org/officeDocument/2006/relationships/image" Target="media/image1287.jpeg"/><Relationship Id="rId1295" Type="http://schemas.openxmlformats.org/officeDocument/2006/relationships/image" Target="media/image1288.jpeg"/><Relationship Id="rId1296" Type="http://schemas.openxmlformats.org/officeDocument/2006/relationships/image" Target="media/image1289.jpeg"/><Relationship Id="rId1297" Type="http://schemas.openxmlformats.org/officeDocument/2006/relationships/image" Target="media/image1290.jpeg"/><Relationship Id="rId1298" Type="http://schemas.openxmlformats.org/officeDocument/2006/relationships/image" Target="media/image1291.jpeg"/><Relationship Id="rId1299" Type="http://schemas.openxmlformats.org/officeDocument/2006/relationships/image" Target="media/image1292.jpeg"/><Relationship Id="rId1300" Type="http://schemas.openxmlformats.org/officeDocument/2006/relationships/image" Target="media/image1293.jpeg"/><Relationship Id="rId1301" Type="http://schemas.openxmlformats.org/officeDocument/2006/relationships/image" Target="media/image1294.jpeg"/><Relationship Id="rId1302" Type="http://schemas.openxmlformats.org/officeDocument/2006/relationships/image" Target="media/image1295.jpeg"/><Relationship Id="rId1303" Type="http://schemas.openxmlformats.org/officeDocument/2006/relationships/image" Target="media/image1296.jpeg"/><Relationship Id="rId1304" Type="http://schemas.openxmlformats.org/officeDocument/2006/relationships/image" Target="media/image1297.jpeg"/><Relationship Id="rId1305" Type="http://schemas.openxmlformats.org/officeDocument/2006/relationships/image" Target="media/image1298.jpeg"/><Relationship Id="rId1306" Type="http://schemas.openxmlformats.org/officeDocument/2006/relationships/image" Target="media/image1299.jpeg"/><Relationship Id="rId1307" Type="http://schemas.openxmlformats.org/officeDocument/2006/relationships/image" Target="media/image1300.jpeg"/><Relationship Id="rId1308" Type="http://schemas.openxmlformats.org/officeDocument/2006/relationships/image" Target="media/image1301.jpeg"/><Relationship Id="rId1309" Type="http://schemas.openxmlformats.org/officeDocument/2006/relationships/image" Target="media/image1302.jpeg"/><Relationship Id="rId1310" Type="http://schemas.openxmlformats.org/officeDocument/2006/relationships/image" Target="media/image1303.jpeg"/><Relationship Id="rId1311" Type="http://schemas.openxmlformats.org/officeDocument/2006/relationships/image" Target="media/image1304.jpeg"/><Relationship Id="rId1312" Type="http://schemas.openxmlformats.org/officeDocument/2006/relationships/image" Target="media/image1305.jpeg"/><Relationship Id="rId1313" Type="http://schemas.openxmlformats.org/officeDocument/2006/relationships/image" Target="media/image1306.jpeg"/><Relationship Id="rId1314" Type="http://schemas.openxmlformats.org/officeDocument/2006/relationships/image" Target="media/image1307.jpeg"/><Relationship Id="rId1315" Type="http://schemas.openxmlformats.org/officeDocument/2006/relationships/image" Target="media/image1308.jpeg"/><Relationship Id="rId1316" Type="http://schemas.openxmlformats.org/officeDocument/2006/relationships/image" Target="media/image1309.jpeg"/><Relationship Id="rId1317" Type="http://schemas.openxmlformats.org/officeDocument/2006/relationships/image" Target="media/image1310.jpeg"/><Relationship Id="rId1318" Type="http://schemas.openxmlformats.org/officeDocument/2006/relationships/image" Target="media/image1311.jpeg"/><Relationship Id="rId1319" Type="http://schemas.openxmlformats.org/officeDocument/2006/relationships/image" Target="media/image1312.jpeg"/><Relationship Id="rId1320" Type="http://schemas.openxmlformats.org/officeDocument/2006/relationships/image" Target="media/image1313.jpeg"/><Relationship Id="rId1321" Type="http://schemas.openxmlformats.org/officeDocument/2006/relationships/image" Target="media/image1314.jpeg"/><Relationship Id="rId1322" Type="http://schemas.openxmlformats.org/officeDocument/2006/relationships/image" Target="media/image1315.jpeg"/><Relationship Id="rId1323" Type="http://schemas.openxmlformats.org/officeDocument/2006/relationships/image" Target="media/image1316.jpeg"/><Relationship Id="rId1324" Type="http://schemas.openxmlformats.org/officeDocument/2006/relationships/image" Target="media/image1317.jpeg"/><Relationship Id="rId1325" Type="http://schemas.openxmlformats.org/officeDocument/2006/relationships/image" Target="media/image1318.jpeg"/><Relationship Id="rId1326" Type="http://schemas.openxmlformats.org/officeDocument/2006/relationships/image" Target="media/image1319.jpeg"/><Relationship Id="rId1327" Type="http://schemas.openxmlformats.org/officeDocument/2006/relationships/image" Target="media/image1320.jpeg"/><Relationship Id="rId1328" Type="http://schemas.openxmlformats.org/officeDocument/2006/relationships/image" Target="media/image1321.jpeg"/><Relationship Id="rId1329" Type="http://schemas.openxmlformats.org/officeDocument/2006/relationships/image" Target="media/image1322.jpeg"/><Relationship Id="rId1330" Type="http://schemas.openxmlformats.org/officeDocument/2006/relationships/image" Target="media/image1323.jpeg"/><Relationship Id="rId1331" Type="http://schemas.openxmlformats.org/officeDocument/2006/relationships/image" Target="media/image1324.jpeg"/><Relationship Id="rId1332" Type="http://schemas.openxmlformats.org/officeDocument/2006/relationships/image" Target="media/image1325.jpeg"/><Relationship Id="rId1333" Type="http://schemas.openxmlformats.org/officeDocument/2006/relationships/image" Target="media/image1326.jpeg"/><Relationship Id="rId1334" Type="http://schemas.openxmlformats.org/officeDocument/2006/relationships/image" Target="media/image1327.jpeg"/><Relationship Id="rId1335" Type="http://schemas.openxmlformats.org/officeDocument/2006/relationships/image" Target="media/image1328.jpeg"/><Relationship Id="rId1336" Type="http://schemas.openxmlformats.org/officeDocument/2006/relationships/image" Target="media/image1329.jpe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jpeg"/><Relationship Id="rId1340" Type="http://schemas.openxmlformats.org/officeDocument/2006/relationships/image" Target="media/image1333.jpeg"/><Relationship Id="rId1341" Type="http://schemas.openxmlformats.org/officeDocument/2006/relationships/image" Target="media/image1334.jpeg"/><Relationship Id="rId1342" Type="http://schemas.openxmlformats.org/officeDocument/2006/relationships/image" Target="media/image1335.jpeg"/><Relationship Id="rId1343" Type="http://schemas.openxmlformats.org/officeDocument/2006/relationships/image" Target="media/image1336.jpeg"/><Relationship Id="rId1344" Type="http://schemas.openxmlformats.org/officeDocument/2006/relationships/image" Target="media/image1337.jpeg"/><Relationship Id="rId1345" Type="http://schemas.openxmlformats.org/officeDocument/2006/relationships/image" Target="media/image1338.jpeg"/><Relationship Id="rId1346" Type="http://schemas.openxmlformats.org/officeDocument/2006/relationships/image" Target="media/image1339.jpeg"/><Relationship Id="rId1347" Type="http://schemas.openxmlformats.org/officeDocument/2006/relationships/image" Target="media/image1340.jpeg"/><Relationship Id="rId1348" Type="http://schemas.openxmlformats.org/officeDocument/2006/relationships/image" Target="media/image1341.jpeg"/><Relationship Id="rId1349" Type="http://schemas.openxmlformats.org/officeDocument/2006/relationships/image" Target="media/image1342.jpeg"/><Relationship Id="rId1350" Type="http://schemas.openxmlformats.org/officeDocument/2006/relationships/image" Target="media/image1343.jpeg"/><Relationship Id="rId1351" Type="http://schemas.openxmlformats.org/officeDocument/2006/relationships/image" Target="media/image1344.jpeg"/><Relationship Id="rId1352" Type="http://schemas.openxmlformats.org/officeDocument/2006/relationships/image" Target="media/image1345.jpeg"/><Relationship Id="rId1353" Type="http://schemas.openxmlformats.org/officeDocument/2006/relationships/image" Target="media/image1346.jpeg"/><Relationship Id="rId1354" Type="http://schemas.openxmlformats.org/officeDocument/2006/relationships/image" Target="media/image1347.jpeg"/><Relationship Id="rId1355" Type="http://schemas.openxmlformats.org/officeDocument/2006/relationships/image" Target="media/image1348.jpeg"/><Relationship Id="rId1356" Type="http://schemas.openxmlformats.org/officeDocument/2006/relationships/image" Target="media/image1349.jpeg"/><Relationship Id="rId1357" Type="http://schemas.openxmlformats.org/officeDocument/2006/relationships/image" Target="media/image1350.jpeg"/><Relationship Id="rId1358" Type="http://schemas.openxmlformats.org/officeDocument/2006/relationships/image" Target="media/image1351.jpeg"/><Relationship Id="rId1359" Type="http://schemas.openxmlformats.org/officeDocument/2006/relationships/image" Target="media/image1352.jpeg"/><Relationship Id="rId1360" Type="http://schemas.openxmlformats.org/officeDocument/2006/relationships/image" Target="media/image1353.jpeg"/><Relationship Id="rId1361" Type="http://schemas.openxmlformats.org/officeDocument/2006/relationships/image" Target="media/image1354.jpeg"/><Relationship Id="rId1362" Type="http://schemas.openxmlformats.org/officeDocument/2006/relationships/image" Target="media/image1355.jpeg"/><Relationship Id="rId1363" Type="http://schemas.openxmlformats.org/officeDocument/2006/relationships/image" Target="media/image1356.jpeg"/><Relationship Id="rId1364" Type="http://schemas.openxmlformats.org/officeDocument/2006/relationships/image" Target="media/image1357.jpeg"/><Relationship Id="rId1365" Type="http://schemas.openxmlformats.org/officeDocument/2006/relationships/image" Target="media/image1358.jpeg"/><Relationship Id="rId1366" Type="http://schemas.openxmlformats.org/officeDocument/2006/relationships/image" Target="media/image1359.jpeg"/><Relationship Id="rId1367" Type="http://schemas.openxmlformats.org/officeDocument/2006/relationships/image" Target="media/image1360.jpeg"/><Relationship Id="rId1368" Type="http://schemas.openxmlformats.org/officeDocument/2006/relationships/image" Target="media/image1361.jpeg"/><Relationship Id="rId1369" Type="http://schemas.openxmlformats.org/officeDocument/2006/relationships/image" Target="media/image1362.jpeg"/><Relationship Id="rId1370" Type="http://schemas.openxmlformats.org/officeDocument/2006/relationships/image" Target="media/image1363.jpeg"/><Relationship Id="rId1371" Type="http://schemas.openxmlformats.org/officeDocument/2006/relationships/image" Target="media/image1364.jpeg"/><Relationship Id="rId1372" Type="http://schemas.openxmlformats.org/officeDocument/2006/relationships/image" Target="media/image1365.jpeg"/><Relationship Id="rId1373" Type="http://schemas.openxmlformats.org/officeDocument/2006/relationships/image" Target="media/image1366.jpeg"/><Relationship Id="rId1374" Type="http://schemas.openxmlformats.org/officeDocument/2006/relationships/image" Target="media/image1367.jpeg"/><Relationship Id="rId1375" Type="http://schemas.openxmlformats.org/officeDocument/2006/relationships/image" Target="media/image1368.jpeg"/><Relationship Id="rId1376" Type="http://schemas.openxmlformats.org/officeDocument/2006/relationships/image" Target="media/image1369.jpeg"/><Relationship Id="rId1377" Type="http://schemas.openxmlformats.org/officeDocument/2006/relationships/image" Target="media/image1370.jpeg"/><Relationship Id="rId1378" Type="http://schemas.openxmlformats.org/officeDocument/2006/relationships/image" Target="media/image1371.jpeg"/><Relationship Id="rId1379" Type="http://schemas.openxmlformats.org/officeDocument/2006/relationships/image" Target="media/image1372.jpeg"/><Relationship Id="rId1380" Type="http://schemas.openxmlformats.org/officeDocument/2006/relationships/image" Target="media/image1373.jpeg"/><Relationship Id="rId1381" Type="http://schemas.openxmlformats.org/officeDocument/2006/relationships/image" Target="media/image1374.jpeg"/><Relationship Id="rId1382" Type="http://schemas.openxmlformats.org/officeDocument/2006/relationships/image" Target="media/image1375.jpeg"/><Relationship Id="rId1383" Type="http://schemas.openxmlformats.org/officeDocument/2006/relationships/image" Target="media/image1376.jpeg"/><Relationship Id="rId1384" Type="http://schemas.openxmlformats.org/officeDocument/2006/relationships/image" Target="media/image1377.jpeg"/><Relationship Id="rId1385" Type="http://schemas.openxmlformats.org/officeDocument/2006/relationships/image" Target="media/image1378.jpeg"/><Relationship Id="rId1386" Type="http://schemas.openxmlformats.org/officeDocument/2006/relationships/image" Target="media/image1379.jpeg"/><Relationship Id="rId1387" Type="http://schemas.openxmlformats.org/officeDocument/2006/relationships/image" Target="media/image1380.jpeg"/><Relationship Id="rId1388" Type="http://schemas.openxmlformats.org/officeDocument/2006/relationships/image" Target="media/image1381.jpeg"/><Relationship Id="rId1389" Type="http://schemas.openxmlformats.org/officeDocument/2006/relationships/image" Target="media/image1382.jpeg"/><Relationship Id="rId1390" Type="http://schemas.openxmlformats.org/officeDocument/2006/relationships/image" Target="media/image1383.jpeg"/><Relationship Id="rId1391" Type="http://schemas.openxmlformats.org/officeDocument/2006/relationships/image" Target="media/image1384.jpeg"/><Relationship Id="rId1392" Type="http://schemas.openxmlformats.org/officeDocument/2006/relationships/image" Target="media/image1385.jpeg"/><Relationship Id="rId1393" Type="http://schemas.openxmlformats.org/officeDocument/2006/relationships/image" Target="media/image1386.jpeg"/><Relationship Id="rId1394" Type="http://schemas.openxmlformats.org/officeDocument/2006/relationships/image" Target="media/image1387.jpeg"/><Relationship Id="rId1395" Type="http://schemas.openxmlformats.org/officeDocument/2006/relationships/image" Target="media/image1388.jpeg"/><Relationship Id="rId1396" Type="http://schemas.openxmlformats.org/officeDocument/2006/relationships/image" Target="media/image1389.jpeg"/><Relationship Id="rId1397" Type="http://schemas.openxmlformats.org/officeDocument/2006/relationships/image" Target="media/image1390.jpeg"/><Relationship Id="rId1398" Type="http://schemas.openxmlformats.org/officeDocument/2006/relationships/image" Target="media/image1391.jpeg"/><Relationship Id="rId1399" Type="http://schemas.openxmlformats.org/officeDocument/2006/relationships/image" Target="media/image1392.jpeg"/><Relationship Id="rId1400" Type="http://schemas.openxmlformats.org/officeDocument/2006/relationships/image" Target="media/image1393.jpeg"/><Relationship Id="rId1401" Type="http://schemas.openxmlformats.org/officeDocument/2006/relationships/image" Target="media/image1394.jpeg"/><Relationship Id="rId1402" Type="http://schemas.openxmlformats.org/officeDocument/2006/relationships/image" Target="media/image1395.jpeg"/><Relationship Id="rId1403" Type="http://schemas.openxmlformats.org/officeDocument/2006/relationships/image" Target="media/image1396.jpeg"/><Relationship Id="rId1404" Type="http://schemas.openxmlformats.org/officeDocument/2006/relationships/image" Target="media/image1397.jpeg"/><Relationship Id="rId1405" Type="http://schemas.openxmlformats.org/officeDocument/2006/relationships/image" Target="media/image1398.jpeg"/><Relationship Id="rId1406" Type="http://schemas.openxmlformats.org/officeDocument/2006/relationships/image" Target="media/image1399.jpeg"/><Relationship Id="rId1407" Type="http://schemas.openxmlformats.org/officeDocument/2006/relationships/image" Target="media/image1400.jpeg"/><Relationship Id="rId1408" Type="http://schemas.openxmlformats.org/officeDocument/2006/relationships/image" Target="media/image1401.jpeg"/><Relationship Id="rId1409" Type="http://schemas.openxmlformats.org/officeDocument/2006/relationships/image" Target="media/image1402.jpeg"/><Relationship Id="rId1410" Type="http://schemas.openxmlformats.org/officeDocument/2006/relationships/image" Target="media/image1403.jpeg"/><Relationship Id="rId1411" Type="http://schemas.openxmlformats.org/officeDocument/2006/relationships/image" Target="media/image1404.jpeg"/><Relationship Id="rId1412" Type="http://schemas.openxmlformats.org/officeDocument/2006/relationships/image" Target="media/image1405.jpeg"/><Relationship Id="rId1413" Type="http://schemas.openxmlformats.org/officeDocument/2006/relationships/image" Target="media/image1406.jpeg"/><Relationship Id="rId1414" Type="http://schemas.openxmlformats.org/officeDocument/2006/relationships/image" Target="media/image1407.jpeg"/><Relationship Id="rId1415" Type="http://schemas.openxmlformats.org/officeDocument/2006/relationships/image" Target="media/image1408.jpeg"/><Relationship Id="rId1416" Type="http://schemas.openxmlformats.org/officeDocument/2006/relationships/image" Target="media/image1409.jpeg"/><Relationship Id="rId1417" Type="http://schemas.openxmlformats.org/officeDocument/2006/relationships/image" Target="media/image1410.jpeg"/><Relationship Id="rId1418" Type="http://schemas.openxmlformats.org/officeDocument/2006/relationships/image" Target="media/image1411.jpeg"/><Relationship Id="rId1419" Type="http://schemas.openxmlformats.org/officeDocument/2006/relationships/image" Target="media/image1412.jpeg"/><Relationship Id="rId1420" Type="http://schemas.openxmlformats.org/officeDocument/2006/relationships/image" Target="media/image1413.jpeg"/><Relationship Id="rId1421" Type="http://schemas.openxmlformats.org/officeDocument/2006/relationships/image" Target="media/image1414.jpeg"/><Relationship Id="rId1422" Type="http://schemas.openxmlformats.org/officeDocument/2006/relationships/image" Target="media/image1415.jpeg"/><Relationship Id="rId1423" Type="http://schemas.openxmlformats.org/officeDocument/2006/relationships/image" Target="media/image1416.jpeg"/><Relationship Id="rId1424" Type="http://schemas.openxmlformats.org/officeDocument/2006/relationships/image" Target="media/image1417.jpeg"/><Relationship Id="rId1425" Type="http://schemas.openxmlformats.org/officeDocument/2006/relationships/image" Target="media/image1418.jpeg"/><Relationship Id="rId1426" Type="http://schemas.openxmlformats.org/officeDocument/2006/relationships/image" Target="media/image1419.jpeg"/><Relationship Id="rId1427" Type="http://schemas.openxmlformats.org/officeDocument/2006/relationships/image" Target="media/image1420.jpeg"/><Relationship Id="rId1428" Type="http://schemas.openxmlformats.org/officeDocument/2006/relationships/image" Target="media/image1421.jpeg"/><Relationship Id="rId1429" Type="http://schemas.openxmlformats.org/officeDocument/2006/relationships/image" Target="media/image1422.jpeg"/><Relationship Id="rId1430" Type="http://schemas.openxmlformats.org/officeDocument/2006/relationships/image" Target="media/image1423.jpeg"/><Relationship Id="rId1431" Type="http://schemas.openxmlformats.org/officeDocument/2006/relationships/image" Target="media/image1424.jpeg"/><Relationship Id="rId1432" Type="http://schemas.openxmlformats.org/officeDocument/2006/relationships/image" Target="media/image1425.jpeg"/><Relationship Id="rId1433" Type="http://schemas.openxmlformats.org/officeDocument/2006/relationships/image" Target="media/image1426.jpeg"/><Relationship Id="rId1434" Type="http://schemas.openxmlformats.org/officeDocument/2006/relationships/image" Target="media/image1427.jpeg"/><Relationship Id="rId1435" Type="http://schemas.openxmlformats.org/officeDocument/2006/relationships/image" Target="media/image1428.jpeg"/><Relationship Id="rId1436" Type="http://schemas.openxmlformats.org/officeDocument/2006/relationships/image" Target="media/image1429.jpeg"/><Relationship Id="rId1437" Type="http://schemas.openxmlformats.org/officeDocument/2006/relationships/image" Target="media/image1430.jpeg"/><Relationship Id="rId1438" Type="http://schemas.openxmlformats.org/officeDocument/2006/relationships/image" Target="media/image1431.jpeg"/><Relationship Id="rId1439" Type="http://schemas.openxmlformats.org/officeDocument/2006/relationships/image" Target="media/image1432.jpeg"/><Relationship Id="rId1440" Type="http://schemas.openxmlformats.org/officeDocument/2006/relationships/image" Target="media/image1433.jpeg"/><Relationship Id="rId1441" Type="http://schemas.openxmlformats.org/officeDocument/2006/relationships/image" Target="media/image1434.jpeg"/><Relationship Id="rId1442" Type="http://schemas.openxmlformats.org/officeDocument/2006/relationships/image" Target="media/image1435.jpeg"/><Relationship Id="rId1443" Type="http://schemas.openxmlformats.org/officeDocument/2006/relationships/image" Target="media/image1436.jpeg"/><Relationship Id="rId1444" Type="http://schemas.openxmlformats.org/officeDocument/2006/relationships/image" Target="media/image1437.jpeg"/><Relationship Id="rId1445" Type="http://schemas.openxmlformats.org/officeDocument/2006/relationships/image" Target="media/image1438.jpeg"/><Relationship Id="rId1446" Type="http://schemas.openxmlformats.org/officeDocument/2006/relationships/image" Target="media/image1439.jpeg"/><Relationship Id="rId1447" Type="http://schemas.openxmlformats.org/officeDocument/2006/relationships/image" Target="media/image1440.jpeg"/><Relationship Id="rId1448" Type="http://schemas.openxmlformats.org/officeDocument/2006/relationships/image" Target="media/image1441.jpeg"/><Relationship Id="rId1449" Type="http://schemas.openxmlformats.org/officeDocument/2006/relationships/image" Target="media/image1442.jpeg"/><Relationship Id="rId1450" Type="http://schemas.openxmlformats.org/officeDocument/2006/relationships/image" Target="media/image1443.jpeg"/><Relationship Id="rId1451" Type="http://schemas.openxmlformats.org/officeDocument/2006/relationships/image" Target="media/image1444.jpeg"/><Relationship Id="rId1452" Type="http://schemas.openxmlformats.org/officeDocument/2006/relationships/image" Target="media/image1445.jpeg"/><Relationship Id="rId1453" Type="http://schemas.openxmlformats.org/officeDocument/2006/relationships/image" Target="media/image1446.jpeg"/><Relationship Id="rId1454" Type="http://schemas.openxmlformats.org/officeDocument/2006/relationships/image" Target="media/image1447.jpeg"/><Relationship Id="rId1455" Type="http://schemas.openxmlformats.org/officeDocument/2006/relationships/image" Target="media/image1448.jpeg"/><Relationship Id="rId1456" Type="http://schemas.openxmlformats.org/officeDocument/2006/relationships/image" Target="media/image1449.jpeg"/><Relationship Id="rId1457" Type="http://schemas.openxmlformats.org/officeDocument/2006/relationships/image" Target="media/image1450.jpeg"/><Relationship Id="rId1458" Type="http://schemas.openxmlformats.org/officeDocument/2006/relationships/image" Target="media/image1451.jpeg"/><Relationship Id="rId1459" Type="http://schemas.openxmlformats.org/officeDocument/2006/relationships/image" Target="media/image1452.jpeg"/><Relationship Id="rId1460" Type="http://schemas.openxmlformats.org/officeDocument/2006/relationships/image" Target="media/image1453.jpeg"/><Relationship Id="rId1461" Type="http://schemas.openxmlformats.org/officeDocument/2006/relationships/image" Target="media/image1454.jpeg"/><Relationship Id="rId1462" Type="http://schemas.openxmlformats.org/officeDocument/2006/relationships/image" Target="media/image1455.jpeg"/><Relationship Id="rId1463" Type="http://schemas.openxmlformats.org/officeDocument/2006/relationships/image" Target="media/image1456.jpeg"/><Relationship Id="rId1464" Type="http://schemas.openxmlformats.org/officeDocument/2006/relationships/image" Target="media/image1457.jpeg"/><Relationship Id="rId1465" Type="http://schemas.openxmlformats.org/officeDocument/2006/relationships/image" Target="media/image1458.jpeg"/><Relationship Id="rId1466" Type="http://schemas.openxmlformats.org/officeDocument/2006/relationships/image" Target="media/image1459.jpeg"/><Relationship Id="rId1467" Type="http://schemas.openxmlformats.org/officeDocument/2006/relationships/image" Target="media/image1460.jpeg"/><Relationship Id="rId1468" Type="http://schemas.openxmlformats.org/officeDocument/2006/relationships/image" Target="media/image1461.jpeg"/><Relationship Id="rId1469" Type="http://schemas.openxmlformats.org/officeDocument/2006/relationships/image" Target="media/image1462.jpeg"/><Relationship Id="rId1470" Type="http://schemas.openxmlformats.org/officeDocument/2006/relationships/image" Target="media/image1463.jpeg"/><Relationship Id="rId1471" Type="http://schemas.openxmlformats.org/officeDocument/2006/relationships/image" Target="media/image1464.jpeg"/><Relationship Id="rId1472" Type="http://schemas.openxmlformats.org/officeDocument/2006/relationships/image" Target="media/image1465.jpeg"/><Relationship Id="rId1473" Type="http://schemas.openxmlformats.org/officeDocument/2006/relationships/image" Target="media/image1466.jpeg"/><Relationship Id="rId1474" Type="http://schemas.openxmlformats.org/officeDocument/2006/relationships/image" Target="media/image1467.jpeg"/><Relationship Id="rId1475" Type="http://schemas.openxmlformats.org/officeDocument/2006/relationships/image" Target="media/image1468.jpeg"/><Relationship Id="rId1476" Type="http://schemas.openxmlformats.org/officeDocument/2006/relationships/image" Target="media/image1469.jpeg"/><Relationship Id="rId1477" Type="http://schemas.openxmlformats.org/officeDocument/2006/relationships/image" Target="media/image1470.jpeg"/><Relationship Id="rId1478" Type="http://schemas.openxmlformats.org/officeDocument/2006/relationships/image" Target="media/image1471.jpeg"/><Relationship Id="rId1479" Type="http://schemas.openxmlformats.org/officeDocument/2006/relationships/image" Target="media/image1472.jpeg"/><Relationship Id="rId1480" Type="http://schemas.openxmlformats.org/officeDocument/2006/relationships/image" Target="media/image1473.jpeg"/><Relationship Id="rId1481" Type="http://schemas.openxmlformats.org/officeDocument/2006/relationships/image" Target="media/image1474.jpeg"/><Relationship Id="rId1482" Type="http://schemas.openxmlformats.org/officeDocument/2006/relationships/image" Target="media/image1475.jpeg"/><Relationship Id="rId1483" Type="http://schemas.openxmlformats.org/officeDocument/2006/relationships/image" Target="media/image1476.jpeg"/><Relationship Id="rId1484" Type="http://schemas.openxmlformats.org/officeDocument/2006/relationships/image" Target="media/image1477.jpeg"/><Relationship Id="rId1485" Type="http://schemas.openxmlformats.org/officeDocument/2006/relationships/image" Target="media/image1478.jpeg"/><Relationship Id="rId1486" Type="http://schemas.openxmlformats.org/officeDocument/2006/relationships/image" Target="media/image1479.jpeg"/><Relationship Id="rId1487" Type="http://schemas.openxmlformats.org/officeDocument/2006/relationships/image" Target="media/image1480.jpe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jpe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jpeg"/><Relationship Id="rId1504" Type="http://schemas.openxmlformats.org/officeDocument/2006/relationships/image" Target="media/image1497.png"/><Relationship Id="rId1505" Type="http://schemas.openxmlformats.org/officeDocument/2006/relationships/image" Target="media/image1498.jpeg"/><Relationship Id="rId1506" Type="http://schemas.openxmlformats.org/officeDocument/2006/relationships/image" Target="media/image1499.jpeg"/><Relationship Id="rId1507" Type="http://schemas.openxmlformats.org/officeDocument/2006/relationships/image" Target="media/image1500.jpeg"/><Relationship Id="rId1508" Type="http://schemas.openxmlformats.org/officeDocument/2006/relationships/image" Target="media/image1501.jpe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jpe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jpe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jpeg"/><Relationship Id="rId1541" Type="http://schemas.openxmlformats.org/officeDocument/2006/relationships/image" Target="media/image1534.jpeg"/><Relationship Id="rId1542" Type="http://schemas.openxmlformats.org/officeDocument/2006/relationships/image" Target="media/image1535.jpeg"/><Relationship Id="rId1543" Type="http://schemas.openxmlformats.org/officeDocument/2006/relationships/image" Target="media/image1536.jpeg"/><Relationship Id="rId1544" Type="http://schemas.openxmlformats.org/officeDocument/2006/relationships/image" Target="media/image1537.jpeg"/><Relationship Id="rId1545" Type="http://schemas.openxmlformats.org/officeDocument/2006/relationships/image" Target="media/image1538.jpeg"/><Relationship Id="rId1546" Type="http://schemas.openxmlformats.org/officeDocument/2006/relationships/image" Target="media/image1539.jpeg"/><Relationship Id="rId1547" Type="http://schemas.openxmlformats.org/officeDocument/2006/relationships/image" Target="media/image1540.jpeg"/><Relationship Id="rId1548" Type="http://schemas.openxmlformats.org/officeDocument/2006/relationships/image" Target="media/image1541.jpeg"/><Relationship Id="rId1549" Type="http://schemas.openxmlformats.org/officeDocument/2006/relationships/image" Target="media/image1542.jpeg"/><Relationship Id="rId1550" Type="http://schemas.openxmlformats.org/officeDocument/2006/relationships/image" Target="media/image1543.jpeg"/><Relationship Id="rId1551" Type="http://schemas.openxmlformats.org/officeDocument/2006/relationships/image" Target="media/image1544.jpeg"/><Relationship Id="rId1552" Type="http://schemas.openxmlformats.org/officeDocument/2006/relationships/image" Target="media/image1545.jpeg"/><Relationship Id="rId1553" Type="http://schemas.openxmlformats.org/officeDocument/2006/relationships/image" Target="media/image1546.jpeg"/><Relationship Id="rId1554" Type="http://schemas.openxmlformats.org/officeDocument/2006/relationships/image" Target="media/image1547.png"/><Relationship Id="rId1555" Type="http://schemas.openxmlformats.org/officeDocument/2006/relationships/image" Target="media/image1548.jpeg"/><Relationship Id="rId1556" Type="http://schemas.openxmlformats.org/officeDocument/2006/relationships/image" Target="media/image1549.jpeg"/><Relationship Id="rId1557" Type="http://schemas.openxmlformats.org/officeDocument/2006/relationships/image" Target="media/image1550.jpeg"/><Relationship Id="rId1558" Type="http://schemas.openxmlformats.org/officeDocument/2006/relationships/image" Target="media/image1551.jpeg"/><Relationship Id="rId1559" Type="http://schemas.openxmlformats.org/officeDocument/2006/relationships/image" Target="media/image1552.jpeg"/><Relationship Id="rId1560" Type="http://schemas.openxmlformats.org/officeDocument/2006/relationships/image" Target="media/image1553.jpeg"/><Relationship Id="rId1561" Type="http://schemas.openxmlformats.org/officeDocument/2006/relationships/image" Target="media/image1554.jpeg"/><Relationship Id="rId1562" Type="http://schemas.openxmlformats.org/officeDocument/2006/relationships/image" Target="media/image1555.jpeg"/><Relationship Id="rId1563" Type="http://schemas.openxmlformats.org/officeDocument/2006/relationships/image" Target="media/image1556.jpeg"/><Relationship Id="rId1564" Type="http://schemas.openxmlformats.org/officeDocument/2006/relationships/image" Target="media/image1557.jpeg"/><Relationship Id="rId1565" Type="http://schemas.openxmlformats.org/officeDocument/2006/relationships/image" Target="media/image1558.jpeg"/><Relationship Id="rId1566" Type="http://schemas.openxmlformats.org/officeDocument/2006/relationships/image" Target="media/image1559.jpeg"/><Relationship Id="rId1567" Type="http://schemas.openxmlformats.org/officeDocument/2006/relationships/image" Target="media/image1560.jpe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jpeg"/><Relationship Id="rId1577" Type="http://schemas.openxmlformats.org/officeDocument/2006/relationships/image" Target="media/image1570.jpeg"/><Relationship Id="rId1578" Type="http://schemas.openxmlformats.org/officeDocument/2006/relationships/image" Target="media/image1571.jpeg"/><Relationship Id="rId1579" Type="http://schemas.openxmlformats.org/officeDocument/2006/relationships/image" Target="media/image1572.jpeg"/><Relationship Id="rId1580" Type="http://schemas.openxmlformats.org/officeDocument/2006/relationships/image" Target="media/image1573.jpeg"/><Relationship Id="rId1581" Type="http://schemas.openxmlformats.org/officeDocument/2006/relationships/image" Target="media/image1574.jpeg"/><Relationship Id="rId1582" Type="http://schemas.openxmlformats.org/officeDocument/2006/relationships/image" Target="media/image1575.jpeg"/><Relationship Id="rId1583" Type="http://schemas.openxmlformats.org/officeDocument/2006/relationships/image" Target="media/image1576.jpeg"/><Relationship Id="rId1584" Type="http://schemas.openxmlformats.org/officeDocument/2006/relationships/image" Target="media/image1577.jpeg"/><Relationship Id="rId1585" Type="http://schemas.openxmlformats.org/officeDocument/2006/relationships/image" Target="media/image1578.jpeg"/><Relationship Id="rId1586" Type="http://schemas.openxmlformats.org/officeDocument/2006/relationships/image" Target="media/image1579.jpeg"/><Relationship Id="rId1587" Type="http://schemas.openxmlformats.org/officeDocument/2006/relationships/image" Target="media/image1580.jpeg"/><Relationship Id="rId1588" Type="http://schemas.openxmlformats.org/officeDocument/2006/relationships/image" Target="media/image1581.jpeg"/><Relationship Id="rId1589" Type="http://schemas.openxmlformats.org/officeDocument/2006/relationships/image" Target="media/image1582.jpeg"/><Relationship Id="rId1590" Type="http://schemas.openxmlformats.org/officeDocument/2006/relationships/image" Target="media/image1583.jpe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jpeg"/><Relationship Id="rId1595" Type="http://schemas.openxmlformats.org/officeDocument/2006/relationships/image" Target="media/image1588.png"/><Relationship Id="rId1596" Type="http://schemas.openxmlformats.org/officeDocument/2006/relationships/image" Target="media/image1589.jpeg"/><Relationship Id="rId1597" Type="http://schemas.openxmlformats.org/officeDocument/2006/relationships/image" Target="media/image1590.jpeg"/><Relationship Id="rId1598" Type="http://schemas.openxmlformats.org/officeDocument/2006/relationships/image" Target="media/image1591.png"/><Relationship Id="rId1599" Type="http://schemas.openxmlformats.org/officeDocument/2006/relationships/image" Target="media/image1592.jpeg"/><Relationship Id="rId1600" Type="http://schemas.openxmlformats.org/officeDocument/2006/relationships/image" Target="media/image1593.jpe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jpeg"/><Relationship Id="rId1604" Type="http://schemas.openxmlformats.org/officeDocument/2006/relationships/image" Target="media/image1597.jpeg"/><Relationship Id="rId1605" Type="http://schemas.openxmlformats.org/officeDocument/2006/relationships/image" Target="media/image1598.jpeg"/><Relationship Id="rId1606" Type="http://schemas.openxmlformats.org/officeDocument/2006/relationships/image" Target="media/image1599.jpeg"/><Relationship Id="rId1607" Type="http://schemas.openxmlformats.org/officeDocument/2006/relationships/image" Target="media/image1600.jpeg"/><Relationship Id="rId1608" Type="http://schemas.openxmlformats.org/officeDocument/2006/relationships/image" Target="media/image1601.jpeg"/><Relationship Id="rId1609" Type="http://schemas.openxmlformats.org/officeDocument/2006/relationships/image" Target="media/image1602.jpeg"/><Relationship Id="rId1610" Type="http://schemas.openxmlformats.org/officeDocument/2006/relationships/image" Target="media/image1603.png"/><Relationship Id="rId1611" Type="http://schemas.openxmlformats.org/officeDocument/2006/relationships/image" Target="media/image1604.jpeg"/><Relationship Id="rId1612" Type="http://schemas.openxmlformats.org/officeDocument/2006/relationships/image" Target="media/image1605.png"/><Relationship Id="rId1613" Type="http://schemas.openxmlformats.org/officeDocument/2006/relationships/image" Target="media/image1606.jpeg"/><Relationship Id="rId1614" Type="http://schemas.openxmlformats.org/officeDocument/2006/relationships/image" Target="media/image1607.png"/><Relationship Id="rId1615" Type="http://schemas.openxmlformats.org/officeDocument/2006/relationships/image" Target="media/image1608.jpe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jpeg"/><Relationship Id="rId1624" Type="http://schemas.openxmlformats.org/officeDocument/2006/relationships/image" Target="media/image1617.jpeg"/><Relationship Id="rId1625" Type="http://schemas.openxmlformats.org/officeDocument/2006/relationships/image" Target="media/image1618.jpeg"/><Relationship Id="rId1626" Type="http://schemas.openxmlformats.org/officeDocument/2006/relationships/image" Target="media/image1619.jpeg"/><Relationship Id="rId1627" Type="http://schemas.openxmlformats.org/officeDocument/2006/relationships/image" Target="media/image1620.jpeg"/><Relationship Id="rId1628" Type="http://schemas.openxmlformats.org/officeDocument/2006/relationships/image" Target="media/image1621.jpeg"/><Relationship Id="rId1629" Type="http://schemas.openxmlformats.org/officeDocument/2006/relationships/image" Target="media/image1622.jpeg"/><Relationship Id="rId1630" Type="http://schemas.openxmlformats.org/officeDocument/2006/relationships/image" Target="media/image1623.jpeg"/><Relationship Id="rId1631" Type="http://schemas.openxmlformats.org/officeDocument/2006/relationships/image" Target="media/image1624.jpeg"/><Relationship Id="rId1632" Type="http://schemas.openxmlformats.org/officeDocument/2006/relationships/image" Target="media/image1625.jpeg"/><Relationship Id="rId1633" Type="http://schemas.openxmlformats.org/officeDocument/2006/relationships/image" Target="media/image1626.jpeg"/><Relationship Id="rId1634" Type="http://schemas.openxmlformats.org/officeDocument/2006/relationships/image" Target="media/image1627.jpeg"/><Relationship Id="rId1635" Type="http://schemas.openxmlformats.org/officeDocument/2006/relationships/image" Target="media/image1628.jpeg"/><Relationship Id="rId1636" Type="http://schemas.openxmlformats.org/officeDocument/2006/relationships/image" Target="media/image1629.jpeg"/><Relationship Id="rId1637" Type="http://schemas.openxmlformats.org/officeDocument/2006/relationships/image" Target="media/image1630.jpeg"/><Relationship Id="rId1638" Type="http://schemas.openxmlformats.org/officeDocument/2006/relationships/image" Target="media/image1631.jpeg"/><Relationship Id="rId1639" Type="http://schemas.openxmlformats.org/officeDocument/2006/relationships/image" Target="media/image1632.jpeg"/><Relationship Id="rId1640" Type="http://schemas.openxmlformats.org/officeDocument/2006/relationships/image" Target="media/image1633.png"/><Relationship Id="rId1641" Type="http://schemas.openxmlformats.org/officeDocument/2006/relationships/image" Target="media/image1634.jpeg"/><Relationship Id="rId1642" Type="http://schemas.openxmlformats.org/officeDocument/2006/relationships/image" Target="media/image1635.jpeg"/><Relationship Id="rId1643" Type="http://schemas.openxmlformats.org/officeDocument/2006/relationships/image" Target="media/image1636.jpeg"/><Relationship Id="rId1644" Type="http://schemas.openxmlformats.org/officeDocument/2006/relationships/image" Target="media/image1637.jpeg"/><Relationship Id="rId1645" Type="http://schemas.openxmlformats.org/officeDocument/2006/relationships/image" Target="media/image1638.jpe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jpeg"/><Relationship Id="rId1650" Type="http://schemas.openxmlformats.org/officeDocument/2006/relationships/image" Target="media/image1643.jpeg"/><Relationship Id="rId1651" Type="http://schemas.openxmlformats.org/officeDocument/2006/relationships/image" Target="media/image1644.jpeg"/><Relationship Id="rId1652" Type="http://schemas.openxmlformats.org/officeDocument/2006/relationships/image" Target="media/image1645.jpeg"/><Relationship Id="rId1653" Type="http://schemas.openxmlformats.org/officeDocument/2006/relationships/image" Target="media/image1646.jpeg"/><Relationship Id="rId1654" Type="http://schemas.openxmlformats.org/officeDocument/2006/relationships/image" Target="media/image1647.jpeg"/><Relationship Id="rId1655" Type="http://schemas.openxmlformats.org/officeDocument/2006/relationships/image" Target="media/image1648.jpeg"/><Relationship Id="rId1656" Type="http://schemas.openxmlformats.org/officeDocument/2006/relationships/image" Target="media/image1649.jpeg"/><Relationship Id="rId1657" Type="http://schemas.openxmlformats.org/officeDocument/2006/relationships/image" Target="media/image1650.jpeg"/><Relationship Id="rId1658" Type="http://schemas.openxmlformats.org/officeDocument/2006/relationships/image" Target="media/image1651.jpeg"/><Relationship Id="rId1659" Type="http://schemas.openxmlformats.org/officeDocument/2006/relationships/image" Target="media/image1652.jpeg"/><Relationship Id="rId1660" Type="http://schemas.openxmlformats.org/officeDocument/2006/relationships/image" Target="media/image1653.jpeg"/><Relationship Id="rId1661" Type="http://schemas.openxmlformats.org/officeDocument/2006/relationships/image" Target="media/image1654.jpeg"/><Relationship Id="rId1662" Type="http://schemas.openxmlformats.org/officeDocument/2006/relationships/image" Target="media/image1655.jpeg"/><Relationship Id="rId1663" Type="http://schemas.openxmlformats.org/officeDocument/2006/relationships/image" Target="media/image1656.jpeg"/><Relationship Id="rId1664" Type="http://schemas.openxmlformats.org/officeDocument/2006/relationships/image" Target="media/image1657.jpeg"/><Relationship Id="rId1665" Type="http://schemas.openxmlformats.org/officeDocument/2006/relationships/image" Target="media/image1658.jpe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jpeg"/><Relationship Id="rId1669" Type="http://schemas.openxmlformats.org/officeDocument/2006/relationships/image" Target="media/image1662.jpeg"/><Relationship Id="rId1670" Type="http://schemas.openxmlformats.org/officeDocument/2006/relationships/image" Target="media/image1663.jpeg"/><Relationship Id="rId1671" Type="http://schemas.openxmlformats.org/officeDocument/2006/relationships/image" Target="media/image1664.jpeg"/><Relationship Id="rId1672" Type="http://schemas.openxmlformats.org/officeDocument/2006/relationships/image" Target="media/image1665.jpeg"/><Relationship Id="rId1673" Type="http://schemas.openxmlformats.org/officeDocument/2006/relationships/image" Target="media/image1666.jpeg"/><Relationship Id="rId1674" Type="http://schemas.openxmlformats.org/officeDocument/2006/relationships/image" Target="media/image1667.jpeg"/><Relationship Id="rId1675" Type="http://schemas.openxmlformats.org/officeDocument/2006/relationships/image" Target="media/image1668.jpeg"/><Relationship Id="rId1676" Type="http://schemas.openxmlformats.org/officeDocument/2006/relationships/image" Target="media/image1669.jpe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jpe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jpeg"/><Relationship Id="rId1684" Type="http://schemas.openxmlformats.org/officeDocument/2006/relationships/image" Target="media/image1677.png"/><Relationship Id="rId1685" Type="http://schemas.openxmlformats.org/officeDocument/2006/relationships/image" Target="media/image1678.jpeg"/><Relationship Id="rId1686" Type="http://schemas.openxmlformats.org/officeDocument/2006/relationships/image" Target="media/image1679.jpeg"/><Relationship Id="rId1687" Type="http://schemas.openxmlformats.org/officeDocument/2006/relationships/image" Target="media/image1680.jpeg"/><Relationship Id="rId1688" Type="http://schemas.openxmlformats.org/officeDocument/2006/relationships/image" Target="media/image1681.jpeg"/><Relationship Id="rId1689" Type="http://schemas.openxmlformats.org/officeDocument/2006/relationships/image" Target="media/image1682.jpeg"/><Relationship Id="rId1690" Type="http://schemas.openxmlformats.org/officeDocument/2006/relationships/image" Target="media/image1683.jpeg"/><Relationship Id="rId1691" Type="http://schemas.openxmlformats.org/officeDocument/2006/relationships/image" Target="media/image1684.jpeg"/><Relationship Id="rId1692" Type="http://schemas.openxmlformats.org/officeDocument/2006/relationships/image" Target="media/image1685.jpeg"/><Relationship Id="rId1693" Type="http://schemas.openxmlformats.org/officeDocument/2006/relationships/image" Target="media/image1686.jpeg"/><Relationship Id="rId1694" Type="http://schemas.openxmlformats.org/officeDocument/2006/relationships/image" Target="media/image1687.jpeg"/><Relationship Id="rId1695" Type="http://schemas.openxmlformats.org/officeDocument/2006/relationships/image" Target="media/image1688.jpeg"/><Relationship Id="rId1696" Type="http://schemas.openxmlformats.org/officeDocument/2006/relationships/image" Target="media/image1689.jpeg"/><Relationship Id="rId1697" Type="http://schemas.openxmlformats.org/officeDocument/2006/relationships/image" Target="media/image1690.jpeg"/><Relationship Id="rId1698" Type="http://schemas.openxmlformats.org/officeDocument/2006/relationships/image" Target="media/image1691.jpeg"/><Relationship Id="rId1699" Type="http://schemas.openxmlformats.org/officeDocument/2006/relationships/image" Target="media/image1692.jpe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jpeg"/><Relationship Id="rId1705" Type="http://schemas.openxmlformats.org/officeDocument/2006/relationships/image" Target="media/image1698.png"/><Relationship Id="rId1706" Type="http://schemas.openxmlformats.org/officeDocument/2006/relationships/image" Target="media/image1699.jpeg"/><Relationship Id="rId1707" Type="http://schemas.openxmlformats.org/officeDocument/2006/relationships/image" Target="media/image1700.jpeg"/><Relationship Id="rId1708" Type="http://schemas.openxmlformats.org/officeDocument/2006/relationships/image" Target="media/image1701.jpeg"/><Relationship Id="rId1709" Type="http://schemas.openxmlformats.org/officeDocument/2006/relationships/image" Target="media/image1702.jpeg"/><Relationship Id="rId1710" Type="http://schemas.openxmlformats.org/officeDocument/2006/relationships/image" Target="media/image1703.jpeg"/><Relationship Id="rId1711" Type="http://schemas.openxmlformats.org/officeDocument/2006/relationships/image" Target="media/image1704.jpeg"/><Relationship Id="rId1712" Type="http://schemas.openxmlformats.org/officeDocument/2006/relationships/image" Target="media/image1705.jpeg"/><Relationship Id="rId1713" Type="http://schemas.openxmlformats.org/officeDocument/2006/relationships/image" Target="media/image1706.png"/><Relationship Id="rId1714" Type="http://schemas.openxmlformats.org/officeDocument/2006/relationships/image" Target="media/image1707.jpeg"/><Relationship Id="rId1715" Type="http://schemas.openxmlformats.org/officeDocument/2006/relationships/image" Target="media/image1708.jpeg"/><Relationship Id="rId1716" Type="http://schemas.openxmlformats.org/officeDocument/2006/relationships/image" Target="media/image1709.jpeg"/><Relationship Id="rId1717" Type="http://schemas.openxmlformats.org/officeDocument/2006/relationships/image" Target="media/image1710.jpeg"/><Relationship Id="rId1718" Type="http://schemas.openxmlformats.org/officeDocument/2006/relationships/image" Target="media/image1711.jpeg"/><Relationship Id="rId1719" Type="http://schemas.openxmlformats.org/officeDocument/2006/relationships/image" Target="media/image1712.jpeg"/><Relationship Id="rId1720" Type="http://schemas.openxmlformats.org/officeDocument/2006/relationships/image" Target="media/image1713.jpeg"/><Relationship Id="rId1721" Type="http://schemas.openxmlformats.org/officeDocument/2006/relationships/image" Target="media/image1714.jpeg"/><Relationship Id="rId1722" Type="http://schemas.openxmlformats.org/officeDocument/2006/relationships/image" Target="media/image1715.jpe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jpeg"/><Relationship Id="rId1727" Type="http://schemas.openxmlformats.org/officeDocument/2006/relationships/image" Target="media/image1720.jpeg"/><Relationship Id="rId1728" Type="http://schemas.openxmlformats.org/officeDocument/2006/relationships/image" Target="media/image1721.png"/><Relationship Id="rId1729" Type="http://schemas.openxmlformats.org/officeDocument/2006/relationships/image" Target="media/image1722.jpeg"/><Relationship Id="rId1730" Type="http://schemas.openxmlformats.org/officeDocument/2006/relationships/image" Target="media/image1723.jpeg"/><Relationship Id="rId1731" Type="http://schemas.openxmlformats.org/officeDocument/2006/relationships/image" Target="media/image1724.png"/><Relationship Id="rId1732" Type="http://schemas.openxmlformats.org/officeDocument/2006/relationships/image" Target="media/image1725.jpeg"/><Relationship Id="rId1733" Type="http://schemas.openxmlformats.org/officeDocument/2006/relationships/image" Target="media/image1726.jpeg"/><Relationship Id="rId1734" Type="http://schemas.openxmlformats.org/officeDocument/2006/relationships/image" Target="media/image1727.jpeg"/><Relationship Id="rId1735" Type="http://schemas.openxmlformats.org/officeDocument/2006/relationships/image" Target="media/image1728.png"/><Relationship Id="rId1736" Type="http://schemas.openxmlformats.org/officeDocument/2006/relationships/image" Target="media/image1729.jpeg"/><Relationship Id="rId1737" Type="http://schemas.openxmlformats.org/officeDocument/2006/relationships/image" Target="media/image1730.png"/><Relationship Id="rId1738" Type="http://schemas.openxmlformats.org/officeDocument/2006/relationships/image" Target="media/image1731.jpeg"/><Relationship Id="rId1739" Type="http://schemas.openxmlformats.org/officeDocument/2006/relationships/image" Target="media/image1732.jpeg"/><Relationship Id="rId1740" Type="http://schemas.openxmlformats.org/officeDocument/2006/relationships/image" Target="media/image1733.jpeg"/><Relationship Id="rId1741" Type="http://schemas.openxmlformats.org/officeDocument/2006/relationships/image" Target="media/image1734.jpeg"/><Relationship Id="rId1742" Type="http://schemas.openxmlformats.org/officeDocument/2006/relationships/image" Target="media/image1735.png"/><Relationship Id="rId1743" Type="http://schemas.openxmlformats.org/officeDocument/2006/relationships/image" Target="media/image1736.jpeg"/><Relationship Id="rId1744" Type="http://schemas.openxmlformats.org/officeDocument/2006/relationships/image" Target="media/image1737.jpeg"/><Relationship Id="rId1745" Type="http://schemas.openxmlformats.org/officeDocument/2006/relationships/image" Target="media/image1738.jpeg"/><Relationship Id="rId1746" Type="http://schemas.openxmlformats.org/officeDocument/2006/relationships/image" Target="media/image1739.png"/><Relationship Id="rId1747" Type="http://schemas.openxmlformats.org/officeDocument/2006/relationships/image" Target="media/image1740.jpeg"/><Relationship Id="rId1748" Type="http://schemas.openxmlformats.org/officeDocument/2006/relationships/image" Target="media/image1741.png"/><Relationship Id="rId1749" Type="http://schemas.openxmlformats.org/officeDocument/2006/relationships/image" Target="media/image1742.jpeg"/><Relationship Id="rId1750" Type="http://schemas.openxmlformats.org/officeDocument/2006/relationships/image" Target="media/image1743.jpeg"/><Relationship Id="rId1751" Type="http://schemas.openxmlformats.org/officeDocument/2006/relationships/image" Target="media/image1744.jpeg"/><Relationship Id="rId1752" Type="http://schemas.openxmlformats.org/officeDocument/2006/relationships/image" Target="media/image1745.jpeg"/><Relationship Id="rId1753" Type="http://schemas.openxmlformats.org/officeDocument/2006/relationships/image" Target="media/image1746.jpeg"/><Relationship Id="rId1754" Type="http://schemas.openxmlformats.org/officeDocument/2006/relationships/image" Target="media/image1747.png"/><Relationship Id="rId1755" Type="http://schemas.openxmlformats.org/officeDocument/2006/relationships/image" Target="media/image1748.jpeg"/><Relationship Id="rId1756" Type="http://schemas.openxmlformats.org/officeDocument/2006/relationships/image" Target="media/image1749.png"/><Relationship Id="rId1757" Type="http://schemas.openxmlformats.org/officeDocument/2006/relationships/image" Target="media/image1750.jpeg"/><Relationship Id="rId1758" Type="http://schemas.openxmlformats.org/officeDocument/2006/relationships/image" Target="media/image1751.png"/><Relationship Id="rId1759" Type="http://schemas.openxmlformats.org/officeDocument/2006/relationships/image" Target="media/image1752.jpeg"/><Relationship Id="rId1760" Type="http://schemas.openxmlformats.org/officeDocument/2006/relationships/image" Target="media/image1753.jpeg"/><Relationship Id="rId1761" Type="http://schemas.openxmlformats.org/officeDocument/2006/relationships/image" Target="media/image1754.png"/><Relationship Id="rId1762" Type="http://schemas.openxmlformats.org/officeDocument/2006/relationships/image" Target="media/image1755.jpeg"/><Relationship Id="rId1763" Type="http://schemas.openxmlformats.org/officeDocument/2006/relationships/image" Target="media/image1756.png"/><Relationship Id="rId1764" Type="http://schemas.openxmlformats.org/officeDocument/2006/relationships/image" Target="media/image1757.jpeg"/><Relationship Id="rId1765" Type="http://schemas.openxmlformats.org/officeDocument/2006/relationships/image" Target="media/image1758.png"/><Relationship Id="rId1766" Type="http://schemas.openxmlformats.org/officeDocument/2006/relationships/image" Target="media/image1759.jpe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jpe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jpe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jpeg"/><Relationship Id="rId1809" Type="http://schemas.openxmlformats.org/officeDocument/2006/relationships/image" Target="media/image1802.jpeg"/><Relationship Id="rId1810" Type="http://schemas.openxmlformats.org/officeDocument/2006/relationships/image" Target="media/image1803.jpeg"/><Relationship Id="rId1811" Type="http://schemas.openxmlformats.org/officeDocument/2006/relationships/image" Target="media/image1804.jpeg"/><Relationship Id="rId1812" Type="http://schemas.openxmlformats.org/officeDocument/2006/relationships/image" Target="media/image1805.jpeg"/><Relationship Id="rId1813" Type="http://schemas.openxmlformats.org/officeDocument/2006/relationships/image" Target="media/image1806.jpeg"/><Relationship Id="rId1814" Type="http://schemas.openxmlformats.org/officeDocument/2006/relationships/image" Target="media/image1807.jpeg"/><Relationship Id="rId1815" Type="http://schemas.openxmlformats.org/officeDocument/2006/relationships/image" Target="media/image1808.jpeg"/><Relationship Id="rId1816" Type="http://schemas.openxmlformats.org/officeDocument/2006/relationships/image" Target="media/image1809.jpeg"/><Relationship Id="rId1817" Type="http://schemas.openxmlformats.org/officeDocument/2006/relationships/image" Target="media/image1810.jpeg"/><Relationship Id="rId1818" Type="http://schemas.openxmlformats.org/officeDocument/2006/relationships/image" Target="media/image1811.jpeg"/><Relationship Id="rId1819" Type="http://schemas.openxmlformats.org/officeDocument/2006/relationships/image" Target="media/image1812.jpeg"/><Relationship Id="rId1820" Type="http://schemas.openxmlformats.org/officeDocument/2006/relationships/image" Target="media/image1813.jpeg"/><Relationship Id="rId1821" Type="http://schemas.openxmlformats.org/officeDocument/2006/relationships/image" Target="media/image1814.jpeg"/><Relationship Id="rId1822" Type="http://schemas.openxmlformats.org/officeDocument/2006/relationships/image" Target="media/image1815.jpeg"/><Relationship Id="rId1823" Type="http://schemas.openxmlformats.org/officeDocument/2006/relationships/image" Target="media/image1816.jpeg"/><Relationship Id="rId1824" Type="http://schemas.openxmlformats.org/officeDocument/2006/relationships/image" Target="media/image1817.jpeg"/><Relationship Id="rId1825" Type="http://schemas.openxmlformats.org/officeDocument/2006/relationships/image" Target="media/image1818.jpeg"/><Relationship Id="rId1826" Type="http://schemas.openxmlformats.org/officeDocument/2006/relationships/image" Target="media/image1819.jpeg"/><Relationship Id="rId1827" Type="http://schemas.openxmlformats.org/officeDocument/2006/relationships/image" Target="media/image1820.jpeg"/><Relationship Id="rId1828" Type="http://schemas.openxmlformats.org/officeDocument/2006/relationships/image" Target="media/image1821.jpeg"/><Relationship Id="rId1829" Type="http://schemas.openxmlformats.org/officeDocument/2006/relationships/image" Target="media/image1822.jpeg"/><Relationship Id="rId1830" Type="http://schemas.openxmlformats.org/officeDocument/2006/relationships/image" Target="media/image1823.jpeg"/><Relationship Id="rId1831" Type="http://schemas.openxmlformats.org/officeDocument/2006/relationships/image" Target="media/image1824.jpeg"/><Relationship Id="rId1832" Type="http://schemas.openxmlformats.org/officeDocument/2006/relationships/image" Target="media/image1825.jpeg"/><Relationship Id="rId1833" Type="http://schemas.openxmlformats.org/officeDocument/2006/relationships/image" Target="media/image1826.jpeg"/><Relationship Id="rId1834" Type="http://schemas.openxmlformats.org/officeDocument/2006/relationships/image" Target="media/image1827.jpeg"/><Relationship Id="rId1835" Type="http://schemas.openxmlformats.org/officeDocument/2006/relationships/image" Target="media/image1828.jpeg"/><Relationship Id="rId1836" Type="http://schemas.openxmlformats.org/officeDocument/2006/relationships/image" Target="media/image1829.jpeg"/><Relationship Id="rId1837" Type="http://schemas.openxmlformats.org/officeDocument/2006/relationships/image" Target="media/image1830.jpeg"/><Relationship Id="rId1838" Type="http://schemas.openxmlformats.org/officeDocument/2006/relationships/image" Target="media/image1831.jpeg"/><Relationship Id="rId1839" Type="http://schemas.openxmlformats.org/officeDocument/2006/relationships/image" Target="media/image1832.jpeg"/><Relationship Id="rId1840" Type="http://schemas.openxmlformats.org/officeDocument/2006/relationships/image" Target="media/image1833.jpeg"/><Relationship Id="rId1841" Type="http://schemas.openxmlformats.org/officeDocument/2006/relationships/image" Target="media/image1834.jpeg"/><Relationship Id="rId1842" Type="http://schemas.openxmlformats.org/officeDocument/2006/relationships/image" Target="media/image1835.jpeg"/><Relationship Id="rId1843" Type="http://schemas.openxmlformats.org/officeDocument/2006/relationships/image" Target="media/image1836.jpeg"/><Relationship Id="rId1844" Type="http://schemas.openxmlformats.org/officeDocument/2006/relationships/image" Target="media/image1837.jpeg"/><Relationship Id="rId1845" Type="http://schemas.openxmlformats.org/officeDocument/2006/relationships/image" Target="media/image1838.jpeg"/><Relationship Id="rId1846" Type="http://schemas.openxmlformats.org/officeDocument/2006/relationships/image" Target="media/image1839.jpeg"/><Relationship Id="rId1847" Type="http://schemas.openxmlformats.org/officeDocument/2006/relationships/image" Target="media/image1840.jpeg"/><Relationship Id="rId1848" Type="http://schemas.openxmlformats.org/officeDocument/2006/relationships/image" Target="media/image1841.jpeg"/><Relationship Id="rId1849" Type="http://schemas.openxmlformats.org/officeDocument/2006/relationships/image" Target="media/image1842.jpeg"/><Relationship Id="rId1850" Type="http://schemas.openxmlformats.org/officeDocument/2006/relationships/image" Target="media/image1843.jpeg"/><Relationship Id="rId1851" Type="http://schemas.openxmlformats.org/officeDocument/2006/relationships/image" Target="media/image1844.jpeg"/><Relationship Id="rId1852" Type="http://schemas.openxmlformats.org/officeDocument/2006/relationships/image" Target="media/image1845.jpeg"/><Relationship Id="rId1853" Type="http://schemas.openxmlformats.org/officeDocument/2006/relationships/image" Target="media/image1846.jpeg"/><Relationship Id="rId1854" Type="http://schemas.openxmlformats.org/officeDocument/2006/relationships/image" Target="media/image1847.jpeg"/><Relationship Id="rId1855" Type="http://schemas.openxmlformats.org/officeDocument/2006/relationships/image" Target="media/image1848.jpeg"/><Relationship Id="rId1856" Type="http://schemas.openxmlformats.org/officeDocument/2006/relationships/image" Target="media/image1849.jpeg"/><Relationship Id="rId1857" Type="http://schemas.openxmlformats.org/officeDocument/2006/relationships/image" Target="media/image1850.jpeg"/><Relationship Id="rId1858" Type="http://schemas.openxmlformats.org/officeDocument/2006/relationships/image" Target="media/image1851.jpeg"/><Relationship Id="rId1859" Type="http://schemas.openxmlformats.org/officeDocument/2006/relationships/image" Target="media/image1852.png"/><Relationship Id="rId1860" Type="http://schemas.openxmlformats.org/officeDocument/2006/relationships/image" Target="media/image1853.jpeg"/><Relationship Id="rId1861" Type="http://schemas.openxmlformats.org/officeDocument/2006/relationships/image" Target="media/image1854.jpeg"/><Relationship Id="rId1862" Type="http://schemas.openxmlformats.org/officeDocument/2006/relationships/image" Target="media/image1855.png"/><Relationship Id="rId1863" Type="http://schemas.openxmlformats.org/officeDocument/2006/relationships/image" Target="media/image1856.jpeg"/><Relationship Id="rId1864" Type="http://schemas.openxmlformats.org/officeDocument/2006/relationships/image" Target="media/image1857.jpeg"/><Relationship Id="rId1865" Type="http://schemas.openxmlformats.org/officeDocument/2006/relationships/image" Target="media/image1858.jpeg"/><Relationship Id="rId1866" Type="http://schemas.openxmlformats.org/officeDocument/2006/relationships/image" Target="media/image1859.jpeg"/><Relationship Id="rId1867" Type="http://schemas.openxmlformats.org/officeDocument/2006/relationships/image" Target="media/image1860.jpeg"/><Relationship Id="rId1868" Type="http://schemas.openxmlformats.org/officeDocument/2006/relationships/image" Target="media/image1861.jpeg"/><Relationship Id="rId1869" Type="http://schemas.openxmlformats.org/officeDocument/2006/relationships/image" Target="media/image1862.jpeg"/><Relationship Id="rId1870" Type="http://schemas.openxmlformats.org/officeDocument/2006/relationships/image" Target="media/image1863.jpeg"/><Relationship Id="rId1871" Type="http://schemas.openxmlformats.org/officeDocument/2006/relationships/image" Target="media/image1864.jpeg"/><Relationship Id="rId1872" Type="http://schemas.openxmlformats.org/officeDocument/2006/relationships/image" Target="media/image1865.jpeg"/><Relationship Id="rId1873" Type="http://schemas.openxmlformats.org/officeDocument/2006/relationships/image" Target="media/image1866.jpeg"/><Relationship Id="rId1874" Type="http://schemas.openxmlformats.org/officeDocument/2006/relationships/image" Target="media/image1867.jpeg"/><Relationship Id="rId1875" Type="http://schemas.openxmlformats.org/officeDocument/2006/relationships/image" Target="media/image1868.jpeg"/><Relationship Id="rId1876" Type="http://schemas.openxmlformats.org/officeDocument/2006/relationships/image" Target="media/image1869.jpeg"/><Relationship Id="rId1877" Type="http://schemas.openxmlformats.org/officeDocument/2006/relationships/image" Target="media/image1870.jpeg"/><Relationship Id="rId1878" Type="http://schemas.openxmlformats.org/officeDocument/2006/relationships/image" Target="media/image1871.jpeg"/><Relationship Id="rId1879" Type="http://schemas.openxmlformats.org/officeDocument/2006/relationships/image" Target="media/image1872.jpeg"/><Relationship Id="rId1880" Type="http://schemas.openxmlformats.org/officeDocument/2006/relationships/image" Target="media/image1873.jpeg"/><Relationship Id="rId1881" Type="http://schemas.openxmlformats.org/officeDocument/2006/relationships/image" Target="media/image1874.jpeg"/><Relationship Id="rId1882" Type="http://schemas.openxmlformats.org/officeDocument/2006/relationships/image" Target="media/image1875.jpeg"/><Relationship Id="rId1883" Type="http://schemas.openxmlformats.org/officeDocument/2006/relationships/image" Target="media/image1876.jpeg"/><Relationship Id="rId1884" Type="http://schemas.openxmlformats.org/officeDocument/2006/relationships/image" Target="media/image1877.jpeg"/><Relationship Id="rId1885" Type="http://schemas.openxmlformats.org/officeDocument/2006/relationships/image" Target="media/image1878.jpeg"/><Relationship Id="rId1886" Type="http://schemas.openxmlformats.org/officeDocument/2006/relationships/image" Target="media/image1879.jpeg"/><Relationship Id="rId1887" Type="http://schemas.openxmlformats.org/officeDocument/2006/relationships/image" Target="media/image1880.jpeg"/><Relationship Id="rId1888" Type="http://schemas.openxmlformats.org/officeDocument/2006/relationships/image" Target="media/image1881.jpeg"/><Relationship Id="rId1889" Type="http://schemas.openxmlformats.org/officeDocument/2006/relationships/image" Target="media/image1882.jpeg"/><Relationship Id="rId1890" Type="http://schemas.openxmlformats.org/officeDocument/2006/relationships/image" Target="media/image1883.jpeg"/><Relationship Id="rId1891" Type="http://schemas.openxmlformats.org/officeDocument/2006/relationships/image" Target="media/image1884.jpeg"/><Relationship Id="rId1892" Type="http://schemas.openxmlformats.org/officeDocument/2006/relationships/image" Target="media/image1885.jpeg"/><Relationship Id="rId1893" Type="http://schemas.openxmlformats.org/officeDocument/2006/relationships/image" Target="media/image1886.jpeg"/><Relationship Id="rId1894" Type="http://schemas.openxmlformats.org/officeDocument/2006/relationships/image" Target="media/image1887.jpeg"/><Relationship Id="rId1895" Type="http://schemas.openxmlformats.org/officeDocument/2006/relationships/image" Target="media/image1888.jpeg"/><Relationship Id="rId1896" Type="http://schemas.openxmlformats.org/officeDocument/2006/relationships/image" Target="media/image1889.jpeg"/><Relationship Id="rId1897" Type="http://schemas.openxmlformats.org/officeDocument/2006/relationships/image" Target="media/image1890.jpeg"/><Relationship Id="rId1898" Type="http://schemas.openxmlformats.org/officeDocument/2006/relationships/image" Target="media/image1891.jpeg"/><Relationship Id="rId1899" Type="http://schemas.openxmlformats.org/officeDocument/2006/relationships/image" Target="media/image1892.jpeg"/><Relationship Id="rId1900" Type="http://schemas.openxmlformats.org/officeDocument/2006/relationships/image" Target="media/image1893.jpeg"/><Relationship Id="rId1901" Type="http://schemas.openxmlformats.org/officeDocument/2006/relationships/image" Target="media/image1894.jpeg"/><Relationship Id="rId1902" Type="http://schemas.openxmlformats.org/officeDocument/2006/relationships/image" Target="media/image1895.jpeg"/><Relationship Id="rId1903" Type="http://schemas.openxmlformats.org/officeDocument/2006/relationships/image" Target="media/image1896.jpeg"/><Relationship Id="rId1904" Type="http://schemas.openxmlformats.org/officeDocument/2006/relationships/image" Target="media/image1897.jpeg"/><Relationship Id="rId1905" Type="http://schemas.openxmlformats.org/officeDocument/2006/relationships/image" Target="media/image1898.jpeg"/><Relationship Id="rId1906" Type="http://schemas.openxmlformats.org/officeDocument/2006/relationships/image" Target="media/image1899.jpeg"/><Relationship Id="rId1907" Type="http://schemas.openxmlformats.org/officeDocument/2006/relationships/image" Target="media/image1900.jpeg"/><Relationship Id="rId1908" Type="http://schemas.openxmlformats.org/officeDocument/2006/relationships/image" Target="media/image1901.jpeg"/><Relationship Id="rId1909" Type="http://schemas.openxmlformats.org/officeDocument/2006/relationships/image" Target="media/image1902.jpeg"/><Relationship Id="rId1910" Type="http://schemas.openxmlformats.org/officeDocument/2006/relationships/image" Target="media/image1903.jpeg"/><Relationship Id="rId1911" Type="http://schemas.openxmlformats.org/officeDocument/2006/relationships/image" Target="media/image1904.jpeg"/><Relationship Id="rId1912" Type="http://schemas.openxmlformats.org/officeDocument/2006/relationships/image" Target="media/image1905.jpeg"/><Relationship Id="rId1913" Type="http://schemas.openxmlformats.org/officeDocument/2006/relationships/image" Target="media/image1906.jpeg"/><Relationship Id="rId1914" Type="http://schemas.openxmlformats.org/officeDocument/2006/relationships/image" Target="media/image1907.jpeg"/><Relationship Id="rId1915" Type="http://schemas.openxmlformats.org/officeDocument/2006/relationships/image" Target="media/image1908.jpeg"/><Relationship Id="rId1916" Type="http://schemas.openxmlformats.org/officeDocument/2006/relationships/image" Target="media/image1909.jpeg"/><Relationship Id="rId1917" Type="http://schemas.openxmlformats.org/officeDocument/2006/relationships/image" Target="media/image1910.jpeg"/><Relationship Id="rId1918" Type="http://schemas.openxmlformats.org/officeDocument/2006/relationships/image" Target="media/image1911.jpeg"/><Relationship Id="rId1919" Type="http://schemas.openxmlformats.org/officeDocument/2006/relationships/image" Target="media/image1912.jpeg"/><Relationship Id="rId1920" Type="http://schemas.openxmlformats.org/officeDocument/2006/relationships/image" Target="media/image1913.jpeg"/><Relationship Id="rId1921" Type="http://schemas.openxmlformats.org/officeDocument/2006/relationships/image" Target="media/image1914.jpeg"/><Relationship Id="rId1922" Type="http://schemas.openxmlformats.org/officeDocument/2006/relationships/image" Target="media/image1915.jpeg"/><Relationship Id="rId1923" Type="http://schemas.openxmlformats.org/officeDocument/2006/relationships/image" Target="media/image1916.jpeg"/><Relationship Id="rId1924" Type="http://schemas.openxmlformats.org/officeDocument/2006/relationships/image" Target="media/image1917.jpeg"/><Relationship Id="rId1925" Type="http://schemas.openxmlformats.org/officeDocument/2006/relationships/image" Target="media/image1918.jpeg"/><Relationship Id="rId1926" Type="http://schemas.openxmlformats.org/officeDocument/2006/relationships/image" Target="media/image1919.jpeg"/><Relationship Id="rId1927" Type="http://schemas.openxmlformats.org/officeDocument/2006/relationships/image" Target="media/image1920.jpeg"/><Relationship Id="rId1928" Type="http://schemas.openxmlformats.org/officeDocument/2006/relationships/image" Target="media/image1921.jpeg"/><Relationship Id="rId1929" Type="http://schemas.openxmlformats.org/officeDocument/2006/relationships/image" Target="media/image1922.jpe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jpeg"/><Relationship Id="rId1933" Type="http://schemas.openxmlformats.org/officeDocument/2006/relationships/image" Target="media/image1926.jpeg"/><Relationship Id="rId1934" Type="http://schemas.openxmlformats.org/officeDocument/2006/relationships/image" Target="media/image1927.png"/><Relationship Id="rId1935" Type="http://schemas.openxmlformats.org/officeDocument/2006/relationships/image" Target="media/image1928.jpeg"/><Relationship Id="rId1936" Type="http://schemas.openxmlformats.org/officeDocument/2006/relationships/image" Target="media/image1929.jpeg"/><Relationship Id="rId1937" Type="http://schemas.openxmlformats.org/officeDocument/2006/relationships/image" Target="media/image1930.jpeg"/><Relationship Id="rId1938" Type="http://schemas.openxmlformats.org/officeDocument/2006/relationships/image" Target="media/image1931.jpeg"/><Relationship Id="rId1939" Type="http://schemas.openxmlformats.org/officeDocument/2006/relationships/image" Target="media/image1932.jpeg"/><Relationship Id="rId1940" Type="http://schemas.openxmlformats.org/officeDocument/2006/relationships/image" Target="media/image1933.jpeg"/><Relationship Id="rId1941" Type="http://schemas.openxmlformats.org/officeDocument/2006/relationships/image" Target="media/image1934.jpeg"/><Relationship Id="rId1942" Type="http://schemas.openxmlformats.org/officeDocument/2006/relationships/image" Target="media/image1935.jpeg"/><Relationship Id="rId1943" Type="http://schemas.openxmlformats.org/officeDocument/2006/relationships/image" Target="media/image1936.jpeg"/><Relationship Id="rId1944" Type="http://schemas.openxmlformats.org/officeDocument/2006/relationships/image" Target="media/image1937.jpeg"/><Relationship Id="rId1945" Type="http://schemas.openxmlformats.org/officeDocument/2006/relationships/image" Target="media/image1938.jpeg"/><Relationship Id="rId1946" Type="http://schemas.openxmlformats.org/officeDocument/2006/relationships/image" Target="media/image1939.jpeg"/><Relationship Id="rId1947" Type="http://schemas.openxmlformats.org/officeDocument/2006/relationships/image" Target="media/image1940.jpeg"/><Relationship Id="rId1948" Type="http://schemas.openxmlformats.org/officeDocument/2006/relationships/image" Target="media/image1941.jpeg"/><Relationship Id="rId1949" Type="http://schemas.openxmlformats.org/officeDocument/2006/relationships/image" Target="media/image1942.jpe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jpeg"/><Relationship Id="rId1953" Type="http://schemas.openxmlformats.org/officeDocument/2006/relationships/image" Target="media/image1946.jpeg"/><Relationship Id="rId1954" Type="http://schemas.openxmlformats.org/officeDocument/2006/relationships/image" Target="media/image1947.png"/><Relationship Id="rId1955" Type="http://schemas.openxmlformats.org/officeDocument/2006/relationships/image" Target="media/image1948.jpeg"/><Relationship Id="rId1956" Type="http://schemas.openxmlformats.org/officeDocument/2006/relationships/image" Target="media/image1949.png"/><Relationship Id="rId1957" Type="http://schemas.openxmlformats.org/officeDocument/2006/relationships/image" Target="media/image1950.jpe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jpeg"/><Relationship Id="rId1961" Type="http://schemas.openxmlformats.org/officeDocument/2006/relationships/image" Target="media/image1954.png"/><Relationship Id="rId1962" Type="http://schemas.openxmlformats.org/officeDocument/2006/relationships/image" Target="media/image1955.jpeg"/><Relationship Id="rId1963" Type="http://schemas.openxmlformats.org/officeDocument/2006/relationships/image" Target="media/image1956.jpeg"/><Relationship Id="rId1964" Type="http://schemas.openxmlformats.org/officeDocument/2006/relationships/image" Target="media/image1957.jpeg"/><Relationship Id="rId1965" Type="http://schemas.openxmlformats.org/officeDocument/2006/relationships/image" Target="media/image1958.jpeg"/><Relationship Id="rId1966" Type="http://schemas.openxmlformats.org/officeDocument/2006/relationships/image" Target="media/image1959.jpeg"/><Relationship Id="rId1967" Type="http://schemas.openxmlformats.org/officeDocument/2006/relationships/image" Target="media/image1960.jpeg"/><Relationship Id="rId1968" Type="http://schemas.openxmlformats.org/officeDocument/2006/relationships/image" Target="media/image1961.jpeg"/><Relationship Id="rId1969" Type="http://schemas.openxmlformats.org/officeDocument/2006/relationships/image" Target="media/image1962.jpeg"/><Relationship Id="rId1970" Type="http://schemas.openxmlformats.org/officeDocument/2006/relationships/image" Target="media/image1963.jpeg"/><Relationship Id="rId1971" Type="http://schemas.openxmlformats.org/officeDocument/2006/relationships/image" Target="media/image1964.jpeg"/><Relationship Id="rId1972" Type="http://schemas.openxmlformats.org/officeDocument/2006/relationships/image" Target="media/image1965.jpeg"/><Relationship Id="rId1973" Type="http://schemas.openxmlformats.org/officeDocument/2006/relationships/image" Target="media/image1966.jpeg"/><Relationship Id="rId1974" Type="http://schemas.openxmlformats.org/officeDocument/2006/relationships/image" Target="media/image1967.jpeg"/><Relationship Id="rId1975" Type="http://schemas.openxmlformats.org/officeDocument/2006/relationships/image" Target="media/image1968.jpeg"/><Relationship Id="rId1976" Type="http://schemas.openxmlformats.org/officeDocument/2006/relationships/image" Target="media/image1969.jpeg"/><Relationship Id="rId1977" Type="http://schemas.openxmlformats.org/officeDocument/2006/relationships/image" Target="media/image1970.jpeg"/><Relationship Id="rId1978" Type="http://schemas.openxmlformats.org/officeDocument/2006/relationships/image" Target="media/image1971.jpeg"/><Relationship Id="rId1979" Type="http://schemas.openxmlformats.org/officeDocument/2006/relationships/image" Target="media/image1972.jpeg"/><Relationship Id="rId1980" Type="http://schemas.openxmlformats.org/officeDocument/2006/relationships/image" Target="media/image1973.jpeg"/><Relationship Id="rId1981" Type="http://schemas.openxmlformats.org/officeDocument/2006/relationships/image" Target="media/image1974.jpeg"/><Relationship Id="rId1982" Type="http://schemas.openxmlformats.org/officeDocument/2006/relationships/image" Target="media/image1975.jpeg"/><Relationship Id="rId1983" Type="http://schemas.openxmlformats.org/officeDocument/2006/relationships/image" Target="media/image1976.jpeg"/><Relationship Id="rId1984" Type="http://schemas.openxmlformats.org/officeDocument/2006/relationships/image" Target="media/image1977.jpeg"/><Relationship Id="rId1985" Type="http://schemas.openxmlformats.org/officeDocument/2006/relationships/image" Target="media/image1978.jpeg"/><Relationship Id="rId1986" Type="http://schemas.openxmlformats.org/officeDocument/2006/relationships/image" Target="media/image1979.jpeg"/><Relationship Id="rId1987" Type="http://schemas.openxmlformats.org/officeDocument/2006/relationships/image" Target="media/image1980.jpeg"/><Relationship Id="rId1988" Type="http://schemas.openxmlformats.org/officeDocument/2006/relationships/image" Target="media/image1981.jpeg"/><Relationship Id="rId1989" Type="http://schemas.openxmlformats.org/officeDocument/2006/relationships/image" Target="media/image1982.jpe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jpeg"/><Relationship Id="rId2001" Type="http://schemas.openxmlformats.org/officeDocument/2006/relationships/image" Target="media/image1994.jpeg"/><Relationship Id="rId2002" Type="http://schemas.openxmlformats.org/officeDocument/2006/relationships/image" Target="media/image1995.jpeg"/><Relationship Id="rId2003" Type="http://schemas.openxmlformats.org/officeDocument/2006/relationships/image" Target="media/image1996.jpeg"/><Relationship Id="rId2004" Type="http://schemas.openxmlformats.org/officeDocument/2006/relationships/image" Target="media/image1997.jpeg"/><Relationship Id="rId2005" Type="http://schemas.openxmlformats.org/officeDocument/2006/relationships/image" Target="media/image1998.jpeg"/><Relationship Id="rId2006" Type="http://schemas.openxmlformats.org/officeDocument/2006/relationships/image" Target="media/image1999.jpeg"/><Relationship Id="rId2007" Type="http://schemas.openxmlformats.org/officeDocument/2006/relationships/image" Target="media/image2000.jpeg"/><Relationship Id="rId2008" Type="http://schemas.openxmlformats.org/officeDocument/2006/relationships/image" Target="media/image2001.jpeg"/><Relationship Id="rId2009" Type="http://schemas.openxmlformats.org/officeDocument/2006/relationships/image" Target="media/image2002.jpeg"/><Relationship Id="rId2010" Type="http://schemas.openxmlformats.org/officeDocument/2006/relationships/image" Target="media/image2003.jpeg"/><Relationship Id="rId2011" Type="http://schemas.openxmlformats.org/officeDocument/2006/relationships/image" Target="media/image2004.jpeg"/><Relationship Id="rId2012" Type="http://schemas.openxmlformats.org/officeDocument/2006/relationships/image" Target="media/image2005.jpeg"/><Relationship Id="rId2013" Type="http://schemas.openxmlformats.org/officeDocument/2006/relationships/image" Target="media/image2006.jpeg"/><Relationship Id="rId2014" Type="http://schemas.openxmlformats.org/officeDocument/2006/relationships/image" Target="media/image2007.jpeg"/><Relationship Id="rId2015" Type="http://schemas.openxmlformats.org/officeDocument/2006/relationships/image" Target="media/image2008.jpeg"/><Relationship Id="rId2016" Type="http://schemas.openxmlformats.org/officeDocument/2006/relationships/image" Target="media/image2009.jpeg"/><Relationship Id="rId2017" Type="http://schemas.openxmlformats.org/officeDocument/2006/relationships/image" Target="media/image2010.jpeg"/><Relationship Id="rId2018" Type="http://schemas.openxmlformats.org/officeDocument/2006/relationships/image" Target="media/image2011.jpeg"/><Relationship Id="rId2019" Type="http://schemas.openxmlformats.org/officeDocument/2006/relationships/image" Target="media/image2012.jpeg"/><Relationship Id="rId2020" Type="http://schemas.openxmlformats.org/officeDocument/2006/relationships/image" Target="media/image2013.jpeg"/><Relationship Id="rId2021" Type="http://schemas.openxmlformats.org/officeDocument/2006/relationships/image" Target="media/image2014.jpe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jpeg"/><Relationship Id="rId2026" Type="http://schemas.openxmlformats.org/officeDocument/2006/relationships/image" Target="media/image2019.png"/><Relationship Id="rId2027" Type="http://schemas.openxmlformats.org/officeDocument/2006/relationships/image" Target="media/image2020.jpeg"/><Relationship Id="rId2028" Type="http://schemas.openxmlformats.org/officeDocument/2006/relationships/image" Target="media/image2021.jpeg"/><Relationship Id="rId2029" Type="http://schemas.openxmlformats.org/officeDocument/2006/relationships/image" Target="media/image2022.jpeg"/><Relationship Id="rId2030" Type="http://schemas.openxmlformats.org/officeDocument/2006/relationships/image" Target="media/image2023.jpeg"/><Relationship Id="rId2031" Type="http://schemas.openxmlformats.org/officeDocument/2006/relationships/image" Target="media/image2024.jpeg"/><Relationship Id="rId2032" Type="http://schemas.openxmlformats.org/officeDocument/2006/relationships/image" Target="media/image2025.jpeg"/><Relationship Id="rId2033" Type="http://schemas.openxmlformats.org/officeDocument/2006/relationships/image" Target="media/image2026.jpeg"/><Relationship Id="rId2034" Type="http://schemas.openxmlformats.org/officeDocument/2006/relationships/image" Target="media/image2027.jpeg"/><Relationship Id="rId2035" Type="http://schemas.openxmlformats.org/officeDocument/2006/relationships/image" Target="media/image2028.jpeg"/><Relationship Id="rId2036" Type="http://schemas.openxmlformats.org/officeDocument/2006/relationships/image" Target="media/image2029.jpeg"/><Relationship Id="rId2037" Type="http://schemas.openxmlformats.org/officeDocument/2006/relationships/image" Target="media/image2030.jpeg"/><Relationship Id="rId2038" Type="http://schemas.openxmlformats.org/officeDocument/2006/relationships/image" Target="media/image2031.jpeg"/><Relationship Id="rId2039" Type="http://schemas.openxmlformats.org/officeDocument/2006/relationships/image" Target="media/image2032.jpeg"/><Relationship Id="rId2040" Type="http://schemas.openxmlformats.org/officeDocument/2006/relationships/image" Target="media/image2033.jpeg"/><Relationship Id="rId2041" Type="http://schemas.openxmlformats.org/officeDocument/2006/relationships/image" Target="media/image2034.jpeg"/><Relationship Id="rId2042" Type="http://schemas.openxmlformats.org/officeDocument/2006/relationships/image" Target="media/image2035.jpeg"/><Relationship Id="rId2043" Type="http://schemas.openxmlformats.org/officeDocument/2006/relationships/image" Target="media/image2036.jpeg"/><Relationship Id="rId2044" Type="http://schemas.openxmlformats.org/officeDocument/2006/relationships/image" Target="media/image2037.jpeg"/><Relationship Id="rId2045" Type="http://schemas.openxmlformats.org/officeDocument/2006/relationships/image" Target="media/image2038.jpeg"/><Relationship Id="rId2046" Type="http://schemas.openxmlformats.org/officeDocument/2006/relationships/image" Target="media/image2039.jpeg"/><Relationship Id="rId2047" Type="http://schemas.openxmlformats.org/officeDocument/2006/relationships/image" Target="media/image2040.jpeg"/><Relationship Id="rId2048" Type="http://schemas.openxmlformats.org/officeDocument/2006/relationships/image" Target="media/image2041.jpeg"/><Relationship Id="rId2049" Type="http://schemas.openxmlformats.org/officeDocument/2006/relationships/image" Target="media/image2042.jpeg"/><Relationship Id="rId2050" Type="http://schemas.openxmlformats.org/officeDocument/2006/relationships/image" Target="media/image2043.jpeg"/><Relationship Id="rId2051" Type="http://schemas.openxmlformats.org/officeDocument/2006/relationships/image" Target="media/image2044.jpeg"/><Relationship Id="rId2052" Type="http://schemas.openxmlformats.org/officeDocument/2006/relationships/image" Target="media/image2045.jpeg"/><Relationship Id="rId2053" Type="http://schemas.openxmlformats.org/officeDocument/2006/relationships/image" Target="media/image2046.jpeg"/><Relationship Id="rId2054" Type="http://schemas.openxmlformats.org/officeDocument/2006/relationships/image" Target="media/image2047.jpe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jpeg"/><Relationship Id="rId2059" Type="http://schemas.openxmlformats.org/officeDocument/2006/relationships/image" Target="media/image2052.jpeg"/><Relationship Id="rId2060" Type="http://schemas.openxmlformats.org/officeDocument/2006/relationships/image" Target="media/image2053.jpeg"/><Relationship Id="rId2061" Type="http://schemas.openxmlformats.org/officeDocument/2006/relationships/image" Target="media/image2054.jpeg"/><Relationship Id="rId2062" Type="http://schemas.openxmlformats.org/officeDocument/2006/relationships/image" Target="media/image2055.jpeg"/><Relationship Id="rId2063" Type="http://schemas.openxmlformats.org/officeDocument/2006/relationships/image" Target="media/image2056.jpeg"/><Relationship Id="rId2064" Type="http://schemas.openxmlformats.org/officeDocument/2006/relationships/image" Target="media/image2057.jpeg"/><Relationship Id="rId2065" Type="http://schemas.openxmlformats.org/officeDocument/2006/relationships/image" Target="media/image2058.jpeg"/><Relationship Id="rId2066" Type="http://schemas.openxmlformats.org/officeDocument/2006/relationships/image" Target="media/image2059.jpeg"/><Relationship Id="rId2067" Type="http://schemas.openxmlformats.org/officeDocument/2006/relationships/image" Target="media/image2060.jpeg"/><Relationship Id="rId2068" Type="http://schemas.openxmlformats.org/officeDocument/2006/relationships/image" Target="media/image2061.jpeg"/><Relationship Id="rId2069" Type="http://schemas.openxmlformats.org/officeDocument/2006/relationships/image" Target="media/image2062.jpeg"/><Relationship Id="rId2070" Type="http://schemas.openxmlformats.org/officeDocument/2006/relationships/image" Target="media/image2063.jpeg"/><Relationship Id="rId2071" Type="http://schemas.openxmlformats.org/officeDocument/2006/relationships/image" Target="media/image2064.jpeg"/><Relationship Id="rId2072" Type="http://schemas.openxmlformats.org/officeDocument/2006/relationships/image" Target="media/image2065.jpeg"/><Relationship Id="rId2073" Type="http://schemas.openxmlformats.org/officeDocument/2006/relationships/image" Target="media/image2066.jpeg"/><Relationship Id="rId2074" Type="http://schemas.openxmlformats.org/officeDocument/2006/relationships/image" Target="media/image2067.jpeg"/><Relationship Id="rId2075" Type="http://schemas.openxmlformats.org/officeDocument/2006/relationships/image" Target="media/image2068.jpeg"/><Relationship Id="rId2076" Type="http://schemas.openxmlformats.org/officeDocument/2006/relationships/image" Target="media/image2069.jpeg"/><Relationship Id="rId2077" Type="http://schemas.openxmlformats.org/officeDocument/2006/relationships/image" Target="media/image2070.jpeg"/><Relationship Id="rId2078" Type="http://schemas.openxmlformats.org/officeDocument/2006/relationships/image" Target="media/image2071.jpeg"/><Relationship Id="rId2079" Type="http://schemas.openxmlformats.org/officeDocument/2006/relationships/image" Target="media/image2072.jpeg"/><Relationship Id="rId2080" Type="http://schemas.openxmlformats.org/officeDocument/2006/relationships/image" Target="media/image2073.jpeg"/><Relationship Id="rId2081" Type="http://schemas.openxmlformats.org/officeDocument/2006/relationships/image" Target="media/image2074.jpeg"/><Relationship Id="rId2082" Type="http://schemas.openxmlformats.org/officeDocument/2006/relationships/image" Target="media/image2075.jpeg"/><Relationship Id="rId2083" Type="http://schemas.openxmlformats.org/officeDocument/2006/relationships/image" Target="media/image2076.jpeg"/><Relationship Id="rId2084" Type="http://schemas.openxmlformats.org/officeDocument/2006/relationships/image" Target="media/image2077.jpeg"/><Relationship Id="rId2085" Type="http://schemas.openxmlformats.org/officeDocument/2006/relationships/image" Target="media/image2078.jpeg"/><Relationship Id="rId2086" Type="http://schemas.openxmlformats.org/officeDocument/2006/relationships/image" Target="media/image2079.jpeg"/><Relationship Id="rId2087" Type="http://schemas.openxmlformats.org/officeDocument/2006/relationships/image" Target="media/image2080.jpeg"/><Relationship Id="rId2088" Type="http://schemas.openxmlformats.org/officeDocument/2006/relationships/image" Target="media/image2081.jpeg"/><Relationship Id="rId2089" Type="http://schemas.openxmlformats.org/officeDocument/2006/relationships/image" Target="media/image2082.jpeg"/><Relationship Id="rId2090" Type="http://schemas.openxmlformats.org/officeDocument/2006/relationships/image" Target="media/image2083.jpeg"/><Relationship Id="rId2091" Type="http://schemas.openxmlformats.org/officeDocument/2006/relationships/image" Target="media/image2084.jpeg"/><Relationship Id="rId2092" Type="http://schemas.openxmlformats.org/officeDocument/2006/relationships/image" Target="media/image2085.jpeg"/><Relationship Id="rId2093" Type="http://schemas.openxmlformats.org/officeDocument/2006/relationships/image" Target="media/image2086.jpe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jpeg"/><Relationship Id="rId2099" Type="http://schemas.openxmlformats.org/officeDocument/2006/relationships/image" Target="media/image2092.jpeg"/><Relationship Id="rId2100" Type="http://schemas.openxmlformats.org/officeDocument/2006/relationships/image" Target="media/image2093.jpeg"/><Relationship Id="rId2101" Type="http://schemas.openxmlformats.org/officeDocument/2006/relationships/image" Target="media/image2094.jpeg"/><Relationship Id="rId2102" Type="http://schemas.openxmlformats.org/officeDocument/2006/relationships/image" Target="media/image2095.jpeg"/><Relationship Id="rId2103" Type="http://schemas.openxmlformats.org/officeDocument/2006/relationships/image" Target="media/image2096.jpeg"/><Relationship Id="rId2104" Type="http://schemas.openxmlformats.org/officeDocument/2006/relationships/image" Target="media/image2097.jpeg"/><Relationship Id="rId2105" Type="http://schemas.openxmlformats.org/officeDocument/2006/relationships/image" Target="media/image2098.jpeg"/><Relationship Id="rId2106" Type="http://schemas.openxmlformats.org/officeDocument/2006/relationships/image" Target="media/image2099.jpeg"/><Relationship Id="rId2107" Type="http://schemas.openxmlformats.org/officeDocument/2006/relationships/image" Target="media/image2100.jpeg"/><Relationship Id="rId2108" Type="http://schemas.openxmlformats.org/officeDocument/2006/relationships/image" Target="media/image2101.jpeg"/><Relationship Id="rId2109" Type="http://schemas.openxmlformats.org/officeDocument/2006/relationships/image" Target="media/image2102.jpeg"/><Relationship Id="rId2110" Type="http://schemas.openxmlformats.org/officeDocument/2006/relationships/image" Target="media/image2103.jpeg"/><Relationship Id="rId2111" Type="http://schemas.openxmlformats.org/officeDocument/2006/relationships/image" Target="media/image2104.jpeg"/><Relationship Id="rId2112" Type="http://schemas.openxmlformats.org/officeDocument/2006/relationships/image" Target="media/image2105.jpeg"/><Relationship Id="rId2113" Type="http://schemas.openxmlformats.org/officeDocument/2006/relationships/image" Target="media/image2106.jpeg"/><Relationship Id="rId2114" Type="http://schemas.openxmlformats.org/officeDocument/2006/relationships/image" Target="media/image2107.jpeg"/><Relationship Id="rId2115" Type="http://schemas.openxmlformats.org/officeDocument/2006/relationships/image" Target="media/image2108.jpeg"/><Relationship Id="rId2116" Type="http://schemas.openxmlformats.org/officeDocument/2006/relationships/image" Target="media/image2109.jpeg"/><Relationship Id="rId2117" Type="http://schemas.openxmlformats.org/officeDocument/2006/relationships/image" Target="media/image2110.jpeg"/><Relationship Id="rId2118" Type="http://schemas.openxmlformats.org/officeDocument/2006/relationships/image" Target="media/image2111.jpeg"/><Relationship Id="rId2119" Type="http://schemas.openxmlformats.org/officeDocument/2006/relationships/image" Target="media/image2112.jpeg"/><Relationship Id="rId2120" Type="http://schemas.openxmlformats.org/officeDocument/2006/relationships/image" Target="media/image2113.jpeg"/><Relationship Id="rId2121" Type="http://schemas.openxmlformats.org/officeDocument/2006/relationships/image" Target="media/image2114.jpeg"/><Relationship Id="rId2122" Type="http://schemas.openxmlformats.org/officeDocument/2006/relationships/image" Target="media/image2115.jpeg"/><Relationship Id="rId2123" Type="http://schemas.openxmlformats.org/officeDocument/2006/relationships/image" Target="media/image2116.jpeg"/><Relationship Id="rId2124" Type="http://schemas.openxmlformats.org/officeDocument/2006/relationships/image" Target="media/image2117.jpeg"/><Relationship Id="rId2125" Type="http://schemas.openxmlformats.org/officeDocument/2006/relationships/image" Target="media/image2118.jpeg"/><Relationship Id="rId2126" Type="http://schemas.openxmlformats.org/officeDocument/2006/relationships/image" Target="media/image2119.jpeg"/><Relationship Id="rId2127" Type="http://schemas.openxmlformats.org/officeDocument/2006/relationships/image" Target="media/image2120.jpeg"/><Relationship Id="rId2128" Type="http://schemas.openxmlformats.org/officeDocument/2006/relationships/image" Target="media/image2121.jpeg"/><Relationship Id="rId2129" Type="http://schemas.openxmlformats.org/officeDocument/2006/relationships/image" Target="media/image2122.jpeg"/><Relationship Id="rId2130" Type="http://schemas.openxmlformats.org/officeDocument/2006/relationships/image" Target="media/image2123.jpeg"/><Relationship Id="rId2131" Type="http://schemas.openxmlformats.org/officeDocument/2006/relationships/image" Target="media/image2124.jpeg"/><Relationship Id="rId2132" Type="http://schemas.openxmlformats.org/officeDocument/2006/relationships/image" Target="media/image2125.jpeg"/><Relationship Id="rId2133" Type="http://schemas.openxmlformats.org/officeDocument/2006/relationships/image" Target="media/image2126.jpeg"/><Relationship Id="rId2134" Type="http://schemas.openxmlformats.org/officeDocument/2006/relationships/image" Target="media/image2127.jpe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jpeg"/><Relationship Id="rId2138" Type="http://schemas.openxmlformats.org/officeDocument/2006/relationships/image" Target="media/image2131.jpeg"/><Relationship Id="rId2139" Type="http://schemas.openxmlformats.org/officeDocument/2006/relationships/image" Target="media/image2132.jpeg"/><Relationship Id="rId2140" Type="http://schemas.openxmlformats.org/officeDocument/2006/relationships/image" Target="media/image2133.jpeg"/><Relationship Id="rId2141" Type="http://schemas.openxmlformats.org/officeDocument/2006/relationships/image" Target="media/image2134.jpeg"/><Relationship Id="rId2142" Type="http://schemas.openxmlformats.org/officeDocument/2006/relationships/image" Target="media/image2135.jpeg"/><Relationship Id="rId2143" Type="http://schemas.openxmlformats.org/officeDocument/2006/relationships/image" Target="media/image2136.jpeg"/><Relationship Id="rId2144" Type="http://schemas.openxmlformats.org/officeDocument/2006/relationships/image" Target="media/image2137.jpeg"/><Relationship Id="rId2145" Type="http://schemas.openxmlformats.org/officeDocument/2006/relationships/image" Target="media/image2138.jpeg"/><Relationship Id="rId2146" Type="http://schemas.openxmlformats.org/officeDocument/2006/relationships/image" Target="media/image2139.jpeg"/><Relationship Id="rId2147" Type="http://schemas.openxmlformats.org/officeDocument/2006/relationships/image" Target="media/image2140.jpeg"/><Relationship Id="rId2148" Type="http://schemas.openxmlformats.org/officeDocument/2006/relationships/image" Target="media/image2141.jpeg"/><Relationship Id="rId2149" Type="http://schemas.openxmlformats.org/officeDocument/2006/relationships/image" Target="media/image2142.jpeg"/><Relationship Id="rId2150" Type="http://schemas.openxmlformats.org/officeDocument/2006/relationships/image" Target="media/image2143.jpeg"/><Relationship Id="rId2151" Type="http://schemas.openxmlformats.org/officeDocument/2006/relationships/image" Target="media/image2144.jpeg"/><Relationship Id="rId2152" Type="http://schemas.openxmlformats.org/officeDocument/2006/relationships/image" Target="media/image2145.jpeg"/><Relationship Id="rId2153" Type="http://schemas.openxmlformats.org/officeDocument/2006/relationships/image" Target="media/image2146.jpeg"/><Relationship Id="rId2154" Type="http://schemas.openxmlformats.org/officeDocument/2006/relationships/image" Target="media/image2147.jpeg"/><Relationship Id="rId2155" Type="http://schemas.openxmlformats.org/officeDocument/2006/relationships/image" Target="media/image2148.jpeg"/><Relationship Id="rId2156" Type="http://schemas.openxmlformats.org/officeDocument/2006/relationships/image" Target="media/image2149.jpeg"/><Relationship Id="rId2157" Type="http://schemas.openxmlformats.org/officeDocument/2006/relationships/image" Target="media/image2150.jpeg"/><Relationship Id="rId2158" Type="http://schemas.openxmlformats.org/officeDocument/2006/relationships/image" Target="media/image2151.jpeg"/><Relationship Id="rId2159" Type="http://schemas.openxmlformats.org/officeDocument/2006/relationships/image" Target="media/image2152.jpe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jpeg"/><Relationship Id="rId2173" Type="http://schemas.openxmlformats.org/officeDocument/2006/relationships/image" Target="media/image2166.png"/><Relationship Id="rId2174" Type="http://schemas.openxmlformats.org/officeDocument/2006/relationships/image" Target="media/image2167.jpe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jpeg"/><Relationship Id="rId2178" Type="http://schemas.openxmlformats.org/officeDocument/2006/relationships/image" Target="media/image2171.jpeg"/><Relationship Id="rId2179" Type="http://schemas.openxmlformats.org/officeDocument/2006/relationships/image" Target="media/image2172.jpeg"/><Relationship Id="rId2180" Type="http://schemas.openxmlformats.org/officeDocument/2006/relationships/image" Target="media/image2173.jpeg"/><Relationship Id="rId2181" Type="http://schemas.openxmlformats.org/officeDocument/2006/relationships/image" Target="media/image2174.jpeg"/><Relationship Id="rId2182" Type="http://schemas.openxmlformats.org/officeDocument/2006/relationships/image" Target="media/image2175.jpeg"/><Relationship Id="rId2183" Type="http://schemas.openxmlformats.org/officeDocument/2006/relationships/image" Target="media/image2176.jpeg"/><Relationship Id="rId2184" Type="http://schemas.openxmlformats.org/officeDocument/2006/relationships/image" Target="media/image2177.jpeg"/><Relationship Id="rId2185" Type="http://schemas.openxmlformats.org/officeDocument/2006/relationships/image" Target="media/image2178.jpeg"/><Relationship Id="rId2186" Type="http://schemas.openxmlformats.org/officeDocument/2006/relationships/image" Target="media/image2179.jpeg"/><Relationship Id="rId2187" Type="http://schemas.openxmlformats.org/officeDocument/2006/relationships/image" Target="media/image2180.png"/><Relationship Id="rId2188" Type="http://schemas.openxmlformats.org/officeDocument/2006/relationships/image" Target="media/image2181.jpeg"/><Relationship Id="rId2189" Type="http://schemas.openxmlformats.org/officeDocument/2006/relationships/image" Target="media/image2182.png"/><Relationship Id="rId2190" Type="http://schemas.openxmlformats.org/officeDocument/2006/relationships/image" Target="media/image2183.jpeg"/><Relationship Id="rId2191" Type="http://schemas.openxmlformats.org/officeDocument/2006/relationships/image" Target="media/image2184.jpeg"/><Relationship Id="rId2192" Type="http://schemas.openxmlformats.org/officeDocument/2006/relationships/image" Target="media/image2185.jpeg"/><Relationship Id="rId2193" Type="http://schemas.openxmlformats.org/officeDocument/2006/relationships/image" Target="media/image2186.jpeg"/><Relationship Id="rId2194" Type="http://schemas.openxmlformats.org/officeDocument/2006/relationships/image" Target="media/image2187.jpeg"/><Relationship Id="rId2195" Type="http://schemas.openxmlformats.org/officeDocument/2006/relationships/image" Target="media/image2188.jpeg"/><Relationship Id="rId2196" Type="http://schemas.openxmlformats.org/officeDocument/2006/relationships/image" Target="media/image2189.jpeg"/><Relationship Id="rId2197" Type="http://schemas.openxmlformats.org/officeDocument/2006/relationships/image" Target="media/image2190.jpeg"/><Relationship Id="rId2198" Type="http://schemas.openxmlformats.org/officeDocument/2006/relationships/image" Target="media/image2191.jpeg"/><Relationship Id="rId2199" Type="http://schemas.openxmlformats.org/officeDocument/2006/relationships/image" Target="media/image2192.jpeg"/><Relationship Id="rId2200" Type="http://schemas.openxmlformats.org/officeDocument/2006/relationships/image" Target="media/image2193.jpeg"/><Relationship Id="rId2201" Type="http://schemas.openxmlformats.org/officeDocument/2006/relationships/image" Target="media/image2194.jpeg"/><Relationship Id="rId2202" Type="http://schemas.openxmlformats.org/officeDocument/2006/relationships/image" Target="media/image2195.jpeg"/><Relationship Id="rId2203" Type="http://schemas.openxmlformats.org/officeDocument/2006/relationships/image" Target="media/image2196.jpeg"/><Relationship Id="rId2204" Type="http://schemas.openxmlformats.org/officeDocument/2006/relationships/image" Target="media/image2197.jpeg"/><Relationship Id="rId2205" Type="http://schemas.openxmlformats.org/officeDocument/2006/relationships/image" Target="media/image2198.jpeg"/><Relationship Id="rId2206" Type="http://schemas.openxmlformats.org/officeDocument/2006/relationships/image" Target="media/image2199.jpeg"/><Relationship Id="rId2207" Type="http://schemas.openxmlformats.org/officeDocument/2006/relationships/image" Target="media/image2200.jpeg"/><Relationship Id="rId2208" Type="http://schemas.openxmlformats.org/officeDocument/2006/relationships/image" Target="media/image2201.jpeg"/><Relationship Id="rId2209" Type="http://schemas.openxmlformats.org/officeDocument/2006/relationships/image" Target="media/image2202.jpeg"/><Relationship Id="rId2210" Type="http://schemas.openxmlformats.org/officeDocument/2006/relationships/image" Target="media/image2203.jpeg"/><Relationship Id="rId2211" Type="http://schemas.openxmlformats.org/officeDocument/2006/relationships/image" Target="media/image2204.jpeg"/><Relationship Id="rId2212" Type="http://schemas.openxmlformats.org/officeDocument/2006/relationships/image" Target="media/image2205.jpeg"/><Relationship Id="rId2213" Type="http://schemas.openxmlformats.org/officeDocument/2006/relationships/image" Target="media/image2206.jpeg"/><Relationship Id="rId2214" Type="http://schemas.openxmlformats.org/officeDocument/2006/relationships/image" Target="media/image2207.jpeg"/><Relationship Id="rId2215" Type="http://schemas.openxmlformats.org/officeDocument/2006/relationships/image" Target="media/image2208.jpe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jpe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jpeg"/><Relationship Id="rId2234" Type="http://schemas.openxmlformats.org/officeDocument/2006/relationships/image" Target="media/image2227.jpeg"/><Relationship Id="rId2235" Type="http://schemas.openxmlformats.org/officeDocument/2006/relationships/image" Target="media/image2228.jpeg"/><Relationship Id="rId2236" Type="http://schemas.openxmlformats.org/officeDocument/2006/relationships/image" Target="media/image2229.jpeg"/><Relationship Id="rId2237" Type="http://schemas.openxmlformats.org/officeDocument/2006/relationships/image" Target="media/image2230.jpeg"/><Relationship Id="rId2238" Type="http://schemas.openxmlformats.org/officeDocument/2006/relationships/image" Target="media/image2231.jpeg"/><Relationship Id="rId2239" Type="http://schemas.openxmlformats.org/officeDocument/2006/relationships/image" Target="media/image2232.jpeg"/><Relationship Id="rId2240" Type="http://schemas.openxmlformats.org/officeDocument/2006/relationships/image" Target="media/image2233.jpeg"/><Relationship Id="rId2241" Type="http://schemas.openxmlformats.org/officeDocument/2006/relationships/image" Target="media/image2234.jpeg"/><Relationship Id="rId2242" Type="http://schemas.openxmlformats.org/officeDocument/2006/relationships/image" Target="media/image2235.jpeg"/><Relationship Id="rId2243" Type="http://schemas.openxmlformats.org/officeDocument/2006/relationships/image" Target="media/image2236.jpeg"/><Relationship Id="rId2244" Type="http://schemas.openxmlformats.org/officeDocument/2006/relationships/image" Target="media/image2237.jpeg"/><Relationship Id="rId2245" Type="http://schemas.openxmlformats.org/officeDocument/2006/relationships/image" Target="media/image2238.jpeg"/><Relationship Id="rId2246" Type="http://schemas.openxmlformats.org/officeDocument/2006/relationships/image" Target="media/image2239.jpeg"/><Relationship Id="rId2247" Type="http://schemas.openxmlformats.org/officeDocument/2006/relationships/image" Target="media/image2240.jpeg"/><Relationship Id="rId2248" Type="http://schemas.openxmlformats.org/officeDocument/2006/relationships/image" Target="media/image2241.jpeg"/><Relationship Id="rId2249" Type="http://schemas.openxmlformats.org/officeDocument/2006/relationships/image" Target="media/image2242.jpeg"/><Relationship Id="rId2250" Type="http://schemas.openxmlformats.org/officeDocument/2006/relationships/image" Target="media/image2243.jpeg"/><Relationship Id="rId2251" Type="http://schemas.openxmlformats.org/officeDocument/2006/relationships/image" Target="media/image2244.jpeg"/><Relationship Id="rId2252" Type="http://schemas.openxmlformats.org/officeDocument/2006/relationships/image" Target="media/image2245.jpeg"/><Relationship Id="rId2253" Type="http://schemas.openxmlformats.org/officeDocument/2006/relationships/image" Target="media/image2246.jpeg"/><Relationship Id="rId2254" Type="http://schemas.openxmlformats.org/officeDocument/2006/relationships/image" Target="media/image2247.jpeg"/><Relationship Id="rId2255" Type="http://schemas.openxmlformats.org/officeDocument/2006/relationships/image" Target="media/image2248.jpeg"/><Relationship Id="rId2256" Type="http://schemas.openxmlformats.org/officeDocument/2006/relationships/image" Target="media/image2249.jpeg"/><Relationship Id="rId2257" Type="http://schemas.openxmlformats.org/officeDocument/2006/relationships/image" Target="media/image2250.jpeg"/><Relationship Id="rId2258" Type="http://schemas.openxmlformats.org/officeDocument/2006/relationships/image" Target="media/image2251.jpeg"/><Relationship Id="rId2259" Type="http://schemas.openxmlformats.org/officeDocument/2006/relationships/image" Target="media/image2252.jpeg"/><Relationship Id="rId2260" Type="http://schemas.openxmlformats.org/officeDocument/2006/relationships/image" Target="media/image2253.jpeg"/><Relationship Id="rId2261" Type="http://schemas.openxmlformats.org/officeDocument/2006/relationships/image" Target="media/image2254.jpeg"/><Relationship Id="rId2262" Type="http://schemas.openxmlformats.org/officeDocument/2006/relationships/image" Target="media/image2255.jpeg"/><Relationship Id="rId2263" Type="http://schemas.openxmlformats.org/officeDocument/2006/relationships/image" Target="media/image2256.jpeg"/><Relationship Id="rId2264" Type="http://schemas.openxmlformats.org/officeDocument/2006/relationships/image" Target="media/image2257.jpeg"/><Relationship Id="rId2265" Type="http://schemas.openxmlformats.org/officeDocument/2006/relationships/image" Target="media/image2258.jpeg"/><Relationship Id="rId2266" Type="http://schemas.openxmlformats.org/officeDocument/2006/relationships/image" Target="media/image2259.jpeg"/><Relationship Id="rId2267" Type="http://schemas.openxmlformats.org/officeDocument/2006/relationships/image" Target="media/image2260.jpeg"/><Relationship Id="rId2268" Type="http://schemas.openxmlformats.org/officeDocument/2006/relationships/image" Target="media/image2261.jpeg"/><Relationship Id="rId2269" Type="http://schemas.openxmlformats.org/officeDocument/2006/relationships/image" Target="media/image2262.jpeg"/><Relationship Id="rId2270" Type="http://schemas.openxmlformats.org/officeDocument/2006/relationships/image" Target="media/image2263.jpeg"/><Relationship Id="rId2271" Type="http://schemas.openxmlformats.org/officeDocument/2006/relationships/image" Target="media/image2264.jpeg"/><Relationship Id="rId2272" Type="http://schemas.openxmlformats.org/officeDocument/2006/relationships/image" Target="media/image2265.jpeg"/><Relationship Id="rId2273" Type="http://schemas.openxmlformats.org/officeDocument/2006/relationships/image" Target="media/image2266.jpeg"/><Relationship Id="rId2274" Type="http://schemas.openxmlformats.org/officeDocument/2006/relationships/image" Target="media/image2267.jpe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jpeg"/><Relationship Id="rId2280" Type="http://schemas.openxmlformats.org/officeDocument/2006/relationships/image" Target="media/image2273.jpeg"/><Relationship Id="rId2281" Type="http://schemas.openxmlformats.org/officeDocument/2006/relationships/image" Target="media/image2274.jpeg"/><Relationship Id="rId2282" Type="http://schemas.openxmlformats.org/officeDocument/2006/relationships/image" Target="media/image2275.jpeg"/><Relationship Id="rId2283" Type="http://schemas.openxmlformats.org/officeDocument/2006/relationships/image" Target="media/image2276.jpeg"/><Relationship Id="rId2284" Type="http://schemas.openxmlformats.org/officeDocument/2006/relationships/image" Target="media/image2277.jpeg"/><Relationship Id="rId2285" Type="http://schemas.openxmlformats.org/officeDocument/2006/relationships/image" Target="media/image2278.jpeg"/><Relationship Id="rId2286" Type="http://schemas.openxmlformats.org/officeDocument/2006/relationships/image" Target="media/image2279.jpeg"/><Relationship Id="rId2287" Type="http://schemas.openxmlformats.org/officeDocument/2006/relationships/image" Target="media/image2280.jpeg"/><Relationship Id="rId2288" Type="http://schemas.openxmlformats.org/officeDocument/2006/relationships/image" Target="media/image2281.jpeg"/><Relationship Id="rId2289" Type="http://schemas.openxmlformats.org/officeDocument/2006/relationships/image" Target="media/image2282.jpeg"/><Relationship Id="rId2290" Type="http://schemas.openxmlformats.org/officeDocument/2006/relationships/image" Target="media/image2283.jpeg"/><Relationship Id="rId2291" Type="http://schemas.openxmlformats.org/officeDocument/2006/relationships/image" Target="media/image2284.jpeg"/><Relationship Id="rId2292" Type="http://schemas.openxmlformats.org/officeDocument/2006/relationships/image" Target="media/image2285.jpeg"/><Relationship Id="rId2293" Type="http://schemas.openxmlformats.org/officeDocument/2006/relationships/image" Target="media/image2286.jpeg"/><Relationship Id="rId2294" Type="http://schemas.openxmlformats.org/officeDocument/2006/relationships/image" Target="media/image2287.jpeg"/><Relationship Id="rId2295" Type="http://schemas.openxmlformats.org/officeDocument/2006/relationships/image" Target="media/image2288.jpeg"/><Relationship Id="rId2296" Type="http://schemas.openxmlformats.org/officeDocument/2006/relationships/image" Target="media/image2289.jpeg"/><Relationship Id="rId2297" Type="http://schemas.openxmlformats.org/officeDocument/2006/relationships/image" Target="media/image2290.jpeg"/><Relationship Id="rId2298" Type="http://schemas.openxmlformats.org/officeDocument/2006/relationships/image" Target="media/image2291.jpeg"/><Relationship Id="rId2299" Type="http://schemas.openxmlformats.org/officeDocument/2006/relationships/image" Target="media/image2292.jpeg"/><Relationship Id="rId2300" Type="http://schemas.openxmlformats.org/officeDocument/2006/relationships/image" Target="media/image2293.jpeg"/><Relationship Id="rId2301" Type="http://schemas.openxmlformats.org/officeDocument/2006/relationships/image" Target="media/image2294.jpeg"/><Relationship Id="rId2302" Type="http://schemas.openxmlformats.org/officeDocument/2006/relationships/image" Target="media/image2295.jpeg"/><Relationship Id="rId2303" Type="http://schemas.openxmlformats.org/officeDocument/2006/relationships/image" Target="media/image2296.jpeg"/><Relationship Id="rId2304" Type="http://schemas.openxmlformats.org/officeDocument/2006/relationships/image" Target="media/image2297.jpeg"/><Relationship Id="rId2305" Type="http://schemas.openxmlformats.org/officeDocument/2006/relationships/image" Target="media/image2298.jpeg"/><Relationship Id="rId2306" Type="http://schemas.openxmlformats.org/officeDocument/2006/relationships/image" Target="media/image2299.jpeg"/><Relationship Id="rId2307" Type="http://schemas.openxmlformats.org/officeDocument/2006/relationships/image" Target="media/image2300.jpeg"/><Relationship Id="rId2308" Type="http://schemas.openxmlformats.org/officeDocument/2006/relationships/image" Target="media/image2301.jpe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jpeg"/><Relationship Id="rId2316" Type="http://schemas.openxmlformats.org/officeDocument/2006/relationships/image" Target="media/image2309.jpeg"/><Relationship Id="rId2317" Type="http://schemas.openxmlformats.org/officeDocument/2006/relationships/image" Target="media/image2310.jpeg"/><Relationship Id="rId2318" Type="http://schemas.openxmlformats.org/officeDocument/2006/relationships/image" Target="media/image2311.jpeg"/><Relationship Id="rId2319" Type="http://schemas.openxmlformats.org/officeDocument/2006/relationships/image" Target="media/image2312.jpeg"/><Relationship Id="rId2320" Type="http://schemas.openxmlformats.org/officeDocument/2006/relationships/image" Target="media/image2313.jpeg"/><Relationship Id="rId2321" Type="http://schemas.openxmlformats.org/officeDocument/2006/relationships/image" Target="media/image2314.jpeg"/><Relationship Id="rId2322" Type="http://schemas.openxmlformats.org/officeDocument/2006/relationships/image" Target="media/image2315.jpeg"/><Relationship Id="rId2323" Type="http://schemas.openxmlformats.org/officeDocument/2006/relationships/image" Target="media/image2316.jpeg"/><Relationship Id="rId2324" Type="http://schemas.openxmlformats.org/officeDocument/2006/relationships/image" Target="media/image2317.jpeg"/><Relationship Id="rId2325" Type="http://schemas.openxmlformats.org/officeDocument/2006/relationships/image" Target="media/image2318.jpeg"/><Relationship Id="rId2326" Type="http://schemas.openxmlformats.org/officeDocument/2006/relationships/image" Target="media/image2319.jpeg"/><Relationship Id="rId2327" Type="http://schemas.openxmlformats.org/officeDocument/2006/relationships/image" Target="media/image2320.jpeg"/><Relationship Id="rId2328" Type="http://schemas.openxmlformats.org/officeDocument/2006/relationships/image" Target="media/image2321.jpeg"/><Relationship Id="rId2329" Type="http://schemas.openxmlformats.org/officeDocument/2006/relationships/image" Target="media/image2322.jpeg"/><Relationship Id="rId2330" Type="http://schemas.openxmlformats.org/officeDocument/2006/relationships/image" Target="media/image2323.jpeg"/><Relationship Id="rId2331" Type="http://schemas.openxmlformats.org/officeDocument/2006/relationships/image" Target="media/image2324.jpeg"/><Relationship Id="rId2332" Type="http://schemas.openxmlformats.org/officeDocument/2006/relationships/image" Target="media/image2325.jpeg"/><Relationship Id="rId2333" Type="http://schemas.openxmlformats.org/officeDocument/2006/relationships/image" Target="media/image2326.jpeg"/><Relationship Id="rId2334" Type="http://schemas.openxmlformats.org/officeDocument/2006/relationships/image" Target="media/image2327.jpeg"/><Relationship Id="rId2335" Type="http://schemas.openxmlformats.org/officeDocument/2006/relationships/image" Target="media/image2328.jpeg"/><Relationship Id="rId2336" Type="http://schemas.openxmlformats.org/officeDocument/2006/relationships/image" Target="media/image2329.jpeg"/><Relationship Id="rId2337" Type="http://schemas.openxmlformats.org/officeDocument/2006/relationships/image" Target="media/image2330.jpeg"/><Relationship Id="rId2338" Type="http://schemas.openxmlformats.org/officeDocument/2006/relationships/image" Target="media/image2331.jpeg"/><Relationship Id="rId2339" Type="http://schemas.openxmlformats.org/officeDocument/2006/relationships/image" Target="media/image2332.jpe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jpeg"/><Relationship Id="rId2344" Type="http://schemas.openxmlformats.org/officeDocument/2006/relationships/image" Target="media/image2337.jpeg"/><Relationship Id="rId2345" Type="http://schemas.openxmlformats.org/officeDocument/2006/relationships/image" Target="media/image2338.jpeg"/><Relationship Id="rId2346" Type="http://schemas.openxmlformats.org/officeDocument/2006/relationships/image" Target="media/image2339.jpeg"/><Relationship Id="rId2347" Type="http://schemas.openxmlformats.org/officeDocument/2006/relationships/image" Target="media/image2340.jpeg"/><Relationship Id="rId2348" Type="http://schemas.openxmlformats.org/officeDocument/2006/relationships/image" Target="media/image2341.jpeg"/><Relationship Id="rId2349" Type="http://schemas.openxmlformats.org/officeDocument/2006/relationships/image" Target="media/image2342.jpeg"/><Relationship Id="rId2350" Type="http://schemas.openxmlformats.org/officeDocument/2006/relationships/image" Target="media/image2343.jpeg"/><Relationship Id="rId2351" Type="http://schemas.openxmlformats.org/officeDocument/2006/relationships/image" Target="media/image2344.jpeg"/><Relationship Id="rId2352" Type="http://schemas.openxmlformats.org/officeDocument/2006/relationships/image" Target="media/image2345.jpeg"/><Relationship Id="rId2353" Type="http://schemas.openxmlformats.org/officeDocument/2006/relationships/image" Target="media/image2346.jpeg"/><Relationship Id="rId2354" Type="http://schemas.openxmlformats.org/officeDocument/2006/relationships/image" Target="media/image2347.jpe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jpeg"/><Relationship Id="rId2358" Type="http://schemas.openxmlformats.org/officeDocument/2006/relationships/image" Target="media/image2351.png"/><Relationship Id="rId2359" Type="http://schemas.openxmlformats.org/officeDocument/2006/relationships/image" Target="media/image2352.jpeg"/><Relationship Id="rId2360" Type="http://schemas.openxmlformats.org/officeDocument/2006/relationships/image" Target="media/image2353.jpeg"/><Relationship Id="rId2361" Type="http://schemas.openxmlformats.org/officeDocument/2006/relationships/image" Target="media/image2354.jpeg"/><Relationship Id="rId2362" Type="http://schemas.openxmlformats.org/officeDocument/2006/relationships/image" Target="media/image2355.jpeg"/><Relationship Id="rId2363" Type="http://schemas.openxmlformats.org/officeDocument/2006/relationships/image" Target="media/image2356.jpeg"/><Relationship Id="rId2364" Type="http://schemas.openxmlformats.org/officeDocument/2006/relationships/image" Target="media/image2357.jpeg"/><Relationship Id="rId2365" Type="http://schemas.openxmlformats.org/officeDocument/2006/relationships/image" Target="media/image2358.jpeg"/><Relationship Id="rId2366" Type="http://schemas.openxmlformats.org/officeDocument/2006/relationships/image" Target="media/image2359.jpeg"/><Relationship Id="rId2367" Type="http://schemas.openxmlformats.org/officeDocument/2006/relationships/image" Target="media/image2360.jpeg"/><Relationship Id="rId2368" Type="http://schemas.openxmlformats.org/officeDocument/2006/relationships/image" Target="media/image2361.jpeg"/><Relationship Id="rId2369" Type="http://schemas.openxmlformats.org/officeDocument/2006/relationships/image" Target="media/image2362.jpeg"/><Relationship Id="rId2370" Type="http://schemas.openxmlformats.org/officeDocument/2006/relationships/image" Target="media/image2363.jpeg"/><Relationship Id="rId2371" Type="http://schemas.openxmlformats.org/officeDocument/2006/relationships/image" Target="media/image2364.jpeg"/><Relationship Id="rId2372" Type="http://schemas.openxmlformats.org/officeDocument/2006/relationships/image" Target="media/image2365.jpeg"/><Relationship Id="rId2373" Type="http://schemas.openxmlformats.org/officeDocument/2006/relationships/image" Target="media/image2366.jpeg"/><Relationship Id="rId2374" Type="http://schemas.openxmlformats.org/officeDocument/2006/relationships/image" Target="media/image2367.jpeg"/><Relationship Id="rId2375" Type="http://schemas.openxmlformats.org/officeDocument/2006/relationships/image" Target="media/image2368.jpeg"/><Relationship Id="rId2376" Type="http://schemas.openxmlformats.org/officeDocument/2006/relationships/image" Target="media/image2369.jpeg"/><Relationship Id="rId2377" Type="http://schemas.openxmlformats.org/officeDocument/2006/relationships/image" Target="media/image2370.jpeg"/><Relationship Id="rId2378" Type="http://schemas.openxmlformats.org/officeDocument/2006/relationships/image" Target="media/image2371.jpeg"/><Relationship Id="rId2379" Type="http://schemas.openxmlformats.org/officeDocument/2006/relationships/image" Target="media/image2372.jpeg"/><Relationship Id="rId2380" Type="http://schemas.openxmlformats.org/officeDocument/2006/relationships/image" Target="media/image2373.jpeg"/><Relationship Id="rId2381" Type="http://schemas.openxmlformats.org/officeDocument/2006/relationships/image" Target="media/image2374.jpeg"/><Relationship Id="rId2382" Type="http://schemas.openxmlformats.org/officeDocument/2006/relationships/image" Target="media/image2375.jpeg"/><Relationship Id="rId2383" Type="http://schemas.openxmlformats.org/officeDocument/2006/relationships/image" Target="media/image2376.jpeg"/><Relationship Id="rId2384" Type="http://schemas.openxmlformats.org/officeDocument/2006/relationships/image" Target="media/image2377.jpeg"/><Relationship Id="rId2385" Type="http://schemas.openxmlformats.org/officeDocument/2006/relationships/image" Target="media/image2378.jpeg"/><Relationship Id="rId2386" Type="http://schemas.openxmlformats.org/officeDocument/2006/relationships/image" Target="media/image2379.jpeg"/><Relationship Id="rId2387" Type="http://schemas.openxmlformats.org/officeDocument/2006/relationships/image" Target="media/image2380.jpeg"/><Relationship Id="rId2388" Type="http://schemas.openxmlformats.org/officeDocument/2006/relationships/image" Target="media/image2381.jpeg"/><Relationship Id="rId2389" Type="http://schemas.openxmlformats.org/officeDocument/2006/relationships/image" Target="media/image2382.jpeg"/><Relationship Id="rId2390" Type="http://schemas.openxmlformats.org/officeDocument/2006/relationships/image" Target="media/image2383.jpeg"/><Relationship Id="rId2391" Type="http://schemas.openxmlformats.org/officeDocument/2006/relationships/image" Target="media/image2384.jpeg"/><Relationship Id="rId2392" Type="http://schemas.openxmlformats.org/officeDocument/2006/relationships/image" Target="media/image2385.png"/><Relationship Id="rId2393" Type="http://schemas.openxmlformats.org/officeDocument/2006/relationships/image" Target="media/image2386.jpeg"/><Relationship Id="rId2394" Type="http://schemas.openxmlformats.org/officeDocument/2006/relationships/image" Target="media/image2387.jpeg"/><Relationship Id="rId2395" Type="http://schemas.openxmlformats.org/officeDocument/2006/relationships/image" Target="media/image2388.png"/><Relationship Id="rId2396" Type="http://schemas.openxmlformats.org/officeDocument/2006/relationships/image" Target="media/image2389.jpeg"/><Relationship Id="rId2397" Type="http://schemas.openxmlformats.org/officeDocument/2006/relationships/image" Target="media/image2390.jpeg"/><Relationship Id="rId2398" Type="http://schemas.openxmlformats.org/officeDocument/2006/relationships/image" Target="media/image2391.png"/><Relationship Id="rId2399" Type="http://schemas.openxmlformats.org/officeDocument/2006/relationships/image" Target="media/image2392.jpeg"/><Relationship Id="rId2400" Type="http://schemas.openxmlformats.org/officeDocument/2006/relationships/image" Target="media/image2393.jpeg"/><Relationship Id="rId2401" Type="http://schemas.openxmlformats.org/officeDocument/2006/relationships/image" Target="media/image2394.png"/><Relationship Id="rId2402" Type="http://schemas.openxmlformats.org/officeDocument/2006/relationships/image" Target="media/image2395.jpeg"/><Relationship Id="rId2403" Type="http://schemas.openxmlformats.org/officeDocument/2006/relationships/image" Target="media/image2396.jpeg"/><Relationship Id="rId2404" Type="http://schemas.openxmlformats.org/officeDocument/2006/relationships/image" Target="media/image2397.png"/><Relationship Id="rId2405" Type="http://schemas.openxmlformats.org/officeDocument/2006/relationships/image" Target="media/image2398.jpeg"/><Relationship Id="rId2406" Type="http://schemas.openxmlformats.org/officeDocument/2006/relationships/image" Target="media/image2399.jpeg"/><Relationship Id="rId2407" Type="http://schemas.openxmlformats.org/officeDocument/2006/relationships/image" Target="media/image2400.jpeg"/><Relationship Id="rId2408" Type="http://schemas.openxmlformats.org/officeDocument/2006/relationships/image" Target="media/image2401.jpeg"/><Relationship Id="rId2409" Type="http://schemas.openxmlformats.org/officeDocument/2006/relationships/image" Target="media/image2402.jpeg"/><Relationship Id="rId2410" Type="http://schemas.openxmlformats.org/officeDocument/2006/relationships/image" Target="media/image2403.jpeg"/><Relationship Id="rId2411" Type="http://schemas.openxmlformats.org/officeDocument/2006/relationships/image" Target="media/image2404.jpeg"/><Relationship Id="rId2412" Type="http://schemas.openxmlformats.org/officeDocument/2006/relationships/image" Target="media/image2405.jpeg"/><Relationship Id="rId2413" Type="http://schemas.openxmlformats.org/officeDocument/2006/relationships/image" Target="media/image2406.jpeg"/><Relationship Id="rId2414" Type="http://schemas.openxmlformats.org/officeDocument/2006/relationships/image" Target="media/image2407.jpeg"/><Relationship Id="rId2415" Type="http://schemas.openxmlformats.org/officeDocument/2006/relationships/image" Target="media/image2408.jpeg"/><Relationship Id="rId2416" Type="http://schemas.openxmlformats.org/officeDocument/2006/relationships/image" Target="media/image2409.jpeg"/><Relationship Id="rId2417" Type="http://schemas.openxmlformats.org/officeDocument/2006/relationships/image" Target="media/image2410.jpeg"/><Relationship Id="rId2418" Type="http://schemas.openxmlformats.org/officeDocument/2006/relationships/image" Target="media/image2411.jpeg"/><Relationship Id="rId2419" Type="http://schemas.openxmlformats.org/officeDocument/2006/relationships/image" Target="media/image2412.jpeg"/><Relationship Id="rId2420" Type="http://schemas.openxmlformats.org/officeDocument/2006/relationships/image" Target="media/image2413.jpeg"/><Relationship Id="rId2421" Type="http://schemas.openxmlformats.org/officeDocument/2006/relationships/image" Target="media/image2414.jpeg"/><Relationship Id="rId2422" Type="http://schemas.openxmlformats.org/officeDocument/2006/relationships/image" Target="media/image2415.jpeg"/><Relationship Id="rId2423" Type="http://schemas.openxmlformats.org/officeDocument/2006/relationships/image" Target="media/image2416.jpeg"/><Relationship Id="rId2424" Type="http://schemas.openxmlformats.org/officeDocument/2006/relationships/image" Target="media/image2417.jpeg"/><Relationship Id="rId2425" Type="http://schemas.openxmlformats.org/officeDocument/2006/relationships/image" Target="media/image2418.jpeg"/><Relationship Id="rId2426" Type="http://schemas.openxmlformats.org/officeDocument/2006/relationships/image" Target="media/image2419.jpeg"/><Relationship Id="rId2427" Type="http://schemas.openxmlformats.org/officeDocument/2006/relationships/image" Target="media/image2420.jpeg"/><Relationship Id="rId2428" Type="http://schemas.openxmlformats.org/officeDocument/2006/relationships/image" Target="media/image2421.jpeg"/><Relationship Id="rId2429" Type="http://schemas.openxmlformats.org/officeDocument/2006/relationships/image" Target="media/image2422.jpeg"/><Relationship Id="rId2430" Type="http://schemas.openxmlformats.org/officeDocument/2006/relationships/image" Target="media/image2423.jpeg"/><Relationship Id="rId2431" Type="http://schemas.openxmlformats.org/officeDocument/2006/relationships/image" Target="media/image2424.jpeg"/><Relationship Id="rId2432" Type="http://schemas.openxmlformats.org/officeDocument/2006/relationships/image" Target="media/image2425.jpeg"/><Relationship Id="rId2433" Type="http://schemas.openxmlformats.org/officeDocument/2006/relationships/image" Target="media/image2426.jpeg"/><Relationship Id="rId2434" Type="http://schemas.openxmlformats.org/officeDocument/2006/relationships/image" Target="media/image2427.jpe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jpeg"/><Relationship Id="rId2438" Type="http://schemas.openxmlformats.org/officeDocument/2006/relationships/image" Target="media/image2431.png"/><Relationship Id="rId2439" Type="http://schemas.openxmlformats.org/officeDocument/2006/relationships/image" Target="media/image2432.jpeg"/><Relationship Id="rId2440" Type="http://schemas.openxmlformats.org/officeDocument/2006/relationships/image" Target="media/image2433.jpeg"/><Relationship Id="rId2441" Type="http://schemas.openxmlformats.org/officeDocument/2006/relationships/image" Target="media/image2434.jpeg"/><Relationship Id="rId2442" Type="http://schemas.openxmlformats.org/officeDocument/2006/relationships/image" Target="media/image2435.jpeg"/><Relationship Id="rId2443" Type="http://schemas.openxmlformats.org/officeDocument/2006/relationships/image" Target="media/image2436.jpeg"/><Relationship Id="rId2444" Type="http://schemas.openxmlformats.org/officeDocument/2006/relationships/image" Target="media/image2437.jpeg"/><Relationship Id="rId2445" Type="http://schemas.openxmlformats.org/officeDocument/2006/relationships/image" Target="media/image2438.jpeg"/><Relationship Id="rId2446" Type="http://schemas.openxmlformats.org/officeDocument/2006/relationships/image" Target="media/image2439.jpeg"/><Relationship Id="rId2447" Type="http://schemas.openxmlformats.org/officeDocument/2006/relationships/image" Target="media/image2440.jpeg"/><Relationship Id="rId2448" Type="http://schemas.openxmlformats.org/officeDocument/2006/relationships/image" Target="media/image2441.jpeg"/><Relationship Id="rId2449" Type="http://schemas.openxmlformats.org/officeDocument/2006/relationships/image" Target="media/image2442.jpeg"/><Relationship Id="rId2450" Type="http://schemas.openxmlformats.org/officeDocument/2006/relationships/image" Target="media/image2443.jpeg"/><Relationship Id="rId2451" Type="http://schemas.openxmlformats.org/officeDocument/2006/relationships/image" Target="media/image2444.jpeg"/><Relationship Id="rId2452" Type="http://schemas.openxmlformats.org/officeDocument/2006/relationships/image" Target="media/image2445.jpeg"/><Relationship Id="rId2453" Type="http://schemas.openxmlformats.org/officeDocument/2006/relationships/image" Target="media/image2446.jpeg"/><Relationship Id="rId2454" Type="http://schemas.openxmlformats.org/officeDocument/2006/relationships/image" Target="media/image2447.jpeg"/><Relationship Id="rId2455" Type="http://schemas.openxmlformats.org/officeDocument/2006/relationships/image" Target="media/image2448.jpeg"/><Relationship Id="rId2456" Type="http://schemas.openxmlformats.org/officeDocument/2006/relationships/image" Target="media/image2449.jpeg"/><Relationship Id="rId2457" Type="http://schemas.openxmlformats.org/officeDocument/2006/relationships/image" Target="media/image2450.jpeg"/><Relationship Id="rId2458" Type="http://schemas.openxmlformats.org/officeDocument/2006/relationships/image" Target="media/image2451.jpeg"/><Relationship Id="rId2459" Type="http://schemas.openxmlformats.org/officeDocument/2006/relationships/image" Target="media/image2452.jpeg"/><Relationship Id="rId2460" Type="http://schemas.openxmlformats.org/officeDocument/2006/relationships/image" Target="media/image2453.jpeg"/><Relationship Id="rId2461" Type="http://schemas.openxmlformats.org/officeDocument/2006/relationships/image" Target="media/image2454.jpeg"/><Relationship Id="rId2462" Type="http://schemas.openxmlformats.org/officeDocument/2006/relationships/image" Target="media/image2455.jpeg"/><Relationship Id="rId2463" Type="http://schemas.openxmlformats.org/officeDocument/2006/relationships/image" Target="media/image2456.jpeg"/><Relationship Id="rId2464" Type="http://schemas.openxmlformats.org/officeDocument/2006/relationships/image" Target="media/image2457.jpeg"/><Relationship Id="rId2465" Type="http://schemas.openxmlformats.org/officeDocument/2006/relationships/image" Target="media/image2458.jpeg"/><Relationship Id="rId2466" Type="http://schemas.openxmlformats.org/officeDocument/2006/relationships/image" Target="media/image2459.jpeg"/><Relationship Id="rId2467" Type="http://schemas.openxmlformats.org/officeDocument/2006/relationships/image" Target="media/image2460.jpeg"/><Relationship Id="rId2468" Type="http://schemas.openxmlformats.org/officeDocument/2006/relationships/image" Target="media/image2461.jpeg"/><Relationship Id="rId2469" Type="http://schemas.openxmlformats.org/officeDocument/2006/relationships/image" Target="media/image2462.jpeg"/><Relationship Id="rId2470" Type="http://schemas.openxmlformats.org/officeDocument/2006/relationships/image" Target="media/image2463.jpe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jpeg"/><Relationship Id="rId2480" Type="http://schemas.openxmlformats.org/officeDocument/2006/relationships/image" Target="media/image2473.jpeg"/><Relationship Id="rId2481" Type="http://schemas.openxmlformats.org/officeDocument/2006/relationships/image" Target="media/image2474.jpeg"/><Relationship Id="rId2482" Type="http://schemas.openxmlformats.org/officeDocument/2006/relationships/image" Target="media/image2475.jpeg"/><Relationship Id="rId2483" Type="http://schemas.openxmlformats.org/officeDocument/2006/relationships/image" Target="media/image2476.jpeg"/><Relationship Id="rId2484" Type="http://schemas.openxmlformats.org/officeDocument/2006/relationships/image" Target="media/image2477.jpeg"/><Relationship Id="rId2485" Type="http://schemas.openxmlformats.org/officeDocument/2006/relationships/image" Target="media/image2478.jpeg"/><Relationship Id="rId2486" Type="http://schemas.openxmlformats.org/officeDocument/2006/relationships/image" Target="media/image2479.jpeg"/><Relationship Id="rId2487" Type="http://schemas.openxmlformats.org/officeDocument/2006/relationships/image" Target="media/image2480.jpeg"/><Relationship Id="rId2488" Type="http://schemas.openxmlformats.org/officeDocument/2006/relationships/image" Target="media/image2481.jpeg"/><Relationship Id="rId2489" Type="http://schemas.openxmlformats.org/officeDocument/2006/relationships/image" Target="media/image2482.jpeg"/><Relationship Id="rId2490" Type="http://schemas.openxmlformats.org/officeDocument/2006/relationships/image" Target="media/image2483.jpeg"/><Relationship Id="rId2491" Type="http://schemas.openxmlformats.org/officeDocument/2006/relationships/image" Target="media/image2484.jpeg"/><Relationship Id="rId2492" Type="http://schemas.openxmlformats.org/officeDocument/2006/relationships/image" Target="media/image2485.jpeg"/><Relationship Id="rId2493" Type="http://schemas.openxmlformats.org/officeDocument/2006/relationships/image" Target="media/image2486.jpeg"/><Relationship Id="rId2494" Type="http://schemas.openxmlformats.org/officeDocument/2006/relationships/image" Target="media/image2487.jpeg"/><Relationship Id="rId2495" Type="http://schemas.openxmlformats.org/officeDocument/2006/relationships/image" Target="media/image2488.jpeg"/><Relationship Id="rId2496" Type="http://schemas.openxmlformats.org/officeDocument/2006/relationships/image" Target="media/image2489.jpeg"/><Relationship Id="rId2497" Type="http://schemas.openxmlformats.org/officeDocument/2006/relationships/image" Target="media/image2490.jpeg"/><Relationship Id="rId2498" Type="http://schemas.openxmlformats.org/officeDocument/2006/relationships/image" Target="media/image2491.jpeg"/><Relationship Id="rId2499" Type="http://schemas.openxmlformats.org/officeDocument/2006/relationships/image" Target="media/image2492.jpeg"/><Relationship Id="rId2500" Type="http://schemas.openxmlformats.org/officeDocument/2006/relationships/image" Target="media/image2493.jpeg"/><Relationship Id="rId2501" Type="http://schemas.openxmlformats.org/officeDocument/2006/relationships/image" Target="media/image2494.jpeg"/><Relationship Id="rId2502" Type="http://schemas.openxmlformats.org/officeDocument/2006/relationships/image" Target="media/image2495.jpeg"/><Relationship Id="rId2503" Type="http://schemas.openxmlformats.org/officeDocument/2006/relationships/image" Target="media/image2496.jpeg"/><Relationship Id="rId2504" Type="http://schemas.openxmlformats.org/officeDocument/2006/relationships/image" Target="media/image2497.jpeg"/><Relationship Id="rId2505" Type="http://schemas.openxmlformats.org/officeDocument/2006/relationships/image" Target="media/image2498.jpeg"/><Relationship Id="rId2506" Type="http://schemas.openxmlformats.org/officeDocument/2006/relationships/image" Target="media/image2499.jpeg"/><Relationship Id="rId2507" Type="http://schemas.openxmlformats.org/officeDocument/2006/relationships/image" Target="media/image2500.jpeg"/><Relationship Id="rId2508" Type="http://schemas.openxmlformats.org/officeDocument/2006/relationships/image" Target="media/image2501.jpeg"/><Relationship Id="rId2509" Type="http://schemas.openxmlformats.org/officeDocument/2006/relationships/image" Target="media/image2502.jpeg"/><Relationship Id="rId2510" Type="http://schemas.openxmlformats.org/officeDocument/2006/relationships/image" Target="media/image2503.jpeg"/><Relationship Id="rId2511" Type="http://schemas.openxmlformats.org/officeDocument/2006/relationships/image" Target="media/image2504.jpeg"/><Relationship Id="rId2512" Type="http://schemas.openxmlformats.org/officeDocument/2006/relationships/image" Target="media/image2505.jpeg"/><Relationship Id="rId2513" Type="http://schemas.openxmlformats.org/officeDocument/2006/relationships/image" Target="media/image2506.jpeg"/><Relationship Id="rId2514" Type="http://schemas.openxmlformats.org/officeDocument/2006/relationships/image" Target="media/image2507.jpeg"/><Relationship Id="rId2515" Type="http://schemas.openxmlformats.org/officeDocument/2006/relationships/image" Target="media/image2508.jpeg"/><Relationship Id="rId2516" Type="http://schemas.openxmlformats.org/officeDocument/2006/relationships/image" Target="media/image2509.jpeg"/><Relationship Id="rId2517" Type="http://schemas.openxmlformats.org/officeDocument/2006/relationships/image" Target="media/image2510.jpeg"/><Relationship Id="rId2518" Type="http://schemas.openxmlformats.org/officeDocument/2006/relationships/image" Target="media/image2511.jpeg"/><Relationship Id="rId2519" Type="http://schemas.openxmlformats.org/officeDocument/2006/relationships/image" Target="media/image2512.jpeg"/><Relationship Id="rId2520" Type="http://schemas.openxmlformats.org/officeDocument/2006/relationships/image" Target="media/image2513.jpeg"/><Relationship Id="rId2521" Type="http://schemas.openxmlformats.org/officeDocument/2006/relationships/image" Target="media/image2514.jpeg"/><Relationship Id="rId2522" Type="http://schemas.openxmlformats.org/officeDocument/2006/relationships/image" Target="media/image2515.jpeg"/><Relationship Id="rId2523" Type="http://schemas.openxmlformats.org/officeDocument/2006/relationships/image" Target="media/image2516.jpeg"/><Relationship Id="rId2524" Type="http://schemas.openxmlformats.org/officeDocument/2006/relationships/image" Target="media/image2517.jpeg"/><Relationship Id="rId2525" Type="http://schemas.openxmlformats.org/officeDocument/2006/relationships/image" Target="media/image2518.jpeg"/><Relationship Id="rId2526" Type="http://schemas.openxmlformats.org/officeDocument/2006/relationships/image" Target="media/image2519.jpeg"/><Relationship Id="rId2527" Type="http://schemas.openxmlformats.org/officeDocument/2006/relationships/image" Target="media/image2520.jpeg"/><Relationship Id="rId2528" Type="http://schemas.openxmlformats.org/officeDocument/2006/relationships/image" Target="media/image2521.jpeg"/><Relationship Id="rId2529" Type="http://schemas.openxmlformats.org/officeDocument/2006/relationships/image" Target="media/image2522.jpeg"/><Relationship Id="rId2530" Type="http://schemas.openxmlformats.org/officeDocument/2006/relationships/image" Target="media/image2523.jpeg"/><Relationship Id="rId2531" Type="http://schemas.openxmlformats.org/officeDocument/2006/relationships/image" Target="media/image2524.jpeg"/><Relationship Id="rId2532" Type="http://schemas.openxmlformats.org/officeDocument/2006/relationships/image" Target="media/image2525.jpeg"/><Relationship Id="rId2533" Type="http://schemas.openxmlformats.org/officeDocument/2006/relationships/image" Target="media/image2526.jpeg"/><Relationship Id="rId2534" Type="http://schemas.openxmlformats.org/officeDocument/2006/relationships/image" Target="media/image2527.jpeg"/><Relationship Id="rId2535" Type="http://schemas.openxmlformats.org/officeDocument/2006/relationships/image" Target="media/image2528.jpeg"/><Relationship Id="rId2536" Type="http://schemas.openxmlformats.org/officeDocument/2006/relationships/image" Target="media/image2529.jpeg"/><Relationship Id="rId2537" Type="http://schemas.openxmlformats.org/officeDocument/2006/relationships/image" Target="media/image2530.jpeg"/><Relationship Id="rId2538" Type="http://schemas.openxmlformats.org/officeDocument/2006/relationships/image" Target="media/image2531.jpeg"/><Relationship Id="rId2539" Type="http://schemas.openxmlformats.org/officeDocument/2006/relationships/image" Target="media/image2532.jpeg"/><Relationship Id="rId2540" Type="http://schemas.openxmlformats.org/officeDocument/2006/relationships/image" Target="media/image2533.jpeg"/><Relationship Id="rId2541" Type="http://schemas.openxmlformats.org/officeDocument/2006/relationships/image" Target="media/image2534.jpeg"/><Relationship Id="rId2542" Type="http://schemas.openxmlformats.org/officeDocument/2006/relationships/image" Target="media/image2535.jpeg"/><Relationship Id="rId2543" Type="http://schemas.openxmlformats.org/officeDocument/2006/relationships/image" Target="media/image2536.jpeg"/><Relationship Id="rId2544" Type="http://schemas.openxmlformats.org/officeDocument/2006/relationships/image" Target="media/image2537.jpeg"/><Relationship Id="rId2545" Type="http://schemas.openxmlformats.org/officeDocument/2006/relationships/image" Target="media/image2538.jpeg"/><Relationship Id="rId2546" Type="http://schemas.openxmlformats.org/officeDocument/2006/relationships/image" Target="media/image2539.jpeg"/><Relationship Id="rId2547" Type="http://schemas.openxmlformats.org/officeDocument/2006/relationships/image" Target="media/image2540.jpeg"/><Relationship Id="rId2548" Type="http://schemas.openxmlformats.org/officeDocument/2006/relationships/image" Target="media/image2541.jpeg"/><Relationship Id="rId2549" Type="http://schemas.openxmlformats.org/officeDocument/2006/relationships/image" Target="media/image2542.jpeg"/><Relationship Id="rId2550" Type="http://schemas.openxmlformats.org/officeDocument/2006/relationships/image" Target="media/image2543.jpeg"/><Relationship Id="rId2551" Type="http://schemas.openxmlformats.org/officeDocument/2006/relationships/image" Target="media/image2544.jpeg"/><Relationship Id="rId2552" Type="http://schemas.openxmlformats.org/officeDocument/2006/relationships/image" Target="media/image2545.jpeg"/><Relationship Id="rId2553" Type="http://schemas.openxmlformats.org/officeDocument/2006/relationships/image" Target="media/image2546.jpeg"/><Relationship Id="rId2554" Type="http://schemas.openxmlformats.org/officeDocument/2006/relationships/image" Target="media/image2547.jpeg"/><Relationship Id="rId2555" Type="http://schemas.openxmlformats.org/officeDocument/2006/relationships/image" Target="media/image2548.jpeg"/><Relationship Id="rId2556" Type="http://schemas.openxmlformats.org/officeDocument/2006/relationships/image" Target="media/image2549.jpeg"/><Relationship Id="rId2557" Type="http://schemas.openxmlformats.org/officeDocument/2006/relationships/image" Target="media/image2550.jpeg"/><Relationship Id="rId2558" Type="http://schemas.openxmlformats.org/officeDocument/2006/relationships/image" Target="media/image2551.jpeg"/><Relationship Id="rId2559" Type="http://schemas.openxmlformats.org/officeDocument/2006/relationships/image" Target="media/image2552.jpeg"/><Relationship Id="rId2560" Type="http://schemas.openxmlformats.org/officeDocument/2006/relationships/image" Target="media/image2553.jpeg"/><Relationship Id="rId2561" Type="http://schemas.openxmlformats.org/officeDocument/2006/relationships/image" Target="media/image2554.jpeg"/><Relationship Id="rId2562" Type="http://schemas.openxmlformats.org/officeDocument/2006/relationships/image" Target="media/image2555.jpeg"/><Relationship Id="rId2563" Type="http://schemas.openxmlformats.org/officeDocument/2006/relationships/image" Target="media/image2556.jpeg"/><Relationship Id="rId2564" Type="http://schemas.openxmlformats.org/officeDocument/2006/relationships/image" Target="media/image2557.jpeg"/><Relationship Id="rId2565" Type="http://schemas.openxmlformats.org/officeDocument/2006/relationships/image" Target="media/image2558.jpeg"/><Relationship Id="rId2566" Type="http://schemas.openxmlformats.org/officeDocument/2006/relationships/image" Target="media/image2559.jpeg"/><Relationship Id="rId2567" Type="http://schemas.openxmlformats.org/officeDocument/2006/relationships/image" Target="media/image2560.jpeg"/><Relationship Id="rId2568" Type="http://schemas.openxmlformats.org/officeDocument/2006/relationships/image" Target="media/image2561.jpeg"/><Relationship Id="rId2569" Type="http://schemas.openxmlformats.org/officeDocument/2006/relationships/image" Target="media/image2562.jpeg"/><Relationship Id="rId2570" Type="http://schemas.openxmlformats.org/officeDocument/2006/relationships/image" Target="media/image2563.jpeg"/><Relationship Id="rId2571" Type="http://schemas.openxmlformats.org/officeDocument/2006/relationships/image" Target="media/image2564.jpeg"/><Relationship Id="rId2572" Type="http://schemas.openxmlformats.org/officeDocument/2006/relationships/image" Target="media/image2565.jpeg"/><Relationship Id="rId2573" Type="http://schemas.openxmlformats.org/officeDocument/2006/relationships/image" Target="media/image2566.jpeg"/><Relationship Id="rId2574" Type="http://schemas.openxmlformats.org/officeDocument/2006/relationships/image" Target="media/image2567.jpeg"/><Relationship Id="rId2575" Type="http://schemas.openxmlformats.org/officeDocument/2006/relationships/image" Target="media/image2568.jpeg"/><Relationship Id="rId2576" Type="http://schemas.openxmlformats.org/officeDocument/2006/relationships/image" Target="media/image2569.jpeg"/><Relationship Id="rId2577" Type="http://schemas.openxmlformats.org/officeDocument/2006/relationships/image" Target="media/image2570.jpeg"/><Relationship Id="rId2578" Type="http://schemas.openxmlformats.org/officeDocument/2006/relationships/image" Target="media/image2571.jpeg"/><Relationship Id="rId2579" Type="http://schemas.openxmlformats.org/officeDocument/2006/relationships/image" Target="media/image2572.jpeg"/><Relationship Id="rId2580" Type="http://schemas.openxmlformats.org/officeDocument/2006/relationships/image" Target="media/image2573.jpeg"/><Relationship Id="rId2581" Type="http://schemas.openxmlformats.org/officeDocument/2006/relationships/image" Target="media/image2574.jpeg"/><Relationship Id="rId2582" Type="http://schemas.openxmlformats.org/officeDocument/2006/relationships/image" Target="media/image2575.jpeg"/><Relationship Id="rId2583" Type="http://schemas.openxmlformats.org/officeDocument/2006/relationships/image" Target="media/image2576.jpeg"/><Relationship Id="rId2584" Type="http://schemas.openxmlformats.org/officeDocument/2006/relationships/image" Target="media/image2577.jpeg"/><Relationship Id="rId2585" Type="http://schemas.openxmlformats.org/officeDocument/2006/relationships/image" Target="media/image2578.jpeg"/><Relationship Id="rId2586" Type="http://schemas.openxmlformats.org/officeDocument/2006/relationships/image" Target="media/image2579.jpeg"/><Relationship Id="rId2587" Type="http://schemas.openxmlformats.org/officeDocument/2006/relationships/image" Target="media/image2580.jpeg"/><Relationship Id="rId2588" Type="http://schemas.openxmlformats.org/officeDocument/2006/relationships/image" Target="media/image2581.jpeg"/><Relationship Id="rId2589" Type="http://schemas.openxmlformats.org/officeDocument/2006/relationships/image" Target="media/image2582.jpeg"/><Relationship Id="rId2590" Type="http://schemas.openxmlformats.org/officeDocument/2006/relationships/image" Target="media/image2583.jpeg"/><Relationship Id="rId2591" Type="http://schemas.openxmlformats.org/officeDocument/2006/relationships/image" Target="media/image2584.jpeg"/><Relationship Id="rId2592" Type="http://schemas.openxmlformats.org/officeDocument/2006/relationships/image" Target="media/image2585.jpeg"/><Relationship Id="rId2593" Type="http://schemas.openxmlformats.org/officeDocument/2006/relationships/image" Target="media/image2586.jpeg"/><Relationship Id="rId2594" Type="http://schemas.openxmlformats.org/officeDocument/2006/relationships/image" Target="media/image2587.jpeg"/><Relationship Id="rId2595" Type="http://schemas.openxmlformats.org/officeDocument/2006/relationships/image" Target="media/image2588.jpeg"/><Relationship Id="rId2596" Type="http://schemas.openxmlformats.org/officeDocument/2006/relationships/image" Target="media/image2589.jpeg"/><Relationship Id="rId2597" Type="http://schemas.openxmlformats.org/officeDocument/2006/relationships/image" Target="media/image2590.jpeg"/><Relationship Id="rId2598" Type="http://schemas.openxmlformats.org/officeDocument/2006/relationships/image" Target="media/image2591.jpeg"/><Relationship Id="rId2599" Type="http://schemas.openxmlformats.org/officeDocument/2006/relationships/image" Target="media/image2592.png"/><Relationship Id="rId2600" Type="http://schemas.openxmlformats.org/officeDocument/2006/relationships/image" Target="media/image2593.jpeg"/><Relationship Id="rId2601" Type="http://schemas.openxmlformats.org/officeDocument/2006/relationships/image" Target="media/image2594.png"/><Relationship Id="rId2602" Type="http://schemas.openxmlformats.org/officeDocument/2006/relationships/image" Target="media/image2595.jpeg"/><Relationship Id="rId2603" Type="http://schemas.openxmlformats.org/officeDocument/2006/relationships/image" Target="media/image2596.jpeg"/><Relationship Id="rId2604" Type="http://schemas.openxmlformats.org/officeDocument/2006/relationships/image" Target="media/image2597.jpeg"/><Relationship Id="rId2605" Type="http://schemas.openxmlformats.org/officeDocument/2006/relationships/image" Target="media/image2598.jpeg"/><Relationship Id="rId2606" Type="http://schemas.openxmlformats.org/officeDocument/2006/relationships/image" Target="media/image2599.jpeg"/><Relationship Id="rId2607" Type="http://schemas.openxmlformats.org/officeDocument/2006/relationships/image" Target="media/image2600.jpeg"/><Relationship Id="rId2608" Type="http://schemas.openxmlformats.org/officeDocument/2006/relationships/image" Target="media/image2601.jpeg"/><Relationship Id="rId2609" Type="http://schemas.openxmlformats.org/officeDocument/2006/relationships/image" Target="media/image2602.jpeg"/><Relationship Id="rId2610" Type="http://schemas.openxmlformats.org/officeDocument/2006/relationships/image" Target="media/image2603.jpeg"/><Relationship Id="rId2611" Type="http://schemas.openxmlformats.org/officeDocument/2006/relationships/image" Target="media/image2604.jpeg"/><Relationship Id="rId2612" Type="http://schemas.openxmlformats.org/officeDocument/2006/relationships/image" Target="media/image2605.jpeg"/><Relationship Id="rId2613" Type="http://schemas.openxmlformats.org/officeDocument/2006/relationships/image" Target="media/image2606.jpeg"/><Relationship Id="rId2614" Type="http://schemas.openxmlformats.org/officeDocument/2006/relationships/image" Target="media/image2607.jpeg"/><Relationship Id="rId2615" Type="http://schemas.openxmlformats.org/officeDocument/2006/relationships/image" Target="media/image2608.jpeg"/><Relationship Id="rId2616" Type="http://schemas.openxmlformats.org/officeDocument/2006/relationships/image" Target="media/image2609.jpeg"/><Relationship Id="rId2617" Type="http://schemas.openxmlformats.org/officeDocument/2006/relationships/image" Target="media/image2610.jpeg"/><Relationship Id="rId2618" Type="http://schemas.openxmlformats.org/officeDocument/2006/relationships/image" Target="media/image2611.jpeg"/><Relationship Id="rId2619" Type="http://schemas.openxmlformats.org/officeDocument/2006/relationships/image" Target="media/image2612.jpeg"/><Relationship Id="rId2620" Type="http://schemas.openxmlformats.org/officeDocument/2006/relationships/image" Target="media/image2613.jpeg"/><Relationship Id="rId2621" Type="http://schemas.openxmlformats.org/officeDocument/2006/relationships/image" Target="media/image2614.jpeg"/><Relationship Id="rId2622" Type="http://schemas.openxmlformats.org/officeDocument/2006/relationships/image" Target="media/image2615.jpeg"/><Relationship Id="rId2623" Type="http://schemas.openxmlformats.org/officeDocument/2006/relationships/image" Target="media/image2616.jpeg"/><Relationship Id="rId2624" Type="http://schemas.openxmlformats.org/officeDocument/2006/relationships/image" Target="media/image2617.jpeg"/><Relationship Id="rId2625" Type="http://schemas.openxmlformats.org/officeDocument/2006/relationships/image" Target="media/image2618.jpeg"/><Relationship Id="rId2626" Type="http://schemas.openxmlformats.org/officeDocument/2006/relationships/image" Target="media/image2619.jpeg"/><Relationship Id="rId2627" Type="http://schemas.openxmlformats.org/officeDocument/2006/relationships/image" Target="media/image2620.jpeg"/><Relationship Id="rId2628" Type="http://schemas.openxmlformats.org/officeDocument/2006/relationships/image" Target="media/image2621.jpeg"/><Relationship Id="rId2629" Type="http://schemas.openxmlformats.org/officeDocument/2006/relationships/image" Target="media/image2622.jpeg"/><Relationship Id="rId2630" Type="http://schemas.openxmlformats.org/officeDocument/2006/relationships/image" Target="media/image2623.jpeg"/><Relationship Id="rId2631" Type="http://schemas.openxmlformats.org/officeDocument/2006/relationships/image" Target="media/image2624.jpeg"/><Relationship Id="rId2632" Type="http://schemas.openxmlformats.org/officeDocument/2006/relationships/image" Target="media/image2625.jpeg"/><Relationship Id="rId2633" Type="http://schemas.openxmlformats.org/officeDocument/2006/relationships/image" Target="media/image2626.jpeg"/><Relationship Id="rId2634" Type="http://schemas.openxmlformats.org/officeDocument/2006/relationships/image" Target="media/image2627.jpeg"/><Relationship Id="rId2635" Type="http://schemas.openxmlformats.org/officeDocument/2006/relationships/image" Target="media/image2628.jpeg"/><Relationship Id="rId2636" Type="http://schemas.openxmlformats.org/officeDocument/2006/relationships/image" Target="media/image2629.jpeg"/><Relationship Id="rId2637" Type="http://schemas.openxmlformats.org/officeDocument/2006/relationships/image" Target="media/image2630.jpeg"/><Relationship Id="rId2638" Type="http://schemas.openxmlformats.org/officeDocument/2006/relationships/image" Target="media/image2631.jpeg"/><Relationship Id="rId2639" Type="http://schemas.openxmlformats.org/officeDocument/2006/relationships/image" Target="media/image2632.jpeg"/><Relationship Id="rId2640" Type="http://schemas.openxmlformats.org/officeDocument/2006/relationships/image" Target="media/image2633.jpeg"/><Relationship Id="rId2641" Type="http://schemas.openxmlformats.org/officeDocument/2006/relationships/image" Target="media/image2634.jpeg"/><Relationship Id="rId2642" Type="http://schemas.openxmlformats.org/officeDocument/2006/relationships/image" Target="media/image2635.jpeg"/><Relationship Id="rId2643" Type="http://schemas.openxmlformats.org/officeDocument/2006/relationships/image" Target="media/image2636.jpeg"/><Relationship Id="rId2644" Type="http://schemas.openxmlformats.org/officeDocument/2006/relationships/image" Target="media/image2637.jpeg"/><Relationship Id="rId2645" Type="http://schemas.openxmlformats.org/officeDocument/2006/relationships/image" Target="media/image2638.jpeg"/><Relationship Id="rId2646" Type="http://schemas.openxmlformats.org/officeDocument/2006/relationships/image" Target="media/image2639.jpeg"/><Relationship Id="rId2647" Type="http://schemas.openxmlformats.org/officeDocument/2006/relationships/image" Target="media/image2640.jpeg"/><Relationship Id="rId2648" Type="http://schemas.openxmlformats.org/officeDocument/2006/relationships/image" Target="media/image2641.jpeg"/><Relationship Id="rId2649" Type="http://schemas.openxmlformats.org/officeDocument/2006/relationships/image" Target="media/image2642.jpeg"/><Relationship Id="rId2650" Type="http://schemas.openxmlformats.org/officeDocument/2006/relationships/image" Target="media/image2643.jpeg"/><Relationship Id="rId2651" Type="http://schemas.openxmlformats.org/officeDocument/2006/relationships/image" Target="media/image2644.jpeg"/><Relationship Id="rId2652" Type="http://schemas.openxmlformats.org/officeDocument/2006/relationships/image" Target="media/image2645.jpeg"/><Relationship Id="rId2653" Type="http://schemas.openxmlformats.org/officeDocument/2006/relationships/image" Target="media/image2646.jpeg"/><Relationship Id="rId2654" Type="http://schemas.openxmlformats.org/officeDocument/2006/relationships/image" Target="media/image2647.jpeg"/><Relationship Id="rId2655" Type="http://schemas.openxmlformats.org/officeDocument/2006/relationships/image" Target="media/image2648.jpeg"/><Relationship Id="rId2656" Type="http://schemas.openxmlformats.org/officeDocument/2006/relationships/image" Target="media/image2649.jpeg"/><Relationship Id="rId2657" Type="http://schemas.openxmlformats.org/officeDocument/2006/relationships/image" Target="media/image2650.jpeg"/><Relationship Id="rId2658" Type="http://schemas.openxmlformats.org/officeDocument/2006/relationships/image" Target="media/image2651.jpeg"/><Relationship Id="rId2659" Type="http://schemas.openxmlformats.org/officeDocument/2006/relationships/image" Target="media/image2652.jpeg"/><Relationship Id="rId2660" Type="http://schemas.openxmlformats.org/officeDocument/2006/relationships/image" Target="media/image2653.jpeg"/><Relationship Id="rId2661" Type="http://schemas.openxmlformats.org/officeDocument/2006/relationships/image" Target="media/image2654.jpeg"/><Relationship Id="rId2662" Type="http://schemas.openxmlformats.org/officeDocument/2006/relationships/image" Target="media/image2655.jpeg"/><Relationship Id="rId2663" Type="http://schemas.openxmlformats.org/officeDocument/2006/relationships/image" Target="media/image2656.jpeg"/><Relationship Id="rId2664" Type="http://schemas.openxmlformats.org/officeDocument/2006/relationships/image" Target="media/image2657.jpeg"/><Relationship Id="rId2665" Type="http://schemas.openxmlformats.org/officeDocument/2006/relationships/image" Target="media/image2658.jpeg"/><Relationship Id="rId2666" Type="http://schemas.openxmlformats.org/officeDocument/2006/relationships/image" Target="media/image2659.jpeg"/><Relationship Id="rId2667" Type="http://schemas.openxmlformats.org/officeDocument/2006/relationships/image" Target="media/image2660.jpeg"/><Relationship Id="rId2668" Type="http://schemas.openxmlformats.org/officeDocument/2006/relationships/image" Target="media/image2661.jpeg"/><Relationship Id="rId2669" Type="http://schemas.openxmlformats.org/officeDocument/2006/relationships/image" Target="media/image2662.jpeg"/><Relationship Id="rId2670" Type="http://schemas.openxmlformats.org/officeDocument/2006/relationships/image" Target="media/image2663.jpeg"/><Relationship Id="rId2671" Type="http://schemas.openxmlformats.org/officeDocument/2006/relationships/image" Target="media/image2664.jpeg"/><Relationship Id="rId2672" Type="http://schemas.openxmlformats.org/officeDocument/2006/relationships/image" Target="media/image2665.jpeg"/><Relationship Id="rId2673" Type="http://schemas.openxmlformats.org/officeDocument/2006/relationships/image" Target="media/image2666.jpeg"/><Relationship Id="rId2674" Type="http://schemas.openxmlformats.org/officeDocument/2006/relationships/image" Target="media/image2667.jpeg"/><Relationship Id="rId2675" Type="http://schemas.openxmlformats.org/officeDocument/2006/relationships/image" Target="media/image2668.jpeg"/><Relationship Id="rId2676" Type="http://schemas.openxmlformats.org/officeDocument/2006/relationships/image" Target="media/image2669.jpeg"/><Relationship Id="rId2677" Type="http://schemas.openxmlformats.org/officeDocument/2006/relationships/image" Target="media/image2670.jpeg"/><Relationship Id="rId2678" Type="http://schemas.openxmlformats.org/officeDocument/2006/relationships/image" Target="media/image2671.jpeg"/><Relationship Id="rId2679" Type="http://schemas.openxmlformats.org/officeDocument/2006/relationships/image" Target="media/image2672.jpeg"/><Relationship Id="rId2680" Type="http://schemas.openxmlformats.org/officeDocument/2006/relationships/image" Target="media/image2673.jpeg"/><Relationship Id="rId2681" Type="http://schemas.openxmlformats.org/officeDocument/2006/relationships/image" Target="media/image2674.jpeg"/><Relationship Id="rId2682" Type="http://schemas.openxmlformats.org/officeDocument/2006/relationships/image" Target="media/image2675.jpeg"/><Relationship Id="rId2683" Type="http://schemas.openxmlformats.org/officeDocument/2006/relationships/image" Target="media/image2676.jpeg"/><Relationship Id="rId2684" Type="http://schemas.openxmlformats.org/officeDocument/2006/relationships/image" Target="media/image2677.jpeg"/><Relationship Id="rId2685" Type="http://schemas.openxmlformats.org/officeDocument/2006/relationships/image" Target="media/image2678.jpeg"/><Relationship Id="rId2686" Type="http://schemas.openxmlformats.org/officeDocument/2006/relationships/image" Target="media/image2679.jpeg"/><Relationship Id="rId2687" Type="http://schemas.openxmlformats.org/officeDocument/2006/relationships/image" Target="media/image2680.jpeg"/><Relationship Id="rId2688" Type="http://schemas.openxmlformats.org/officeDocument/2006/relationships/image" Target="media/image2681.jpe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jpeg"/><Relationship Id="rId2693" Type="http://schemas.openxmlformats.org/officeDocument/2006/relationships/image" Target="media/image2686.jpeg"/><Relationship Id="rId2694" Type="http://schemas.openxmlformats.org/officeDocument/2006/relationships/image" Target="media/image2687.jpeg"/><Relationship Id="rId2695" Type="http://schemas.openxmlformats.org/officeDocument/2006/relationships/image" Target="media/image2688.jpeg"/><Relationship Id="rId2696" Type="http://schemas.openxmlformats.org/officeDocument/2006/relationships/image" Target="media/image2689.jpeg"/><Relationship Id="rId2697" Type="http://schemas.openxmlformats.org/officeDocument/2006/relationships/image" Target="media/image2690.jpeg"/><Relationship Id="rId2698" Type="http://schemas.openxmlformats.org/officeDocument/2006/relationships/image" Target="media/image2691.jpeg"/><Relationship Id="rId2699" Type="http://schemas.openxmlformats.org/officeDocument/2006/relationships/image" Target="media/image2692.jpeg"/><Relationship Id="rId2700" Type="http://schemas.openxmlformats.org/officeDocument/2006/relationships/image" Target="media/image2693.jpeg"/><Relationship Id="rId2701" Type="http://schemas.openxmlformats.org/officeDocument/2006/relationships/image" Target="media/image2694.jpeg"/><Relationship Id="rId2702" Type="http://schemas.openxmlformats.org/officeDocument/2006/relationships/image" Target="media/image2695.jpeg"/><Relationship Id="rId2703" Type="http://schemas.openxmlformats.org/officeDocument/2006/relationships/image" Target="media/image2696.jpeg"/><Relationship Id="rId2704" Type="http://schemas.openxmlformats.org/officeDocument/2006/relationships/image" Target="media/image2697.jpeg"/><Relationship Id="rId2705" Type="http://schemas.openxmlformats.org/officeDocument/2006/relationships/image" Target="media/image2698.jpeg"/><Relationship Id="rId2706" Type="http://schemas.openxmlformats.org/officeDocument/2006/relationships/image" Target="media/image2699.jpeg"/><Relationship Id="rId2707" Type="http://schemas.openxmlformats.org/officeDocument/2006/relationships/image" Target="media/image2700.jpeg"/><Relationship Id="rId2708" Type="http://schemas.openxmlformats.org/officeDocument/2006/relationships/image" Target="media/image2701.jpeg"/><Relationship Id="rId2709" Type="http://schemas.openxmlformats.org/officeDocument/2006/relationships/image" Target="media/image2702.jpeg"/><Relationship Id="rId2710" Type="http://schemas.openxmlformats.org/officeDocument/2006/relationships/image" Target="media/image2703.jpeg"/><Relationship Id="rId2711" Type="http://schemas.openxmlformats.org/officeDocument/2006/relationships/image" Target="media/image2704.jpeg"/><Relationship Id="rId2712" Type="http://schemas.openxmlformats.org/officeDocument/2006/relationships/image" Target="media/image2705.jpeg"/><Relationship Id="rId2713" Type="http://schemas.openxmlformats.org/officeDocument/2006/relationships/image" Target="media/image2706.jpeg"/><Relationship Id="rId2714" Type="http://schemas.openxmlformats.org/officeDocument/2006/relationships/image" Target="media/image2707.jpeg"/><Relationship Id="rId2715" Type="http://schemas.openxmlformats.org/officeDocument/2006/relationships/image" Target="media/image2708.jpeg"/><Relationship Id="rId2716" Type="http://schemas.openxmlformats.org/officeDocument/2006/relationships/image" Target="media/image2709.jpeg"/><Relationship Id="rId2717" Type="http://schemas.openxmlformats.org/officeDocument/2006/relationships/image" Target="media/image2710.jpeg"/><Relationship Id="rId2718" Type="http://schemas.openxmlformats.org/officeDocument/2006/relationships/image" Target="media/image2711.jpeg"/><Relationship Id="rId2719" Type="http://schemas.openxmlformats.org/officeDocument/2006/relationships/image" Target="media/image2712.jpeg"/><Relationship Id="rId2720" Type="http://schemas.openxmlformats.org/officeDocument/2006/relationships/image" Target="media/image2713.jpeg"/><Relationship Id="rId2721" Type="http://schemas.openxmlformats.org/officeDocument/2006/relationships/image" Target="media/image2714.jpeg"/><Relationship Id="rId2722" Type="http://schemas.openxmlformats.org/officeDocument/2006/relationships/image" Target="media/image2715.jpeg"/><Relationship Id="rId2723" Type="http://schemas.openxmlformats.org/officeDocument/2006/relationships/image" Target="media/image2716.jpeg"/><Relationship Id="rId2724" Type="http://schemas.openxmlformats.org/officeDocument/2006/relationships/image" Target="media/image2717.jpeg"/><Relationship Id="rId2725" Type="http://schemas.openxmlformats.org/officeDocument/2006/relationships/image" Target="media/image2718.jpeg"/><Relationship Id="rId2726" Type="http://schemas.openxmlformats.org/officeDocument/2006/relationships/image" Target="media/image2719.jpeg"/><Relationship Id="rId2727" Type="http://schemas.openxmlformats.org/officeDocument/2006/relationships/image" Target="media/image2720.jpeg"/><Relationship Id="rId2728" Type="http://schemas.openxmlformats.org/officeDocument/2006/relationships/image" Target="media/image2721.jpeg"/><Relationship Id="rId2729" Type="http://schemas.openxmlformats.org/officeDocument/2006/relationships/image" Target="media/image2722.jpeg"/><Relationship Id="rId2730" Type="http://schemas.openxmlformats.org/officeDocument/2006/relationships/image" Target="media/image2723.jpeg"/><Relationship Id="rId2731" Type="http://schemas.openxmlformats.org/officeDocument/2006/relationships/image" Target="media/image2724.jpeg"/><Relationship Id="rId2732" Type="http://schemas.openxmlformats.org/officeDocument/2006/relationships/image" Target="media/image2725.jpeg"/><Relationship Id="rId2733" Type="http://schemas.openxmlformats.org/officeDocument/2006/relationships/image" Target="media/image2726.jpeg"/><Relationship Id="rId2734" Type="http://schemas.openxmlformats.org/officeDocument/2006/relationships/image" Target="media/image2727.jpeg"/><Relationship Id="rId2735" Type="http://schemas.openxmlformats.org/officeDocument/2006/relationships/image" Target="media/image2728.jpeg"/><Relationship Id="rId2736" Type="http://schemas.openxmlformats.org/officeDocument/2006/relationships/image" Target="media/image2729.jpeg"/><Relationship Id="rId2737" Type="http://schemas.openxmlformats.org/officeDocument/2006/relationships/image" Target="media/image2730.jpeg"/><Relationship Id="rId2738" Type="http://schemas.openxmlformats.org/officeDocument/2006/relationships/image" Target="media/image2731.jpeg"/><Relationship Id="rId2739" Type="http://schemas.openxmlformats.org/officeDocument/2006/relationships/image" Target="media/image2732.jpeg"/><Relationship Id="rId2740" Type="http://schemas.openxmlformats.org/officeDocument/2006/relationships/image" Target="media/image2733.jpeg"/><Relationship Id="rId2741" Type="http://schemas.openxmlformats.org/officeDocument/2006/relationships/image" Target="media/image2734.jpeg"/><Relationship Id="rId2742" Type="http://schemas.openxmlformats.org/officeDocument/2006/relationships/image" Target="media/image2735.jpeg"/><Relationship Id="rId2743" Type="http://schemas.openxmlformats.org/officeDocument/2006/relationships/image" Target="media/image2736.jpeg"/><Relationship Id="rId2744" Type="http://schemas.openxmlformats.org/officeDocument/2006/relationships/image" Target="media/image2737.jpeg"/><Relationship Id="rId2745" Type="http://schemas.openxmlformats.org/officeDocument/2006/relationships/image" Target="media/image2738.jpeg"/><Relationship Id="rId2746" Type="http://schemas.openxmlformats.org/officeDocument/2006/relationships/image" Target="media/image2739.jpeg"/><Relationship Id="rId2747" Type="http://schemas.openxmlformats.org/officeDocument/2006/relationships/image" Target="media/image2740.jpeg"/><Relationship Id="rId2748" Type="http://schemas.openxmlformats.org/officeDocument/2006/relationships/image" Target="media/image2741.jpeg"/><Relationship Id="rId2749" Type="http://schemas.openxmlformats.org/officeDocument/2006/relationships/image" Target="media/image2742.jpeg"/><Relationship Id="rId2750" Type="http://schemas.openxmlformats.org/officeDocument/2006/relationships/image" Target="media/image2743.jpeg"/><Relationship Id="rId2751" Type="http://schemas.openxmlformats.org/officeDocument/2006/relationships/image" Target="media/image2744.jpeg"/><Relationship Id="rId2752" Type="http://schemas.openxmlformats.org/officeDocument/2006/relationships/image" Target="media/image2745.jpeg"/><Relationship Id="rId2753" Type="http://schemas.openxmlformats.org/officeDocument/2006/relationships/image" Target="media/image2746.jpeg"/><Relationship Id="rId2754" Type="http://schemas.openxmlformats.org/officeDocument/2006/relationships/image" Target="media/image2747.jpeg"/><Relationship Id="rId2755" Type="http://schemas.openxmlformats.org/officeDocument/2006/relationships/image" Target="media/image2748.jpeg"/><Relationship Id="rId2756" Type="http://schemas.openxmlformats.org/officeDocument/2006/relationships/image" Target="media/image2749.jpeg"/><Relationship Id="rId2757" Type="http://schemas.openxmlformats.org/officeDocument/2006/relationships/image" Target="media/image2750.jpeg"/><Relationship Id="rId2758" Type="http://schemas.openxmlformats.org/officeDocument/2006/relationships/image" Target="media/image2751.jpeg"/><Relationship Id="rId2759" Type="http://schemas.openxmlformats.org/officeDocument/2006/relationships/image" Target="media/image2752.jpeg"/><Relationship Id="rId2760" Type="http://schemas.openxmlformats.org/officeDocument/2006/relationships/image" Target="media/image2753.jpeg"/><Relationship Id="rId2761" Type="http://schemas.openxmlformats.org/officeDocument/2006/relationships/image" Target="media/image2754.jpeg"/><Relationship Id="rId2762" Type="http://schemas.openxmlformats.org/officeDocument/2006/relationships/image" Target="media/image2755.jpeg"/><Relationship Id="rId2763" Type="http://schemas.openxmlformats.org/officeDocument/2006/relationships/image" Target="media/image2756.jpeg"/><Relationship Id="rId2764" Type="http://schemas.openxmlformats.org/officeDocument/2006/relationships/image" Target="media/image2757.jpeg"/><Relationship Id="rId2765" Type="http://schemas.openxmlformats.org/officeDocument/2006/relationships/image" Target="media/image2758.jpeg"/><Relationship Id="rId2766" Type="http://schemas.openxmlformats.org/officeDocument/2006/relationships/image" Target="media/image2759.jpeg"/><Relationship Id="rId2767" Type="http://schemas.openxmlformats.org/officeDocument/2006/relationships/image" Target="media/image2760.jpeg"/><Relationship Id="rId2768" Type="http://schemas.openxmlformats.org/officeDocument/2006/relationships/image" Target="media/image2761.jpeg"/><Relationship Id="rId2769" Type="http://schemas.openxmlformats.org/officeDocument/2006/relationships/image" Target="media/image2762.jpeg"/><Relationship Id="rId2770" Type="http://schemas.openxmlformats.org/officeDocument/2006/relationships/image" Target="media/image2763.jpeg"/><Relationship Id="rId2771" Type="http://schemas.openxmlformats.org/officeDocument/2006/relationships/image" Target="media/image2764.jpeg"/><Relationship Id="rId2772" Type="http://schemas.openxmlformats.org/officeDocument/2006/relationships/image" Target="media/image2765.jpeg"/><Relationship Id="rId2773" Type="http://schemas.openxmlformats.org/officeDocument/2006/relationships/image" Target="media/image2766.jpeg"/><Relationship Id="rId2774" Type="http://schemas.openxmlformats.org/officeDocument/2006/relationships/image" Target="media/image2767.jpeg"/><Relationship Id="rId2775" Type="http://schemas.openxmlformats.org/officeDocument/2006/relationships/image" Target="media/image2768.jpeg"/><Relationship Id="rId2776" Type="http://schemas.openxmlformats.org/officeDocument/2006/relationships/image" Target="media/image2769.jpeg"/><Relationship Id="rId2777" Type="http://schemas.openxmlformats.org/officeDocument/2006/relationships/image" Target="media/image2770.jpeg"/><Relationship Id="rId2778" Type="http://schemas.openxmlformats.org/officeDocument/2006/relationships/image" Target="media/image2771.jpeg"/><Relationship Id="rId2779" Type="http://schemas.openxmlformats.org/officeDocument/2006/relationships/image" Target="media/image2772.jpeg"/><Relationship Id="rId2780" Type="http://schemas.openxmlformats.org/officeDocument/2006/relationships/image" Target="media/image2773.jpeg"/><Relationship Id="rId2781" Type="http://schemas.openxmlformats.org/officeDocument/2006/relationships/image" Target="media/image2774.jpeg"/><Relationship Id="rId2782" Type="http://schemas.openxmlformats.org/officeDocument/2006/relationships/image" Target="media/image2775.jpeg"/><Relationship Id="rId2783" Type="http://schemas.openxmlformats.org/officeDocument/2006/relationships/image" Target="media/image2776.jpeg"/><Relationship Id="rId2784" Type="http://schemas.openxmlformats.org/officeDocument/2006/relationships/image" Target="media/image2777.jpeg"/><Relationship Id="rId2785" Type="http://schemas.openxmlformats.org/officeDocument/2006/relationships/image" Target="media/image2778.jpeg"/><Relationship Id="rId2786" Type="http://schemas.openxmlformats.org/officeDocument/2006/relationships/image" Target="media/image2779.jpeg"/><Relationship Id="rId2787" Type="http://schemas.openxmlformats.org/officeDocument/2006/relationships/image" Target="media/image2780.jpeg"/><Relationship Id="rId2788" Type="http://schemas.openxmlformats.org/officeDocument/2006/relationships/image" Target="media/image2781.jpeg"/><Relationship Id="rId2789" Type="http://schemas.openxmlformats.org/officeDocument/2006/relationships/image" Target="media/image2782.jpeg"/><Relationship Id="rId2790" Type="http://schemas.openxmlformats.org/officeDocument/2006/relationships/image" Target="media/image2783.jpeg"/><Relationship Id="rId2791" Type="http://schemas.openxmlformats.org/officeDocument/2006/relationships/image" Target="media/image2784.jpeg"/><Relationship Id="rId2792" Type="http://schemas.openxmlformats.org/officeDocument/2006/relationships/image" Target="media/image2785.jpeg"/><Relationship Id="rId2793" Type="http://schemas.openxmlformats.org/officeDocument/2006/relationships/image" Target="media/image2786.jpeg"/><Relationship Id="rId2794" Type="http://schemas.openxmlformats.org/officeDocument/2006/relationships/image" Target="media/image2787.jpeg"/><Relationship Id="rId2795" Type="http://schemas.openxmlformats.org/officeDocument/2006/relationships/image" Target="media/image2788.jpeg"/><Relationship Id="rId2796" Type="http://schemas.openxmlformats.org/officeDocument/2006/relationships/image" Target="media/image2789.jpeg"/><Relationship Id="rId2797" Type="http://schemas.openxmlformats.org/officeDocument/2006/relationships/image" Target="media/image2790.jpeg"/><Relationship Id="rId2798" Type="http://schemas.openxmlformats.org/officeDocument/2006/relationships/image" Target="media/image2791.jpeg"/><Relationship Id="rId2799" Type="http://schemas.openxmlformats.org/officeDocument/2006/relationships/image" Target="media/image2792.jpeg"/><Relationship Id="rId2800" Type="http://schemas.openxmlformats.org/officeDocument/2006/relationships/image" Target="media/image2793.jpeg"/><Relationship Id="rId2801" Type="http://schemas.openxmlformats.org/officeDocument/2006/relationships/image" Target="media/image2794.jpeg"/><Relationship Id="rId2802" Type="http://schemas.openxmlformats.org/officeDocument/2006/relationships/image" Target="media/image2795.jpeg"/><Relationship Id="rId2803" Type="http://schemas.openxmlformats.org/officeDocument/2006/relationships/image" Target="media/image2796.jpeg"/><Relationship Id="rId2804" Type="http://schemas.openxmlformats.org/officeDocument/2006/relationships/image" Target="media/image2797.jpeg"/><Relationship Id="rId2805" Type="http://schemas.openxmlformats.org/officeDocument/2006/relationships/image" Target="media/image2798.jpeg"/><Relationship Id="rId2806" Type="http://schemas.openxmlformats.org/officeDocument/2006/relationships/image" Target="media/image2799.jpeg"/><Relationship Id="rId2807" Type="http://schemas.openxmlformats.org/officeDocument/2006/relationships/image" Target="media/image2800.jpeg"/><Relationship Id="rId2808" Type="http://schemas.openxmlformats.org/officeDocument/2006/relationships/image" Target="media/image2801.jpeg"/><Relationship Id="rId2809" Type="http://schemas.openxmlformats.org/officeDocument/2006/relationships/image" Target="media/image2802.jpeg"/><Relationship Id="rId2810" Type="http://schemas.openxmlformats.org/officeDocument/2006/relationships/image" Target="media/image2803.jpeg"/><Relationship Id="rId2811" Type="http://schemas.openxmlformats.org/officeDocument/2006/relationships/image" Target="media/image2804.jpeg"/><Relationship Id="rId2812" Type="http://schemas.openxmlformats.org/officeDocument/2006/relationships/image" Target="media/image2805.jpeg"/><Relationship Id="rId2813" Type="http://schemas.openxmlformats.org/officeDocument/2006/relationships/image" Target="media/image2806.jpeg"/><Relationship Id="rId2814" Type="http://schemas.openxmlformats.org/officeDocument/2006/relationships/image" Target="media/image2807.jpeg"/><Relationship Id="rId2815" Type="http://schemas.openxmlformats.org/officeDocument/2006/relationships/image" Target="media/image2808.jpeg"/><Relationship Id="rId2816" Type="http://schemas.openxmlformats.org/officeDocument/2006/relationships/image" Target="media/image2809.jpeg"/><Relationship Id="rId2817" Type="http://schemas.openxmlformats.org/officeDocument/2006/relationships/image" Target="media/image2810.jpeg"/><Relationship Id="rId2818" Type="http://schemas.openxmlformats.org/officeDocument/2006/relationships/image" Target="media/image2811.jpeg"/><Relationship Id="rId2819" Type="http://schemas.openxmlformats.org/officeDocument/2006/relationships/image" Target="media/image2812.jpeg"/><Relationship Id="rId2820" Type="http://schemas.openxmlformats.org/officeDocument/2006/relationships/image" Target="media/image2813.jpeg"/><Relationship Id="rId2821" Type="http://schemas.openxmlformats.org/officeDocument/2006/relationships/image" Target="media/image2814.jpeg"/><Relationship Id="rId2822" Type="http://schemas.openxmlformats.org/officeDocument/2006/relationships/image" Target="media/image2815.jpeg"/><Relationship Id="rId2823" Type="http://schemas.openxmlformats.org/officeDocument/2006/relationships/image" Target="media/image2816.jpeg"/><Relationship Id="rId2824" Type="http://schemas.openxmlformats.org/officeDocument/2006/relationships/image" Target="media/image2817.jpeg"/><Relationship Id="rId2825" Type="http://schemas.openxmlformats.org/officeDocument/2006/relationships/image" Target="media/image2818.jpeg"/><Relationship Id="rId2826" Type="http://schemas.openxmlformats.org/officeDocument/2006/relationships/image" Target="media/image2819.jpeg"/><Relationship Id="rId2827" Type="http://schemas.openxmlformats.org/officeDocument/2006/relationships/image" Target="media/image2820.jpeg"/><Relationship Id="rId2828" Type="http://schemas.openxmlformats.org/officeDocument/2006/relationships/image" Target="media/image2821.jpeg"/><Relationship Id="rId2829" Type="http://schemas.openxmlformats.org/officeDocument/2006/relationships/image" Target="media/image2822.jpeg"/><Relationship Id="rId2830" Type="http://schemas.openxmlformats.org/officeDocument/2006/relationships/image" Target="media/image2823.jpeg"/><Relationship Id="rId2831" Type="http://schemas.openxmlformats.org/officeDocument/2006/relationships/image" Target="media/image2824.jpeg"/><Relationship Id="rId2832" Type="http://schemas.openxmlformats.org/officeDocument/2006/relationships/image" Target="media/image2825.jpeg"/><Relationship Id="rId2833" Type="http://schemas.openxmlformats.org/officeDocument/2006/relationships/image" Target="media/image2826.jpeg"/><Relationship Id="rId2834" Type="http://schemas.openxmlformats.org/officeDocument/2006/relationships/image" Target="media/image2827.jpeg"/><Relationship Id="rId2835" Type="http://schemas.openxmlformats.org/officeDocument/2006/relationships/image" Target="media/image2828.jpeg"/><Relationship Id="rId2836" Type="http://schemas.openxmlformats.org/officeDocument/2006/relationships/image" Target="media/image2829.jpeg"/><Relationship Id="rId2837" Type="http://schemas.openxmlformats.org/officeDocument/2006/relationships/image" Target="media/image2830.jpeg"/><Relationship Id="rId2838" Type="http://schemas.openxmlformats.org/officeDocument/2006/relationships/image" Target="media/image2831.jpeg"/><Relationship Id="rId2839" Type="http://schemas.openxmlformats.org/officeDocument/2006/relationships/image" Target="media/image2832.jpeg"/><Relationship Id="rId2840" Type="http://schemas.openxmlformats.org/officeDocument/2006/relationships/image" Target="media/image2833.jpeg"/><Relationship Id="rId2841" Type="http://schemas.openxmlformats.org/officeDocument/2006/relationships/image" Target="media/image2834.jpeg"/><Relationship Id="rId2842" Type="http://schemas.openxmlformats.org/officeDocument/2006/relationships/image" Target="media/image2835.jpeg"/><Relationship Id="rId2843" Type="http://schemas.openxmlformats.org/officeDocument/2006/relationships/image" Target="media/image2836.jpeg"/><Relationship Id="rId2844" Type="http://schemas.openxmlformats.org/officeDocument/2006/relationships/image" Target="media/image2837.jpeg"/><Relationship Id="rId2845" Type="http://schemas.openxmlformats.org/officeDocument/2006/relationships/image" Target="media/image2838.jpeg"/><Relationship Id="rId2846" Type="http://schemas.openxmlformats.org/officeDocument/2006/relationships/image" Target="media/image2839.jpeg"/><Relationship Id="rId2847" Type="http://schemas.openxmlformats.org/officeDocument/2006/relationships/image" Target="media/image2840.jpeg"/><Relationship Id="rId2848" Type="http://schemas.openxmlformats.org/officeDocument/2006/relationships/image" Target="media/image2841.jpeg"/><Relationship Id="rId2849" Type="http://schemas.openxmlformats.org/officeDocument/2006/relationships/image" Target="media/image2842.jpeg"/><Relationship Id="rId2850" Type="http://schemas.openxmlformats.org/officeDocument/2006/relationships/image" Target="media/image2843.jpeg"/><Relationship Id="rId2851" Type="http://schemas.openxmlformats.org/officeDocument/2006/relationships/image" Target="media/image2844.jpeg"/><Relationship Id="rId2852" Type="http://schemas.openxmlformats.org/officeDocument/2006/relationships/image" Target="media/image2845.jpeg"/><Relationship Id="rId2853" Type="http://schemas.openxmlformats.org/officeDocument/2006/relationships/image" Target="media/image2846.jpeg"/><Relationship Id="rId2854" Type="http://schemas.openxmlformats.org/officeDocument/2006/relationships/image" Target="media/image2847.jpeg"/><Relationship Id="rId2855" Type="http://schemas.openxmlformats.org/officeDocument/2006/relationships/image" Target="media/image2848.jpeg"/><Relationship Id="rId2856" Type="http://schemas.openxmlformats.org/officeDocument/2006/relationships/image" Target="media/image2849.jpeg"/><Relationship Id="rId2857" Type="http://schemas.openxmlformats.org/officeDocument/2006/relationships/image" Target="media/image2850.jpeg"/><Relationship Id="rId2858" Type="http://schemas.openxmlformats.org/officeDocument/2006/relationships/image" Target="media/image2851.jpeg"/><Relationship Id="rId2859" Type="http://schemas.openxmlformats.org/officeDocument/2006/relationships/image" Target="media/image2852.jpeg"/><Relationship Id="rId2860" Type="http://schemas.openxmlformats.org/officeDocument/2006/relationships/image" Target="media/image2853.jpeg"/><Relationship Id="rId2861" Type="http://schemas.openxmlformats.org/officeDocument/2006/relationships/image" Target="media/image2854.jpeg"/><Relationship Id="rId2862" Type="http://schemas.openxmlformats.org/officeDocument/2006/relationships/image" Target="media/image2855.jpeg"/><Relationship Id="rId2863" Type="http://schemas.openxmlformats.org/officeDocument/2006/relationships/image" Target="media/image2856.jpeg"/><Relationship Id="rId2864" Type="http://schemas.openxmlformats.org/officeDocument/2006/relationships/image" Target="media/image2857.jpeg"/><Relationship Id="rId2865" Type="http://schemas.openxmlformats.org/officeDocument/2006/relationships/image" Target="media/image2858.jpeg"/><Relationship Id="rId2866" Type="http://schemas.openxmlformats.org/officeDocument/2006/relationships/image" Target="media/image2859.jpeg"/><Relationship Id="rId2867" Type="http://schemas.openxmlformats.org/officeDocument/2006/relationships/image" Target="media/image2860.jpeg"/><Relationship Id="rId2868" Type="http://schemas.openxmlformats.org/officeDocument/2006/relationships/image" Target="media/image2861.jpeg"/><Relationship Id="rId2869" Type="http://schemas.openxmlformats.org/officeDocument/2006/relationships/image" Target="media/image2862.jpeg"/><Relationship Id="rId2870" Type="http://schemas.openxmlformats.org/officeDocument/2006/relationships/image" Target="media/image2863.jpeg"/><Relationship Id="rId2871" Type="http://schemas.openxmlformats.org/officeDocument/2006/relationships/image" Target="media/image2864.jpeg"/><Relationship Id="rId2872" Type="http://schemas.openxmlformats.org/officeDocument/2006/relationships/image" Target="media/image2865.jpeg"/><Relationship Id="rId2873" Type="http://schemas.openxmlformats.org/officeDocument/2006/relationships/image" Target="media/image2866.jpeg"/><Relationship Id="rId2874" Type="http://schemas.openxmlformats.org/officeDocument/2006/relationships/image" Target="media/image2867.jpeg"/><Relationship Id="rId2875" Type="http://schemas.openxmlformats.org/officeDocument/2006/relationships/image" Target="media/image2868.jpeg"/><Relationship Id="rId2876" Type="http://schemas.openxmlformats.org/officeDocument/2006/relationships/image" Target="media/image2869.jpeg"/><Relationship Id="rId2877" Type="http://schemas.openxmlformats.org/officeDocument/2006/relationships/image" Target="media/image2870.jpeg"/><Relationship Id="rId2878" Type="http://schemas.openxmlformats.org/officeDocument/2006/relationships/image" Target="media/image2871.jpeg"/><Relationship Id="rId2879" Type="http://schemas.openxmlformats.org/officeDocument/2006/relationships/image" Target="media/image2872.jpeg"/><Relationship Id="rId2880" Type="http://schemas.openxmlformats.org/officeDocument/2006/relationships/image" Target="media/image2873.jpeg"/><Relationship Id="rId2881" Type="http://schemas.openxmlformats.org/officeDocument/2006/relationships/image" Target="media/image2874.jpeg"/><Relationship Id="rId2882" Type="http://schemas.openxmlformats.org/officeDocument/2006/relationships/image" Target="media/image2875.jpeg"/><Relationship Id="rId2883" Type="http://schemas.openxmlformats.org/officeDocument/2006/relationships/image" Target="media/image2876.jpeg"/><Relationship Id="rId2884" Type="http://schemas.openxmlformats.org/officeDocument/2006/relationships/image" Target="media/image2877.jpeg"/><Relationship Id="rId2885" Type="http://schemas.openxmlformats.org/officeDocument/2006/relationships/image" Target="media/image2878.jpeg"/><Relationship Id="rId2886" Type="http://schemas.openxmlformats.org/officeDocument/2006/relationships/image" Target="media/image2879.jpeg"/><Relationship Id="rId2887" Type="http://schemas.openxmlformats.org/officeDocument/2006/relationships/image" Target="media/image2880.jpeg"/><Relationship Id="rId2888" Type="http://schemas.openxmlformats.org/officeDocument/2006/relationships/image" Target="media/image2881.jpeg"/><Relationship Id="rId2889" Type="http://schemas.openxmlformats.org/officeDocument/2006/relationships/image" Target="media/image2882.jpeg"/><Relationship Id="rId2890" Type="http://schemas.openxmlformats.org/officeDocument/2006/relationships/image" Target="media/image2883.jpeg"/><Relationship Id="rId2891" Type="http://schemas.openxmlformats.org/officeDocument/2006/relationships/image" Target="media/image2884.jpeg"/><Relationship Id="rId2892" Type="http://schemas.openxmlformats.org/officeDocument/2006/relationships/image" Target="media/image2885.jpeg"/><Relationship Id="rId2893" Type="http://schemas.openxmlformats.org/officeDocument/2006/relationships/image" Target="media/image2886.jpeg"/><Relationship Id="rId2894" Type="http://schemas.openxmlformats.org/officeDocument/2006/relationships/image" Target="media/image2887.jpeg"/><Relationship Id="rId2895" Type="http://schemas.openxmlformats.org/officeDocument/2006/relationships/image" Target="media/image2888.jpeg"/><Relationship Id="rId2896" Type="http://schemas.openxmlformats.org/officeDocument/2006/relationships/image" Target="media/image2889.jpeg"/><Relationship Id="rId2897" Type="http://schemas.openxmlformats.org/officeDocument/2006/relationships/image" Target="media/image2890.jpeg"/><Relationship Id="rId2898" Type="http://schemas.openxmlformats.org/officeDocument/2006/relationships/image" Target="media/image2891.jpeg"/><Relationship Id="rId2899" Type="http://schemas.openxmlformats.org/officeDocument/2006/relationships/image" Target="media/image2892.jpeg"/><Relationship Id="rId2900" Type="http://schemas.openxmlformats.org/officeDocument/2006/relationships/image" Target="media/image2893.jpeg"/><Relationship Id="rId2901" Type="http://schemas.openxmlformats.org/officeDocument/2006/relationships/image" Target="media/image2894.jpeg"/><Relationship Id="rId2902" Type="http://schemas.openxmlformats.org/officeDocument/2006/relationships/image" Target="media/image2895.jpeg"/><Relationship Id="rId2903" Type="http://schemas.openxmlformats.org/officeDocument/2006/relationships/image" Target="media/image2896.jpeg"/><Relationship Id="rId2904" Type="http://schemas.openxmlformats.org/officeDocument/2006/relationships/image" Target="media/image2897.jpeg"/><Relationship Id="rId2905" Type="http://schemas.openxmlformats.org/officeDocument/2006/relationships/image" Target="media/image2898.jpeg"/><Relationship Id="rId2906" Type="http://schemas.openxmlformats.org/officeDocument/2006/relationships/image" Target="media/image2899.jpeg"/><Relationship Id="rId2907" Type="http://schemas.openxmlformats.org/officeDocument/2006/relationships/image" Target="media/image2900.jpeg"/><Relationship Id="rId2908" Type="http://schemas.openxmlformats.org/officeDocument/2006/relationships/image" Target="media/image2901.jpeg"/><Relationship Id="rId2909" Type="http://schemas.openxmlformats.org/officeDocument/2006/relationships/image" Target="media/image2902.jpeg"/><Relationship Id="rId2910" Type="http://schemas.openxmlformats.org/officeDocument/2006/relationships/image" Target="media/image2903.jpeg"/><Relationship Id="rId2911" Type="http://schemas.openxmlformats.org/officeDocument/2006/relationships/image" Target="media/image2904.jpeg"/><Relationship Id="rId2912" Type="http://schemas.openxmlformats.org/officeDocument/2006/relationships/image" Target="media/image2905.jpeg"/><Relationship Id="rId2913" Type="http://schemas.openxmlformats.org/officeDocument/2006/relationships/image" Target="media/image2906.png"/><Relationship Id="rId2914" Type="http://schemas.openxmlformats.org/officeDocument/2006/relationships/image" Target="media/image2907.jpeg"/><Relationship Id="rId2915" Type="http://schemas.openxmlformats.org/officeDocument/2006/relationships/image" Target="media/image2908.png"/><Relationship Id="rId2916" Type="http://schemas.openxmlformats.org/officeDocument/2006/relationships/image" Target="media/image2909.jpeg"/><Relationship Id="rId2917" Type="http://schemas.openxmlformats.org/officeDocument/2006/relationships/image" Target="media/image2910.jpeg"/><Relationship Id="rId2918" Type="http://schemas.openxmlformats.org/officeDocument/2006/relationships/image" Target="media/image2911.jpeg"/><Relationship Id="rId2919" Type="http://schemas.openxmlformats.org/officeDocument/2006/relationships/image" Target="media/image2912.jpeg"/><Relationship Id="rId2920" Type="http://schemas.openxmlformats.org/officeDocument/2006/relationships/image" Target="media/image2913.jpeg"/><Relationship Id="rId2921" Type="http://schemas.openxmlformats.org/officeDocument/2006/relationships/image" Target="media/image2914.jpeg"/><Relationship Id="rId2922" Type="http://schemas.openxmlformats.org/officeDocument/2006/relationships/image" Target="media/image2915.jpeg"/><Relationship Id="rId2923" Type="http://schemas.openxmlformats.org/officeDocument/2006/relationships/image" Target="media/image2916.jpeg"/><Relationship Id="rId2924" Type="http://schemas.openxmlformats.org/officeDocument/2006/relationships/image" Target="media/image2917.jpeg"/><Relationship Id="rId2925" Type="http://schemas.openxmlformats.org/officeDocument/2006/relationships/image" Target="media/image2918.jpeg"/><Relationship Id="rId2926" Type="http://schemas.openxmlformats.org/officeDocument/2006/relationships/image" Target="media/image2919.jpeg"/><Relationship Id="rId2927" Type="http://schemas.openxmlformats.org/officeDocument/2006/relationships/image" Target="media/image2920.jpeg"/><Relationship Id="rId2928" Type="http://schemas.openxmlformats.org/officeDocument/2006/relationships/image" Target="media/image2921.jpeg"/><Relationship Id="rId2929" Type="http://schemas.openxmlformats.org/officeDocument/2006/relationships/image" Target="media/image2922.jpeg"/><Relationship Id="rId2930" Type="http://schemas.openxmlformats.org/officeDocument/2006/relationships/image" Target="media/image2923.jpeg"/><Relationship Id="rId2931" Type="http://schemas.openxmlformats.org/officeDocument/2006/relationships/image" Target="media/image2924.jpeg"/><Relationship Id="rId2932" Type="http://schemas.openxmlformats.org/officeDocument/2006/relationships/image" Target="media/image2925.jpeg"/><Relationship Id="rId2933" Type="http://schemas.openxmlformats.org/officeDocument/2006/relationships/image" Target="media/image2926.jpeg"/><Relationship Id="rId2934" Type="http://schemas.openxmlformats.org/officeDocument/2006/relationships/image" Target="media/image2927.jpeg"/><Relationship Id="rId2935" Type="http://schemas.openxmlformats.org/officeDocument/2006/relationships/image" Target="media/image2928.jpeg"/><Relationship Id="rId2936" Type="http://schemas.openxmlformats.org/officeDocument/2006/relationships/image" Target="media/image2929.jpeg"/><Relationship Id="rId2937" Type="http://schemas.openxmlformats.org/officeDocument/2006/relationships/image" Target="media/image2930.jpeg"/><Relationship Id="rId2938" Type="http://schemas.openxmlformats.org/officeDocument/2006/relationships/image" Target="media/image2931.jpeg"/><Relationship Id="rId2939" Type="http://schemas.openxmlformats.org/officeDocument/2006/relationships/image" Target="media/image2932.jpeg"/><Relationship Id="rId2940" Type="http://schemas.openxmlformats.org/officeDocument/2006/relationships/image" Target="media/image2933.jpeg"/><Relationship Id="rId2941" Type="http://schemas.openxmlformats.org/officeDocument/2006/relationships/image" Target="media/image2934.jpeg"/><Relationship Id="rId2942" Type="http://schemas.openxmlformats.org/officeDocument/2006/relationships/image" Target="media/image2935.jpeg"/><Relationship Id="rId2943" Type="http://schemas.openxmlformats.org/officeDocument/2006/relationships/image" Target="media/image2936.jpeg"/><Relationship Id="rId2944" Type="http://schemas.openxmlformats.org/officeDocument/2006/relationships/image" Target="media/image2937.jpeg"/><Relationship Id="rId2945" Type="http://schemas.openxmlformats.org/officeDocument/2006/relationships/image" Target="media/image2938.jpeg"/><Relationship Id="rId2946" Type="http://schemas.openxmlformats.org/officeDocument/2006/relationships/image" Target="media/image2939.jpeg"/><Relationship Id="rId2947" Type="http://schemas.openxmlformats.org/officeDocument/2006/relationships/image" Target="media/image2940.jpeg"/><Relationship Id="rId2948" Type="http://schemas.openxmlformats.org/officeDocument/2006/relationships/image" Target="media/image2941.jpeg"/><Relationship Id="rId2949" Type="http://schemas.openxmlformats.org/officeDocument/2006/relationships/image" Target="media/image2942.jpeg"/><Relationship Id="rId2950" Type="http://schemas.openxmlformats.org/officeDocument/2006/relationships/image" Target="media/image2943.jpeg"/><Relationship Id="rId2951" Type="http://schemas.openxmlformats.org/officeDocument/2006/relationships/image" Target="media/image2944.jpeg"/><Relationship Id="rId2952" Type="http://schemas.openxmlformats.org/officeDocument/2006/relationships/image" Target="media/image2945.jpeg"/><Relationship Id="rId2953" Type="http://schemas.openxmlformats.org/officeDocument/2006/relationships/image" Target="media/image2946.jpeg"/><Relationship Id="rId2954" Type="http://schemas.openxmlformats.org/officeDocument/2006/relationships/image" Target="media/image2947.jpeg"/><Relationship Id="rId2955" Type="http://schemas.openxmlformats.org/officeDocument/2006/relationships/image" Target="media/image2948.jpeg"/><Relationship Id="rId2956" Type="http://schemas.openxmlformats.org/officeDocument/2006/relationships/image" Target="media/image2949.jpeg"/><Relationship Id="rId2957" Type="http://schemas.openxmlformats.org/officeDocument/2006/relationships/image" Target="media/image2950.jpeg"/><Relationship Id="rId2958" Type="http://schemas.openxmlformats.org/officeDocument/2006/relationships/image" Target="media/image2951.jpeg"/><Relationship Id="rId2959" Type="http://schemas.openxmlformats.org/officeDocument/2006/relationships/image" Target="media/image2952.jpeg"/><Relationship Id="rId2960" Type="http://schemas.openxmlformats.org/officeDocument/2006/relationships/image" Target="media/image2953.jpeg"/><Relationship Id="rId2961" Type="http://schemas.openxmlformats.org/officeDocument/2006/relationships/image" Target="media/image2954.jpeg"/><Relationship Id="rId2962" Type="http://schemas.openxmlformats.org/officeDocument/2006/relationships/image" Target="media/image2955.jpeg"/><Relationship Id="rId2963" Type="http://schemas.openxmlformats.org/officeDocument/2006/relationships/image" Target="media/image2956.jpeg"/><Relationship Id="rId2964" Type="http://schemas.openxmlformats.org/officeDocument/2006/relationships/image" Target="media/image2957.jpeg"/><Relationship Id="rId2965" Type="http://schemas.openxmlformats.org/officeDocument/2006/relationships/image" Target="media/image2958.jpeg"/><Relationship Id="rId2966" Type="http://schemas.openxmlformats.org/officeDocument/2006/relationships/image" Target="media/image2959.jpeg"/><Relationship Id="rId2967" Type="http://schemas.openxmlformats.org/officeDocument/2006/relationships/image" Target="media/image2960.jpeg"/><Relationship Id="rId2968" Type="http://schemas.openxmlformats.org/officeDocument/2006/relationships/image" Target="media/image2961.jpeg"/><Relationship Id="rId2969" Type="http://schemas.openxmlformats.org/officeDocument/2006/relationships/image" Target="media/image2962.jpeg"/><Relationship Id="rId2970" Type="http://schemas.openxmlformats.org/officeDocument/2006/relationships/image" Target="media/image2963.jpeg"/><Relationship Id="rId2971" Type="http://schemas.openxmlformats.org/officeDocument/2006/relationships/image" Target="media/image2964.jpeg"/><Relationship Id="rId2972" Type="http://schemas.openxmlformats.org/officeDocument/2006/relationships/image" Target="media/image2965.jpeg"/><Relationship Id="rId2973" Type="http://schemas.openxmlformats.org/officeDocument/2006/relationships/image" Target="media/image2966.jpeg"/><Relationship Id="rId2974" Type="http://schemas.openxmlformats.org/officeDocument/2006/relationships/image" Target="media/image2967.jpeg"/><Relationship Id="rId2975" Type="http://schemas.openxmlformats.org/officeDocument/2006/relationships/image" Target="media/image2968.jpeg"/><Relationship Id="rId2976" Type="http://schemas.openxmlformats.org/officeDocument/2006/relationships/image" Target="media/image2969.jpeg"/><Relationship Id="rId2977" Type="http://schemas.openxmlformats.org/officeDocument/2006/relationships/image" Target="media/image2970.jpeg"/><Relationship Id="rId2978" Type="http://schemas.openxmlformats.org/officeDocument/2006/relationships/image" Target="media/image2971.jpeg"/><Relationship Id="rId2979" Type="http://schemas.openxmlformats.org/officeDocument/2006/relationships/image" Target="media/image2972.jpeg"/><Relationship Id="rId2980" Type="http://schemas.openxmlformats.org/officeDocument/2006/relationships/image" Target="media/image2973.jpeg"/><Relationship Id="rId2981" Type="http://schemas.openxmlformats.org/officeDocument/2006/relationships/image" Target="media/image2974.jpeg"/><Relationship Id="rId2982" Type="http://schemas.openxmlformats.org/officeDocument/2006/relationships/image" Target="media/image2975.jpeg"/><Relationship Id="rId2983" Type="http://schemas.openxmlformats.org/officeDocument/2006/relationships/image" Target="media/image2976.jpeg"/><Relationship Id="rId2984" Type="http://schemas.openxmlformats.org/officeDocument/2006/relationships/image" Target="media/image2977.jpeg"/><Relationship Id="rId2985" Type="http://schemas.openxmlformats.org/officeDocument/2006/relationships/image" Target="media/image2978.jpeg"/><Relationship Id="rId2986" Type="http://schemas.openxmlformats.org/officeDocument/2006/relationships/image" Target="media/image2979.jpeg"/><Relationship Id="rId2987" Type="http://schemas.openxmlformats.org/officeDocument/2006/relationships/image" Target="media/image2980.jpeg"/><Relationship Id="rId2988" Type="http://schemas.openxmlformats.org/officeDocument/2006/relationships/image" Target="media/image2981.jpeg"/><Relationship Id="rId2989" Type="http://schemas.openxmlformats.org/officeDocument/2006/relationships/image" Target="media/image2982.jpeg"/><Relationship Id="rId2990" Type="http://schemas.openxmlformats.org/officeDocument/2006/relationships/image" Target="media/image2983.jpeg"/><Relationship Id="rId2991" Type="http://schemas.openxmlformats.org/officeDocument/2006/relationships/image" Target="media/image2984.jpeg"/><Relationship Id="rId2992" Type="http://schemas.openxmlformats.org/officeDocument/2006/relationships/image" Target="media/image2985.jpeg"/><Relationship Id="rId2993" Type="http://schemas.openxmlformats.org/officeDocument/2006/relationships/image" Target="media/image2986.jpeg"/><Relationship Id="rId2994" Type="http://schemas.openxmlformats.org/officeDocument/2006/relationships/image" Target="media/image2987.jpeg"/><Relationship Id="rId2995" Type="http://schemas.openxmlformats.org/officeDocument/2006/relationships/image" Target="media/image2988.jpeg"/><Relationship Id="rId2996" Type="http://schemas.openxmlformats.org/officeDocument/2006/relationships/image" Target="media/image2989.jpeg"/><Relationship Id="rId2997" Type="http://schemas.openxmlformats.org/officeDocument/2006/relationships/image" Target="media/image2990.jpeg"/><Relationship Id="rId2998" Type="http://schemas.openxmlformats.org/officeDocument/2006/relationships/image" Target="media/image2991.jpeg"/><Relationship Id="rId2999" Type="http://schemas.openxmlformats.org/officeDocument/2006/relationships/image" Target="media/image2992.jpeg"/><Relationship Id="rId3000" Type="http://schemas.openxmlformats.org/officeDocument/2006/relationships/image" Target="media/image2993.jpeg"/><Relationship Id="rId3001" Type="http://schemas.openxmlformats.org/officeDocument/2006/relationships/image" Target="media/image2994.jpeg"/><Relationship Id="rId3002" Type="http://schemas.openxmlformats.org/officeDocument/2006/relationships/image" Target="media/image2995.jpeg"/><Relationship Id="rId3003" Type="http://schemas.openxmlformats.org/officeDocument/2006/relationships/image" Target="media/image2996.jpeg"/><Relationship Id="rId3004" Type="http://schemas.openxmlformats.org/officeDocument/2006/relationships/image" Target="media/image2997.jpeg"/><Relationship Id="rId3005" Type="http://schemas.openxmlformats.org/officeDocument/2006/relationships/image" Target="media/image2998.jpeg"/><Relationship Id="rId3006" Type="http://schemas.openxmlformats.org/officeDocument/2006/relationships/image" Target="media/image2999.jpeg"/><Relationship Id="rId3007" Type="http://schemas.openxmlformats.org/officeDocument/2006/relationships/image" Target="media/image3000.jpeg"/><Relationship Id="rId3008" Type="http://schemas.openxmlformats.org/officeDocument/2006/relationships/image" Target="media/image3001.jpeg"/><Relationship Id="rId3009" Type="http://schemas.openxmlformats.org/officeDocument/2006/relationships/image" Target="media/image3002.jpeg"/><Relationship Id="rId3010" Type="http://schemas.openxmlformats.org/officeDocument/2006/relationships/image" Target="media/image3003.jpeg"/><Relationship Id="rId3011" Type="http://schemas.openxmlformats.org/officeDocument/2006/relationships/image" Target="media/image3004.jpeg"/><Relationship Id="rId3012" Type="http://schemas.openxmlformats.org/officeDocument/2006/relationships/image" Target="media/image3005.jpeg"/><Relationship Id="rId3013" Type="http://schemas.openxmlformats.org/officeDocument/2006/relationships/image" Target="media/image3006.jpeg"/><Relationship Id="rId3014" Type="http://schemas.openxmlformats.org/officeDocument/2006/relationships/image" Target="media/image3007.jpeg"/><Relationship Id="rId3015" Type="http://schemas.openxmlformats.org/officeDocument/2006/relationships/image" Target="media/image3008.jpeg"/><Relationship Id="rId3016" Type="http://schemas.openxmlformats.org/officeDocument/2006/relationships/image" Target="media/image3009.jpeg"/><Relationship Id="rId3017" Type="http://schemas.openxmlformats.org/officeDocument/2006/relationships/image" Target="media/image3010.jpeg"/><Relationship Id="rId3018" Type="http://schemas.openxmlformats.org/officeDocument/2006/relationships/image" Target="media/image3011.jpeg"/><Relationship Id="rId3019" Type="http://schemas.openxmlformats.org/officeDocument/2006/relationships/image" Target="media/image3012.jpeg"/><Relationship Id="rId3020" Type="http://schemas.openxmlformats.org/officeDocument/2006/relationships/image" Target="media/image3013.jpeg"/><Relationship Id="rId3021" Type="http://schemas.openxmlformats.org/officeDocument/2006/relationships/image" Target="media/image3014.jpeg"/><Relationship Id="rId3022" Type="http://schemas.openxmlformats.org/officeDocument/2006/relationships/image" Target="media/image3015.jpeg"/><Relationship Id="rId3023" Type="http://schemas.openxmlformats.org/officeDocument/2006/relationships/image" Target="media/image3016.jpeg"/><Relationship Id="rId3024" Type="http://schemas.openxmlformats.org/officeDocument/2006/relationships/image" Target="media/image3017.jpeg"/><Relationship Id="rId3025" Type="http://schemas.openxmlformats.org/officeDocument/2006/relationships/image" Target="media/image3018.jpeg"/><Relationship Id="rId3026" Type="http://schemas.openxmlformats.org/officeDocument/2006/relationships/image" Target="media/image3019.jpeg"/><Relationship Id="rId3027" Type="http://schemas.openxmlformats.org/officeDocument/2006/relationships/image" Target="media/image3020.jpeg"/><Relationship Id="rId3028" Type="http://schemas.openxmlformats.org/officeDocument/2006/relationships/image" Target="media/image3021.jpeg"/><Relationship Id="rId3029" Type="http://schemas.openxmlformats.org/officeDocument/2006/relationships/image" Target="media/image3022.jpeg"/><Relationship Id="rId3030" Type="http://schemas.openxmlformats.org/officeDocument/2006/relationships/image" Target="media/image3023.jpeg"/><Relationship Id="rId3031" Type="http://schemas.openxmlformats.org/officeDocument/2006/relationships/image" Target="media/image3024.jpeg"/><Relationship Id="rId3032" Type="http://schemas.openxmlformats.org/officeDocument/2006/relationships/image" Target="media/image3025.jpeg"/><Relationship Id="rId3033" Type="http://schemas.openxmlformats.org/officeDocument/2006/relationships/image" Target="media/image3026.jpeg"/><Relationship Id="rId3034" Type="http://schemas.openxmlformats.org/officeDocument/2006/relationships/image" Target="media/image3027.jpeg"/><Relationship Id="rId3035" Type="http://schemas.openxmlformats.org/officeDocument/2006/relationships/image" Target="media/image3028.jpeg"/><Relationship Id="rId3036" Type="http://schemas.openxmlformats.org/officeDocument/2006/relationships/image" Target="media/image3029.jpeg"/><Relationship Id="rId3037" Type="http://schemas.openxmlformats.org/officeDocument/2006/relationships/image" Target="media/image3030.jpeg"/><Relationship Id="rId3038" Type="http://schemas.openxmlformats.org/officeDocument/2006/relationships/image" Target="media/image3031.jpeg"/><Relationship Id="rId3039" Type="http://schemas.openxmlformats.org/officeDocument/2006/relationships/image" Target="media/image3032.jpeg"/><Relationship Id="rId3040" Type="http://schemas.openxmlformats.org/officeDocument/2006/relationships/image" Target="media/image3033.jpeg"/><Relationship Id="rId3041" Type="http://schemas.openxmlformats.org/officeDocument/2006/relationships/image" Target="media/image3034.jpeg"/><Relationship Id="rId3042" Type="http://schemas.openxmlformats.org/officeDocument/2006/relationships/image" Target="media/image3035.jpeg"/><Relationship Id="rId3043" Type="http://schemas.openxmlformats.org/officeDocument/2006/relationships/image" Target="media/image3036.jpeg"/><Relationship Id="rId3044" Type="http://schemas.openxmlformats.org/officeDocument/2006/relationships/image" Target="media/image3037.jpeg"/><Relationship Id="rId3045" Type="http://schemas.openxmlformats.org/officeDocument/2006/relationships/image" Target="media/image3038.jpeg"/><Relationship Id="rId3046" Type="http://schemas.openxmlformats.org/officeDocument/2006/relationships/image" Target="media/image3039.jpeg"/><Relationship Id="rId3047" Type="http://schemas.openxmlformats.org/officeDocument/2006/relationships/image" Target="media/image3040.jpeg"/><Relationship Id="rId3048" Type="http://schemas.openxmlformats.org/officeDocument/2006/relationships/image" Target="media/image3041.jpeg"/><Relationship Id="rId3049" Type="http://schemas.openxmlformats.org/officeDocument/2006/relationships/image" Target="media/image3042.jpeg"/><Relationship Id="rId3050" Type="http://schemas.openxmlformats.org/officeDocument/2006/relationships/image" Target="media/image3043.jpeg"/><Relationship Id="rId3051" Type="http://schemas.openxmlformats.org/officeDocument/2006/relationships/image" Target="media/image3044.jpeg"/><Relationship Id="rId3052" Type="http://schemas.openxmlformats.org/officeDocument/2006/relationships/image" Target="media/image3045.jpeg"/><Relationship Id="rId3053" Type="http://schemas.openxmlformats.org/officeDocument/2006/relationships/image" Target="media/image3046.jpeg"/><Relationship Id="rId3054" Type="http://schemas.openxmlformats.org/officeDocument/2006/relationships/image" Target="media/image3047.jpeg"/><Relationship Id="rId3055" Type="http://schemas.openxmlformats.org/officeDocument/2006/relationships/image" Target="media/image3048.jpeg"/><Relationship Id="rId3056" Type="http://schemas.openxmlformats.org/officeDocument/2006/relationships/image" Target="media/image3049.jpeg"/><Relationship Id="rId3057" Type="http://schemas.openxmlformats.org/officeDocument/2006/relationships/image" Target="media/image3050.jpeg"/><Relationship Id="rId3058" Type="http://schemas.openxmlformats.org/officeDocument/2006/relationships/image" Target="media/image3051.jpeg"/><Relationship Id="rId3059" Type="http://schemas.openxmlformats.org/officeDocument/2006/relationships/image" Target="media/image3052.jpeg"/><Relationship Id="rId3060" Type="http://schemas.openxmlformats.org/officeDocument/2006/relationships/image" Target="media/image3053.jpeg"/><Relationship Id="rId3061" Type="http://schemas.openxmlformats.org/officeDocument/2006/relationships/image" Target="media/image3054.jpeg"/><Relationship Id="rId3062" Type="http://schemas.openxmlformats.org/officeDocument/2006/relationships/image" Target="media/image3055.jpeg"/><Relationship Id="rId3063" Type="http://schemas.openxmlformats.org/officeDocument/2006/relationships/image" Target="media/image3056.jpeg"/><Relationship Id="rId3064" Type="http://schemas.openxmlformats.org/officeDocument/2006/relationships/image" Target="media/image3057.jpeg"/><Relationship Id="rId3065" Type="http://schemas.openxmlformats.org/officeDocument/2006/relationships/image" Target="media/image3058.jpeg"/><Relationship Id="rId3066" Type="http://schemas.openxmlformats.org/officeDocument/2006/relationships/image" Target="media/image3059.jpeg"/><Relationship Id="rId3067" Type="http://schemas.openxmlformats.org/officeDocument/2006/relationships/image" Target="media/image3060.jpeg"/><Relationship Id="rId3068" Type="http://schemas.openxmlformats.org/officeDocument/2006/relationships/image" Target="media/image3061.jpeg"/><Relationship Id="rId3069" Type="http://schemas.openxmlformats.org/officeDocument/2006/relationships/image" Target="media/image3062.jpeg"/><Relationship Id="rId3070" Type="http://schemas.openxmlformats.org/officeDocument/2006/relationships/image" Target="media/image3063.jpeg"/><Relationship Id="rId3071" Type="http://schemas.openxmlformats.org/officeDocument/2006/relationships/image" Target="media/image3064.jpeg"/><Relationship Id="rId3072" Type="http://schemas.openxmlformats.org/officeDocument/2006/relationships/image" Target="media/image3065.jpeg"/><Relationship Id="rId3073" Type="http://schemas.openxmlformats.org/officeDocument/2006/relationships/image" Target="media/image3066.jpeg"/><Relationship Id="rId3074" Type="http://schemas.openxmlformats.org/officeDocument/2006/relationships/image" Target="media/image3067.jpeg"/><Relationship Id="rId3075" Type="http://schemas.openxmlformats.org/officeDocument/2006/relationships/image" Target="media/image3068.jpeg"/><Relationship Id="rId3076" Type="http://schemas.openxmlformats.org/officeDocument/2006/relationships/image" Target="media/image3069.jpeg"/><Relationship Id="rId3077" Type="http://schemas.openxmlformats.org/officeDocument/2006/relationships/image" Target="media/image3070.jpeg"/><Relationship Id="rId3078" Type="http://schemas.openxmlformats.org/officeDocument/2006/relationships/image" Target="media/image3071.jpeg"/><Relationship Id="rId3079" Type="http://schemas.openxmlformats.org/officeDocument/2006/relationships/image" Target="media/image3072.jpeg"/><Relationship Id="rId3080" Type="http://schemas.openxmlformats.org/officeDocument/2006/relationships/image" Target="media/image3073.jpeg"/><Relationship Id="rId3081" Type="http://schemas.openxmlformats.org/officeDocument/2006/relationships/image" Target="media/image3074.jpeg"/><Relationship Id="rId3082" Type="http://schemas.openxmlformats.org/officeDocument/2006/relationships/image" Target="media/image3075.jpeg"/><Relationship Id="rId3083" Type="http://schemas.openxmlformats.org/officeDocument/2006/relationships/image" Target="media/image3076.jpeg"/><Relationship Id="rId3084" Type="http://schemas.openxmlformats.org/officeDocument/2006/relationships/image" Target="media/image3077.jpeg"/><Relationship Id="rId3085" Type="http://schemas.openxmlformats.org/officeDocument/2006/relationships/image" Target="media/image3078.jpeg"/><Relationship Id="rId3086" Type="http://schemas.openxmlformats.org/officeDocument/2006/relationships/image" Target="media/image3079.jpeg"/><Relationship Id="rId3087" Type="http://schemas.openxmlformats.org/officeDocument/2006/relationships/image" Target="media/image3080.jpeg"/><Relationship Id="rId3088" Type="http://schemas.openxmlformats.org/officeDocument/2006/relationships/image" Target="media/image3081.jpeg"/><Relationship Id="rId3089" Type="http://schemas.openxmlformats.org/officeDocument/2006/relationships/image" Target="media/image3082.jpeg"/><Relationship Id="rId3090" Type="http://schemas.openxmlformats.org/officeDocument/2006/relationships/image" Target="media/image3083.jpeg"/><Relationship Id="rId3091" Type="http://schemas.openxmlformats.org/officeDocument/2006/relationships/image" Target="media/image3084.jpeg"/><Relationship Id="rId3092" Type="http://schemas.openxmlformats.org/officeDocument/2006/relationships/image" Target="media/image3085.jpeg"/><Relationship Id="rId3093" Type="http://schemas.openxmlformats.org/officeDocument/2006/relationships/image" Target="media/image3086.jpeg"/><Relationship Id="rId3094" Type="http://schemas.openxmlformats.org/officeDocument/2006/relationships/image" Target="media/image3087.jpeg"/><Relationship Id="rId3095" Type="http://schemas.openxmlformats.org/officeDocument/2006/relationships/image" Target="media/image3088.jpeg"/><Relationship Id="rId3096" Type="http://schemas.openxmlformats.org/officeDocument/2006/relationships/image" Target="media/image3089.jpeg"/><Relationship Id="rId3097" Type="http://schemas.openxmlformats.org/officeDocument/2006/relationships/image" Target="media/image3090.jpeg"/><Relationship Id="rId3098" Type="http://schemas.openxmlformats.org/officeDocument/2006/relationships/image" Target="media/image3091.jpeg"/><Relationship Id="rId3099" Type="http://schemas.openxmlformats.org/officeDocument/2006/relationships/image" Target="media/image3092.jpeg"/><Relationship Id="rId3100" Type="http://schemas.openxmlformats.org/officeDocument/2006/relationships/image" Target="media/image3093.jpeg"/><Relationship Id="rId3101" Type="http://schemas.openxmlformats.org/officeDocument/2006/relationships/image" Target="media/image3094.jpeg"/><Relationship Id="rId3102" Type="http://schemas.openxmlformats.org/officeDocument/2006/relationships/image" Target="media/image3095.jpeg"/><Relationship Id="rId3103" Type="http://schemas.openxmlformats.org/officeDocument/2006/relationships/image" Target="media/image3096.jpeg"/><Relationship Id="rId3104" Type="http://schemas.openxmlformats.org/officeDocument/2006/relationships/image" Target="media/image3097.jpeg"/><Relationship Id="rId3105" Type="http://schemas.openxmlformats.org/officeDocument/2006/relationships/image" Target="media/image3098.jpeg"/><Relationship Id="rId3106" Type="http://schemas.openxmlformats.org/officeDocument/2006/relationships/image" Target="media/image3099.jpeg"/><Relationship Id="rId3107" Type="http://schemas.openxmlformats.org/officeDocument/2006/relationships/image" Target="media/image3100.jpeg"/><Relationship Id="rId3108" Type="http://schemas.openxmlformats.org/officeDocument/2006/relationships/image" Target="media/image3101.jpeg"/><Relationship Id="rId3109" Type="http://schemas.openxmlformats.org/officeDocument/2006/relationships/image" Target="media/image3102.jpeg"/><Relationship Id="rId3110" Type="http://schemas.openxmlformats.org/officeDocument/2006/relationships/image" Target="media/image3103.jpeg"/><Relationship Id="rId3111" Type="http://schemas.openxmlformats.org/officeDocument/2006/relationships/image" Target="media/image3104.jpeg"/><Relationship Id="rId3112" Type="http://schemas.openxmlformats.org/officeDocument/2006/relationships/image" Target="media/image3105.jpeg"/><Relationship Id="rId3113" Type="http://schemas.openxmlformats.org/officeDocument/2006/relationships/image" Target="media/image3106.jpeg"/><Relationship Id="rId3114" Type="http://schemas.openxmlformats.org/officeDocument/2006/relationships/image" Target="media/image3107.jpeg"/><Relationship Id="rId3115" Type="http://schemas.openxmlformats.org/officeDocument/2006/relationships/image" Target="media/image3108.jpeg"/><Relationship Id="rId3116" Type="http://schemas.openxmlformats.org/officeDocument/2006/relationships/image" Target="media/image3109.jpeg"/><Relationship Id="rId3117" Type="http://schemas.openxmlformats.org/officeDocument/2006/relationships/image" Target="media/image3110.jpeg"/><Relationship Id="rId3118" Type="http://schemas.openxmlformats.org/officeDocument/2006/relationships/image" Target="media/image3111.jpeg"/><Relationship Id="rId3119" Type="http://schemas.openxmlformats.org/officeDocument/2006/relationships/image" Target="media/image3112.jpeg"/><Relationship Id="rId3120" Type="http://schemas.openxmlformats.org/officeDocument/2006/relationships/image" Target="media/image3113.jpeg"/><Relationship Id="rId3121" Type="http://schemas.openxmlformats.org/officeDocument/2006/relationships/image" Target="media/image3114.jpeg"/><Relationship Id="rId3122" Type="http://schemas.openxmlformats.org/officeDocument/2006/relationships/image" Target="media/image3115.jpeg"/><Relationship Id="rId3123" Type="http://schemas.openxmlformats.org/officeDocument/2006/relationships/image" Target="media/image3116.jpeg"/><Relationship Id="rId3124" Type="http://schemas.openxmlformats.org/officeDocument/2006/relationships/image" Target="media/image3117.jpeg"/><Relationship Id="rId3125" Type="http://schemas.openxmlformats.org/officeDocument/2006/relationships/image" Target="media/image3118.jpeg"/><Relationship Id="rId3126" Type="http://schemas.openxmlformats.org/officeDocument/2006/relationships/image" Target="media/image3119.jpeg"/><Relationship Id="rId3127" Type="http://schemas.openxmlformats.org/officeDocument/2006/relationships/image" Target="media/image3120.jpeg"/><Relationship Id="rId3128" Type="http://schemas.openxmlformats.org/officeDocument/2006/relationships/image" Target="media/image3121.jpeg"/><Relationship Id="rId3129" Type="http://schemas.openxmlformats.org/officeDocument/2006/relationships/image" Target="media/image3122.jpeg"/><Relationship Id="rId3130" Type="http://schemas.openxmlformats.org/officeDocument/2006/relationships/image" Target="media/image3123.jpeg"/><Relationship Id="rId3131" Type="http://schemas.openxmlformats.org/officeDocument/2006/relationships/image" Target="media/image3124.jpeg"/><Relationship Id="rId3132" Type="http://schemas.openxmlformats.org/officeDocument/2006/relationships/image" Target="media/image3125.jpe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jpe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jpeg"/><Relationship Id="rId3143" Type="http://schemas.openxmlformats.org/officeDocument/2006/relationships/image" Target="media/image3136.jpeg"/><Relationship Id="rId3144" Type="http://schemas.openxmlformats.org/officeDocument/2006/relationships/image" Target="media/image3137.jpeg"/><Relationship Id="rId3145" Type="http://schemas.openxmlformats.org/officeDocument/2006/relationships/image" Target="media/image3138.png"/><Relationship Id="rId3146" Type="http://schemas.openxmlformats.org/officeDocument/2006/relationships/image" Target="media/image3139.jpeg"/><Relationship Id="rId3147" Type="http://schemas.openxmlformats.org/officeDocument/2006/relationships/image" Target="media/image3140.png"/><Relationship Id="rId3148" Type="http://schemas.openxmlformats.org/officeDocument/2006/relationships/image" Target="media/image3141.jpeg"/><Relationship Id="rId3149" Type="http://schemas.openxmlformats.org/officeDocument/2006/relationships/image" Target="media/image3142.png"/><Relationship Id="rId3150" Type="http://schemas.openxmlformats.org/officeDocument/2006/relationships/image" Target="media/image3143.jpeg"/><Relationship Id="rId3151" Type="http://schemas.openxmlformats.org/officeDocument/2006/relationships/image" Target="media/image3144.jpeg"/><Relationship Id="rId3152" Type="http://schemas.openxmlformats.org/officeDocument/2006/relationships/image" Target="media/image3145.jpeg"/><Relationship Id="rId3153" Type="http://schemas.openxmlformats.org/officeDocument/2006/relationships/image" Target="media/image3146.jpeg"/><Relationship Id="rId3154" Type="http://schemas.openxmlformats.org/officeDocument/2006/relationships/image" Target="media/image3147.jpeg"/><Relationship Id="rId3155" Type="http://schemas.openxmlformats.org/officeDocument/2006/relationships/image" Target="media/image3148.jpeg"/><Relationship Id="rId3156" Type="http://schemas.openxmlformats.org/officeDocument/2006/relationships/image" Target="media/image3149.jpeg"/><Relationship Id="rId3157" Type="http://schemas.openxmlformats.org/officeDocument/2006/relationships/image" Target="media/image3150.jpeg"/><Relationship Id="rId3158" Type="http://schemas.openxmlformats.org/officeDocument/2006/relationships/image" Target="media/image3151.jpeg"/><Relationship Id="rId3159" Type="http://schemas.openxmlformats.org/officeDocument/2006/relationships/image" Target="media/image3152.jpeg"/><Relationship Id="rId3160" Type="http://schemas.openxmlformats.org/officeDocument/2006/relationships/image" Target="media/image3153.jpeg"/><Relationship Id="rId3161" Type="http://schemas.openxmlformats.org/officeDocument/2006/relationships/image" Target="media/image3154.jpeg"/><Relationship Id="rId3162" Type="http://schemas.openxmlformats.org/officeDocument/2006/relationships/image" Target="media/image3155.jpeg"/><Relationship Id="rId3163" Type="http://schemas.openxmlformats.org/officeDocument/2006/relationships/image" Target="media/image3156.jpeg"/><Relationship Id="rId3164" Type="http://schemas.openxmlformats.org/officeDocument/2006/relationships/image" Target="media/image3157.jpeg"/><Relationship Id="rId3165" Type="http://schemas.openxmlformats.org/officeDocument/2006/relationships/image" Target="media/image3158.jpeg"/><Relationship Id="rId3166" Type="http://schemas.openxmlformats.org/officeDocument/2006/relationships/image" Target="media/image3159.jpeg"/><Relationship Id="rId3167" Type="http://schemas.openxmlformats.org/officeDocument/2006/relationships/image" Target="media/image3160.jpe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jpeg"/><Relationship Id="rId3198" Type="http://schemas.openxmlformats.org/officeDocument/2006/relationships/image" Target="media/image3191.png"/><Relationship Id="rId3199" Type="http://schemas.openxmlformats.org/officeDocument/2006/relationships/image" Target="media/image3192.jpeg"/><Relationship Id="rId3200" Type="http://schemas.openxmlformats.org/officeDocument/2006/relationships/image" Target="media/image3193.jpeg"/><Relationship Id="rId3201" Type="http://schemas.openxmlformats.org/officeDocument/2006/relationships/image" Target="media/image3194.jpeg"/><Relationship Id="rId3202" Type="http://schemas.openxmlformats.org/officeDocument/2006/relationships/image" Target="media/image3195.jpeg"/><Relationship Id="rId3203" Type="http://schemas.openxmlformats.org/officeDocument/2006/relationships/image" Target="media/image3196.jpeg"/><Relationship Id="rId3204" Type="http://schemas.openxmlformats.org/officeDocument/2006/relationships/image" Target="media/image3197.jpeg"/><Relationship Id="rId3205" Type="http://schemas.openxmlformats.org/officeDocument/2006/relationships/image" Target="media/image3198.jpeg"/><Relationship Id="rId3206" Type="http://schemas.openxmlformats.org/officeDocument/2006/relationships/image" Target="media/image3199.jpeg"/><Relationship Id="rId3207" Type="http://schemas.openxmlformats.org/officeDocument/2006/relationships/image" Target="media/image3200.jpeg"/><Relationship Id="rId3208" Type="http://schemas.openxmlformats.org/officeDocument/2006/relationships/image" Target="media/image3201.jpeg"/><Relationship Id="rId3209" Type="http://schemas.openxmlformats.org/officeDocument/2006/relationships/image" Target="media/image3202.jpeg"/><Relationship Id="rId3210" Type="http://schemas.openxmlformats.org/officeDocument/2006/relationships/image" Target="media/image3203.jpeg"/><Relationship Id="rId3211" Type="http://schemas.openxmlformats.org/officeDocument/2006/relationships/image" Target="media/image3204.jpeg"/><Relationship Id="rId3212" Type="http://schemas.openxmlformats.org/officeDocument/2006/relationships/image" Target="media/image3205.jpeg"/><Relationship Id="rId3213" Type="http://schemas.openxmlformats.org/officeDocument/2006/relationships/image" Target="media/image3206.jpeg"/><Relationship Id="rId3214" Type="http://schemas.openxmlformats.org/officeDocument/2006/relationships/image" Target="media/image3207.jpeg"/><Relationship Id="rId3215" Type="http://schemas.openxmlformats.org/officeDocument/2006/relationships/image" Target="media/image3208.jpeg"/><Relationship Id="rId3216" Type="http://schemas.openxmlformats.org/officeDocument/2006/relationships/image" Target="media/image3209.jpeg"/><Relationship Id="rId3217" Type="http://schemas.openxmlformats.org/officeDocument/2006/relationships/image" Target="media/image3210.jpeg"/><Relationship Id="rId3218" Type="http://schemas.openxmlformats.org/officeDocument/2006/relationships/image" Target="media/image3211.jpeg"/><Relationship Id="rId3219" Type="http://schemas.openxmlformats.org/officeDocument/2006/relationships/image" Target="media/image3212.jpeg"/><Relationship Id="rId3220" Type="http://schemas.openxmlformats.org/officeDocument/2006/relationships/image" Target="media/image3213.jpeg"/><Relationship Id="rId3221" Type="http://schemas.openxmlformats.org/officeDocument/2006/relationships/image" Target="media/image3214.jpeg"/><Relationship Id="rId3222" Type="http://schemas.openxmlformats.org/officeDocument/2006/relationships/image" Target="media/image3215.jpeg"/><Relationship Id="rId3223" Type="http://schemas.openxmlformats.org/officeDocument/2006/relationships/image" Target="media/image3216.jpeg"/><Relationship Id="rId3224" Type="http://schemas.openxmlformats.org/officeDocument/2006/relationships/image" Target="media/image3217.jpeg"/><Relationship Id="rId3225" Type="http://schemas.openxmlformats.org/officeDocument/2006/relationships/image" Target="media/image3218.jpeg"/><Relationship Id="rId3226" Type="http://schemas.openxmlformats.org/officeDocument/2006/relationships/image" Target="media/image3219.jpeg"/><Relationship Id="rId3227" Type="http://schemas.openxmlformats.org/officeDocument/2006/relationships/image" Target="media/image3220.jpeg"/><Relationship Id="rId3228" Type="http://schemas.openxmlformats.org/officeDocument/2006/relationships/image" Target="media/image3221.jpeg"/><Relationship Id="rId3229" Type="http://schemas.openxmlformats.org/officeDocument/2006/relationships/image" Target="media/image3222.jpeg"/><Relationship Id="rId3230" Type="http://schemas.openxmlformats.org/officeDocument/2006/relationships/image" Target="media/image3223.jpeg"/><Relationship Id="rId3231" Type="http://schemas.openxmlformats.org/officeDocument/2006/relationships/image" Target="media/image3224.jpeg"/><Relationship Id="rId3232" Type="http://schemas.openxmlformats.org/officeDocument/2006/relationships/image" Target="media/image3225.jpeg"/><Relationship Id="rId3233" Type="http://schemas.openxmlformats.org/officeDocument/2006/relationships/image" Target="media/image3226.jpeg"/><Relationship Id="rId3234" Type="http://schemas.openxmlformats.org/officeDocument/2006/relationships/image" Target="media/image3227.jpeg"/><Relationship Id="rId3235" Type="http://schemas.openxmlformats.org/officeDocument/2006/relationships/image" Target="media/image3228.jpeg"/><Relationship Id="rId3236" Type="http://schemas.openxmlformats.org/officeDocument/2006/relationships/image" Target="media/image3229.jpeg"/><Relationship Id="rId3237" Type="http://schemas.openxmlformats.org/officeDocument/2006/relationships/image" Target="media/image3230.jpeg"/><Relationship Id="rId3238" Type="http://schemas.openxmlformats.org/officeDocument/2006/relationships/image" Target="media/image3231.jpeg"/><Relationship Id="rId3239" Type="http://schemas.openxmlformats.org/officeDocument/2006/relationships/image" Target="media/image3232.jpeg"/><Relationship Id="rId3240" Type="http://schemas.openxmlformats.org/officeDocument/2006/relationships/image" Target="media/image3233.jpeg"/><Relationship Id="rId3241" Type="http://schemas.openxmlformats.org/officeDocument/2006/relationships/image" Target="media/image3234.jpeg"/><Relationship Id="rId3242" Type="http://schemas.openxmlformats.org/officeDocument/2006/relationships/image" Target="media/image3235.jpeg"/><Relationship Id="rId3243" Type="http://schemas.openxmlformats.org/officeDocument/2006/relationships/image" Target="media/image3236.jpeg"/><Relationship Id="rId3244" Type="http://schemas.openxmlformats.org/officeDocument/2006/relationships/image" Target="media/image3237.jpeg"/><Relationship Id="rId3245" Type="http://schemas.openxmlformats.org/officeDocument/2006/relationships/image" Target="media/image3238.jpeg"/><Relationship Id="rId3246" Type="http://schemas.openxmlformats.org/officeDocument/2006/relationships/image" Target="media/image3239.jpeg"/><Relationship Id="rId3247" Type="http://schemas.openxmlformats.org/officeDocument/2006/relationships/image" Target="media/image3240.jpeg"/><Relationship Id="rId3248" Type="http://schemas.openxmlformats.org/officeDocument/2006/relationships/image" Target="media/image3241.jpeg"/><Relationship Id="rId3249" Type="http://schemas.openxmlformats.org/officeDocument/2006/relationships/image" Target="media/image3242.jpeg"/><Relationship Id="rId3250" Type="http://schemas.openxmlformats.org/officeDocument/2006/relationships/image" Target="media/image3243.jpeg"/><Relationship Id="rId3251" Type="http://schemas.openxmlformats.org/officeDocument/2006/relationships/image" Target="media/image3244.jpeg"/><Relationship Id="rId3252" Type="http://schemas.openxmlformats.org/officeDocument/2006/relationships/image" Target="media/image3245.jpeg"/><Relationship Id="rId3253" Type="http://schemas.openxmlformats.org/officeDocument/2006/relationships/image" Target="media/image3246.jpe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jpeg"/><Relationship Id="rId3259" Type="http://schemas.openxmlformats.org/officeDocument/2006/relationships/image" Target="media/image3252.png"/><Relationship Id="rId3260" Type="http://schemas.openxmlformats.org/officeDocument/2006/relationships/image" Target="media/image3253.jpeg"/><Relationship Id="rId3261" Type="http://schemas.openxmlformats.org/officeDocument/2006/relationships/image" Target="media/image3254.jpeg"/><Relationship Id="rId3262" Type="http://schemas.openxmlformats.org/officeDocument/2006/relationships/image" Target="media/image3255.jpeg"/><Relationship Id="rId3263" Type="http://schemas.openxmlformats.org/officeDocument/2006/relationships/image" Target="media/image3256.jpeg"/><Relationship Id="rId3264" Type="http://schemas.openxmlformats.org/officeDocument/2006/relationships/image" Target="media/image3257.jpeg"/><Relationship Id="rId3265" Type="http://schemas.openxmlformats.org/officeDocument/2006/relationships/image" Target="media/image3258.jpeg"/><Relationship Id="rId3266" Type="http://schemas.openxmlformats.org/officeDocument/2006/relationships/image" Target="media/image3259.jpeg"/><Relationship Id="rId3267" Type="http://schemas.openxmlformats.org/officeDocument/2006/relationships/image" Target="media/image3260.jpeg"/><Relationship Id="rId3268" Type="http://schemas.openxmlformats.org/officeDocument/2006/relationships/image" Target="media/image3261.jpeg"/><Relationship Id="rId3269" Type="http://schemas.openxmlformats.org/officeDocument/2006/relationships/image" Target="media/image3262.jpeg"/><Relationship Id="rId3270" Type="http://schemas.openxmlformats.org/officeDocument/2006/relationships/image" Target="media/image3263.jpeg"/><Relationship Id="rId3271" Type="http://schemas.openxmlformats.org/officeDocument/2006/relationships/image" Target="media/image3264.jpeg"/><Relationship Id="rId3272" Type="http://schemas.openxmlformats.org/officeDocument/2006/relationships/image" Target="media/image3265.jpeg"/><Relationship Id="rId3273" Type="http://schemas.openxmlformats.org/officeDocument/2006/relationships/image" Target="media/image3266.jpeg"/><Relationship Id="rId3274" Type="http://schemas.openxmlformats.org/officeDocument/2006/relationships/image" Target="media/image3267.jpeg"/><Relationship Id="rId3275" Type="http://schemas.openxmlformats.org/officeDocument/2006/relationships/image" Target="media/image3268.jpeg"/><Relationship Id="rId3276" Type="http://schemas.openxmlformats.org/officeDocument/2006/relationships/image" Target="media/image3269.jpeg"/><Relationship Id="rId3277" Type="http://schemas.openxmlformats.org/officeDocument/2006/relationships/image" Target="media/image3270.jpeg"/><Relationship Id="rId3278" Type="http://schemas.openxmlformats.org/officeDocument/2006/relationships/image" Target="media/image3271.jpeg"/><Relationship Id="rId3279" Type="http://schemas.openxmlformats.org/officeDocument/2006/relationships/image" Target="media/image3272.jpeg"/><Relationship Id="rId3280" Type="http://schemas.openxmlformats.org/officeDocument/2006/relationships/image" Target="media/image3273.jpeg"/><Relationship Id="rId3281" Type="http://schemas.openxmlformats.org/officeDocument/2006/relationships/image" Target="media/image3274.jpeg"/><Relationship Id="rId3282" Type="http://schemas.openxmlformats.org/officeDocument/2006/relationships/image" Target="media/image3275.jpeg"/><Relationship Id="rId3283" Type="http://schemas.openxmlformats.org/officeDocument/2006/relationships/image" Target="media/image3276.jpeg"/><Relationship Id="rId3284" Type="http://schemas.openxmlformats.org/officeDocument/2006/relationships/image" Target="media/image3277.jpeg"/><Relationship Id="rId3285" Type="http://schemas.openxmlformats.org/officeDocument/2006/relationships/image" Target="media/image3278.jpeg"/><Relationship Id="rId3286" Type="http://schemas.openxmlformats.org/officeDocument/2006/relationships/image" Target="media/image3279.jpeg"/><Relationship Id="rId3287" Type="http://schemas.openxmlformats.org/officeDocument/2006/relationships/image" Target="media/image3280.jpeg"/><Relationship Id="rId3288" Type="http://schemas.openxmlformats.org/officeDocument/2006/relationships/image" Target="media/image3281.jpeg"/><Relationship Id="rId3289" Type="http://schemas.openxmlformats.org/officeDocument/2006/relationships/image" Target="media/image3282.jpe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jpe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jpeg"/><Relationship Id="rId3313" Type="http://schemas.openxmlformats.org/officeDocument/2006/relationships/image" Target="media/image3306.jpeg"/><Relationship Id="rId3314" Type="http://schemas.openxmlformats.org/officeDocument/2006/relationships/image" Target="media/image3307.jpeg"/><Relationship Id="rId3315" Type="http://schemas.openxmlformats.org/officeDocument/2006/relationships/image" Target="media/image3308.png"/><Relationship Id="rId3316" Type="http://schemas.openxmlformats.org/officeDocument/2006/relationships/image" Target="media/image3309.jpeg"/><Relationship Id="rId3317" Type="http://schemas.openxmlformats.org/officeDocument/2006/relationships/image" Target="media/image3310.jpeg"/><Relationship Id="rId3318" Type="http://schemas.openxmlformats.org/officeDocument/2006/relationships/image" Target="media/image3311.jpe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jpeg"/><Relationship Id="rId3322" Type="http://schemas.openxmlformats.org/officeDocument/2006/relationships/image" Target="media/image3315.jpeg"/><Relationship Id="rId3323" Type="http://schemas.openxmlformats.org/officeDocument/2006/relationships/image" Target="media/image3316.jpeg"/><Relationship Id="rId3324" Type="http://schemas.openxmlformats.org/officeDocument/2006/relationships/image" Target="media/image3317.jpeg"/><Relationship Id="rId3325" Type="http://schemas.openxmlformats.org/officeDocument/2006/relationships/image" Target="media/image3318.jpeg"/><Relationship Id="rId3326" Type="http://schemas.openxmlformats.org/officeDocument/2006/relationships/image" Target="media/image3319.jpeg"/><Relationship Id="rId3327" Type="http://schemas.openxmlformats.org/officeDocument/2006/relationships/image" Target="media/image3320.jpeg"/><Relationship Id="rId3328" Type="http://schemas.openxmlformats.org/officeDocument/2006/relationships/image" Target="media/image3321.jpeg"/><Relationship Id="rId3329" Type="http://schemas.openxmlformats.org/officeDocument/2006/relationships/image" Target="media/image3322.jpeg"/><Relationship Id="rId3330" Type="http://schemas.openxmlformats.org/officeDocument/2006/relationships/image" Target="media/image3323.jpeg"/><Relationship Id="rId3331" Type="http://schemas.openxmlformats.org/officeDocument/2006/relationships/image" Target="media/image3324.jpeg"/><Relationship Id="rId3332" Type="http://schemas.openxmlformats.org/officeDocument/2006/relationships/image" Target="media/image3325.jpeg"/><Relationship Id="rId3333" Type="http://schemas.openxmlformats.org/officeDocument/2006/relationships/image" Target="media/image3326.jpeg"/><Relationship Id="rId3334" Type="http://schemas.openxmlformats.org/officeDocument/2006/relationships/image" Target="media/image3327.jpeg"/><Relationship Id="rId3335" Type="http://schemas.openxmlformats.org/officeDocument/2006/relationships/image" Target="media/image3328.jpeg"/><Relationship Id="rId3336" Type="http://schemas.openxmlformats.org/officeDocument/2006/relationships/image" Target="media/image3329.jpeg"/><Relationship Id="rId3337" Type="http://schemas.openxmlformats.org/officeDocument/2006/relationships/image" Target="media/image3330.jpeg"/><Relationship Id="rId3338" Type="http://schemas.openxmlformats.org/officeDocument/2006/relationships/image" Target="media/image3331.jpeg"/><Relationship Id="rId3339" Type="http://schemas.openxmlformats.org/officeDocument/2006/relationships/image" Target="media/image3332.jpeg"/><Relationship Id="rId3340" Type="http://schemas.openxmlformats.org/officeDocument/2006/relationships/image" Target="media/image3333.jpeg"/><Relationship Id="rId3341" Type="http://schemas.openxmlformats.org/officeDocument/2006/relationships/image" Target="media/image3334.jpeg"/><Relationship Id="rId3342" Type="http://schemas.openxmlformats.org/officeDocument/2006/relationships/image" Target="media/image3335.jpeg"/><Relationship Id="rId3343" Type="http://schemas.openxmlformats.org/officeDocument/2006/relationships/image" Target="media/image3336.jpeg"/><Relationship Id="rId3344" Type="http://schemas.openxmlformats.org/officeDocument/2006/relationships/image" Target="media/image3337.jpeg"/><Relationship Id="rId3345" Type="http://schemas.openxmlformats.org/officeDocument/2006/relationships/image" Target="media/image3338.jpeg"/><Relationship Id="rId3346" Type="http://schemas.openxmlformats.org/officeDocument/2006/relationships/image" Target="media/image3339.jpeg"/><Relationship Id="rId3347" Type="http://schemas.openxmlformats.org/officeDocument/2006/relationships/image" Target="media/image3340.jpeg"/><Relationship Id="rId3348" Type="http://schemas.openxmlformats.org/officeDocument/2006/relationships/image" Target="media/image3341.jpe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jpeg"/><Relationship Id="rId3353" Type="http://schemas.openxmlformats.org/officeDocument/2006/relationships/image" Target="media/image3346.jpeg"/><Relationship Id="rId3354" Type="http://schemas.openxmlformats.org/officeDocument/2006/relationships/image" Target="media/image3347.jpeg"/><Relationship Id="rId3355" Type="http://schemas.openxmlformats.org/officeDocument/2006/relationships/image" Target="media/image3348.jpeg"/><Relationship Id="rId3356" Type="http://schemas.openxmlformats.org/officeDocument/2006/relationships/image" Target="media/image3349.jpeg"/><Relationship Id="rId3357" Type="http://schemas.openxmlformats.org/officeDocument/2006/relationships/image" Target="media/image3350.jpeg"/><Relationship Id="rId3358" Type="http://schemas.openxmlformats.org/officeDocument/2006/relationships/image" Target="media/image3351.jpe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jpeg"/><Relationship Id="rId3362" Type="http://schemas.openxmlformats.org/officeDocument/2006/relationships/image" Target="media/image3355.png"/><Relationship Id="rId3363" Type="http://schemas.openxmlformats.org/officeDocument/2006/relationships/image" Target="media/image33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2019-12-12T00:08:45Z</dcterms:created>
  <dcterms:modified xsi:type="dcterms:W3CDTF">2019-12-12T00:08:45Z</dcterms:modified>
</cp:coreProperties>
</file>