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zk2330403.htm"/>
      <w:bookmarkStart w:id="1" w:name="kszk2330403"/>
      <w:bookmarkStart w:id="2" w:name="zk2330403.htm"/>
      <w:bookmarkStart w:id="3" w:name="kszk2330403"/>
      <w:bookmarkEnd w:id="2"/>
      <w:bookmarkEnd w:id="3"/>
    </w:p>
    <w:p>
      <w:pPr>
        <w:pStyle w:val="TextBody"/>
        <w:bidi w:val="0"/>
        <w:spacing w:before="0" w:after="0"/>
        <w:jc w:val="left"/>
        <w:rPr/>
      </w:pPr>
      <w:r>
        <w:rPr/>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FORM 6-K</w:t>
      </w:r>
    </w:p>
    <w:p>
      <w:pPr>
        <w:pStyle w:val="TextBody"/>
        <w:bidi w:val="0"/>
        <w:spacing w:lineRule="auto" w:line="300" w:before="0" w:after="0"/>
        <w:jc w:val="left"/>
        <w:rPr>
          <w:sz w:val="28"/>
        </w:rPr>
      </w:pPr>
      <w:r>
        <w:rPr>
          <w:sz w:val="28"/>
        </w:rPr>
      </w:r>
    </w:p>
    <w:p>
      <w:pPr>
        <w:pStyle w:val="TextBody"/>
        <w:bidi w:val="0"/>
        <w:spacing w:lineRule="auto" w:line="300" w:before="0" w:after="0"/>
        <w:jc w:val="center"/>
        <w:rPr>
          <w:rFonts w:ascii="Times New Roman;Times;serif" w:hAnsi="Times New Roman;Times;serif"/>
          <w:b/>
          <w:smallCaps/>
          <w:color w:val="000000"/>
          <w:sz w:val="28"/>
        </w:rPr>
      </w:pPr>
      <w:r>
        <w:rPr>
          <w:rFonts w:ascii="Times New Roman;Times;serif" w:hAnsi="Times New Roman;Times;serif"/>
          <w:b/>
          <w:smallCaps/>
          <w:color w:val="000000"/>
          <w:sz w:val="28"/>
        </w:rPr>
        <w:t>SECURITIES AND EXCHANGE COMMISSION</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W</w:t>
      </w:r>
      <w:r>
        <w:rPr>
          <w:rFonts w:ascii="Times New Roman;Times;serif" w:hAnsi="Times New Roman;Times;serif"/>
          <w:color w:val="000000"/>
          <w:sz w:val="20"/>
        </w:rPr>
        <w:t xml:space="preserve">ashington, D.C. </w:t>
      </w:r>
      <w:r>
        <w:rPr>
          <w:rFonts w:ascii="Times New Roman;Times;serif" w:hAnsi="Times New Roman;Times;serif"/>
          <w:smallCaps/>
          <w:color w:val="000000"/>
          <w:sz w:val="20"/>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Oct. 2023 No. 1</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32"/>
        </w:rPr>
      </w:pPr>
      <w:r>
        <w:rPr>
          <w:rFonts w:ascii="Times New Roman;Times;serif" w:hAnsi="Times New Roman;Times;serif"/>
          <w:b/>
          <w:color w:val="000000"/>
          <w:sz w:val="32"/>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color w:val="000000"/>
        </w:rPr>
      </w:pPr>
      <w:r>
        <w:rPr>
          <w:color w:val="000000"/>
        </w:rPr>
        <w:t>  </w:t>
      </w: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Form 20-F or Form 40-F.</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ind w:left="0" w:right="0" w:firstLine="72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8"/>
        </w:rPr>
      </w:pPr>
      <w:r>
        <w:rPr>
          <w:rFonts w:ascii="Times New Roman;Times;serif" w:hAnsi="Times New Roman;Times;serif"/>
          <w:b/>
          <w:color w:val="000000"/>
          <w:sz w:val="28"/>
        </w:rPr>
        <w:t>On October 23, 2023, the Registrant Announces Third Quarter 2023 Financial Results and Conference Call</w:t>
      </w:r>
    </w:p>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pPr>
      <w:r>
        <w:rPr/>
      </w:r>
    </w:p>
    <w:p>
      <w:pPr>
        <w:pStyle w:val="Normal"/>
        <w:bidi w:val="0"/>
        <w:spacing w:before="0" w:after="0"/>
        <w:jc w:val="left"/>
        <w:rPr>
          <w:sz w:val="4"/>
          <w:szCs w:val="4"/>
        </w:rPr>
      </w:pPr>
      <w:r>
        <w:rPr>
          <w:sz w:val="4"/>
          <w:szCs w:val="4"/>
        </w:rPr>
      </w:r>
      <w:bookmarkStart w:id="4" w:name="z4f9f39386cb2444693f7bea406b56306"/>
      <w:bookmarkStart w:id="5" w:name="z4f9f39386cb2444693f7bea406b56306"/>
      <w:bookmarkEnd w:id="5"/>
    </w:p>
    <w:tbl>
      <w:tblPr>
        <w:tblW w:w="7224" w:type="dxa"/>
        <w:jc w:val="left"/>
        <w:tblInd w:w="0" w:type="dxa"/>
        <w:tblLayout w:type="fixed"/>
        <w:tblCellMar>
          <w:top w:w="0" w:type="dxa"/>
          <w:left w:w="0" w:type="dxa"/>
          <w:bottom w:w="0" w:type="dxa"/>
          <w:right w:w="0" w:type="dxa"/>
        </w:tblCellMar>
      </w:tblPr>
      <w:tblGrid>
        <w:gridCol w:w="3290"/>
        <w:gridCol w:w="497"/>
        <w:gridCol w:w="3362"/>
        <w:gridCol w:w="75"/>
      </w:tblGrid>
      <w:tr>
        <w:trPr/>
        <w:tc>
          <w:tcPr>
            <w:tcW w:w="3290" w:type="dxa"/>
            <w:tcBorders/>
            <w:vAlign w:val="center"/>
          </w:tcPr>
          <w:p>
            <w:pPr>
              <w:pStyle w:val="TableContents"/>
              <w:bidi w:val="0"/>
              <w:spacing w:lineRule="auto" w:line="300" w:before="0" w:after="0"/>
              <w:jc w:val="left"/>
              <w:rPr/>
            </w:pPr>
            <w:r>
              <w:rPr/>
              <w:t> </w:t>
            </w:r>
          </w:p>
        </w:tc>
        <w:tc>
          <w:tcPr>
            <w:tcW w:w="3859" w:type="dxa"/>
            <w:gridSpan w:val="2"/>
            <w:tcBorders/>
            <w:vAlign w:val="center"/>
          </w:tcPr>
          <w:p>
            <w:pPr>
              <w:pStyle w:val="TableContents"/>
              <w:bidi w:val="0"/>
              <w:spacing w:lineRule="auto" w:line="300" w:before="0" w:after="0"/>
              <w:jc w:val="left"/>
              <w:rPr>
                <w:b/>
              </w:rPr>
            </w:pPr>
            <w:r>
              <w:rPr>
                <w:b/>
              </w:rPr>
              <w:t>TOWER SEMICONDUCTOR LTD.</w:t>
            </w:r>
          </w:p>
        </w:tc>
        <w:tc>
          <w:tcPr>
            <w:tcW w:w="75" w:type="dxa"/>
            <w:tcBorders/>
            <w:vAlign w:val="center"/>
          </w:tcPr>
          <w:p>
            <w:pPr>
              <w:pStyle w:val="TableContents"/>
              <w:bidi w:val="0"/>
              <w:spacing w:lineRule="auto" w:line="300" w:before="0" w:after="0"/>
              <w:jc w:val="left"/>
              <w:rPr/>
            </w:pPr>
            <w:r>
              <w:rPr/>
              <w:t> </w:t>
            </w:r>
          </w:p>
        </w:tc>
      </w:tr>
      <w:tr>
        <w:trPr/>
        <w:tc>
          <w:tcPr>
            <w:tcW w:w="329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 </w:t>
            </w:r>
          </w:p>
        </w:tc>
        <w:tc>
          <w:tcPr>
            <w:tcW w:w="75" w:type="dxa"/>
            <w:tcBorders/>
            <w:vAlign w:val="center"/>
          </w:tcPr>
          <w:p>
            <w:pPr>
              <w:pStyle w:val="TableContents"/>
              <w:bidi w:val="0"/>
              <w:spacing w:lineRule="auto" w:line="300" w:before="0" w:after="0"/>
              <w:jc w:val="left"/>
              <w:rPr/>
            </w:pPr>
            <w:r>
              <w:rPr/>
              <w:t> </w:t>
            </w:r>
          </w:p>
        </w:tc>
      </w:tr>
      <w:tr>
        <w:trPr/>
        <w:tc>
          <w:tcPr>
            <w:tcW w:w="3290" w:type="dxa"/>
            <w:tcBorders/>
            <w:vAlign w:val="center"/>
          </w:tcPr>
          <w:p>
            <w:pPr>
              <w:pStyle w:val="TableContents"/>
              <w:bidi w:val="0"/>
              <w:spacing w:lineRule="auto" w:line="300" w:before="0" w:after="0"/>
              <w:jc w:val="left"/>
              <w:rPr/>
            </w:pPr>
            <w:r>
              <w:rPr/>
              <w:t xml:space="preserve">                 </w:t>
            </w:r>
            <w:r>
              <w:rPr/>
              <w:t>Date: October 23, 2023</w:t>
            </w:r>
          </w:p>
        </w:tc>
        <w:tc>
          <w:tcPr>
            <w:tcW w:w="497" w:type="dxa"/>
            <w:tcBorders/>
            <w:vAlign w:val="center"/>
          </w:tcPr>
          <w:p>
            <w:pPr>
              <w:pStyle w:val="TableContents"/>
              <w:bidi w:val="0"/>
              <w:spacing w:lineRule="auto" w:line="300" w:before="0" w:after="0"/>
              <w:jc w:val="left"/>
              <w:rPr/>
            </w:pPr>
            <w:r>
              <w:rPr/>
              <w:t>By:</w:t>
            </w:r>
          </w:p>
        </w:tc>
        <w:tc>
          <w:tcPr>
            <w:tcW w:w="3362" w:type="dxa"/>
            <w:tcBorders>
              <w:bottom w:val="single" w:sz="12" w:space="0" w:color="000000"/>
            </w:tcBorders>
            <w:tcMar>
              <w:bottom w:w="28" w:type="dxa"/>
            </w:tcMar>
            <w:vAlign w:val="center"/>
          </w:tcPr>
          <w:p>
            <w:pPr>
              <w:pStyle w:val="TableContents"/>
              <w:bidi w:val="0"/>
              <w:spacing w:lineRule="auto" w:line="300" w:before="0" w:after="0"/>
              <w:jc w:val="left"/>
              <w:rPr/>
            </w:pPr>
            <w:r>
              <w:rPr/>
              <w:t>/s/ Nati Somekh</w:t>
            </w:r>
          </w:p>
        </w:tc>
        <w:tc>
          <w:tcPr>
            <w:tcW w:w="75" w:type="dxa"/>
            <w:tcBorders/>
            <w:vAlign w:val="center"/>
          </w:tcPr>
          <w:p>
            <w:pPr>
              <w:pStyle w:val="TableContents"/>
              <w:bidi w:val="0"/>
              <w:spacing w:lineRule="auto" w:line="300" w:before="0" w:after="0"/>
              <w:jc w:val="left"/>
              <w:rPr/>
            </w:pPr>
            <w:r>
              <w:rPr/>
              <w:t> </w:t>
            </w:r>
          </w:p>
        </w:tc>
      </w:tr>
      <w:tr>
        <w:trPr/>
        <w:tc>
          <w:tcPr>
            <w:tcW w:w="329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Name: Nati Somekh</w:t>
            </w:r>
          </w:p>
        </w:tc>
        <w:tc>
          <w:tcPr>
            <w:tcW w:w="75" w:type="dxa"/>
            <w:tcBorders/>
            <w:vAlign w:val="center"/>
          </w:tcPr>
          <w:p>
            <w:pPr>
              <w:pStyle w:val="TableContents"/>
              <w:bidi w:val="0"/>
              <w:spacing w:lineRule="auto" w:line="300" w:before="0" w:after="0"/>
              <w:jc w:val="left"/>
              <w:rPr/>
            </w:pPr>
            <w:r>
              <w:rPr/>
              <w:t> </w:t>
            </w:r>
          </w:p>
        </w:tc>
      </w:tr>
      <w:tr>
        <w:trPr/>
        <w:tc>
          <w:tcPr>
            <w:tcW w:w="329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Title: Corporate Secretary</w:t>
            </w:r>
          </w:p>
        </w:tc>
        <w:tc>
          <w:tcPr>
            <w:tcW w:w="75" w:type="dxa"/>
            <w:tcBorders/>
            <w:vAlign w:val="center"/>
          </w:tcPr>
          <w:p>
            <w:pPr>
              <w:pStyle w:val="TableContents"/>
              <w:bidi w:val="0"/>
              <w:spacing w:lineRule="auto" w:line="300" w:before="0" w:after="0"/>
              <w:jc w:val="left"/>
              <w:rPr/>
            </w:pPr>
            <w:r>
              <w:rPr/>
              <w:t> </w:t>
            </w:r>
          </w:p>
        </w:tc>
      </w:tr>
    </w:tbl>
    <w:p>
      <w:pPr>
        <w:pStyle w:val="HorizontalLine"/>
        <w:pBdr>
          <w:bottom w:val="single" w:sz="12" w:space="0" w:color="808080"/>
        </w:pBdr>
        <w:bidi w:val="0"/>
        <w:spacing w:before="200" w:after="200"/>
        <w:jc w:val="left"/>
        <w:rPr/>
      </w:pPr>
      <w:r>
        <w:rPr/>
      </w:r>
    </w:p>
    <w:p>
      <w:pPr>
        <w:pStyle w:val="TextBody"/>
        <w:bidi w:val="0"/>
        <w:spacing w:before="0" w:after="0"/>
        <w:jc w:val="left"/>
        <w:rPr/>
      </w:pPr>
      <w:r>
        <w:rPr/>
      </w:r>
    </w:p>
    <w:p>
      <w:pPr>
        <w:pStyle w:val="TextBody"/>
        <w:bidi w:val="0"/>
        <w:spacing w:lineRule="auto" w:line="300" w:before="0" w:after="0"/>
        <w:jc w:val="center"/>
        <w:rPr>
          <w:color w:val="000000"/>
        </w:rPr>
      </w:pPr>
      <w:r>
        <w:rPr>
          <w:color w:val="000000"/>
        </w:rPr>
        <w:drawing>
          <wp:inline distT="0" distB="0" distL="0" distR="0">
            <wp:extent cx="1295400" cy="752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95400" cy="752475"/>
                    </a:xfrm>
                    <a:prstGeom prst="rect">
                      <a:avLst/>
                    </a:prstGeom>
                  </pic:spPr>
                </pic:pic>
              </a:graphicData>
            </a:graphic>
          </wp:inline>
        </w:drawing>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Tower Semiconductor Announces Third Quarter 2023 Financial Results and Conference Call</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b/>
          <w:color w:val="000000"/>
          <w:sz w:val="20"/>
        </w:rPr>
        <w:t>MIGDAL HAEMEK, Israel – October 23, 2023</w:t>
      </w:r>
      <w:r>
        <w:rPr>
          <w:rFonts w:ascii="Times New Roman;Times;serif" w:hAnsi="Times New Roman;Times;serif"/>
          <w:color w:val="000000"/>
          <w:sz w:val="20"/>
        </w:rPr>
        <w:t xml:space="preserve"> – </w:t>
      </w:r>
      <w:r>
        <w:rPr>
          <w:rFonts w:ascii="Times New Roman;Times;serif" w:hAnsi="Times New Roman;Times;serif"/>
          <w:color w:val="000000"/>
          <w:sz w:val="20"/>
          <w:u w:val="single"/>
        </w:rPr>
        <w:t>Tower Semiconductor</w:t>
      </w:r>
      <w:r>
        <w:rPr>
          <w:rFonts w:ascii="Times New Roman;Times;serif" w:hAnsi="Times New Roman;Times;serif"/>
          <w:color w:val="000000"/>
          <w:sz w:val="20"/>
        </w:rPr>
        <w:t xml:space="preserve"> (NASDAQ/ TASE: TSEM), the leading foundry of high value analog semiconductor solutions, will issue its third quarter 2023 earnings release on Monday, November 13, 2023. The Company will hold a conference call to discuss its third quarter 2023 financial results and fourth quarter 2023 guidance on Monday, November 13, 2023, at 10:00 a.m. Eastern Time (09:00 a.m. Central, 08:00 a.m. Mountain, 07:00 a.m. Pacific and 05:00 p.m. Israel time).</w:t>
      </w:r>
    </w:p>
    <w:p>
      <w:pPr>
        <w:pStyle w:val="TextBody"/>
        <w:bidi w:val="0"/>
        <w:spacing w:lineRule="auto" w:line="300" w:before="0" w:after="0"/>
        <w:jc w:val="both"/>
        <w:rPr/>
      </w:pPr>
      <w:r>
        <w:rPr/>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This call will be webcasted and can be accessed through the Investor Relations section on Tower Semiconductor’s website at </w:t>
      </w:r>
      <w:r>
        <w:rPr>
          <w:rFonts w:ascii="Times New Roman;Times;serif" w:hAnsi="Times New Roman;Times;serif"/>
          <w:color w:val="000000"/>
          <w:sz w:val="20"/>
          <w:u w:val="single"/>
        </w:rPr>
        <w:t>https://ir.towersemi.com/</w:t>
      </w:r>
      <w:r>
        <w:rPr>
          <w:rFonts w:ascii="Times New Roman;Times;serif" w:hAnsi="Times New Roman;Times;serif"/>
          <w:color w:val="000000"/>
          <w:sz w:val="20"/>
        </w:rPr>
        <w:t xml:space="preserve"> or can also be accessed by calling the following numbers: U.S. Toll Free: 1-888-642-5032; Israel: 03-918-0610; International: +972-3-918-0610. The teleconference will be available for replay for 90 days.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Tower Semiconductor</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Tower Semiconductor Ltd. (NASDAQ: TSEM, TASE: TSEM), the leading foundry of high-value analog semiconductor solutions, provides technology and manufacturing platforms for integrated circuits (ICs) in growing markets such as consumer, industrial, automotive, mobile, infrastructure, medical and aerospace and defense. Tower Semiconductor focuses on creating positive and sustainable impact on the world through long term partnerships and its advanced and innovative analog technology offering, comprised of a broad range of customizable process platforms such as SiGe, BiCMOS, mixed-signal/CMOS, RF CMOS, CMOS image sensor, non-imaging sensors, integrated power management (BCD and 700V),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two manufacturing facilities in Israel (150mm and 200mm), two in the U.S. (200mm), two in Japan (200mm and 300mm) which it owns through its 51% holdings in TPSCo and is sharing a 300mm facility in Italy with STMicroelectronics. For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both"/>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Contact Information:</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Tower Semiconductor Investor Relations</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Noit Levy, SVP Investor Relations          </w:t>
      </w:r>
    </w:p>
    <w:p>
      <w:pPr>
        <w:pStyle w:val="TextBody"/>
        <w:bidi w:val="0"/>
        <w:spacing w:lineRule="auto" w:line="300" w:before="0" w:after="0"/>
        <w:jc w:val="left"/>
        <w:rPr>
          <w:rFonts w:ascii="Times New Roman;Times;serif" w:hAnsi="Times New Roman;Times;serif"/>
          <w:color w:val="000000"/>
          <w:sz w:val="20"/>
          <w:u w:val="single"/>
        </w:rPr>
      </w:pPr>
      <w:r>
        <w:rPr>
          <w:rFonts w:ascii="Times New Roman;Times;serif" w:hAnsi="Times New Roman;Times;serif"/>
          <w:color w:val="000000"/>
          <w:sz w:val="20"/>
          <w:u w:val="single"/>
        </w:rPr>
        <w:t>noitle@towersemi.com</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+972-74-7377556          </w:t>
      </w:r>
    </w:p>
    <w:p>
      <w:pPr>
        <w:pStyle w:val="TextBody"/>
        <w:bidi w:val="0"/>
        <w:spacing w:lineRule="auto" w:line="300" w:before="0" w:after="0"/>
        <w:jc w:val="left"/>
        <w:rPr/>
      </w:pPr>
      <w:r>
        <w:rPr/>
      </w:r>
    </w:p>
    <w:p>
      <w:pPr>
        <w:pStyle w:val="TextBody"/>
        <w:bidi w:val="0"/>
        <w:spacing w:before="0" w:after="0"/>
        <w:jc w:val="left"/>
        <w:rPr/>
      </w:pPr>
      <w:r>
        <w:rPr/>
      </w:r>
    </w:p>
    <w:p>
      <w:pPr>
        <w:pStyle w:val="HorizontalLine"/>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500</Words>
  <Characters>2975</Characters>
  <CharactersWithSpaces>3520</CharactersWithSpaces>
  <Paragraphs>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