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2"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8"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20"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For the month of February 2024 No.1</w:t>
      </w:r>
    </w:p>
    <w:p>
      <w:pPr>
        <w:spacing w:after="0" w:line="252"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Commission File Number 0-24790</w:t>
      </w:r>
    </w:p>
    <w:p>
      <w:pPr>
        <w:spacing w:after="0" w:line="232"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9"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23" w:lineRule="exact"/>
        <w:rPr>
          <w:sz w:val="24"/>
          <w:szCs w:val="24"/>
          <w:color w:val="auto"/>
        </w:rPr>
      </w:pPr>
    </w:p>
    <w:p>
      <w:pPr>
        <w:ind w:left="39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300355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742" w:right="1440" w:bottom="1440" w:gutter="0" w:footer="0" w:header="0"/>
        </w:sectPr>
      </w:pPr>
    </w:p>
    <w:bookmarkStart w:id="1" w:name="page2"/>
    <w:bookmarkEnd w:id="1"/>
    <w:p>
      <w:pPr>
        <w:ind w:left="640"/>
        <w:spacing w:after="0"/>
        <w:rPr>
          <w:sz w:val="20"/>
          <w:szCs w:val="20"/>
          <w:color w:val="auto"/>
        </w:rPr>
      </w:pPr>
      <w:r>
        <w:rPr>
          <w:rFonts w:ascii="Times New Roman" w:cs="Times New Roman" w:eastAsia="Times New Roman" w:hAnsi="Times New Roman"/>
          <w:sz w:val="18"/>
          <w:szCs w:val="18"/>
          <w:color w:val="auto"/>
        </w:rPr>
        <w:t>On February 14, 2024, the Registrant announced its fourth quarter and full year 2023 results. Attached hereto is the following exhibit.</w:t>
      </w:r>
    </w:p>
    <w:p>
      <w:pPr>
        <w:spacing w:after="0" w:line="23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Exhibit 99.1</w:t>
        <w:tab/>
        <w:t>Press release dated 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121" w:right="1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320" w:firstLine="639"/>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3"/>
          </w:tcPr>
          <w:p>
            <w:pPr>
              <w:ind w:left="1920"/>
              <w:spacing w:after="0"/>
              <w:rPr>
                <w:sz w:val="20"/>
                <w:szCs w:val="20"/>
                <w:color w:val="auto"/>
              </w:rPr>
            </w:pPr>
            <w:r>
              <w:rPr>
                <w:rFonts w:ascii="Times New Roman" w:cs="Times New Roman" w:eastAsia="Times New Roman" w:hAnsi="Times New Roman"/>
                <w:sz w:val="18"/>
                <w:szCs w:val="18"/>
                <w:b w:val="1"/>
                <w:bCs w:val="1"/>
                <w:color w:val="auto"/>
              </w:rPr>
              <w:t>TOWER SEMICONDUCTOR LTD.</w:t>
            </w:r>
          </w:p>
        </w:tc>
      </w:tr>
      <w:tr>
        <w:trPr>
          <w:trHeight w:val="405"/>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2024</w:t>
            </w:r>
          </w:p>
        </w:tc>
        <w:tc>
          <w:tcPr>
            <w:tcW w:w="75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By: /s/ Nati Somekh</w:t>
            </w:r>
          </w:p>
        </w:tc>
      </w:tr>
      <w:tr>
        <w:trPr>
          <w:trHeight w:val="20"/>
        </w:trPr>
        <w:tc>
          <w:tcPr>
            <w:tcW w:w="3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18"/>
        </w:trPr>
        <w:tc>
          <w:tcPr>
            <w:tcW w:w="3700" w:type="dxa"/>
            <w:vAlign w:val="bottom"/>
          </w:tcPr>
          <w:p>
            <w:pPr>
              <w:spacing w:after="0"/>
              <w:rPr>
                <w:sz w:val="18"/>
                <w:szCs w:val="18"/>
                <w:color w:val="auto"/>
              </w:rPr>
            </w:pPr>
          </w:p>
        </w:tc>
        <w:tc>
          <w:tcPr>
            <w:tcW w:w="75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Name: Nati Somekh</w:t>
            </w:r>
          </w:p>
        </w:tc>
      </w:tr>
      <w:tr>
        <w:trPr>
          <w:trHeight w:val="234"/>
        </w:trPr>
        <w:tc>
          <w:tcPr>
            <w:tcW w:w="3700" w:type="dxa"/>
            <w:vAlign w:val="bottom"/>
          </w:tcPr>
          <w:p>
            <w:pPr>
              <w:spacing w:after="0"/>
              <w:rPr>
                <w:sz w:val="20"/>
                <w:szCs w:val="20"/>
                <w:color w:val="auto"/>
              </w:rPr>
            </w:pPr>
          </w:p>
        </w:tc>
        <w:tc>
          <w:tcPr>
            <w:tcW w:w="75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Title: Corporate Secretary</w:t>
            </w:r>
          </w:p>
        </w:tc>
      </w:tr>
      <w:tr>
        <w:trPr>
          <w:trHeight w:val="324"/>
        </w:trPr>
        <w:tc>
          <w:tcPr>
            <w:tcW w:w="37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r>
        <w:trPr>
          <w:trHeight w:val="163"/>
        </w:trPr>
        <w:tc>
          <w:tcPr>
            <w:tcW w:w="37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16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491615" cy="865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Tower Semiconductor Reports 2023 Fourth Quarter</w:t>
      </w:r>
    </w:p>
    <w:p>
      <w:pPr>
        <w:spacing w:after="0" w:line="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and Full Year Financial Results</w:t>
      </w:r>
    </w:p>
    <w:p>
      <w:pPr>
        <w:spacing w:after="0" w:line="22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MIGDAL HAEMEK, ISRAEL – February 14, 2024 – </w:t>
      </w:r>
      <w:r>
        <w:rPr>
          <w:rFonts w:ascii="Times New Roman" w:cs="Times New Roman" w:eastAsia="Times New Roman" w:hAnsi="Times New Roman"/>
          <w:sz w:val="18"/>
          <w:szCs w:val="18"/>
          <w:color w:val="auto"/>
        </w:rPr>
        <w:t>Tower Semiconductor (NASDAQ: TSEM &amp; TASE: TSEM) reports today its results for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and for the year ended December 31,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of 2023 Results Overview</w:t>
      </w:r>
    </w:p>
    <w:p>
      <w:pPr>
        <w:spacing w:after="0" w:line="23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for the fourth quarter of 2023 was $352 million as compared with $358 million for the third quarter of 2023. Revenue for the fourth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was $403 million.</w:t>
      </w:r>
    </w:p>
    <w:p>
      <w:pPr>
        <w:spacing w:after="0" w:line="15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for the fourth quarter of 2023 was $84 million as compared with $87 million for the third quarter of 2023. Gross profit for the fourth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2022 was $125 million.</w:t>
      </w:r>
    </w:p>
    <w:p>
      <w:pPr>
        <w:spacing w:after="0" w:line="15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Operating profit </w:t>
      </w:r>
      <w:r>
        <w:rPr>
          <w:rFonts w:ascii="Times New Roman" w:cs="Times New Roman" w:eastAsia="Times New Roman" w:hAnsi="Times New Roman"/>
          <w:sz w:val="18"/>
          <w:szCs w:val="18"/>
          <w:color w:val="auto"/>
        </w:rPr>
        <w:t>for the fourth quarter of 2023 was $45 million, as compared with $362 million in the third quarter of 2023 which included $314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from the Intel merger contract termination. Operating profit for the fourth quarter of 2022 was $99 million and included $14 million restructuring income, net from the previously disclosed reorganization and restructure of our Japan operations during 2022.</w:t>
      </w:r>
    </w:p>
    <w:p>
      <w:pPr>
        <w:spacing w:after="0" w:line="17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Net profit </w:t>
      </w:r>
      <w:r>
        <w:rPr>
          <w:rFonts w:ascii="Times New Roman" w:cs="Times New Roman" w:eastAsia="Times New Roman" w:hAnsi="Times New Roman"/>
          <w:sz w:val="18"/>
          <w:szCs w:val="18"/>
          <w:color w:val="auto"/>
        </w:rPr>
        <w:t>for the fourth quarter of 2023 was $54 million, or $0.49 basic and $0.48 diluted earnings per share, as compared with net profit for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2023 of $342 million, or $3.10 basic and $3.07 diluted earnings per share which included $290 million, net from the Intel merger contract termination. Net profit in the fourth quarter of 2022 was $83 million, or $0.76 basic and $0.75 diluted earnings per share and included $9 million restructuring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 w:name="page5"/>
    <w:bookmarkEnd w:id="4"/>
    <w:p>
      <w:pPr>
        <w:ind w:right="20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Cash flow </w:t>
      </w:r>
      <w:r>
        <w:rPr>
          <w:rFonts w:ascii="Times New Roman" w:cs="Times New Roman" w:eastAsia="Times New Roman" w:hAnsi="Times New Roman"/>
          <w:sz w:val="18"/>
          <w:szCs w:val="18"/>
          <w:color w:val="auto"/>
        </w:rPr>
        <w:t>generated from operating activities in the fourth quarter of 2023 was $126 million, as compared with $402 million in the third quarter of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included the cash proceeds received from Intel following the merger contract termination. Investments in equipment and other fixed assets were $136 million, net for the fourth quarter of 2023 and debt payments made during the quarter ended December 31, 2023 totaled $9 million, net.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2023 Results Overview</w:t>
      </w:r>
    </w:p>
    <w:p>
      <w:pPr>
        <w:spacing w:after="0" w:line="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for the full year of 2023 was $1.42 billion, gross profit was $354 million, operating profit was $547 million and included $314 million, net,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Intel merger contract termination and $33 million of restructuring income, net, from the reorganization and restructure of our Japan operations during 2022 as noted above. Net profit for the full year of 2023 was $518 million, or $4.70 basic and $4.66 diluted earnings per share and included $290 million, net, due to the payment by Intel of merger contract termination fees and $11 million restructuring income, net.</w:t>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full year of 2022 revenue was $1.68 billion, gross profit was $466 million, operating profit was $312 million and included $10 million, net of restructuring income and net profit was $265 million, or $2.42 basic and $2.39 diluted earnings per share and included $7 million restructuring income, net.</w:t>
      </w:r>
    </w:p>
    <w:p>
      <w:pPr>
        <w:spacing w:after="0" w:line="18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Cash flow </w:t>
      </w:r>
      <w:r>
        <w:rPr>
          <w:rFonts w:ascii="Times New Roman" w:cs="Times New Roman" w:eastAsia="Times New Roman" w:hAnsi="Times New Roman"/>
          <w:sz w:val="18"/>
          <w:szCs w:val="18"/>
          <w:color w:val="auto"/>
        </w:rPr>
        <w:t>generated from operating activities for the year ended December 31, 2023 was $677 million and included the cash proceeds received from Intel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the merger contract termination noted above. Investment in fixed assets for the year ended December 31, 2023 was $432 million, net and debt payments made during the year ended December 31, 2023 totaled $32 million,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3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Tower Semiconductor guides revenue for the first quarter of 2024 to be $325 million, with an upward or downward range of 5%, with a target of notable quarter over quarter growth throughout the year.</w:t>
      </w:r>
    </w:p>
    <w:p>
      <w:pPr>
        <w:spacing w:after="0" w:line="1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Mr. Russell Ellwanger, Chief Executive Officer of Tower Semiconductor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stated</w:t>
      </w:r>
      <w:r>
        <w:rPr>
          <w:rFonts w:ascii="Times New Roman" w:cs="Times New Roman" w:eastAsia="Times New Roman" w:hAnsi="Times New Roman"/>
          <w:sz w:val="18"/>
          <w:szCs w:val="18"/>
          <w:color w:val="auto"/>
        </w:rPr>
        <w:t>: “We left 2023 with multiple powerful doors having been opened,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catalyzed through the unrealized merger deal. Tower is in the best position in its history, based upon financial strength, technical offerings, operational performance, and growing capacity, backed by strategic customer partnerships, the strength of which cannot be overstated.”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Ellwanger further commented: “We are seeing a rebound in several market segments, driving sequential revenue growth throughout the year.”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Japan Earthquake</w:t>
      </w:r>
    </w:p>
    <w:p>
      <w:pPr>
        <w:spacing w:after="0" w:line="3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On 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2024, there was an earthquake in Japan in a neighboring vicinity of our facilities at Hokuriku. Tower is grateful that no employees suffered any physical harm through this event. Due to state-of-the-art building practices, Tower did not suffer facility structural damage. It did suffer tools damage and scrap of some percentage of work in progress at both factories, as well as cessation of operations. The activities of the Company’s dedicated and most capable employees have recovered both factories to full operation with start levels currently to the levels set in the annual plan.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Fab 1 Operational Consolidation</w:t>
      </w:r>
    </w:p>
    <w:p>
      <w:pPr>
        <w:spacing w:after="0" w:line="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Anticipating shifting market dynamics and customer demand, the Company is actively optimizing its operations, through a strategic consolidation of its 6”, Fab 1 activities into its 8”, Fab 2 operations. Specifically, a portion of the operations will be seamlessly integrated into Fab 2 facility, ensuring continuity and even greater efficiency in its operations. In parallel, the Company will thoughtfully phase out certain lower margin products to align with its strategic goals and long-term financial model.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Teleconference and Webcast</w:t>
      </w:r>
    </w:p>
    <w:p>
      <w:pPr>
        <w:spacing w:after="0" w:line="3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Tower Semiconductor will host an investor conference call today, Wednesday, February 14, 2024, at 10:30 a.m. Eastern time (9:30 a.m. Central time, 8:30 a.m. Mountain time, 7:30 a.m. Pacific time and 5:30 p.m. Israel time) to discuss the company’s financial results for the fourth quarter and full year of 2023 and its business outlook.</w:t>
      </w:r>
    </w:p>
    <w:p>
      <w:pPr>
        <w:spacing w:after="0" w:line="1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This call will be webcast and can be accessed via Tower Semiconductor’s website at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 xml:space="preserve"> or by calling 1-888-642-5032 (U.S. Toll-Free), 03-918-0610 (Israel), +972-3-918-0610 (International). For those who are not available to listen to the live broadcast, the call will be archived on Tower Semiconductor’s website for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Company presents its financial statements in accordance with U.S. GAAP. The financial information included in the tables below includes unaudited condensed financial data. Some of the financial information, which may be used and/ or presented in this release and/ or prior earnings related filings and/ or in related public disclosures or filings with respect to the financial statements and/ or results of the Company, which we may describe as adjusted financial measures and/ or reconciled financial measures, are non-GAAP financial measures as defined in Regulation G and related reporting requirements promulgated by the Securities and Exchange Commission as they apply to our Company. These adjusted financial measures are calculated excluding the following: (1) amortization of acquired intangible assets as included in our operating costs and expenses, (2) compensation expenses in respect of equity grants to directors, officers, and employees as included in our operating costs and expenses, (3) merger contract termination fees received from Intel, net of associated cost and taxes following the previously announced Intel contract termination as included in net profit, and (4) restructuring income, net, which includes income, net of cost and taxes associated with the cessation of operations of the Arai facility in Japan which occurred during </w:t>
      </w:r>
      <w:r>
        <w:rPr>
          <w:rFonts w:ascii="Times New Roman" w:cs="Times New Roman" w:eastAsia="Times New Roman" w:hAnsi="Times New Roman"/>
          <w:sz w:val="18"/>
          <w:szCs w:val="18"/>
          <w:color w:val="auto"/>
        </w:rPr>
        <w:t>2022</w:t>
      </w:r>
      <w:r>
        <w:rPr>
          <w:rFonts w:ascii="Times New Roman" w:cs="Times New Roman" w:eastAsia="Times New Roman" w:hAnsi="Times New Roman"/>
          <w:sz w:val="18"/>
          <w:szCs w:val="18"/>
          <w:i w:val="1"/>
          <w:iCs w:val="1"/>
          <w:color w:val="auto"/>
        </w:rPr>
        <w:t xml:space="preserve"> as included in net profit. These adjusted financial measures should be evaluated in conjunction with, and are not a substitute for, GAAP financial measures. The tables may also present the GAAP financial measures, which are most comparable to the adjusted financial measures, as well as a reconciliation between the adjusted financial measures and the comparable GAAP financial measures. As used and/ or presented in this release and/ or prior earnings related filings and/ or in related public disclosures or filings with respect to the financial statements and/ or results of the Company, as well as may be included and calculated in the tables herein, the term Earnings Before Interest Tax Depreciation and Amortization which we define as EBITDA consists of operating profit in accordance with GAAP, excluding (i) depreciation expenses, which include depreciation recorded in cost of revenues and in operating cost and expenses lines (e.g, research and development related equipment and/ or fixed other assets depreciation), (ii) stock-based compensation expense, (iii) amortization of acquired intangible assets, (iv) merger contract termination fees received from Intel, net of associated cost following the previously announced Intel contract termination, as included in operating profit and (v) restructuring income, net in relation to the Arai facility in Japan, as included in operating profit. EBITDA is reconciled in the tables below and/or in prior earnings-related filings and/ or in related public disclosures or filings with respect to the financial statements and/ or results of the Company from GAAP operating profit. EBITDA and the adjusted financial information presented herein and/ or prior earnings-related filings and/ or in related public disclosures or filings with respect to the financial statements and/ or results of the Company, are not a required GAAP financial measure and may not be comparable to a similarly titled measure employed by other companies. EBITDA and the adjusted financial information presented herein and/ or prior earnings-related filings and/ or in related public disclosures or filings with respect to the financial statements and/ or results of the Company, should not be considered in isolation or as a substitute for operating profit, net profit or loss, cash flows provided by operating, investing and financing activities, per share data or other profit or cash flow statement data prepared in accordance with GAAP. The term Net Cash, as may be used and/ or presented in this release and/ or prior earnings-related filings and/ or in related public disclosures or filings with respect to the financial statements and/ or results of the Company, is comprised of cash, cash equivalents, short-term deposits, and marketable securities less debt amounts as presented in the balance sheets included herein.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The term Free Cash Flow, as used and/ or presented in this release and/ or prior earnings related filings and/ or in related public disclosures or filings with respect to the financial statements and/ or results of the Company, is calculated to be net cash provided by operating activities (in the amounts of $126 million, $402 million and $133 million for the three months periods ended December 31, 2023, September 30, 2023 and December 31, 2022, respectively and in the amounts of $677 million and $530 million for the years ended December 31, 2023 and December 31, 2022, respectively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less cash used for investments in property and equipment, net (in the amounts of $136 million, $101 million and $38 million for the three months periods ended December 31, 2023, September 30, 2023 and December 31, 2022, respectively and in the amounts of $432 million and $214 million for the years ended December 31, 2023 and December 31, 2022,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 value analog semiconductor solutions, provides technology, development, and process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facilities in Israel (150mm and 200mm), two in the U.S. (200mm), two in Japan (200mm and 300mm) which it owns through its 51% holdings in TPSCo, a 300mm facility in Agrate, Italy, shared with ST as well as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Noit Levy | Investor Relations | +972 74 737 7556 | </w:t>
      </w:r>
      <w:r>
        <w:rPr>
          <w:rFonts w:ascii="Times New Roman" w:cs="Times New Roman" w:eastAsia="Times New Roman" w:hAnsi="Times New Roman"/>
          <w:sz w:val="18"/>
          <w:szCs w:val="18"/>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including other projections with respect to our business and activities,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(i) demand in our customers’ end markets, (ii) over demand for our foundry services and/or products that exceeds our capacity, (iii) maintaining existing customers and attracting additional customers, (iv) high utilization and its effect on cycle time, yield and on schedule delivery which may cause customers to transfer their product(s) to other fabs, (v) operating results fluctuate from quarter to quarter making it difficult to predict future performance, (vi) impact of our debt and other liabilities on our financial position and operations, (vii) our ability to successfully execute acquisitions, integrate them into our business, utilize our expanded capacity and find new business, (viii) fluctuations in cash flow, (ix) our ability to satisfy the covenants stipulated in our agreements with our lender banks, (x) pending litigation, (xi) new customer engagements, qualification and ramp-up at our facilities,(xii) meeting the conditions set in the approval certificates received from the Israeli Investment Center under which we received a significant amount of grants in past years, (xiii) receipt of orders that are lower than the customer purchase commitments, (xiv) failure to receive orders currently expected, (xv) possible incurrence of additional indebtedness, (xvi) effect of global recession, unfavorable economic conditions and/or credit crisis, (xvii) our ability to accurately forecast financial performance, which is affected by limited order backlog and lengthy sales cycles, (xviii) possible situations of obsolete inventory if forecasted demand exceeds actual demand when we create inventory before receipt of customer orders, (xix) the cyclical nature of the semiconductor industry and the resulting periodic overcapacity, fluctuations in operating results and future average selling price erosion, (xx) the execution of debt re-financing and/or other fundraising activities to enable the service of our debt and/or other liabilities and/or for strategic opportunities, including to fund Agrate fab’s significant 300mm capacity investments and investments and purchases of equipment and other fixed assets associated with the capacity corridor transaction with Intel as announced in September 2023, in addition to other previously announced capacity expansion plans, and the possible unavailability of such financing and/ or the availability of such financing on unfavorable terms, (xxi) operating our facilities at high utilization rates which is critical in order to cover a portion or all of the high level of fixed costs associated with operating a foundry in order to enable us to maintain our profitability , (xxii) the purchase of equipment to increase capacity, the timely completion of the equipment installation, technology transfer and raising the funds therefor,</w:t>
      </w:r>
    </w:p>
    <w:p>
      <w:pPr>
        <w:spacing w:after="0" w:line="3" w:lineRule="exact"/>
        <w:rPr>
          <w:sz w:val="20"/>
          <w:szCs w:val="20"/>
          <w:color w:val="auto"/>
        </w:rPr>
      </w:pPr>
    </w:p>
    <w:p>
      <w:pPr>
        <w:jc w:val="both"/>
        <w:ind w:firstLine="8"/>
        <w:spacing w:after="0" w:line="261" w:lineRule="auto"/>
        <w:tabs>
          <w:tab w:leader="none" w:pos="51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business in the semiconductor industry, (xxiv) product returns, (xxv) our ability to maintain and develop our technology processes and services to keep pace with new technology, evolving standards, changing customer and end-user requirements, new product introductions and short product life cycles, (xxvi) competing effectively, (xxvii) use of outsourced foundry services by both fabless semiconductor companies and integrated device manufacturers, (xxviii) achieving acceptable device yields, product performance and delivery times, (xxix) our dependence on intellectual property rights of others, our ability to operate our business without infringing others’ intellectual property rights and our ability to enforce our intellectual property against infringement, (xxx) our fab3 landlord’s construction project adjacent to our fabrication facility, including possible temporary reductions or interruptions in the supply of utilities and/ or fab operations, as well as claims that our noise abatement efforts are not adequate under the terms of the amended lease that caused him to request a judicial declaration that there was a material non-curable breach of the lease and that he would be entitled to terminate the lease (we do not agree and are disputing these claims), as well our ability to extend such lease or acquire the real estate and to obtain the required local and/or state approvals required to be able to continue operations beyond the current lease term (xxxi) retention of key employees and recruitment and retention of skilled qualified personnel, (xxxii) exposure to inflation, currency rates (mainly the Israeli Shekel and Japanese Yen) and interest rate fluctuations and risks associated with doing business locally and internationally, as well fluctuations in the market price of our traded securities, (xxxiii) issuance of ordinary shares as a result of conversion and/or exercise of any of our convertible securities, as well as any sale of shares by any of our shareholders, or any market expectation thereof, which may depress the market price of our ordinary shares and may impair our ability to raise future capital, (xxxiv) meeting regulatory requirements worldwide, including environmental and governmental regulations, (xxxv) potential engagement for fab establishment, joint venture and/or capital lease transactions for capacity enhancement in advanced technologies, including risks and uncertainties associated with Agrate fab establishment and the capacity corridor transaction with Intel as announced in September 2023, such as their qualification schedule, technology, equipment and process qualification and operational facility ramp-up, customer engagements, cost structure and investment amounts and other terms, which may require additional funding to cover their significant capacity investment needs and other payments, the availability of which funding cannot be assured on favorable terms, if at all, (xxxvi) potential impact due to possible liabilities, cost and other impact that may be incurred or occur due to reorganization and consolidation of fabrication facilities, including the impact of cessation of operations of our facilities, including with regard to our 6 inch facility, (xxxvii) industry and market impact due to pandemics and potential impact on our business, operational continuity, supply chain, revenue and profitability, (xxxviii) potential security, cyber and privacy breaches, and (xxxix) business interruption due to fire, earthquake and other natural disasters, the security situation in Israel, global trade “war”, pandemics, the current war in Israel, including potential inability to continue uninterrupted operations of the Israeli fabs, impact on global supply chain to and from the Israeli fabs, power interruptions, chemicals or other leaks or damages as a result of the war, absence of workforce due to military service and other events beyond our control.</w:t>
      </w:r>
    </w:p>
    <w:p>
      <w:pPr>
        <w:spacing w:after="0" w:line="21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 more complete discussion of risks and uncertainties that may affect the accuracy of forward-looking statements included in this press release or which may otherwise affect our business is included under the heading "Risk Factors" in Tower’s most recent filings on Forms 20-F and 6-K, as were filed with the Securities and Exchange Commission (the “SEC”) and the Israel Securities Authority. Future results may differ materially from those previously reported. The Company does not intend to update, and expressly disclaims any obligation to update, the information contained in this release.</w:t>
      </w:r>
    </w:p>
    <w:p>
      <w:pPr>
        <w:spacing w:after="0" w:line="19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24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7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260,664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314,816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340,759</w:t>
            </w:r>
          </w:p>
        </w:tc>
      </w:tr>
      <w:tr>
        <w:trPr>
          <w:trHeight w:val="229"/>
        </w:trPr>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Short-term deposits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790,823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735,382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495,359</w:t>
            </w:r>
          </w:p>
        </w:tc>
      </w:tr>
      <w:tr>
        <w:trPr>
          <w:trHeight w:val="229"/>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184,960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179,381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169,694</w:t>
            </w:r>
          </w:p>
        </w:tc>
      </w:tr>
      <w:tr>
        <w:trPr>
          <w:trHeight w:val="230"/>
        </w:trPr>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154,067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150,162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152,935</w:t>
            </w:r>
          </w:p>
        </w:tc>
      </w:tr>
      <w:tr>
        <w:trPr>
          <w:trHeight w:val="229"/>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282,688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304,245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302,108</w:t>
            </w:r>
          </w:p>
        </w:tc>
      </w:tr>
      <w:tr>
        <w:trPr>
          <w:trHeight w:val="237"/>
        </w:trPr>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35,956</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33,453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34,319</w:t>
            </w:r>
          </w:p>
        </w:tc>
      </w:tr>
      <w:tr>
        <w:trPr>
          <w:trHeight w:val="229"/>
        </w:trPr>
        <w:tc>
          <w:tcPr>
            <w:tcW w:w="73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1,709,158</w:t>
            </w:r>
          </w:p>
        </w:tc>
        <w:tc>
          <w:tcPr>
            <w:tcW w:w="24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97"/>
              </w:rPr>
              <w:t>1,717,439</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1,495,174</w:t>
            </w:r>
          </w:p>
        </w:tc>
        <w:tc>
          <w:tcPr>
            <w:tcW w:w="100" w:type="dxa"/>
            <w:vAlign w:val="bottom"/>
            <w:shd w:val="clear" w:color="auto" w:fill="CCEEFF"/>
          </w:tcPr>
          <w:p>
            <w:pPr>
              <w:spacing w:after="0"/>
              <w:rPr>
                <w:sz w:val="19"/>
                <w:szCs w:val="19"/>
                <w:color w:val="auto"/>
              </w:rPr>
            </w:pPr>
          </w:p>
        </w:tc>
      </w:tr>
      <w:tr>
        <w:trPr>
          <w:trHeight w:val="230"/>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1,155,929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1,062,456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962,258</w:t>
            </w:r>
          </w:p>
        </w:tc>
      </w:tr>
      <w:tr>
        <w:trPr>
          <w:trHeight w:val="229"/>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12,115</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12,557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14,031</w:t>
            </w:r>
          </w:p>
        </w:tc>
      </w:tr>
      <w:tr>
        <w:trPr>
          <w:trHeight w:val="237"/>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DEFERRED TAX AND OTHER LONG-TERM ASSETS, NET</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41,315</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43,342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76,145</w:t>
            </w:r>
          </w:p>
        </w:tc>
      </w:tr>
      <w:tr>
        <w:trPr>
          <w:trHeight w:val="270"/>
        </w:trPr>
        <w:tc>
          <w:tcPr>
            <w:tcW w:w="732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2,918,517</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97"/>
              </w:rPr>
              <w:t>2,835,794</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2,547,608</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58,952</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47,671</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62,275</w:t>
            </w:r>
          </w:p>
        </w:tc>
      </w:tr>
      <w:tr>
        <w:trPr>
          <w:trHeight w:val="229"/>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139,128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106,362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150,930</w:t>
            </w:r>
          </w:p>
        </w:tc>
      </w:tr>
      <w:tr>
        <w:trPr>
          <w:trHeight w:val="230"/>
        </w:trPr>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Deferred revenue and customers' advances</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18,418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23,745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38,911</w:t>
            </w:r>
          </w:p>
        </w:tc>
      </w:tr>
      <w:tr>
        <w:trPr>
          <w:trHeight w:val="229"/>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60,340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80,392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135,272</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732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276,838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258,170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387,388</w:t>
            </w:r>
          </w:p>
        </w:tc>
      </w:tr>
      <w:tr>
        <w:trPr>
          <w:trHeight w:val="229"/>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172,611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179,901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210,069</w:t>
            </w:r>
          </w:p>
        </w:tc>
      </w:tr>
      <w:tr>
        <w:trPr>
          <w:trHeight w:val="230"/>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LONG-TERM CUSTOMERS' ADVANCES</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25,710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30,285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40,893</w:t>
            </w:r>
          </w:p>
        </w:tc>
      </w:tr>
      <w:tr>
        <w:trPr>
          <w:trHeight w:val="230"/>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DEFERRED TAX AND OTHER LONG-TERM LIABILITIES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16,319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18,626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20,717</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732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491,478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486,982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659,067</w:t>
            </w:r>
          </w:p>
        </w:tc>
      </w:tr>
      <w:tr>
        <w:trPr>
          <w:trHeight w:val="230"/>
        </w:trPr>
        <w:tc>
          <w:tcPr>
            <w:tcW w:w="73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2,427,039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2,348,812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1,888,541</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732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2,918,517</w:t>
            </w:r>
          </w:p>
        </w:tc>
        <w:tc>
          <w:tcPr>
            <w:tcW w:w="2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2,835,794</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2,547,608</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08"/>
        </w:trPr>
        <w:tc>
          <w:tcPr>
            <w:tcW w:w="7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9" w:name="page10"/>
    <w:bookmarkEnd w:id="9"/>
    <w:p>
      <w:pPr>
        <w:jc w:val="center"/>
        <w:spacing w:after="0" w:line="284"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OPERATIONS (UNAUDITED) (dollars and share count 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7320" w:type="dxa"/>
            <w:vAlign w:val="bottom"/>
          </w:tcPr>
          <w:p>
            <w:pPr>
              <w:spacing w:after="0"/>
              <w:rPr>
                <w:sz w:val="20"/>
                <w:szCs w:val="20"/>
                <w:color w:val="auto"/>
              </w:rPr>
            </w:pP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0"/>
                <w:szCs w:val="20"/>
                <w:color w:val="auto"/>
              </w:rPr>
            </w:pPr>
          </w:p>
        </w:tc>
      </w:tr>
      <w:tr>
        <w:trPr>
          <w:trHeight w:val="236"/>
        </w:trPr>
        <w:tc>
          <w:tcPr>
            <w:tcW w:w="7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351,711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358,167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403,227</w:t>
            </w:r>
          </w:p>
        </w:tc>
        <w:tc>
          <w:tcPr>
            <w:tcW w:w="100" w:type="dxa"/>
            <w:vAlign w:val="bottom"/>
            <w:shd w:val="clear" w:color="auto" w:fill="CCEEFF"/>
          </w:tcPr>
          <w:p>
            <w:pPr>
              <w:spacing w:after="0"/>
              <w:rPr>
                <w:sz w:val="19"/>
                <w:szCs w:val="19"/>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267,294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271,299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278,501</w:t>
            </w:r>
          </w:p>
        </w:tc>
      </w:tr>
      <w:tr>
        <w:trPr>
          <w:trHeight w:val="236"/>
        </w:trPr>
        <w:tc>
          <w:tcPr>
            <w:tcW w:w="73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84,417</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86,868</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124,726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20,849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20,176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20,706</w:t>
            </w:r>
          </w:p>
        </w:tc>
      </w:tr>
      <w:tr>
        <w:trPr>
          <w:trHeight w:val="229"/>
        </w:trPr>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Marketing, general and administrative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18,401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18,037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18,880</w:t>
            </w:r>
          </w:p>
        </w:tc>
      </w:tr>
      <w:tr>
        <w:trPr>
          <w:trHeight w:val="23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Restructuring income, net *</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(13,592)</w:t>
            </w:r>
          </w:p>
        </w:tc>
      </w:tr>
      <w:tr>
        <w:trPr>
          <w:trHeight w:val="237"/>
        </w:trPr>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Merger-contract termination fee, net **</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(313,501)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7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39,250</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(275,288)</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25,994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9"/>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9"/>
        </w:trPr>
        <w:tc>
          <w:tcPr>
            <w:tcW w:w="73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45,167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362,156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98,732</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AND OTHER INCOME (EXPENSE), NET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16,682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9,975</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(55)</w:t>
            </w:r>
          </w:p>
        </w:tc>
      </w:tr>
      <w:tr>
        <w:trPr>
          <w:trHeight w:val="230"/>
        </w:trPr>
        <w:tc>
          <w:tcPr>
            <w:tcW w:w="73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PROFIT BEFORE INCOME TAX</w:t>
            </w: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61,849</w:t>
            </w:r>
          </w:p>
        </w:tc>
        <w:tc>
          <w:tcPr>
            <w:tcW w:w="24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372,131</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98,677</w:t>
            </w:r>
          </w:p>
        </w:tc>
        <w:tc>
          <w:tcPr>
            <w:tcW w:w="100" w:type="dxa"/>
            <w:vAlign w:val="bottom"/>
            <w:shd w:val="clear" w:color="auto" w:fill="CCEEFF"/>
          </w:tcPr>
          <w:p>
            <w:pPr>
              <w:spacing w:after="0"/>
              <w:rPr>
                <w:sz w:val="19"/>
                <w:szCs w:val="19"/>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 NET</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(10,130)</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(34,394)</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(12,835)</w:t>
            </w:r>
          </w:p>
        </w:tc>
      </w:tr>
      <w:tr>
        <w:trPr>
          <w:trHeight w:val="230"/>
        </w:trPr>
        <w:tc>
          <w:tcPr>
            <w:tcW w:w="73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51,719</w:t>
            </w:r>
          </w:p>
        </w:tc>
        <w:tc>
          <w:tcPr>
            <w:tcW w:w="24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337,737</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85,842</w:t>
            </w:r>
          </w:p>
        </w:tc>
        <w:tc>
          <w:tcPr>
            <w:tcW w:w="100" w:type="dxa"/>
            <w:vAlign w:val="bottom"/>
            <w:shd w:val="clear" w:color="auto" w:fill="CCEEFF"/>
          </w:tcPr>
          <w:p>
            <w:pPr>
              <w:spacing w:after="0"/>
              <w:rPr>
                <w:sz w:val="19"/>
                <w:szCs w:val="19"/>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non-controlling interest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4,318</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(2,518)</w:t>
            </w:r>
          </w:p>
        </w:tc>
      </w:tr>
      <w:tr>
        <w:trPr>
          <w:trHeight w:val="270"/>
        </w:trPr>
        <w:tc>
          <w:tcPr>
            <w:tcW w:w="732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NET PROFIT ATTRIBUTABLE TO THE COMPANY</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53,847</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342,055</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83,324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0.49</w:t>
            </w:r>
          </w:p>
        </w:tc>
        <w:tc>
          <w:tcPr>
            <w:tcW w:w="2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3.10</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0.76</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110,796</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110,302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109,896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0.48</w:t>
            </w:r>
          </w:p>
        </w:tc>
        <w:tc>
          <w:tcPr>
            <w:tcW w:w="2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3.07</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0.75</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111,308</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111,242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110,938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ind w:right="800" w:firstLine="8"/>
        <w:spacing w:after="0" w:line="302" w:lineRule="auto"/>
        <w:tabs>
          <w:tab w:leader="none" w:pos="1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income, net resulted from the previously disclosed reorganization and restructure of our Japan operations during 2022. ** Merger-contract termination fee received from Intel during the third quarter of 2023, net of associated cost.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FROM GAAP NET PROFIT TO ADJUSTED NET PROFIT:</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GAAP NET PROFIT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53,847</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342,055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83,324</w:t>
            </w:r>
          </w:p>
        </w:tc>
      </w:tr>
      <w:tr>
        <w:trPr>
          <w:trHeight w:val="230"/>
        </w:trPr>
        <w:tc>
          <w:tcPr>
            <w:tcW w:w="73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Stock based compensation</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7,898</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6,431</w:t>
            </w:r>
          </w:p>
        </w:tc>
      </w:tr>
      <w:tr>
        <w:trPr>
          <w:trHeight w:val="230"/>
        </w:trPr>
        <w:tc>
          <w:tcPr>
            <w:tcW w:w="732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Amortization of acquired intangible assets</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491</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510</w:t>
            </w:r>
          </w:p>
        </w:tc>
      </w:tr>
      <w:tr>
        <w:trPr>
          <w:trHeight w:val="229"/>
        </w:trPr>
        <w:tc>
          <w:tcPr>
            <w:tcW w:w="73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Restructuring income, net ***</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(8,966)</w:t>
            </w:r>
          </w:p>
        </w:tc>
      </w:tr>
      <w:tr>
        <w:trPr>
          <w:trHeight w:val="237"/>
        </w:trPr>
        <w:tc>
          <w:tcPr>
            <w:tcW w:w="732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Merger-contract termination fee, net ****</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(289,988)</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73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ADJUSTED NET PROFIT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60,951</w:t>
            </w:r>
          </w:p>
        </w:tc>
        <w:tc>
          <w:tcPr>
            <w:tcW w:w="2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60,456</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81,299</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0.55</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0.55</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0.74</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3"/>
        </w:trPr>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0.55</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0.54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0.73</w:t>
            </w:r>
          </w:p>
        </w:tc>
      </w:tr>
      <w:tr>
        <w:trPr>
          <w:trHeight w:val="20"/>
        </w:trPr>
        <w:tc>
          <w:tcPr>
            <w:tcW w:w="7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right="180" w:firstLine="8"/>
        <w:spacing w:after="0" w:line="263" w:lineRule="auto"/>
        <w:tabs>
          <w:tab w:leader="none" w:pos="31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income, net resulted from the previously disclosed reorganization and restructure of our Japan operations during 2022, net of taxes.</w:t>
      </w:r>
    </w:p>
    <w:p>
      <w:pPr>
        <w:ind w:left="420" w:hanging="412"/>
        <w:spacing w:after="0"/>
        <w:tabs>
          <w:tab w:leader="none" w:pos="4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Merger-contract termination fee received from Intel during the third quarter of 2023, net of associated cost and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center"/>
        <w:spacing w:after="0" w:line="284"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OPERATIONS (UNAUDITED) (dollars and share count 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0"/>
                <w:szCs w:val="20"/>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1,422,680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1,677,614</w:t>
            </w:r>
          </w:p>
        </w:tc>
        <w:tc>
          <w:tcPr>
            <w:tcW w:w="100" w:type="dxa"/>
            <w:vAlign w:val="bottom"/>
            <w:shd w:val="clear" w:color="auto" w:fill="CCEEFF"/>
          </w:tcPr>
          <w:p>
            <w:pPr>
              <w:spacing w:after="0"/>
              <w:rPr>
                <w:sz w:val="19"/>
                <w:szCs w:val="19"/>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1,069,161</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1,211,306</w:t>
            </w:r>
          </w:p>
        </w:tc>
      </w:tr>
      <w:tr>
        <w:trPr>
          <w:trHeight w:val="237"/>
        </w:trPr>
        <w:tc>
          <w:tcPr>
            <w:tcW w:w="8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353,519</w:t>
            </w:r>
          </w:p>
        </w:tc>
        <w:tc>
          <w:tcPr>
            <w:tcW w:w="200" w:type="dxa"/>
            <w:vAlign w:val="bottom"/>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466,308</w:t>
            </w:r>
          </w:p>
        </w:tc>
        <w:tc>
          <w:tcPr>
            <w:tcW w:w="100" w:type="dxa"/>
            <w:vAlign w:val="bottom"/>
            <w:shd w:val="clear" w:color="auto" w:fill="CCEEFF"/>
          </w:tcPr>
          <w:p>
            <w:pPr>
              <w:spacing w:after="0"/>
              <w:rPr>
                <w:sz w:val="20"/>
                <w:szCs w:val="20"/>
                <w:color w:val="auto"/>
              </w:rPr>
            </w:pPr>
          </w:p>
        </w:tc>
      </w:tr>
      <w:tr>
        <w:trPr>
          <w:trHeight w:val="229"/>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30"/>
        </w:trPr>
        <w:tc>
          <w:tcPr>
            <w:tcW w:w="8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79,808</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83,911</w:t>
            </w:r>
          </w:p>
        </w:tc>
      </w:tr>
      <w:tr>
        <w:trPr>
          <w:trHeight w:val="229"/>
        </w:trPr>
        <w:tc>
          <w:tcPr>
            <w:tcW w:w="86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Marketing, general and administrative</w:t>
            </w:r>
          </w:p>
        </w:tc>
        <w:tc>
          <w:tcPr>
            <w:tcW w:w="24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72,454</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80,282</w:t>
            </w:r>
          </w:p>
        </w:tc>
      </w:tr>
      <w:tr>
        <w:trPr>
          <w:trHeight w:val="229"/>
        </w:trPr>
        <w:tc>
          <w:tcPr>
            <w:tcW w:w="8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Restructuring income, net *</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(32,506)</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(9,559)</w:t>
            </w:r>
          </w:p>
        </w:tc>
      </w:tr>
      <w:tr>
        <w:trPr>
          <w:trHeight w:val="237"/>
        </w:trPr>
        <w:tc>
          <w:tcPr>
            <w:tcW w:w="86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Merger-contract termination fee, net **</w:t>
            </w:r>
          </w:p>
        </w:tc>
        <w:tc>
          <w:tcPr>
            <w:tcW w:w="24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(313,501)</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(193,745)</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154,634</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r>
      <w:tr>
        <w:trPr>
          <w:trHeight w:val="229"/>
        </w:trPr>
        <w:tc>
          <w:tcPr>
            <w:tcW w:w="868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547,264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311,674</w:t>
            </w: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AND OTHER INCOME (EXPENSE), NET</w:t>
            </w:r>
          </w:p>
        </w:tc>
        <w:tc>
          <w:tcPr>
            <w:tcW w:w="24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37,578</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(19,701)</w:t>
            </w:r>
          </w:p>
        </w:tc>
      </w:tr>
      <w:tr>
        <w:trPr>
          <w:trHeight w:val="229"/>
        </w:trPr>
        <w:tc>
          <w:tcPr>
            <w:tcW w:w="8680" w:type="dxa"/>
            <w:vAlign w:val="bottom"/>
            <w:tcBorders>
              <w:top w:val="single" w:sz="8" w:color="CCEEFF"/>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PROFIT BEFORE INCOME TAX</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584,842</w:t>
            </w: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291,973</w:t>
            </w:r>
          </w:p>
        </w:tc>
        <w:tc>
          <w:tcPr>
            <w:tcW w:w="100" w:type="dxa"/>
            <w:vAlign w:val="bottom"/>
            <w:tcBorders>
              <w:top w:val="single" w:sz="8" w:color="CCEEFF"/>
            </w:tcBorders>
          </w:tcPr>
          <w:p>
            <w:pPr>
              <w:spacing w:after="0"/>
              <w:rPr>
                <w:sz w:val="19"/>
                <w:szCs w:val="19"/>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 NET</w:t>
            </w:r>
          </w:p>
        </w:tc>
        <w:tc>
          <w:tcPr>
            <w:tcW w:w="24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(65,312)</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(25,502)</w:t>
            </w:r>
          </w:p>
        </w:tc>
      </w:tr>
      <w:tr>
        <w:trPr>
          <w:trHeight w:val="229"/>
        </w:trPr>
        <w:tc>
          <w:tcPr>
            <w:tcW w:w="8680" w:type="dxa"/>
            <w:vAlign w:val="bottom"/>
            <w:tcBorders>
              <w:top w:val="single" w:sz="8" w:color="CCEEFF"/>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519,530</w:t>
            </w: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266,471</w:t>
            </w:r>
          </w:p>
        </w:tc>
        <w:tc>
          <w:tcPr>
            <w:tcW w:w="100" w:type="dxa"/>
            <w:vAlign w:val="bottom"/>
            <w:tcBorders>
              <w:top w:val="single" w:sz="8" w:color="CCEEFF"/>
            </w:tcBorders>
          </w:tcPr>
          <w:p>
            <w:pPr>
              <w:spacing w:after="0"/>
              <w:rPr>
                <w:sz w:val="19"/>
                <w:szCs w:val="19"/>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w:t>
            </w:r>
          </w:p>
        </w:tc>
        <w:tc>
          <w:tcPr>
            <w:tcW w:w="24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(1,036)</w:t>
            </w:r>
          </w:p>
        </w:tc>
        <w:tc>
          <w:tcPr>
            <w:tcW w:w="3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(1,902)</w:t>
            </w:r>
          </w:p>
        </w:tc>
      </w:tr>
      <w:tr>
        <w:trPr>
          <w:trHeight w:val="230"/>
        </w:trPr>
        <w:tc>
          <w:tcPr>
            <w:tcW w:w="8680" w:type="dxa"/>
            <w:vAlign w:val="bottom"/>
            <w:tcBorders>
              <w:top w:val="single" w:sz="8" w:color="CCEEFF"/>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NET PROFIT ATTRIBUTABLE TO THE COMPANY</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518,494</w:t>
            </w:r>
          </w:p>
        </w:tc>
        <w:tc>
          <w:tcPr>
            <w:tcW w:w="2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264,569</w:t>
            </w:r>
          </w:p>
        </w:tc>
        <w:tc>
          <w:tcPr>
            <w:tcW w:w="100" w:type="dxa"/>
            <w:vAlign w:val="bottom"/>
            <w:tcBorders>
              <w:top w:val="single" w:sz="8" w:color="CCEEFF"/>
            </w:tcBorders>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110,289</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109,349</w:t>
            </w:r>
          </w:p>
        </w:tc>
        <w:tc>
          <w:tcPr>
            <w:tcW w:w="10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111,216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110,754</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right="840" w:firstLine="8"/>
        <w:spacing w:after="0" w:line="302" w:lineRule="auto"/>
        <w:tabs>
          <w:tab w:leader="none" w:pos="13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income, net resulted from the previously disclosed reorganization and restructure of our Japan operations during 2022. ** Merger-contract termination fee received from Intel during the third quarter of 2023, net of associated cost.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FROM GAAP NET PROFIT TO ADJUSTED NET PROFIT: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GAAP NET PROFIT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518,494</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264,569</w:t>
            </w:r>
          </w:p>
        </w:tc>
      </w:tr>
      <w:tr>
        <w:trPr>
          <w:trHeight w:val="230"/>
        </w:trPr>
        <w:tc>
          <w:tcPr>
            <w:tcW w:w="86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Stock based compensation</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27,931</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24,215</w:t>
            </w:r>
          </w:p>
        </w:tc>
      </w:tr>
      <w:tr>
        <w:trPr>
          <w:trHeight w:val="230"/>
        </w:trPr>
        <w:tc>
          <w:tcPr>
            <w:tcW w:w="868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Amortization of acquired intangible assets</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2,033</w:t>
            </w:r>
          </w:p>
        </w:tc>
      </w:tr>
      <w:tr>
        <w:trPr>
          <w:trHeight w:val="230"/>
        </w:trPr>
        <w:tc>
          <w:tcPr>
            <w:tcW w:w="86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Restructuring income, net ***</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(11,224)</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(7,056)</w:t>
            </w:r>
          </w:p>
        </w:tc>
      </w:tr>
      <w:tr>
        <w:trPr>
          <w:trHeight w:val="236"/>
        </w:trPr>
        <w:tc>
          <w:tcPr>
            <w:tcW w:w="868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Merger-contract termination fee, net ****</w:t>
            </w:r>
          </w:p>
        </w:tc>
        <w:tc>
          <w:tcPr>
            <w:tcW w:w="2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(289,988)</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86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ADJUSTED NET PROFIT</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247,136</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283,761</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0"/>
        </w:trPr>
        <w:tc>
          <w:tcPr>
            <w:tcW w:w="86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23"/>
        </w:trPr>
        <w:tc>
          <w:tcPr>
            <w:tcW w:w="86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2.56</w:t>
            </w:r>
          </w:p>
        </w:tc>
      </w:tr>
      <w:tr>
        <w:trPr>
          <w:trHeight w:val="21"/>
        </w:trPr>
        <w:tc>
          <w:tcPr>
            <w:tcW w:w="8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right="180" w:firstLine="8"/>
        <w:spacing w:after="0" w:line="271" w:lineRule="auto"/>
        <w:tabs>
          <w:tab w:leader="none" w:pos="31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income, net resulted from the previously disclosed reorganization and restructure of our Japan operations during 2022, net of taxes.</w:t>
      </w:r>
    </w:p>
    <w:p>
      <w:pPr>
        <w:ind w:left="420" w:hanging="412"/>
        <w:spacing w:after="0"/>
        <w:tabs>
          <w:tab w:leader="none" w:pos="4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Merger-contract termination fee received from Intel during the third quarter of 2023, net of associated cost and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SOURCES AND USES REPORT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ind w:left="47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7"/>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7320" w:type="dxa"/>
            <w:vAlign w:val="bottom"/>
          </w:tcPr>
          <w:p>
            <w:pPr>
              <w:spacing w:after="0"/>
              <w:rPr>
                <w:sz w:val="20"/>
                <w:szCs w:val="20"/>
                <w:color w:val="auto"/>
              </w:rPr>
            </w:pP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314,816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318,195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390,369</w:t>
            </w:r>
          </w:p>
        </w:tc>
        <w:tc>
          <w:tcPr>
            <w:tcW w:w="100" w:type="dxa"/>
            <w:vAlign w:val="bottom"/>
            <w:shd w:val="clear" w:color="auto" w:fill="CCEEFF"/>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 *</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126,098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402,242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132,750</w:t>
            </w: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(136,426)</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(101,080)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(38,186)</w:t>
            </w: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 received (repaid) and others, net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(8,950)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15,493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(11,465)</w:t>
            </w: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Proceeds from an investment in a subsidiary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6,216</w:t>
            </w: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Japanese Yen exchange rate change over cash balance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(1,537)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11,498</w:t>
            </w: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 in short-term deposits, marketable securities and other assets,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(36,975)</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(318,497)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(150,423)</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260,664</w:t>
            </w:r>
          </w:p>
        </w:tc>
        <w:tc>
          <w:tcPr>
            <w:tcW w:w="2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314,816</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340,759</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firstLine="8"/>
        <w:spacing w:after="0" w:line="302" w:lineRule="auto"/>
        <w:tabs>
          <w:tab w:leader="none" w:pos="137"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Merger-contract termination fee received from Intel during the third quarter of 2023, net of cost, in the amount of $313,501 was included within the net cash provided by operating activities for the three months ended September 30, 2023.</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236"/>
        </w:trPr>
        <w:tc>
          <w:tcPr>
            <w:tcW w:w="7320" w:type="dxa"/>
            <w:vAlign w:val="bottom"/>
          </w:tcPr>
          <w:p>
            <w:pPr>
              <w:spacing w:after="0"/>
              <w:rPr>
                <w:sz w:val="20"/>
                <w:szCs w:val="20"/>
                <w:color w:val="auto"/>
              </w:rPr>
            </w:pP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340,759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210,930</w:t>
            </w:r>
          </w:p>
        </w:tc>
        <w:tc>
          <w:tcPr>
            <w:tcW w:w="120" w:type="dxa"/>
            <w:vAlign w:val="bottom"/>
            <w:shd w:val="clear" w:color="auto" w:fill="CCEEFF"/>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 **</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676,561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529,820</w:t>
            </w: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(432,184)</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(213,537)</w:t>
            </w: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 repaid and others, net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(32,346)</w:t>
            </w:r>
          </w:p>
        </w:tc>
        <w:tc>
          <w:tcPr>
            <w:tcW w:w="3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(78,335)</w:t>
            </w: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Proceeds from an investment in a subsidiary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1,932</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11,685</w:t>
            </w: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Japanese Yen exchange rate change over cash balance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(5,395)</w:t>
            </w:r>
          </w:p>
        </w:tc>
        <w:tc>
          <w:tcPr>
            <w:tcW w:w="3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(3,893)</w:t>
            </w: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 in short-term deposits, marketable securities and other assets,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(288,663)</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(115,911)</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260,664</w:t>
            </w:r>
          </w:p>
        </w:tc>
        <w:tc>
          <w:tcPr>
            <w:tcW w:w="24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340,759</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ind w:right="20" w:firstLine="8"/>
        <w:spacing w:after="0" w:line="302" w:lineRule="auto"/>
        <w:tabs>
          <w:tab w:leader="none" w:pos="25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Merger-contract termination fee received from Intel during 2023, net of cost, in the amount of $313,501 was included within the net cash provided by operating activities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center"/>
        <w:ind w:left="340" w:right="2280"/>
        <w:spacing w:after="0" w:line="284"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CASH FLOWS (UNAUDITED) (dollars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8680" w:type="dxa"/>
            <w:vAlign w:val="bottom"/>
          </w:tcPr>
          <w:p>
            <w:pPr>
              <w:spacing w:after="0"/>
              <w:rPr>
                <w:sz w:val="20"/>
                <w:szCs w:val="20"/>
                <w:color w:val="auto"/>
              </w:rPr>
            </w:pPr>
          </w:p>
        </w:tc>
        <w:tc>
          <w:tcPr>
            <w:tcW w:w="13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0"/>
                <w:szCs w:val="20"/>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OPERATING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profit for the period</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519,530</w:t>
            </w:r>
          </w:p>
        </w:tc>
        <w:tc>
          <w:tcPr>
            <w:tcW w:w="20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266,471</w:t>
            </w:r>
          </w:p>
        </w:tc>
      </w:tr>
      <w:tr>
        <w:trPr>
          <w:trHeight w:val="229"/>
        </w:trPr>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Adjustments to reconcile net profit for the period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 net cash provided by operating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Income and expense items not involving cash flows: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Depreciation and amortization *</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258,021</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292,638</w:t>
            </w:r>
          </w:p>
        </w:tc>
      </w:tr>
      <w:tr>
        <w:trPr>
          <w:trHeight w:val="230"/>
        </w:trPr>
        <w:tc>
          <w:tcPr>
            <w:tcW w:w="86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Effect of exchange rate differences and fair value adjustment</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(1,632)</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10,362</w:t>
            </w:r>
          </w:p>
        </w:tc>
      </w:tr>
      <w:tr>
        <w:trPr>
          <w:trHeight w:val="229"/>
        </w:trPr>
        <w:tc>
          <w:tcPr>
            <w:tcW w:w="86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Other expense (income), net</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(7,047)</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6,934</w:t>
            </w:r>
          </w:p>
        </w:tc>
      </w:tr>
      <w:tr>
        <w:trPr>
          <w:trHeight w:val="229"/>
        </w:trPr>
        <w:tc>
          <w:tcPr>
            <w:tcW w:w="868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(3,160)</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(15,232)</w:t>
            </w:r>
          </w:p>
        </w:tc>
      </w:tr>
      <w:tr>
        <w:trPr>
          <w:trHeight w:val="229"/>
        </w:trPr>
        <w:tc>
          <w:tcPr>
            <w:tcW w:w="86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(9,541)</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20,427</w:t>
            </w:r>
          </w:p>
        </w:tc>
      </w:tr>
      <w:tr>
        <w:trPr>
          <w:trHeight w:val="230"/>
        </w:trPr>
        <w:tc>
          <w:tcPr>
            <w:tcW w:w="86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8,682</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(77,891)</w:t>
            </w:r>
          </w:p>
        </w:tc>
      </w:tr>
      <w:tr>
        <w:trPr>
          <w:trHeight w:val="229"/>
        </w:trPr>
        <w:tc>
          <w:tcPr>
            <w:tcW w:w="86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(8,254)</w:t>
            </w:r>
          </w:p>
        </w:tc>
        <w:tc>
          <w:tcPr>
            <w:tcW w:w="3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(20,893)</w:t>
            </w:r>
          </w:p>
        </w:tc>
      </w:tr>
      <w:tr>
        <w:trPr>
          <w:trHeight w:val="229"/>
        </w:trPr>
        <w:tc>
          <w:tcPr>
            <w:tcW w:w="86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Deferred revenue and customers' advances</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(35,676)</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(30,069)</w:t>
            </w:r>
          </w:p>
        </w:tc>
      </w:tr>
      <w:tr>
        <w:trPr>
          <w:trHeight w:val="230"/>
        </w:trPr>
        <w:tc>
          <w:tcPr>
            <w:tcW w:w="86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(70,163)</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61,033</w:t>
            </w:r>
          </w:p>
        </w:tc>
      </w:tr>
      <w:tr>
        <w:trPr>
          <w:trHeight w:val="229"/>
        </w:trPr>
        <w:tc>
          <w:tcPr>
            <w:tcW w:w="86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Long-term employee related liabilities</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(1,210)</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2,956</w:t>
            </w:r>
          </w:p>
        </w:tc>
      </w:tr>
      <w:tr>
        <w:trPr>
          <w:trHeight w:val="237"/>
        </w:trPr>
        <w:tc>
          <w:tcPr>
            <w:tcW w:w="86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Deferred tax, net and other long-term liabilities</w:t>
            </w:r>
          </w:p>
        </w:tc>
        <w:tc>
          <w:tcPr>
            <w:tcW w:w="24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27,011</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13,084</w:t>
            </w:r>
          </w:p>
        </w:tc>
      </w:tr>
      <w:tr>
        <w:trPr>
          <w:trHeight w:val="237"/>
        </w:trPr>
        <w:tc>
          <w:tcPr>
            <w:tcW w:w="86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 **</w:t>
            </w:r>
          </w:p>
        </w:tc>
        <w:tc>
          <w:tcPr>
            <w:tcW w:w="24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676,561</w:t>
            </w:r>
          </w:p>
        </w:tc>
        <w:tc>
          <w:tcPr>
            <w:tcW w:w="200" w:type="dxa"/>
            <w:vAlign w:val="bottom"/>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529,820</w:t>
            </w:r>
          </w:p>
        </w:tc>
        <w:tc>
          <w:tcPr>
            <w:tcW w:w="100" w:type="dxa"/>
            <w:vAlign w:val="bottom"/>
            <w:shd w:val="clear" w:color="auto" w:fill="CCEEFF"/>
          </w:tcPr>
          <w:p>
            <w:pPr>
              <w:spacing w:after="0"/>
              <w:rPr>
                <w:sz w:val="20"/>
                <w:szCs w:val="20"/>
                <w:color w:val="auto"/>
              </w:rPr>
            </w:pPr>
          </w:p>
        </w:tc>
      </w:tr>
      <w:tr>
        <w:trPr>
          <w:trHeight w:val="229"/>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 INVESTING ACTIVITIES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29"/>
        </w:trPr>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(432,184)</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(213,537)</w:t>
            </w:r>
          </w:p>
        </w:tc>
      </w:tr>
      <w:tr>
        <w:trPr>
          <w:trHeight w:val="237"/>
        </w:trPr>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Investments in deposits, marketable securities and other assets, net</w:t>
            </w:r>
          </w:p>
        </w:tc>
        <w:tc>
          <w:tcPr>
            <w:tcW w:w="24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(288,663)</w:t>
            </w:r>
          </w:p>
        </w:tc>
        <w:tc>
          <w:tcPr>
            <w:tcW w:w="3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(115,911)</w:t>
            </w:r>
          </w:p>
        </w:tc>
      </w:tr>
      <w:tr>
        <w:trPr>
          <w:trHeight w:val="237"/>
        </w:trPr>
        <w:tc>
          <w:tcPr>
            <w:tcW w:w="868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(720,847)</w:t>
            </w:r>
          </w:p>
        </w:tc>
        <w:tc>
          <w:tcPr>
            <w:tcW w:w="220" w:type="dxa"/>
            <w:vAlign w:val="bottom"/>
            <w:tcBorders>
              <w:bottom w:val="single" w:sz="8" w:color="CCEEFF"/>
            </w:tcBorders>
            <w:gridSpan w:val="2"/>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(329,448)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 FINANCING ACTIVITIES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Debt repaid, net</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(32,346)</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(78,335)</w:t>
            </w:r>
          </w:p>
        </w:tc>
      </w:tr>
      <w:tr>
        <w:trPr>
          <w:trHeight w:val="236"/>
        </w:trPr>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Proceeds from an investment in a subsidiary</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1,932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11,685</w:t>
            </w:r>
          </w:p>
        </w:tc>
      </w:tr>
      <w:tr>
        <w:trPr>
          <w:trHeight w:val="237"/>
        </w:trPr>
        <w:tc>
          <w:tcPr>
            <w:tcW w:w="868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(30,414)</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(66,650)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FOREIGN CURRENCY EXCHANGE RATE CHANGE</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(5,395)</w:t>
            </w:r>
          </w:p>
        </w:tc>
        <w:tc>
          <w:tcPr>
            <w:tcW w:w="3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(3,893)</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(80,095)</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129,829</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340,759</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210,930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260,664</w:t>
            </w:r>
          </w:p>
        </w:tc>
        <w:tc>
          <w:tcPr>
            <w:tcW w:w="20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340,759</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firstLine="8"/>
        <w:spacing w:after="0" w:line="302" w:lineRule="auto"/>
        <w:tabs>
          <w:tab w:leader="none" w:pos="15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Includes amortization of acquired intangible assets and stock based compensation in the amounts of $29,854 and $26,248 for the years ended December 31, 2023 and December 31, 2022, respectively.</w:t>
      </w:r>
    </w:p>
    <w:p>
      <w:pPr>
        <w:spacing w:after="0" w:line="154" w:lineRule="exact"/>
        <w:rPr>
          <w:sz w:val="20"/>
          <w:szCs w:val="20"/>
          <w:color w:val="auto"/>
        </w:rPr>
      </w:pPr>
    </w:p>
    <w:p>
      <w:pPr>
        <w:ind w:firstLine="8"/>
        <w:spacing w:after="0" w:line="302" w:lineRule="auto"/>
        <w:tabs>
          <w:tab w:leader="none" w:pos="248"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Merger-contract termination fee received from Intel during the third quarter of 2023, net of cost, in the amount of $313,501 was included within the net cash provided by operating activities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Roman"/>
      <w:start w:val="23"/>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2024-02-14T06:05:10Z</dcterms:created>
  <dcterms:modified xsi:type="dcterms:W3CDTF">2024-02-14T06:05:10Z</dcterms:modified>
</cp:coreProperties>
</file>