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UNITED STATES SECURITIES AND EXCHANGE COMMISSION</w:t>
      </w:r>
    </w:p>
    <w:p>
      <w:pPr>
        <w:jc w:val="center"/>
        <w:ind w:right="4619"/>
        <w:spacing w:after="0"/>
        <w:rPr>
          <w:sz w:val="20"/>
          <w:szCs w:val="20"/>
          <w:color w:val="auto"/>
        </w:rPr>
      </w:pPr>
      <w:r>
        <w:rPr>
          <w:rFonts w:ascii="Courier New" w:cs="Courier New" w:eastAsia="Courier New" w:hAnsi="Courier New"/>
          <w:sz w:val="12"/>
          <w:szCs w:val="12"/>
          <w:color w:val="auto"/>
        </w:rPr>
        <w:t>WASHINGTON, D.C. 20549</w:t>
      </w:r>
    </w:p>
    <w:p>
      <w:pPr>
        <w:spacing w:after="0" w:line="133" w:lineRule="exact"/>
        <w:rPr>
          <w:sz w:val="24"/>
          <w:szCs w:val="24"/>
          <w:color w:val="auto"/>
        </w:rPr>
      </w:pPr>
    </w:p>
    <w:p>
      <w:pPr>
        <w:ind w:left="2020"/>
        <w:spacing w:after="0"/>
        <w:rPr>
          <w:sz w:val="20"/>
          <w:szCs w:val="20"/>
          <w:color w:val="auto"/>
        </w:rPr>
      </w:pPr>
      <w:r>
        <w:rPr>
          <w:rFonts w:ascii="Courier New" w:cs="Courier New" w:eastAsia="Courier New" w:hAnsi="Courier New"/>
          <w:sz w:val="12"/>
          <w:szCs w:val="12"/>
          <w:color w:val="auto"/>
        </w:rPr>
        <w:t>----------------------</w:t>
      </w:r>
    </w:p>
    <w:p>
      <w:pPr>
        <w:ind w:left="2520"/>
        <w:spacing w:after="0"/>
        <w:rPr>
          <w:sz w:val="20"/>
          <w:szCs w:val="20"/>
          <w:color w:val="auto"/>
        </w:rPr>
      </w:pPr>
      <w:r>
        <w:rPr>
          <w:rFonts w:ascii="Courier New" w:cs="Courier New" w:eastAsia="Courier New" w:hAnsi="Courier New"/>
          <w:sz w:val="12"/>
          <w:szCs w:val="12"/>
          <w:color w:val="auto"/>
        </w:rPr>
        <w:t>FORM 20-F</w:t>
      </w:r>
    </w:p>
    <w:p>
      <w:pPr>
        <w:ind w:left="2020"/>
        <w:spacing w:after="0" w:line="237" w:lineRule="auto"/>
        <w:rPr>
          <w:sz w:val="20"/>
          <w:szCs w:val="20"/>
          <w:color w:val="auto"/>
        </w:rPr>
      </w:pPr>
      <w:r>
        <w:rPr>
          <w:rFonts w:ascii="Courier New" w:cs="Courier New" w:eastAsia="Courier New" w:hAnsi="Courier New"/>
          <w:sz w:val="12"/>
          <w:szCs w:val="12"/>
          <w:color w:val="auto"/>
        </w:rPr>
        <w:t>----------------------</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ANNUAL REPORT PURSUANT TO SECTION 13 OR 15(D) OF THE</w:t>
      </w:r>
    </w:p>
    <w:p>
      <w:pPr>
        <w:jc w:val="center"/>
        <w:ind w:right="4699"/>
        <w:spacing w:after="0"/>
        <w:rPr>
          <w:sz w:val="20"/>
          <w:szCs w:val="20"/>
          <w:color w:val="auto"/>
        </w:rPr>
      </w:pPr>
      <w:r>
        <w:rPr>
          <w:rFonts w:ascii="Courier New" w:cs="Courier New" w:eastAsia="Courier New" w:hAnsi="Courier New"/>
          <w:sz w:val="12"/>
          <w:szCs w:val="12"/>
          <w:color w:val="auto"/>
        </w:rPr>
        <w:t>SECURITIES EXCHANGE ACT OF 1934</w:t>
      </w:r>
    </w:p>
    <w:p>
      <w:pPr>
        <w:spacing w:after="0" w:line="133"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2"/>
          <w:szCs w:val="12"/>
          <w:color w:val="auto"/>
        </w:rPr>
        <w:t>FOR THE FISCAL YEAR ENDED DECEMBER 31, 2006</w:t>
      </w:r>
      <w:r>
        <w:rPr>
          <w:sz w:val="20"/>
          <w:szCs w:val="20"/>
          <w:color w:val="auto"/>
        </w:rPr>
        <w:tab/>
      </w:r>
      <w:r>
        <w:rPr>
          <w:rFonts w:ascii="Courier New" w:cs="Courier New" w:eastAsia="Courier New" w:hAnsi="Courier New"/>
          <w:sz w:val="11"/>
          <w:szCs w:val="11"/>
          <w:color w:val="auto"/>
        </w:rPr>
        <w:t>COMMISSION FILE NUMBER: 0-24790</w:t>
      </w:r>
    </w:p>
    <w:p>
      <w:pPr>
        <w:spacing w:after="0" w:line="134" w:lineRule="exact"/>
        <w:rPr>
          <w:sz w:val="24"/>
          <w:szCs w:val="24"/>
          <w:color w:val="auto"/>
        </w:rPr>
      </w:pPr>
    </w:p>
    <w:p>
      <w:pPr>
        <w:ind w:left="1180"/>
        <w:spacing w:after="0"/>
        <w:rPr>
          <w:sz w:val="20"/>
          <w:szCs w:val="20"/>
          <w:color w:val="auto"/>
        </w:rPr>
      </w:pPr>
      <w:r>
        <w:rPr>
          <w:rFonts w:ascii="Courier New" w:cs="Courier New" w:eastAsia="Courier New" w:hAnsi="Courier New"/>
          <w:sz w:val="12"/>
          <w:szCs w:val="12"/>
          <w:color w:val="auto"/>
        </w:rPr>
        <w:t>-----------------------------------------------</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TOWER SEMICONDUCTOR LTD.</w:t>
      </w:r>
    </w:p>
    <w:p>
      <w:pPr>
        <w:spacing w:after="0" w:line="134" w:lineRule="exact"/>
        <w:rPr>
          <w:sz w:val="24"/>
          <w:szCs w:val="24"/>
          <w:color w:val="auto"/>
        </w:rPr>
      </w:pPr>
    </w:p>
    <w:p>
      <w:pPr>
        <w:jc w:val="center"/>
        <w:ind w:right="4559"/>
        <w:spacing w:after="0"/>
        <w:rPr>
          <w:sz w:val="20"/>
          <w:szCs w:val="20"/>
          <w:color w:val="auto"/>
        </w:rPr>
      </w:pPr>
      <w:r>
        <w:rPr>
          <w:rFonts w:ascii="Courier New" w:cs="Courier New" w:eastAsia="Courier New" w:hAnsi="Courier New"/>
          <w:sz w:val="12"/>
          <w:szCs w:val="12"/>
          <w:color w:val="auto"/>
        </w:rPr>
        <w:t>(Exact name of registrant as specified in its charter and translation</w:t>
      </w:r>
    </w:p>
    <w:p>
      <w:pPr>
        <w:jc w:val="center"/>
        <w:ind w:right="4619"/>
        <w:spacing w:after="0"/>
        <w:rPr>
          <w:sz w:val="20"/>
          <w:szCs w:val="20"/>
          <w:color w:val="auto"/>
        </w:rPr>
      </w:pPr>
      <w:r>
        <w:rPr>
          <w:rFonts w:ascii="Courier New" w:cs="Courier New" w:eastAsia="Courier New" w:hAnsi="Courier New"/>
          <w:sz w:val="12"/>
          <w:szCs w:val="12"/>
          <w:color w:val="auto"/>
        </w:rPr>
        <w:t>of registrant's name into English)</w:t>
      </w: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 --------------------------------------------------------------------------------</w:t>
      </w:r>
    </w:p>
    <w:p>
      <w:pPr>
        <w:spacing w:after="0" w:line="141"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ISRAEL</w:t>
      </w:r>
    </w:p>
    <w:p>
      <w:pPr>
        <w:jc w:val="center"/>
        <w:ind w:right="4559"/>
        <w:spacing w:after="0"/>
        <w:rPr>
          <w:sz w:val="20"/>
          <w:szCs w:val="20"/>
          <w:color w:val="auto"/>
        </w:rPr>
      </w:pPr>
      <w:r>
        <w:rPr>
          <w:rFonts w:ascii="Courier New" w:cs="Courier New" w:eastAsia="Courier New" w:hAnsi="Courier New"/>
          <w:sz w:val="12"/>
          <w:szCs w:val="12"/>
          <w:color w:val="auto"/>
        </w:rPr>
        <w:t>(Jurisdiction of incorporation or organization)</w:t>
      </w:r>
    </w:p>
    <w:p>
      <w:pPr>
        <w:spacing w:after="0" w:line="269" w:lineRule="exact"/>
        <w:rPr>
          <w:sz w:val="24"/>
          <w:szCs w:val="24"/>
          <w:color w:val="auto"/>
        </w:rPr>
      </w:pPr>
    </w:p>
    <w:p>
      <w:pPr>
        <w:ind w:left="1820"/>
        <w:spacing w:after="0"/>
        <w:rPr>
          <w:sz w:val="20"/>
          <w:szCs w:val="20"/>
          <w:color w:val="auto"/>
        </w:rPr>
      </w:pPr>
      <w:r>
        <w:rPr>
          <w:rFonts w:ascii="Courier New" w:cs="Courier New" w:eastAsia="Courier New" w:hAnsi="Courier New"/>
          <w:sz w:val="12"/>
          <w:szCs w:val="12"/>
          <w:color w:val="auto"/>
        </w:rPr>
        <w:t>RAMAT GAVRIEL INDUSTRIAL PARK</w:t>
      </w:r>
    </w:p>
    <w:p>
      <w:pPr>
        <w:ind w:left="1400"/>
        <w:spacing w:after="0"/>
        <w:rPr>
          <w:sz w:val="20"/>
          <w:szCs w:val="20"/>
          <w:color w:val="auto"/>
        </w:rPr>
      </w:pPr>
      <w:r>
        <w:rPr>
          <w:rFonts w:ascii="Courier New" w:cs="Courier New" w:eastAsia="Courier New" w:hAnsi="Courier New"/>
          <w:sz w:val="12"/>
          <w:szCs w:val="12"/>
          <w:color w:val="auto"/>
        </w:rPr>
        <w:t>P.O. BOX 619, MIGDAL HAEMEK, ISRAEL 23105</w:t>
      </w:r>
    </w:p>
    <w:p>
      <w:pPr>
        <w:ind w:left="1400"/>
        <w:spacing w:after="0" w:line="237" w:lineRule="auto"/>
        <w:rPr>
          <w:sz w:val="20"/>
          <w:szCs w:val="20"/>
          <w:color w:val="auto"/>
        </w:rPr>
      </w:pPr>
      <w:r>
        <w:rPr>
          <w:rFonts w:ascii="Courier New" w:cs="Courier New" w:eastAsia="Courier New" w:hAnsi="Courier New"/>
          <w:sz w:val="12"/>
          <w:szCs w:val="12"/>
          <w:color w:val="auto"/>
        </w:rPr>
        <w:t>(Address of principal executive offices)</w:t>
      </w:r>
    </w:p>
    <w:p>
      <w:pPr>
        <w:ind w:left="1120"/>
        <w:spacing w:after="0"/>
        <w:rPr>
          <w:sz w:val="20"/>
          <w:szCs w:val="20"/>
          <w:color w:val="auto"/>
        </w:rPr>
      </w:pPr>
      <w:r>
        <w:rPr>
          <w:rFonts w:ascii="Courier New" w:cs="Courier New" w:eastAsia="Courier New" w:hAnsi="Courier New"/>
          <w:sz w:val="12"/>
          <w:szCs w:val="12"/>
          <w:color w:val="auto"/>
        </w:rPr>
        <w:t>------------------------------------------------</w:t>
      </w:r>
    </w:p>
    <w:p>
      <w:pPr>
        <w:spacing w:after="0" w:line="133" w:lineRule="exact"/>
        <w:rPr>
          <w:sz w:val="24"/>
          <w:szCs w:val="24"/>
          <w:color w:val="auto"/>
        </w:rPr>
      </w:pPr>
    </w:p>
    <w:p>
      <w:pPr>
        <w:ind w:left="60"/>
        <w:spacing w:after="0"/>
        <w:rPr>
          <w:sz w:val="20"/>
          <w:szCs w:val="20"/>
          <w:color w:val="auto"/>
        </w:rPr>
      </w:pPr>
      <w:r>
        <w:rPr>
          <w:rFonts w:ascii="Courier New" w:cs="Courier New" w:eastAsia="Courier New" w:hAnsi="Courier New"/>
          <w:sz w:val="12"/>
          <w:szCs w:val="12"/>
          <w:color w:val="auto"/>
        </w:rPr>
        <w:t>SECURITIES REGISTERED OR TO BE REGISTERED PURSUANT TO SECTION 12(B) OF THE ACT:</w:t>
      </w:r>
    </w:p>
    <w:p>
      <w:pPr>
        <w:sectPr>
          <w:pgSz w:w="11900" w:h="16882" w:orient="portrait"/>
          <w:cols w:equalWidth="0" w:num="1">
            <w:col w:w="10239"/>
          </w:cols>
          <w:pgMar w:left="220" w:top="614" w:right="1440" w:bottom="0" w:gutter="0" w:footer="0" w:header="0"/>
        </w:sectPr>
      </w:pPr>
    </w:p>
    <w:p>
      <w:pPr>
        <w:spacing w:after="0" w:line="139" w:lineRule="exact"/>
        <w:rPr>
          <w:sz w:val="24"/>
          <w:szCs w:val="24"/>
          <w:color w:val="auto"/>
        </w:rPr>
      </w:pPr>
    </w:p>
    <w:p>
      <w:pPr>
        <w:ind w:left="620"/>
        <w:spacing w:after="0"/>
        <w:rPr>
          <w:sz w:val="20"/>
          <w:szCs w:val="20"/>
          <w:color w:val="auto"/>
        </w:rPr>
      </w:pPr>
      <w:r>
        <w:rPr>
          <w:rFonts w:ascii="Courier New" w:cs="Courier New" w:eastAsia="Courier New" w:hAnsi="Courier New"/>
          <w:sz w:val="11"/>
          <w:szCs w:val="11"/>
          <w:color w:val="auto"/>
        </w:rPr>
        <w:t>TITLE OF EACH CLASS</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NAME OF EACH EXCHANGE ON WHICH REGISTERED</w:t>
      </w:r>
    </w:p>
    <w:p>
      <w:pPr>
        <w:spacing w:after="0" w:line="146" w:lineRule="exact"/>
        <w:rPr>
          <w:sz w:val="24"/>
          <w:szCs w:val="24"/>
          <w:color w:val="auto"/>
        </w:rPr>
      </w:pPr>
    </w:p>
    <w:p>
      <w:pPr>
        <w:sectPr>
          <w:pgSz w:w="11900" w:h="16882" w:orient="portrait"/>
          <w:cols w:equalWidth="0" w:num="2">
            <w:col w:w="2020" w:space="720"/>
            <w:col w:w="7499"/>
          </w:cols>
          <w:pgMar w:left="220" w:top="614"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Ordinary Shares, par value New Israeli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1"/>
          <w:szCs w:val="11"/>
          <w:color w:val="auto"/>
        </w:rPr>
        <w:t>NASDAQ Global Market</w:t>
      </w:r>
    </w:p>
    <w:p>
      <w:pPr>
        <w:spacing w:after="0" w:line="146" w:lineRule="exact"/>
        <w:rPr>
          <w:sz w:val="24"/>
          <w:szCs w:val="24"/>
          <w:color w:val="auto"/>
        </w:rPr>
      </w:pPr>
    </w:p>
    <w:p>
      <w:pPr>
        <w:sectPr>
          <w:pgSz w:w="11900" w:h="16882" w:orient="portrait"/>
          <w:cols w:equalWidth="0" w:num="2">
            <w:col w:w="2720" w:space="720"/>
            <w:col w:w="6799"/>
          </w:cols>
          <w:pgMar w:left="220" w:top="614" w:right="1440" w:bottom="0" w:gutter="0" w:footer="0" w:header="0"/>
          <w:type w:val="continuous"/>
        </w:sectPr>
      </w:pPr>
    </w:p>
    <w:p>
      <w:pPr>
        <w:ind w:left="420"/>
        <w:spacing w:after="0"/>
        <w:rPr>
          <w:sz w:val="20"/>
          <w:szCs w:val="20"/>
          <w:color w:val="auto"/>
        </w:rPr>
      </w:pPr>
      <w:r>
        <w:rPr>
          <w:rFonts w:ascii="Courier New" w:cs="Courier New" w:eastAsia="Courier New" w:hAnsi="Courier New"/>
          <w:sz w:val="11"/>
          <w:szCs w:val="11"/>
          <w:color w:val="auto"/>
        </w:rPr>
        <w:t>Shekels 1.00 per share</w:t>
      </w:r>
    </w:p>
    <w:p>
      <w:pPr>
        <w:sectPr>
          <w:pgSz w:w="11900" w:h="16882" w:orient="portrait"/>
          <w:cols w:equalWidth="0" w:num="1">
            <w:col w:w="10239"/>
          </w:cols>
          <w:pgMar w:left="220" w:top="614" w:right="1440" w:bottom="0" w:gutter="0" w:footer="0" w:header="0"/>
          <w:type w:val="continuous"/>
        </w:sectPr>
      </w:pPr>
    </w:p>
    <w:p>
      <w:pPr>
        <w:spacing w:after="0" w:line="146" w:lineRule="exact"/>
        <w:rPr>
          <w:sz w:val="24"/>
          <w:szCs w:val="24"/>
          <w:color w:val="auto"/>
        </w:rPr>
      </w:pPr>
    </w:p>
    <w:p>
      <w:pPr>
        <w:ind w:left="420"/>
        <w:spacing w:after="0"/>
        <w:rPr>
          <w:sz w:val="20"/>
          <w:szCs w:val="20"/>
          <w:color w:val="auto"/>
        </w:rPr>
      </w:pPr>
      <w:r>
        <w:rPr>
          <w:rFonts w:ascii="Courier New" w:cs="Courier New" w:eastAsia="Courier New" w:hAnsi="Courier New"/>
          <w:sz w:val="11"/>
          <w:szCs w:val="11"/>
          <w:color w:val="auto"/>
        </w:rPr>
        <w:t>Convertible Debentures</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NASDAQ Capital Market</w:t>
      </w:r>
    </w:p>
    <w:p>
      <w:pPr>
        <w:spacing w:after="0" w:line="146" w:lineRule="exact"/>
        <w:rPr>
          <w:sz w:val="24"/>
          <w:szCs w:val="24"/>
          <w:color w:val="auto"/>
        </w:rPr>
      </w:pPr>
    </w:p>
    <w:p>
      <w:pPr>
        <w:sectPr>
          <w:pgSz w:w="11900" w:h="16882" w:orient="portrait"/>
          <w:cols w:equalWidth="0" w:num="2">
            <w:col w:w="2720" w:space="720"/>
            <w:col w:w="6799"/>
          </w:cols>
          <w:pgMar w:left="220" w:top="614" w:right="1440" w:bottom="0" w:gutter="0" w:footer="0" w:header="0"/>
          <w:type w:val="continuous"/>
        </w:sectPr>
      </w:pPr>
    </w:p>
    <w:p>
      <w:pPr>
        <w:jc w:val="center"/>
        <w:ind w:right="4559"/>
        <w:spacing w:after="0"/>
        <w:rPr>
          <w:sz w:val="20"/>
          <w:szCs w:val="20"/>
          <w:color w:val="auto"/>
        </w:rPr>
      </w:pPr>
      <w:r>
        <w:rPr>
          <w:rFonts w:ascii="Courier New" w:cs="Courier New" w:eastAsia="Courier New" w:hAnsi="Courier New"/>
          <w:sz w:val="11"/>
          <w:szCs w:val="11"/>
          <w:color w:val="auto"/>
        </w:rPr>
        <w:t>SECURITIES REGISTERED OR TO BE REGISTERED PURSUANT TO</w:t>
      </w:r>
    </w:p>
    <w:p>
      <w:pPr>
        <w:spacing w:after="0" w:line="6" w:lineRule="exact"/>
        <w:rPr>
          <w:sz w:val="24"/>
          <w:szCs w:val="24"/>
          <w:color w:val="auto"/>
        </w:rPr>
      </w:pPr>
    </w:p>
    <w:p>
      <w:pPr>
        <w:jc w:val="center"/>
        <w:ind w:right="4639"/>
        <w:spacing w:after="0"/>
        <w:rPr>
          <w:sz w:val="20"/>
          <w:szCs w:val="20"/>
          <w:color w:val="auto"/>
        </w:rPr>
      </w:pPr>
      <w:r>
        <w:rPr>
          <w:rFonts w:ascii="Courier New" w:cs="Courier New" w:eastAsia="Courier New" w:hAnsi="Courier New"/>
          <w:sz w:val="12"/>
          <w:szCs w:val="12"/>
          <w:color w:val="auto"/>
        </w:rPr>
        <w:t>SECTION 12(G) OF THE ACT: None</w:t>
      </w:r>
    </w:p>
    <w:p>
      <w:pPr>
        <w:sectPr>
          <w:pgSz w:w="11900" w:h="16882" w:orient="portrait"/>
          <w:cols w:equalWidth="0" w:num="1">
            <w:col w:w="10239"/>
          </w:cols>
          <w:pgMar w:left="220" w:top="614" w:right="1440" w:bottom="0" w:gutter="0" w:footer="0" w:header="0"/>
          <w:type w:val="continuous"/>
        </w:sectPr>
      </w:pP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SECURITIES FOR WHICH THERE IS A REPORTING OBLIGATION PURSUANT TO</w:t>
      </w:r>
    </w:p>
    <w:p>
      <w:pPr>
        <w:jc w:val="center"/>
        <w:ind w:right="4619"/>
        <w:spacing w:after="0"/>
        <w:rPr>
          <w:sz w:val="20"/>
          <w:szCs w:val="20"/>
          <w:color w:val="auto"/>
        </w:rPr>
      </w:pPr>
      <w:r>
        <w:rPr>
          <w:rFonts w:ascii="Courier New" w:cs="Courier New" w:eastAsia="Courier New" w:hAnsi="Courier New"/>
          <w:sz w:val="12"/>
          <w:szCs w:val="12"/>
          <w:color w:val="auto"/>
        </w:rPr>
        <w:t>SECTION 15(D) OF THE ACT: None</w:t>
      </w:r>
    </w:p>
    <w:p>
      <w:pPr>
        <w:spacing w:after="0" w:line="138" w:lineRule="exact"/>
        <w:rPr>
          <w:sz w:val="24"/>
          <w:szCs w:val="24"/>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Indicate the number of outstanding shares of each of the issuer's classes of capital or common stock as of the close of the period covered by the annual report: 100,752,767 Ordinary Shares</w:t>
      </w:r>
    </w:p>
    <w:p>
      <w:pPr>
        <w:spacing w:after="0" w:line="139" w:lineRule="exact"/>
        <w:rPr>
          <w:sz w:val="24"/>
          <w:szCs w:val="24"/>
          <w:color w:val="auto"/>
        </w:rPr>
      </w:pPr>
    </w:p>
    <w:p>
      <w:pPr>
        <w:jc w:val="both"/>
        <w:ind w:right="4759" w:firstLine="351"/>
        <w:spacing w:after="0" w:line="235" w:lineRule="auto"/>
        <w:rPr>
          <w:sz w:val="20"/>
          <w:szCs w:val="20"/>
          <w:color w:val="auto"/>
        </w:rPr>
      </w:pPr>
      <w:r>
        <w:rPr>
          <w:rFonts w:ascii="Courier New" w:cs="Courier New" w:eastAsia="Courier New" w:hAnsi="Courier New"/>
          <w:sz w:val="12"/>
          <w:szCs w:val="12"/>
          <w:color w:val="auto"/>
        </w:rPr>
        <w:t>Indicate by check mark if the registrant is a well-known seasoned issuer, as defined in Rule 405 of the Securities Act.</w:t>
      </w:r>
    </w:p>
    <w:p>
      <w:pPr>
        <w:spacing w:after="0" w:line="135"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139" w:lineRule="exact"/>
        <w:rPr>
          <w:sz w:val="24"/>
          <w:szCs w:val="24"/>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If this report is an annual or transition report, indicate by check mark if the registrant is not required to file reports pursuant to Section 13 or 15(d) of the Securities Exchange Act of 1934.</w:t>
      </w:r>
    </w:p>
    <w:p>
      <w:pPr>
        <w:spacing w:after="0" w:line="135" w:lineRule="exact"/>
        <w:rPr>
          <w:sz w:val="24"/>
          <w:szCs w:val="24"/>
          <w:color w:val="auto"/>
        </w:rPr>
      </w:pPr>
    </w:p>
    <w:p>
      <w:pPr>
        <w:ind w:left="2180"/>
        <w:spacing w:after="0"/>
        <w:tabs>
          <w:tab w:leader="none" w:pos="306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139" w:lineRule="exact"/>
        <w:rPr>
          <w:sz w:val="24"/>
          <w:szCs w:val="24"/>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2180"/>
        <w:spacing w:after="0"/>
        <w:tabs>
          <w:tab w:leader="none" w:pos="3060" w:val="left"/>
        </w:tabs>
        <w:rPr>
          <w:sz w:val="20"/>
          <w:szCs w:val="20"/>
          <w:color w:val="auto"/>
        </w:rPr>
      </w:pPr>
      <w:r>
        <w:rPr>
          <w:rFonts w:ascii="Courier New" w:cs="Courier New" w:eastAsia="Courier New" w:hAnsi="Courier New"/>
          <w:sz w:val="12"/>
          <w:szCs w:val="12"/>
          <w:color w:val="auto"/>
        </w:rPr>
        <w:t>Yes [X]</w:t>
      </w:r>
      <w:r>
        <w:rPr>
          <w:sz w:val="20"/>
          <w:szCs w:val="20"/>
          <w:color w:val="auto"/>
        </w:rPr>
        <w:tab/>
      </w:r>
      <w:r>
        <w:rPr>
          <w:rFonts w:ascii="Courier New" w:cs="Courier New" w:eastAsia="Courier New" w:hAnsi="Courier New"/>
          <w:sz w:val="11"/>
          <w:szCs w:val="11"/>
          <w:color w:val="auto"/>
        </w:rPr>
        <w:t>No [_]</w:t>
      </w:r>
    </w:p>
    <w:p>
      <w:pPr>
        <w:spacing w:after="0" w:line="139" w:lineRule="exact"/>
        <w:rPr>
          <w:sz w:val="24"/>
          <w:szCs w:val="24"/>
          <w:color w:val="auto"/>
        </w:rPr>
      </w:pPr>
    </w:p>
    <w:p>
      <w:pPr>
        <w:jc w:val="both"/>
        <w:ind w:right="4619" w:firstLine="351"/>
        <w:spacing w:after="0" w:line="266" w:lineRule="auto"/>
        <w:rPr>
          <w:sz w:val="20"/>
          <w:szCs w:val="20"/>
          <w:color w:val="auto"/>
        </w:rPr>
      </w:pPr>
      <w:r>
        <w:rPr>
          <w:rFonts w:ascii="Courier New" w:cs="Courier New" w:eastAsia="Courier New" w:hAnsi="Courier New"/>
          <w:sz w:val="11"/>
          <w:szCs w:val="1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22" w:lineRule="exact"/>
        <w:rPr>
          <w:sz w:val="24"/>
          <w:szCs w:val="24"/>
          <w:color w:val="auto"/>
        </w:rPr>
      </w:pPr>
    </w:p>
    <w:p>
      <w:pPr>
        <w:spacing w:after="0"/>
        <w:tabs>
          <w:tab w:leader="none" w:pos="2080" w:val="left"/>
          <w:tab w:leader="none" w:pos="3760" w:val="left"/>
        </w:tabs>
        <w:rPr>
          <w:sz w:val="20"/>
          <w:szCs w:val="20"/>
          <w:color w:val="auto"/>
        </w:rPr>
      </w:pPr>
      <w:r>
        <w:rPr>
          <w:rFonts w:ascii="Courier New" w:cs="Courier New" w:eastAsia="Courier New" w:hAnsi="Courier New"/>
          <w:sz w:val="12"/>
          <w:szCs w:val="12"/>
          <w:color w:val="auto"/>
        </w:rPr>
        <w:t>Large accelerated filer [_]</w:t>
      </w:r>
      <w:r>
        <w:rPr>
          <w:sz w:val="20"/>
          <w:szCs w:val="20"/>
          <w:color w:val="auto"/>
        </w:rPr>
        <w:tab/>
      </w:r>
      <w:r>
        <w:rPr>
          <w:rFonts w:ascii="Courier New" w:cs="Courier New" w:eastAsia="Courier New" w:hAnsi="Courier New"/>
          <w:sz w:val="12"/>
          <w:szCs w:val="12"/>
          <w:color w:val="auto"/>
        </w:rPr>
        <w:t>Accelerated filer [_]</w:t>
      </w:r>
      <w:r>
        <w:rPr>
          <w:sz w:val="20"/>
          <w:szCs w:val="20"/>
          <w:color w:val="auto"/>
        </w:rPr>
        <w:tab/>
      </w:r>
      <w:r>
        <w:rPr>
          <w:rFonts w:ascii="Courier New" w:cs="Courier New" w:eastAsia="Courier New" w:hAnsi="Courier New"/>
          <w:sz w:val="11"/>
          <w:szCs w:val="11"/>
          <w:color w:val="auto"/>
        </w:rPr>
        <w:t>Non-accelerated filer [X]</w:t>
      </w:r>
    </w:p>
    <w:p>
      <w:pPr>
        <w:spacing w:after="0" w:line="139" w:lineRule="exact"/>
        <w:rPr>
          <w:sz w:val="24"/>
          <w:szCs w:val="24"/>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Indicate by check mark which financial statement item the registrant has elected to follow.</w:t>
      </w:r>
    </w:p>
    <w:p>
      <w:pPr>
        <w:spacing w:after="0" w:line="135" w:lineRule="exact"/>
        <w:rPr>
          <w:sz w:val="24"/>
          <w:szCs w:val="24"/>
          <w:color w:val="auto"/>
        </w:rPr>
      </w:pPr>
    </w:p>
    <w:p>
      <w:pPr>
        <w:ind w:left="1820"/>
        <w:spacing w:after="0"/>
        <w:tabs>
          <w:tab w:leader="none" w:pos="2920" w:val="left"/>
        </w:tabs>
        <w:rPr>
          <w:sz w:val="20"/>
          <w:szCs w:val="20"/>
          <w:color w:val="auto"/>
        </w:rPr>
      </w:pPr>
      <w:r>
        <w:rPr>
          <w:rFonts w:ascii="Courier New" w:cs="Courier New" w:eastAsia="Courier New" w:hAnsi="Courier New"/>
          <w:sz w:val="12"/>
          <w:szCs w:val="12"/>
          <w:color w:val="auto"/>
        </w:rPr>
        <w:t>Item 17 [_]</w:t>
      </w:r>
      <w:r>
        <w:rPr>
          <w:sz w:val="20"/>
          <w:szCs w:val="20"/>
          <w:color w:val="auto"/>
        </w:rPr>
        <w:tab/>
      </w:r>
      <w:r>
        <w:rPr>
          <w:rFonts w:ascii="Courier New" w:cs="Courier New" w:eastAsia="Courier New" w:hAnsi="Courier New"/>
          <w:sz w:val="11"/>
          <w:szCs w:val="11"/>
          <w:color w:val="auto"/>
        </w:rPr>
        <w:t>Item 18 [X]</w:t>
      </w:r>
    </w:p>
    <w:p>
      <w:pPr>
        <w:spacing w:after="0" w:line="139" w:lineRule="exact"/>
        <w:rPr>
          <w:sz w:val="24"/>
          <w:szCs w:val="24"/>
          <w:color w:val="auto"/>
        </w:rPr>
      </w:pPr>
    </w:p>
    <w:p>
      <w:pPr>
        <w:ind w:right="4699" w:firstLine="351"/>
        <w:spacing w:after="0" w:line="273" w:lineRule="auto"/>
        <w:rPr>
          <w:sz w:val="20"/>
          <w:szCs w:val="20"/>
          <w:color w:val="auto"/>
        </w:rPr>
      </w:pPr>
      <w:r>
        <w:rPr>
          <w:rFonts w:ascii="Courier New" w:cs="Courier New" w:eastAsia="Courier New" w:hAnsi="Courier New"/>
          <w:sz w:val="11"/>
          <w:szCs w:val="11"/>
          <w:color w:val="auto"/>
        </w:rPr>
        <w:t>If this is an annual report, indicate by check mark whether the registrant is a shell company (as defined in Rule 12b-2 of the Exchange Act).</w:t>
      </w:r>
    </w:p>
    <w:p>
      <w:pPr>
        <w:spacing w:after="0" w:line="117"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256" w:lineRule="exact"/>
        <w:rPr>
          <w:sz w:val="24"/>
          <w:szCs w:val="24"/>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at "Item 3. Key Information--Risk Factors".</w:t>
      </w:r>
    </w:p>
    <w:p>
      <w:pPr>
        <w:spacing w:after="0" w:line="139" w:lineRule="exact"/>
        <w:rPr>
          <w:sz w:val="24"/>
          <w:szCs w:val="24"/>
          <w:color w:val="auto"/>
        </w:rPr>
      </w:pPr>
    </w:p>
    <w:p>
      <w:pPr>
        <w:ind w:left="2380"/>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4"/>
          <w:szCs w:val="24"/>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We have prepared our consolidated financial statements in United States dollars and in accordance with accounting principles generally accepted in Israel ("Israeli GAAP"). Israeli GAAP varies in certain significant respects from accounting principles generally accepted in the United States of America ("US GAAP"). The effect of the application of the latter on the financial position and results of operations as of the dates and for the years presented herein is summarized in Note 19 to our consolidated financial statements included herein. All references herein to "dollars" or "$" are to United States dollars, and all references to "Shekels" or "NIS" are to New Israeli Shekels.</w:t>
      </w:r>
    </w:p>
    <w:p>
      <w:pPr>
        <w:spacing w:after="0" w:line="127" w:lineRule="exact"/>
        <w:rPr>
          <w:sz w:val="24"/>
          <w:szCs w:val="24"/>
          <w:color w:val="auto"/>
        </w:rPr>
      </w:pPr>
    </w:p>
    <w:p>
      <w:pPr>
        <w:ind w:left="2380"/>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4"/>
          <w:szCs w:val="24"/>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ectPr>
          <w:pgSz w:w="11900" w:h="16882" w:orient="portrait"/>
          <w:cols w:equalWidth="0" w:num="1">
            <w:col w:w="10239"/>
          </w:cols>
          <w:pgMar w:left="220" w:top="614" w:right="1440" w:bottom="0" w:gutter="0" w:footer="0" w:header="0"/>
          <w:type w:val="continuous"/>
        </w:sectPr>
      </w:pPr>
    </w:p>
    <w:bookmarkStart w:id="1" w:name="page2"/>
    <w:bookmarkEnd w:id="1"/>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00" w:type="dxa"/>
            <w:vAlign w:val="bottom"/>
          </w:tcPr>
          <w:p>
            <w:pPr>
              <w:spacing w:after="0"/>
              <w:rPr>
                <w:sz w:val="11"/>
                <w:szCs w:val="11"/>
                <w:color w:val="auto"/>
              </w:rPr>
            </w:pPr>
          </w:p>
        </w:tc>
        <w:tc>
          <w:tcPr>
            <w:tcW w:w="5620" w:type="dxa"/>
            <w:vAlign w:val="bottom"/>
          </w:tcPr>
          <w:p>
            <w:pPr>
              <w:ind w:left="980"/>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r>
      <w:tr>
        <w:trPr>
          <w:trHeight w:val="405"/>
        </w:trPr>
        <w:tc>
          <w:tcPr>
            <w:tcW w:w="70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MICROFLASH(R) is a registered trademark of Tower and N-ROM(TM) is a</w:t>
            </w:r>
          </w:p>
        </w:tc>
        <w:tc>
          <w:tcPr>
            <w:tcW w:w="280" w:type="dxa"/>
            <w:vAlign w:val="bottom"/>
          </w:tcPr>
          <w:p>
            <w:pPr>
              <w:spacing w:after="0"/>
              <w:rPr>
                <w:sz w:val="24"/>
                <w:szCs w:val="24"/>
                <w:color w:val="auto"/>
              </w:rPr>
            </w:pPr>
          </w:p>
        </w:tc>
      </w:tr>
      <w:tr>
        <w:trPr>
          <w:trHeight w:val="135"/>
        </w:trPr>
        <w:tc>
          <w:tcPr>
            <w:tcW w:w="7020" w:type="dxa"/>
            <w:vAlign w:val="bottom"/>
            <w:gridSpan w:val="2"/>
          </w:tcPr>
          <w:p>
            <w:pPr>
              <w:spacing w:after="0"/>
              <w:rPr>
                <w:sz w:val="20"/>
                <w:szCs w:val="20"/>
                <w:color w:val="auto"/>
              </w:rPr>
            </w:pPr>
            <w:r>
              <w:rPr>
                <w:rFonts w:ascii="Courier New" w:cs="Courier New" w:eastAsia="Courier New" w:hAnsi="Courier New"/>
                <w:sz w:val="12"/>
                <w:szCs w:val="12"/>
                <w:color w:val="auto"/>
              </w:rPr>
              <w:t>trademark of Saifun Semiconductor Ltd.</w:t>
            </w:r>
          </w:p>
        </w:tc>
        <w:tc>
          <w:tcPr>
            <w:tcW w:w="280" w:type="dxa"/>
            <w:vAlign w:val="bottom"/>
          </w:tcPr>
          <w:p>
            <w:pPr>
              <w:spacing w:after="0"/>
              <w:rPr>
                <w:sz w:val="11"/>
                <w:szCs w:val="11"/>
                <w:color w:val="auto"/>
              </w:rPr>
            </w:pPr>
          </w:p>
        </w:tc>
      </w:tr>
      <w:tr>
        <w:trPr>
          <w:trHeight w:val="270"/>
        </w:trPr>
        <w:tc>
          <w:tcPr>
            <w:tcW w:w="1400" w:type="dxa"/>
            <w:vAlign w:val="bottom"/>
          </w:tcPr>
          <w:p>
            <w:pPr>
              <w:spacing w:after="0"/>
              <w:rPr>
                <w:sz w:val="23"/>
                <w:szCs w:val="23"/>
                <w:color w:val="auto"/>
              </w:rPr>
            </w:pPr>
          </w:p>
        </w:tc>
        <w:tc>
          <w:tcPr>
            <w:tcW w:w="5620" w:type="dxa"/>
            <w:vAlign w:val="bottom"/>
          </w:tcPr>
          <w:p>
            <w:pPr>
              <w:ind w:left="1260"/>
              <w:spacing w:after="0"/>
              <w:rPr>
                <w:sz w:val="20"/>
                <w:szCs w:val="20"/>
                <w:color w:val="auto"/>
              </w:rPr>
            </w:pPr>
            <w:r>
              <w:rPr>
                <w:rFonts w:ascii="Courier New" w:cs="Courier New" w:eastAsia="Courier New" w:hAnsi="Courier New"/>
                <w:sz w:val="12"/>
                <w:szCs w:val="12"/>
                <w:color w:val="auto"/>
              </w:rPr>
              <w:t>(i)</w:t>
            </w:r>
          </w:p>
        </w:tc>
        <w:tc>
          <w:tcPr>
            <w:tcW w:w="280" w:type="dxa"/>
            <w:vAlign w:val="bottom"/>
          </w:tcPr>
          <w:p>
            <w:pPr>
              <w:spacing w:after="0"/>
              <w:rPr>
                <w:sz w:val="23"/>
                <w:szCs w:val="23"/>
                <w:color w:val="auto"/>
              </w:rPr>
            </w:pPr>
          </w:p>
        </w:tc>
      </w:tr>
      <w:tr>
        <w:trPr>
          <w:trHeight w:val="522"/>
        </w:trPr>
        <w:tc>
          <w:tcPr>
            <w:tcW w:w="1400" w:type="dxa"/>
            <w:vAlign w:val="bottom"/>
          </w:tcPr>
          <w:p>
            <w:pPr>
              <w:spacing w:after="0"/>
              <w:rPr>
                <w:sz w:val="24"/>
                <w:szCs w:val="24"/>
                <w:color w:val="auto"/>
              </w:rPr>
            </w:pPr>
          </w:p>
        </w:tc>
        <w:tc>
          <w:tcPr>
            <w:tcW w:w="5620" w:type="dxa"/>
            <w:vAlign w:val="bottom"/>
          </w:tcPr>
          <w:p>
            <w:pPr>
              <w:ind w:left="1900"/>
              <w:spacing w:after="0"/>
              <w:rPr>
                <w:sz w:val="20"/>
                <w:szCs w:val="20"/>
                <w:color w:val="auto"/>
              </w:rPr>
            </w:pPr>
            <w:r>
              <w:rPr>
                <w:rFonts w:ascii="Courier New" w:cs="Courier New" w:eastAsia="Courier New" w:hAnsi="Courier New"/>
                <w:sz w:val="12"/>
                <w:szCs w:val="12"/>
                <w:color w:val="auto"/>
              </w:rPr>
              <w:t>TABLE OF CONTENTS</w:t>
            </w:r>
          </w:p>
        </w:tc>
        <w:tc>
          <w:tcPr>
            <w:tcW w:w="280" w:type="dxa"/>
            <w:vAlign w:val="bottom"/>
          </w:tcPr>
          <w:p>
            <w:pPr>
              <w:spacing w:after="0"/>
              <w:rPr>
                <w:sz w:val="24"/>
                <w:szCs w:val="24"/>
                <w:color w:val="auto"/>
              </w:rPr>
            </w:pPr>
          </w:p>
        </w:tc>
      </w:tr>
      <w:tr>
        <w:trPr>
          <w:trHeight w:val="270"/>
        </w:trPr>
        <w:tc>
          <w:tcPr>
            <w:tcW w:w="1400" w:type="dxa"/>
            <w:vAlign w:val="bottom"/>
          </w:tcPr>
          <w:p>
            <w:pPr>
              <w:spacing w:after="0"/>
              <w:rPr>
                <w:sz w:val="20"/>
                <w:szCs w:val="20"/>
                <w:color w:val="auto"/>
              </w:rPr>
            </w:pPr>
            <w:r>
              <w:rPr>
                <w:rFonts w:ascii="Courier New" w:cs="Courier New" w:eastAsia="Courier New" w:hAnsi="Courier New"/>
                <w:sz w:val="12"/>
                <w:szCs w:val="12"/>
                <w:color w:val="auto"/>
              </w:rPr>
              <w:t>PART I</w:t>
            </w:r>
          </w:p>
        </w:tc>
        <w:tc>
          <w:tcPr>
            <w:tcW w:w="56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IDENTITY OF DIRECTORS, SENIOR MANAGEMENT AND ADVISORS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2.</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OFFER STATISTICS AND EXPECTED TIMETABLE</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3.</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KEY INFORMATION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4.</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INFORMATION ON THE COMPANY</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19</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4A.</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UNRESOLVED STAFF COMMENTS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33</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5.</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OPERATING AND FINANCIAL REVIEW AND PROSPECTS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33</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6.</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DIRECTORS, SENIOR MANAGEMENT AND EMPLOYEES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53</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7.</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MAJOR SHAREHOLDERS AND RELATED PARTY TRANSACTIONS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63</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8.</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FINANCIAL INFORMATION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65</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9.</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THE OFFER AND LISTING</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65</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10.</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ADDITIONAL INFORMATION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66</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11.</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QUANTITATIVE AND QUALITATIVE DISCLOSURES ABOUT MARKET RISK</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12.</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DESCRIPTION OF SECURITIES OTHER THAN EQUITY SECURITIES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78</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13.</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DEFAULTS, DIVIDEND ARREARAGES AND DELINQUENCIES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14.</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w w:val="99"/>
              </w:rPr>
              <w:t>MATERIAL MODIFICATIONS TO THE RIGHTS OF SECURITY HOLDERS AND USE OF PROCEEDS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15.</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CONTROLS AND PROCEDURES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16.</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[RESERVED]</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16A.</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AUDIT COMMITTEE FINANCIAL EXPERT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16B.</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CODE OF ETHICS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79</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16C.</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PRINCIPAL ACCOUNTANT FEES AND SERVICES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80</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16D.</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EXEMPTIONS FROM THE LISTING STANDARDS FOR AUDIT COMMITTEES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80</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16E.</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PURCHASES OF EQUITY SECURITIES BY THE ISSUER AND AFFILIATED PURCHASERS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80</w:t>
            </w:r>
          </w:p>
        </w:tc>
      </w:tr>
      <w:tr>
        <w:trPr>
          <w:trHeight w:val="405"/>
        </w:trPr>
        <w:tc>
          <w:tcPr>
            <w:tcW w:w="1400" w:type="dxa"/>
            <w:vAlign w:val="bottom"/>
          </w:tcPr>
          <w:p>
            <w:pPr>
              <w:spacing w:after="0"/>
              <w:rPr>
                <w:sz w:val="20"/>
                <w:szCs w:val="20"/>
                <w:color w:val="auto"/>
              </w:rPr>
            </w:pPr>
            <w:r>
              <w:rPr>
                <w:rFonts w:ascii="Courier New" w:cs="Courier New" w:eastAsia="Courier New" w:hAnsi="Courier New"/>
                <w:sz w:val="12"/>
                <w:szCs w:val="12"/>
                <w:color w:val="auto"/>
              </w:rPr>
              <w:t>PART III</w:t>
            </w:r>
          </w:p>
        </w:tc>
        <w:tc>
          <w:tcPr>
            <w:tcW w:w="56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80</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17.</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FINANCIAL STATEMENTS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80</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18.</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FINANCIAL STATEMENTS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80</w:t>
            </w:r>
          </w:p>
        </w:tc>
      </w:tr>
      <w:tr>
        <w:trPr>
          <w:trHeight w:val="270"/>
        </w:trPr>
        <w:tc>
          <w:tcPr>
            <w:tcW w:w="1400" w:type="dxa"/>
            <w:vAlign w:val="bottom"/>
          </w:tcPr>
          <w:p>
            <w:pPr>
              <w:ind w:left="620"/>
              <w:spacing w:after="0"/>
              <w:rPr>
                <w:sz w:val="20"/>
                <w:szCs w:val="20"/>
                <w:color w:val="auto"/>
              </w:rPr>
            </w:pPr>
            <w:r>
              <w:rPr>
                <w:rFonts w:ascii="Courier New" w:cs="Courier New" w:eastAsia="Courier New" w:hAnsi="Courier New"/>
                <w:sz w:val="12"/>
                <w:szCs w:val="12"/>
                <w:color w:val="auto"/>
              </w:rPr>
              <w:t>ITEM 19.</w:t>
            </w:r>
          </w:p>
        </w:tc>
        <w:tc>
          <w:tcPr>
            <w:tcW w:w="5620" w:type="dxa"/>
            <w:vAlign w:val="bottom"/>
          </w:tcPr>
          <w:p>
            <w:pPr>
              <w:ind w:left="140"/>
              <w:spacing w:after="0"/>
              <w:rPr>
                <w:sz w:val="20"/>
                <w:szCs w:val="20"/>
                <w:color w:val="auto"/>
              </w:rPr>
            </w:pPr>
            <w:r>
              <w:rPr>
                <w:rFonts w:ascii="Courier New" w:cs="Courier New" w:eastAsia="Courier New" w:hAnsi="Courier New"/>
                <w:sz w:val="12"/>
                <w:szCs w:val="12"/>
                <w:color w:val="auto"/>
              </w:rPr>
              <w:t>EXHIBITS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81</w:t>
            </w:r>
          </w:p>
        </w:tc>
      </w:tr>
      <w:tr>
        <w:trPr>
          <w:trHeight w:val="270"/>
        </w:trPr>
        <w:tc>
          <w:tcPr>
            <w:tcW w:w="1400" w:type="dxa"/>
            <w:vAlign w:val="bottom"/>
          </w:tcPr>
          <w:p>
            <w:pPr>
              <w:spacing w:after="0"/>
              <w:rPr>
                <w:sz w:val="23"/>
                <w:szCs w:val="23"/>
                <w:color w:val="auto"/>
              </w:rPr>
            </w:pPr>
          </w:p>
        </w:tc>
        <w:tc>
          <w:tcPr>
            <w:tcW w:w="5620" w:type="dxa"/>
            <w:vAlign w:val="bottom"/>
          </w:tcPr>
          <w:p>
            <w:pPr>
              <w:ind w:left="1260"/>
              <w:spacing w:after="0"/>
              <w:rPr>
                <w:sz w:val="20"/>
                <w:szCs w:val="20"/>
                <w:color w:val="auto"/>
              </w:rPr>
            </w:pPr>
            <w:r>
              <w:rPr>
                <w:rFonts w:ascii="Courier New" w:cs="Courier New" w:eastAsia="Courier New" w:hAnsi="Courier New"/>
                <w:sz w:val="12"/>
                <w:szCs w:val="12"/>
                <w:color w:val="auto"/>
              </w:rPr>
              <w:t>(ii)</w:t>
            </w:r>
          </w:p>
        </w:tc>
        <w:tc>
          <w:tcPr>
            <w:tcW w:w="280" w:type="dxa"/>
            <w:vAlign w:val="bottom"/>
          </w:tcPr>
          <w:p>
            <w:pPr>
              <w:spacing w:after="0"/>
              <w:rPr>
                <w:sz w:val="23"/>
                <w:szCs w:val="23"/>
                <w:color w:val="auto"/>
              </w:rPr>
            </w:pPr>
          </w:p>
        </w:tc>
      </w:tr>
    </w:tbl>
    <w:p>
      <w:pPr>
        <w:spacing w:after="0" w:line="200" w:lineRule="exact"/>
        <w:rPr>
          <w:sz w:val="20"/>
          <w:szCs w:val="20"/>
          <w:color w:val="auto"/>
        </w:rPr>
      </w:pPr>
    </w:p>
    <w:p>
      <w:pPr>
        <w:spacing w:after="0" w:line="32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PART I</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 IDENTITY OF DIRECTORS, SENIOR MANAGEMENT AND ADVISORS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2. OFFER STATISTICS AND EXPECTED TIMETABLE</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3. KEY INFORMATION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SELECTED FINANCIAL DATA</w:t>
      </w:r>
    </w:p>
    <w:p>
      <w:pPr>
        <w:spacing w:after="0" w:line="139"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This section presents our selected historical financial data. You should carefully read the financial statements included in this annual report, including the notes to the financial statements. The selected data in this section is not intended to replace the financial statements.</w:t>
      </w:r>
    </w:p>
    <w:p>
      <w:pPr>
        <w:spacing w:after="0" w:line="14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derived the selected statement of operations data and other financial data for the years ended December 31, 2006, 2005 and 2004, and selected balance sheet data as of December 31, 2006 and 2005 from the audited financial statements in this annual report. Those financial statements were prepared in accordance with Israeli GAAP and audited by Brightman Almagor &amp; Co., a member firm of Deloitte Touche Tohmatsu, independent registered public accounting firm. We derived the selected statement of operations data and other financial data for the years ended December 31, 2003 and 2002 and the selected balance sheet data as of December 31, 2004, 2003 and 2002 from our audited financial statements that are not included in this annual report, which were prepared in accordance with Israeli GAAP. The differences between statements of operations and balance sheet data in accordance with US GAAP and the respective data in accordance with Israeli GAAP are presented below. See also note 19 to our audited financial statements in this annual report. Our management believes that the financial statements contain all adjustments needed to present fairly the information included therein.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960" w:type="dxa"/>
            <w:vAlign w:val="bottom"/>
            <w:gridSpan w:val="3"/>
          </w:tcPr>
          <w:p>
            <w:pPr>
              <w:jc w:val="center"/>
              <w:spacing w:after="0"/>
              <w:rPr>
                <w:sz w:val="20"/>
                <w:szCs w:val="20"/>
                <w:color w:val="auto"/>
              </w:rPr>
            </w:pPr>
            <w:r>
              <w:rPr>
                <w:rFonts w:ascii="Courier New" w:cs="Courier New" w:eastAsia="Courier New" w:hAnsi="Courier New"/>
                <w:sz w:val="12"/>
                <w:szCs w:val="12"/>
                <w:color w:val="auto"/>
                <w:w w:val="97"/>
              </w:rPr>
              <w:t>YEAR ENDED DECEMBER 31,</w:t>
            </w:r>
          </w:p>
        </w:tc>
        <w:tc>
          <w:tcPr>
            <w:tcW w:w="8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49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520" w:type="dxa"/>
            <w:vAlign w:val="bottom"/>
          </w:tcPr>
          <w:p>
            <w:pPr>
              <w:spacing w:after="0"/>
              <w:rPr>
                <w:sz w:val="11"/>
                <w:szCs w:val="11"/>
                <w:color w:val="auto"/>
              </w:rPr>
            </w:pPr>
          </w:p>
        </w:tc>
        <w:tc>
          <w:tcPr>
            <w:tcW w:w="11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2006</w:t>
            </w:r>
          </w:p>
        </w:tc>
        <w:tc>
          <w:tcPr>
            <w:tcW w:w="9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2005</w:t>
            </w: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2004</w:t>
            </w:r>
          </w:p>
        </w:tc>
        <w:tc>
          <w:tcPr>
            <w:tcW w:w="10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2003</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2002</w:t>
            </w:r>
          </w:p>
        </w:tc>
      </w:tr>
      <w:tr>
        <w:trPr>
          <w:trHeight w:val="135"/>
        </w:trPr>
        <w:tc>
          <w:tcPr>
            <w:tcW w:w="2520" w:type="dxa"/>
            <w:vAlign w:val="bottom"/>
          </w:tcPr>
          <w:p>
            <w:pPr>
              <w:spacing w:after="0"/>
              <w:rPr>
                <w:sz w:val="11"/>
                <w:szCs w:val="11"/>
                <w:color w:val="auto"/>
              </w:rPr>
            </w:pPr>
          </w:p>
        </w:tc>
        <w:tc>
          <w:tcPr>
            <w:tcW w:w="11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2"/>
                <w:szCs w:val="12"/>
                <w:color w:val="auto"/>
                <w:w w:val="98"/>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960" w:type="dxa"/>
            <w:vAlign w:val="bottom"/>
            <w:gridSpan w:val="3"/>
          </w:tcPr>
          <w:p>
            <w:pPr>
              <w:jc w:val="center"/>
              <w:spacing w:after="0"/>
              <w:rPr>
                <w:sz w:val="20"/>
                <w:szCs w:val="20"/>
                <w:color w:val="auto"/>
              </w:rPr>
            </w:pPr>
            <w:r>
              <w:rPr>
                <w:rFonts w:ascii="Courier New" w:cs="Courier New" w:eastAsia="Courier New" w:hAnsi="Courier New"/>
                <w:sz w:val="12"/>
                <w:szCs w:val="12"/>
                <w:color w:val="auto"/>
                <w:w w:val="97"/>
              </w:rPr>
              <w:t>(IN THOUSANDS, EXCEPT PER SHARE DATA)</w:t>
            </w:r>
          </w:p>
        </w:tc>
        <w:tc>
          <w:tcPr>
            <w:tcW w:w="800" w:type="dxa"/>
            <w:vAlign w:val="bottom"/>
          </w:tcPr>
          <w:p>
            <w:pPr>
              <w:spacing w:after="0"/>
              <w:rPr>
                <w:sz w:val="11"/>
                <w:szCs w:val="11"/>
                <w:color w:val="auto"/>
              </w:rPr>
            </w:pPr>
          </w:p>
        </w:tc>
      </w:tr>
      <w:tr>
        <w:trPr>
          <w:trHeight w:val="270"/>
        </w:trPr>
        <w:tc>
          <w:tcPr>
            <w:tcW w:w="2520" w:type="dxa"/>
            <w:vAlign w:val="bottom"/>
          </w:tcPr>
          <w:p>
            <w:pPr>
              <w:spacing w:after="0"/>
              <w:rPr>
                <w:sz w:val="20"/>
                <w:szCs w:val="20"/>
                <w:color w:val="auto"/>
              </w:rPr>
            </w:pPr>
            <w:r>
              <w:rPr>
                <w:rFonts w:ascii="Courier New" w:cs="Courier New" w:eastAsia="Courier New" w:hAnsi="Courier New"/>
                <w:sz w:val="12"/>
                <w:szCs w:val="12"/>
                <w:color w:val="auto"/>
              </w:rPr>
              <w:t>STATEMENT OF OPERATIONS DATA IN</w:t>
            </w:r>
          </w:p>
        </w:tc>
        <w:tc>
          <w:tcPr>
            <w:tcW w:w="1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2520" w:type="dxa"/>
            <w:vAlign w:val="bottom"/>
          </w:tcPr>
          <w:p>
            <w:pPr>
              <w:spacing w:after="0"/>
              <w:rPr>
                <w:sz w:val="20"/>
                <w:szCs w:val="20"/>
                <w:color w:val="auto"/>
              </w:rPr>
            </w:pPr>
            <w:r>
              <w:rPr>
                <w:rFonts w:ascii="Courier New" w:cs="Courier New" w:eastAsia="Courier New" w:hAnsi="Courier New"/>
                <w:sz w:val="12"/>
                <w:szCs w:val="12"/>
                <w:color w:val="auto"/>
              </w:rPr>
              <w:t>ACCORDANCE WITH ISRAELI GAAP:</w:t>
            </w:r>
          </w:p>
        </w:tc>
        <w:tc>
          <w:tcPr>
            <w:tcW w:w="1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70"/>
        </w:trPr>
        <w:tc>
          <w:tcPr>
            <w:tcW w:w="252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11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$ 187,438</w:t>
            </w: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$ 101,991</w:t>
            </w:r>
          </w:p>
        </w:tc>
        <w:tc>
          <w:tcPr>
            <w:tcW w:w="980" w:type="dxa"/>
            <w:vAlign w:val="bottom"/>
          </w:tcPr>
          <w:p>
            <w:pPr>
              <w:jc w:val="center"/>
              <w:spacing w:after="0"/>
              <w:rPr>
                <w:sz w:val="20"/>
                <w:szCs w:val="20"/>
                <w:color w:val="auto"/>
              </w:rPr>
            </w:pPr>
            <w:r>
              <w:rPr>
                <w:rFonts w:ascii="Courier New" w:cs="Courier New" w:eastAsia="Courier New" w:hAnsi="Courier New"/>
                <w:sz w:val="12"/>
                <w:szCs w:val="12"/>
                <w:color w:val="auto"/>
                <w:w w:val="98"/>
              </w:rPr>
              <w:t>$ 126,055</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61,368</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  51,801</w:t>
            </w:r>
          </w:p>
        </w:tc>
      </w:tr>
    </w:tbl>
    <w:p>
      <w:pPr>
        <w:sectPr>
          <w:pgSz w:w="11900" w:h="16902" w:orient="portrait"/>
          <w:cols w:equalWidth="0" w:num="1">
            <w:col w:w="10239"/>
          </w:cols>
          <w:pgMar w:left="220" w:top="272" w:right="1440" w:bottom="0" w:gutter="0" w:footer="0" w:header="0"/>
        </w:sectPr>
      </w:pPr>
    </w:p>
    <w:bookmarkStart w:id="2" w:name="page3"/>
    <w:bookmarkEnd w:id="2"/>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60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267,390</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238,358</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228,410</w:t>
            </w:r>
          </w:p>
        </w:tc>
        <w:tc>
          <w:tcPr>
            <w:tcW w:w="12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122,395</w:t>
            </w:r>
          </w:p>
        </w:tc>
        <w:tc>
          <w:tcPr>
            <w:tcW w:w="22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2"/>
              </w:rPr>
              <w:t>67,022</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11"/>
                <w:szCs w:val="11"/>
                <w:color w:val="auto"/>
              </w:rPr>
            </w:pP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2"/>
              </w:rPr>
              <w:t>---------</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5"/>
              </w:rPr>
              <w:t>---------</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12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(79,952)</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(136,367)</w:t>
            </w:r>
          </w:p>
        </w:tc>
        <w:tc>
          <w:tcPr>
            <w:tcW w:w="9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(102,355)</w:t>
            </w:r>
          </w:p>
        </w:tc>
        <w:tc>
          <w:tcPr>
            <w:tcW w:w="1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(61,027)</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(15,221)</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Research and development</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14,984</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16,029</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17,053</w:t>
            </w:r>
          </w:p>
        </w:tc>
        <w:tc>
          <w:tcPr>
            <w:tcW w:w="12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20,709</w:t>
            </w:r>
          </w:p>
        </w:tc>
        <w:tc>
          <w:tcPr>
            <w:tcW w:w="22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2"/>
              </w:rPr>
              <w:t>17,031</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w w:val="96"/>
              </w:rPr>
              <w:t>Marketing, general and administrative</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24,512</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17,418</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21,297</w:t>
            </w:r>
          </w:p>
        </w:tc>
        <w:tc>
          <w:tcPr>
            <w:tcW w:w="12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22,615</w:t>
            </w:r>
          </w:p>
        </w:tc>
        <w:tc>
          <w:tcPr>
            <w:tcW w:w="22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2"/>
              </w:rPr>
              <w:t>17,091</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11"/>
                <w:szCs w:val="11"/>
                <w:color w:val="auto"/>
              </w:rPr>
            </w:pP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2"/>
              </w:rPr>
              <w:t>---------</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5"/>
              </w:rPr>
              <w:t>---------</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12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(119,448)</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(169,814)</w:t>
            </w:r>
          </w:p>
        </w:tc>
        <w:tc>
          <w:tcPr>
            <w:tcW w:w="9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(140,705)</w:t>
            </w:r>
          </w:p>
        </w:tc>
        <w:tc>
          <w:tcPr>
            <w:tcW w:w="1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2"/>
              </w:rPr>
              <w:t>(104,351)</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(49,343)</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2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(48,148)</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(35,651)</w:t>
            </w:r>
          </w:p>
        </w:tc>
        <w:tc>
          <w:tcPr>
            <w:tcW w:w="9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(29,745)</w:t>
            </w:r>
          </w:p>
        </w:tc>
        <w:tc>
          <w:tcPr>
            <w:tcW w:w="1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(9,826)</w:t>
            </w:r>
          </w:p>
        </w:tc>
        <w:tc>
          <w:tcPr>
            <w:tcW w:w="22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1"/>
              </w:rPr>
              <w:t>(2,104)</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80,071</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11"/>
                <w:szCs w:val="11"/>
                <w:color w:val="auto"/>
              </w:rPr>
            </w:pP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2"/>
              </w:rPr>
              <w:t>---------</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5"/>
              </w:rPr>
              <w:t>---------</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Other income (expense), net</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597</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2,383</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32,682</w:t>
            </w:r>
          </w:p>
        </w:tc>
        <w:tc>
          <w:tcPr>
            <w:tcW w:w="1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(84)</w:t>
            </w:r>
          </w:p>
        </w:tc>
        <w:tc>
          <w:tcPr>
            <w:tcW w:w="22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45</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11"/>
                <w:szCs w:val="11"/>
                <w:color w:val="auto"/>
              </w:rPr>
            </w:pP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2"/>
              </w:rPr>
              <w:t>---------</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5"/>
              </w:rPr>
              <w:t>---------</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2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(86,928)</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4"/>
              </w:rPr>
              <w:t>$(203,082)</w:t>
            </w:r>
          </w:p>
        </w:tc>
        <w:tc>
          <w:tcPr>
            <w:tcW w:w="9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9"/>
              </w:rPr>
              <w:t>$(137,768)</w:t>
            </w:r>
          </w:p>
        </w:tc>
        <w:tc>
          <w:tcPr>
            <w:tcW w:w="10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9"/>
              </w:rPr>
              <w:t>$(114,261)</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4"/>
              </w:rPr>
              <w:t>$ (51,402)</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11"/>
                <w:szCs w:val="11"/>
                <w:color w:val="auto"/>
              </w:rPr>
            </w:pP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2"/>
              </w:rPr>
              <w:t>=========</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5"/>
              </w:rPr>
              <w:t>=========</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Basic loss per ordinary share</w:t>
            </w:r>
          </w:p>
        </w:tc>
        <w:tc>
          <w:tcPr>
            <w:tcW w:w="12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(1.05)</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4"/>
              </w:rPr>
              <w:t>$   (3.06)</w:t>
            </w:r>
          </w:p>
        </w:tc>
        <w:tc>
          <w:tcPr>
            <w:tcW w:w="3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2"/>
              </w:rPr>
              <w:t>(2.13)</w:t>
            </w:r>
          </w:p>
        </w:tc>
        <w:tc>
          <w:tcPr>
            <w:tcW w:w="120" w:type="dxa"/>
            <w:vAlign w:val="bottom"/>
          </w:tcPr>
          <w:p>
            <w:pPr>
              <w:ind w:left="40"/>
              <w:spacing w:after="0"/>
              <w:rPr>
                <w:sz w:val="20"/>
                <w:szCs w:val="20"/>
                <w:color w:val="auto"/>
              </w:rPr>
            </w:pPr>
            <w:r>
              <w:rPr>
                <w:rFonts w:ascii="Courier New" w:cs="Courier New" w:eastAsia="Courier New" w:hAnsi="Courier New"/>
                <w:sz w:val="12"/>
                <w:szCs w:val="12"/>
                <w:color w:val="auto"/>
                <w:w w:val="82"/>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(2.45)</w:t>
            </w:r>
          </w:p>
        </w:tc>
        <w:tc>
          <w:tcPr>
            <w:tcW w:w="2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(1.63)</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11"/>
                <w:szCs w:val="11"/>
                <w:color w:val="auto"/>
              </w:rPr>
            </w:pP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2"/>
              </w:rPr>
              <w:t>=========</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5"/>
              </w:rPr>
              <w:t>=========</w:t>
            </w: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OTHER FINANCIAL DATA:</w:t>
            </w: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Depreciation and amortization</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$ 154,794</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2"/>
              </w:rPr>
              <w:t>$ 144,852</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$ 121,067</w:t>
            </w:r>
          </w:p>
        </w:tc>
        <w:tc>
          <w:tcPr>
            <w:tcW w:w="120" w:type="dxa"/>
            <w:vAlign w:val="bottom"/>
          </w:tcPr>
          <w:p>
            <w:pPr>
              <w:ind w:left="40"/>
              <w:spacing w:after="0"/>
              <w:rPr>
                <w:sz w:val="20"/>
                <w:szCs w:val="20"/>
                <w:color w:val="auto"/>
              </w:rPr>
            </w:pPr>
            <w:r>
              <w:rPr>
                <w:rFonts w:ascii="Courier New" w:cs="Courier New" w:eastAsia="Courier New" w:hAnsi="Courier New"/>
                <w:sz w:val="12"/>
                <w:szCs w:val="12"/>
                <w:color w:val="auto"/>
                <w:w w:val="82"/>
              </w:rPr>
              <w:t>$</w:t>
            </w: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54,611</w:t>
            </w:r>
          </w:p>
        </w:tc>
        <w:tc>
          <w:tcPr>
            <w:tcW w:w="2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2"/>
              </w:rPr>
              <w:t>18,821</w:t>
            </w:r>
          </w:p>
        </w:tc>
        <w:tc>
          <w:tcPr>
            <w:tcW w:w="780" w:type="dxa"/>
            <w:vAlign w:val="bottom"/>
          </w:tcPr>
          <w:p>
            <w:pPr>
              <w:spacing w:after="0"/>
              <w:rPr>
                <w:sz w:val="11"/>
                <w:szCs w:val="11"/>
                <w:color w:val="auto"/>
              </w:rPr>
            </w:pPr>
          </w:p>
        </w:tc>
      </w:tr>
      <w:tr>
        <w:trPr>
          <w:trHeight w:val="405"/>
        </w:trPr>
        <w:tc>
          <w:tcPr>
            <w:tcW w:w="2600" w:type="dxa"/>
            <w:vAlign w:val="bottom"/>
          </w:tcPr>
          <w:p>
            <w:pPr>
              <w:spacing w:after="0"/>
              <w:rPr>
                <w:sz w:val="24"/>
                <w:szCs w:val="24"/>
                <w:color w:val="auto"/>
              </w:rPr>
            </w:pPr>
          </w:p>
        </w:tc>
        <w:tc>
          <w:tcPr>
            <w:tcW w:w="1260" w:type="dxa"/>
            <w:vAlign w:val="bottom"/>
          </w:tcPr>
          <w:p>
            <w:pPr>
              <w:jc w:val="right"/>
              <w:ind w:right="861"/>
              <w:spacing w:after="0"/>
              <w:rPr>
                <w:sz w:val="20"/>
                <w:szCs w:val="20"/>
                <w:color w:val="auto"/>
              </w:rPr>
            </w:pPr>
            <w:r>
              <w:rPr>
                <w:rFonts w:ascii="Courier New" w:cs="Courier New" w:eastAsia="Courier New" w:hAnsi="Courier New"/>
                <w:sz w:val="12"/>
                <w:szCs w:val="12"/>
                <w:color w:val="auto"/>
                <w:w w:val="88"/>
              </w:rPr>
              <w:t>- 2 -</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58"/>
        </w:trPr>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5"/>
          </w:tcPr>
          <w:p>
            <w:pPr>
              <w:jc w:val="right"/>
              <w:ind w:right="441"/>
              <w:spacing w:after="0"/>
              <w:rPr>
                <w:sz w:val="20"/>
                <w:szCs w:val="20"/>
                <w:color w:val="auto"/>
              </w:rPr>
            </w:pPr>
            <w:r>
              <w:rPr>
                <w:rFonts w:ascii="Courier New" w:cs="Courier New" w:eastAsia="Courier New" w:hAnsi="Courier New"/>
                <w:sz w:val="12"/>
                <w:szCs w:val="12"/>
                <w:color w:val="auto"/>
              </w:rPr>
              <w:t>YEAR ENDED DECEMBER 31,</w:t>
            </w:r>
          </w:p>
        </w:tc>
        <w:tc>
          <w:tcPr>
            <w:tcW w:w="780" w:type="dxa"/>
            <w:vAlign w:val="bottom"/>
          </w:tcPr>
          <w:p>
            <w:pPr>
              <w:spacing w:after="0"/>
              <w:rPr>
                <w:sz w:val="24"/>
                <w:szCs w:val="24"/>
                <w:color w:val="auto"/>
              </w:rPr>
            </w:pPr>
          </w:p>
        </w:tc>
      </w:tr>
      <w:tr>
        <w:trPr>
          <w:trHeight w:val="135"/>
        </w:trPr>
        <w:tc>
          <w:tcPr>
            <w:tcW w:w="2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64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2006</w:t>
            </w:r>
          </w:p>
        </w:tc>
        <w:tc>
          <w:tcPr>
            <w:tcW w:w="32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2005</w:t>
            </w:r>
          </w:p>
        </w:tc>
        <w:tc>
          <w:tcPr>
            <w:tcW w:w="1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2004</w:t>
            </w:r>
          </w:p>
        </w:tc>
        <w:tc>
          <w:tcPr>
            <w:tcW w:w="22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2003</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2002</w:t>
            </w:r>
          </w:p>
        </w:tc>
      </w:tr>
      <w:tr>
        <w:trPr>
          <w:trHeight w:val="135"/>
        </w:trPr>
        <w:tc>
          <w:tcPr>
            <w:tcW w:w="2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5"/>
              </w:rPr>
              <w:t>(IN THOUSANDS)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70"/>
        </w:trPr>
        <w:tc>
          <w:tcPr>
            <w:tcW w:w="2600" w:type="dxa"/>
            <w:vAlign w:val="bottom"/>
          </w:tcPr>
          <w:p>
            <w:pPr>
              <w:spacing w:after="0"/>
              <w:rPr>
                <w:sz w:val="20"/>
                <w:szCs w:val="20"/>
                <w:color w:val="auto"/>
              </w:rPr>
            </w:pPr>
            <w:r>
              <w:rPr>
                <w:rFonts w:ascii="Courier New" w:cs="Courier New" w:eastAsia="Courier New" w:hAnsi="Courier New"/>
                <w:sz w:val="12"/>
                <w:szCs w:val="12"/>
                <w:color w:val="auto"/>
              </w:rPr>
              <w:t>SELECTED BALANCE SHEET DATA IN</w:t>
            </w:r>
          </w:p>
        </w:tc>
        <w:tc>
          <w:tcPr>
            <w:tcW w:w="1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ACCORDANCE WITH ISRAELI GAAP:</w:t>
            </w: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Cash and cash equivalents, including short-term</w:t>
            </w: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8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interest-bearing deposits and designated cash</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  40,940</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38,998</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81,457</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56,490</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69,695</w:t>
            </w: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Working capital</w:t>
            </w:r>
          </w:p>
        </w:tc>
        <w:tc>
          <w:tcPr>
            <w:tcW w:w="1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36,581</w:t>
            </w: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(6,028)</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63,591</w:t>
            </w: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50,492</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21,927</w:t>
            </w: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1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699,718</w:t>
            </w: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678,686</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847,508</w:t>
            </w: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788,335</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716,261</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Current maturities of long-term debt and other</w:t>
            </w: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600" w:type="dxa"/>
            <w:vAlign w:val="bottom"/>
          </w:tcPr>
          <w:p>
            <w:pPr>
              <w:ind w:left="200"/>
              <w:spacing w:after="0"/>
              <w:rPr>
                <w:sz w:val="20"/>
                <w:szCs w:val="20"/>
                <w:color w:val="auto"/>
              </w:rPr>
            </w:pPr>
            <w:r>
              <w:rPr>
                <w:rFonts w:ascii="Courier New" w:cs="Courier New" w:eastAsia="Courier New" w:hAnsi="Courier New"/>
                <w:sz w:val="12"/>
                <w:szCs w:val="12"/>
                <w:color w:val="auto"/>
              </w:rPr>
              <w:t>short-term debt</w:t>
            </w:r>
          </w:p>
        </w:tc>
        <w:tc>
          <w:tcPr>
            <w:tcW w:w="1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21,103</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4,000</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6,632</w:t>
            </w: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6,453</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Long-term debt from banks</w:t>
            </w:r>
          </w:p>
        </w:tc>
        <w:tc>
          <w:tcPr>
            <w:tcW w:w="1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356,947</w:t>
            </w: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497,000</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497,000</w:t>
            </w: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431,000</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253,000</w:t>
            </w: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Convertible debentures</w:t>
            </w:r>
          </w:p>
        </w:tc>
        <w:tc>
          <w:tcPr>
            <w:tcW w:w="1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62,175</w:t>
            </w: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44,851</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26,651</w:t>
            </w: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25,783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24,121</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w w:val="96"/>
              </w:rPr>
              <w:t>Long-term liabilities in respect of customers' advances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46,042</w:t>
            </w: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59,621</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64,428</w:t>
            </w: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46,347</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47,246</w:t>
            </w: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Shareholders' equity (deficit)</w:t>
            </w:r>
          </w:p>
        </w:tc>
        <w:tc>
          <w:tcPr>
            <w:tcW w:w="1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132,990</w:t>
            </w: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(30,067)</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167,980</w:t>
            </w: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229,457</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298,334</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w w:val="98"/>
              </w:rPr>
              <w:t>Weighted average number of ordinary shares outstanding</w:t>
            </w: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600" w:type="dxa"/>
            <w:vAlign w:val="bottom"/>
          </w:tcPr>
          <w:p>
            <w:pPr>
              <w:ind w:left="200"/>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82,581</w:t>
            </w: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66,371</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64,717</w:t>
            </w: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46,710</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31,523</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Number of shares issued and outstanding (*)</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100,752</w:t>
            </w: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66,932</w:t>
            </w:r>
          </w:p>
        </w:tc>
        <w:tc>
          <w:tcPr>
            <w:tcW w:w="120" w:type="dxa"/>
            <w:vAlign w:val="bottom"/>
          </w:tcPr>
          <w:p>
            <w:pPr>
              <w:spacing w:after="0"/>
              <w:rPr>
                <w:sz w:val="11"/>
                <w:szCs w:val="11"/>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65,700</w:t>
            </w: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51,696</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43,436</w:t>
            </w:r>
          </w:p>
        </w:tc>
      </w:tr>
    </w:tbl>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 ---------------------------------</w:t>
      </w:r>
    </w:p>
    <w:p>
      <w:pPr>
        <w:spacing w:after="0" w:line="134" w:lineRule="exact"/>
        <w:rPr>
          <w:sz w:val="20"/>
          <w:szCs w:val="20"/>
          <w:color w:val="auto"/>
        </w:rPr>
      </w:pPr>
    </w:p>
    <w:p>
      <w:pPr>
        <w:ind w:left="348" w:hanging="348"/>
        <w:spacing w:after="0"/>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1,300,000 treasury shares.</w:t>
      </w:r>
    </w:p>
    <w:p>
      <w:pPr>
        <w:spacing w:after="0" w:line="269"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3 -</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3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w w:val="96"/>
              </w:rPr>
              <w:t>AS OF DECEMBER 31</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3720" w:type="dxa"/>
            <w:vAlign w:val="bottom"/>
          </w:tcPr>
          <w:p>
            <w:pPr>
              <w:spacing w:after="0"/>
              <w:rPr>
                <w:sz w:val="11"/>
                <w:szCs w:val="11"/>
                <w:color w:val="auto"/>
              </w:rPr>
            </w:pPr>
          </w:p>
        </w:tc>
        <w:tc>
          <w:tcPr>
            <w:tcW w:w="4780" w:type="dxa"/>
            <w:vAlign w:val="bottom"/>
            <w:gridSpan w:val="5"/>
          </w:tcPr>
          <w:p>
            <w:pPr>
              <w:jc w:val="right"/>
              <w:ind w:right="21"/>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372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c>
          <w:tcPr>
            <w:tcW w:w="12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2004</w:t>
            </w:r>
          </w:p>
        </w:tc>
        <w:tc>
          <w:tcPr>
            <w:tcW w:w="8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2003</w:t>
            </w:r>
          </w:p>
        </w:tc>
        <w:tc>
          <w:tcPr>
            <w:tcW w:w="8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2002</w:t>
            </w:r>
          </w:p>
        </w:tc>
      </w:tr>
      <w:tr>
        <w:trPr>
          <w:trHeight w:val="135"/>
        </w:trPr>
        <w:tc>
          <w:tcPr>
            <w:tcW w:w="3720" w:type="dxa"/>
            <w:vAlign w:val="bottom"/>
          </w:tcPr>
          <w:p>
            <w:pPr>
              <w:spacing w:after="0"/>
              <w:rPr>
                <w:sz w:val="11"/>
                <w:szCs w:val="11"/>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8"/>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(IN THOUSANDS)</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70"/>
        </w:trPr>
        <w:tc>
          <w:tcPr>
            <w:tcW w:w="3720" w:type="dxa"/>
            <w:vAlign w:val="bottom"/>
          </w:tcPr>
          <w:p>
            <w:pPr>
              <w:spacing w:after="0"/>
              <w:rPr>
                <w:sz w:val="20"/>
                <w:szCs w:val="20"/>
                <w:color w:val="auto"/>
              </w:rPr>
            </w:pPr>
            <w:r>
              <w:rPr>
                <w:rFonts w:ascii="Courier New" w:cs="Courier New" w:eastAsia="Courier New" w:hAnsi="Courier New"/>
                <w:sz w:val="12"/>
                <w:szCs w:val="12"/>
                <w:color w:val="auto"/>
              </w:rPr>
              <w:t>RECONCILIATION TO US GAAP:</w:t>
            </w:r>
          </w:p>
        </w:tc>
        <w:tc>
          <w:tcPr>
            <w:tcW w:w="9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70"/>
        </w:trPr>
        <w:tc>
          <w:tcPr>
            <w:tcW w:w="3720" w:type="dxa"/>
            <w:vAlign w:val="bottom"/>
          </w:tcPr>
          <w:p>
            <w:pPr>
              <w:spacing w:after="0"/>
              <w:rPr>
                <w:sz w:val="20"/>
                <w:szCs w:val="20"/>
                <w:color w:val="auto"/>
              </w:rPr>
            </w:pPr>
            <w:r>
              <w:rPr>
                <w:rFonts w:ascii="Courier New" w:cs="Courier New" w:eastAsia="Courier New" w:hAnsi="Courier New"/>
                <w:sz w:val="12"/>
                <w:szCs w:val="12"/>
                <w:color w:val="auto"/>
              </w:rPr>
              <w:t>According to Israel GAAP</w:t>
            </w: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$ 699,718</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$ 678,686</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$ 847,508</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8"/>
              </w:rPr>
              <w:t>$ 788,335</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$ 716,261</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The effect of:</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Presentation of long-term liabilities in respect of</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3720" w:type="dxa"/>
            <w:vAlign w:val="bottom"/>
          </w:tcPr>
          <w:p>
            <w:pPr>
              <w:ind w:left="200"/>
              <w:spacing w:after="0"/>
              <w:rPr>
                <w:sz w:val="20"/>
                <w:szCs w:val="20"/>
                <w:color w:val="auto"/>
              </w:rPr>
            </w:pPr>
            <w:r>
              <w:rPr>
                <w:rFonts w:ascii="Courier New" w:cs="Courier New" w:eastAsia="Courier New" w:hAnsi="Courier New"/>
                <w:sz w:val="12"/>
                <w:szCs w:val="12"/>
                <w:color w:val="auto"/>
              </w:rPr>
              <w:t>employees</w:t>
            </w: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13,535</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13,658</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16,350</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14,607</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12,368</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Hedging activities</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(203)</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(1,524)</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(4,619)</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(5,947)</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(5,727)</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Sale of convertible debentures</w:t>
            </w: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1,082</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(196)</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(196)</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(196)</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(196)</w:t>
            </w:r>
          </w:p>
        </w:tc>
      </w:tr>
      <w:tr>
        <w:trPr>
          <w:trHeight w:val="135"/>
        </w:trPr>
        <w:tc>
          <w:tcPr>
            <w:tcW w:w="3720" w:type="dxa"/>
            <w:vAlign w:val="bottom"/>
          </w:tcPr>
          <w:p>
            <w:pPr>
              <w:spacing w:after="0"/>
              <w:rPr>
                <w:sz w:val="11"/>
                <w:szCs w:val="11"/>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8"/>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According to US GAAP</w:t>
            </w: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714,132</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$ 690,624</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$ 859,043</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8"/>
              </w:rPr>
              <w:t>$ 796,799</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$ 722,706</w:t>
            </w:r>
          </w:p>
        </w:tc>
      </w:tr>
      <w:tr>
        <w:trPr>
          <w:trHeight w:val="135"/>
        </w:trPr>
        <w:tc>
          <w:tcPr>
            <w:tcW w:w="3720" w:type="dxa"/>
            <w:vAlign w:val="bottom"/>
          </w:tcPr>
          <w:p>
            <w:pPr>
              <w:spacing w:after="0"/>
              <w:rPr>
                <w:sz w:val="11"/>
                <w:szCs w:val="11"/>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8"/>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tcPr>
          <w:p>
            <w:pPr>
              <w:spacing w:after="0"/>
              <w:rPr>
                <w:sz w:val="20"/>
                <w:szCs w:val="20"/>
                <w:color w:val="auto"/>
              </w:rPr>
            </w:pPr>
            <w:r>
              <w:rPr>
                <w:rFonts w:ascii="Courier New" w:cs="Courier New" w:eastAsia="Courier New" w:hAnsi="Courier New"/>
                <w:sz w:val="12"/>
                <w:szCs w:val="12"/>
                <w:color w:val="auto"/>
              </w:rPr>
              <w:t>SHAREHOLDERS' EQUITY (DEFICIT)</w:t>
            </w:r>
          </w:p>
        </w:tc>
        <w:tc>
          <w:tcPr>
            <w:tcW w:w="9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720" w:type="dxa"/>
            <w:vAlign w:val="bottom"/>
          </w:tcPr>
          <w:p>
            <w:pPr>
              <w:spacing w:after="0"/>
              <w:rPr>
                <w:sz w:val="20"/>
                <w:szCs w:val="20"/>
                <w:color w:val="auto"/>
              </w:rPr>
            </w:pPr>
            <w:r>
              <w:rPr>
                <w:rFonts w:ascii="Courier New" w:cs="Courier New" w:eastAsia="Courier New" w:hAnsi="Courier New"/>
                <w:sz w:val="12"/>
                <w:szCs w:val="12"/>
                <w:color w:val="auto"/>
              </w:rPr>
              <w:t>According to Israel GAAP</w:t>
            </w: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$ 132,990</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 (30,067)</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$ 167,980</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8"/>
              </w:rPr>
              <w:t>$ 229,457</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$ 298,334</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The effect of:</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Hedging activities</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(203)</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(1,524)</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(7,025)</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(15,867)</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(17,807)</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Facility Agreement</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(75,483)</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Proceeds on account of share capital</w:t>
            </w: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(16,428)</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Issuance of warrants</w:t>
            </w: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3,088</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Sale of convertible debentures</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(20,876)</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2,363</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2,363</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2,363</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2,363</w:t>
            </w:r>
          </w:p>
        </w:tc>
      </w:tr>
      <w:tr>
        <w:trPr>
          <w:trHeight w:val="135"/>
        </w:trPr>
        <w:tc>
          <w:tcPr>
            <w:tcW w:w="3720" w:type="dxa"/>
            <w:vAlign w:val="bottom"/>
          </w:tcPr>
          <w:p>
            <w:pPr>
              <w:spacing w:after="0"/>
              <w:rPr>
                <w:sz w:val="11"/>
                <w:szCs w:val="11"/>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8"/>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According to US GAAP</w:t>
            </w: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39,516</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 (29,228)</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$ 163,318</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8"/>
              </w:rPr>
              <w:t>$ 199,525</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$ 282,890</w:t>
            </w:r>
          </w:p>
        </w:tc>
      </w:tr>
      <w:tr>
        <w:trPr>
          <w:trHeight w:val="135"/>
        </w:trPr>
        <w:tc>
          <w:tcPr>
            <w:tcW w:w="3720" w:type="dxa"/>
            <w:vAlign w:val="bottom"/>
          </w:tcPr>
          <w:p>
            <w:pPr>
              <w:spacing w:after="0"/>
              <w:rPr>
                <w:sz w:val="11"/>
                <w:szCs w:val="11"/>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8"/>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405"/>
        </w:trPr>
        <w:tc>
          <w:tcPr>
            <w:tcW w:w="3720" w:type="dxa"/>
            <w:vAlign w:val="bottom"/>
          </w:tcPr>
          <w:p>
            <w:pPr>
              <w:ind w:left="2600"/>
              <w:spacing w:after="0"/>
              <w:rPr>
                <w:sz w:val="20"/>
                <w:szCs w:val="20"/>
                <w:color w:val="auto"/>
              </w:rPr>
            </w:pPr>
            <w:r>
              <w:rPr>
                <w:rFonts w:ascii="Courier New" w:cs="Courier New" w:eastAsia="Courier New" w:hAnsi="Courier New"/>
                <w:sz w:val="12"/>
                <w:szCs w:val="12"/>
                <w:color w:val="auto"/>
              </w:rPr>
              <w:t>- 4 -</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RISK FACTORS</w:t>
      </w:r>
    </w:p>
    <w:p>
      <w:pPr>
        <w:spacing w:after="0" w:line="139" w:lineRule="exact"/>
        <w:rPr>
          <w:sz w:val="20"/>
          <w:szCs w:val="20"/>
          <w:color w:val="auto"/>
        </w:rPr>
      </w:pPr>
    </w:p>
    <w:p>
      <w:pPr>
        <w:ind w:left="8" w:right="4839" w:firstLine="351"/>
        <w:spacing w:after="0" w:line="237" w:lineRule="auto"/>
        <w:rPr>
          <w:sz w:val="20"/>
          <w:szCs w:val="20"/>
          <w:color w:val="auto"/>
        </w:rPr>
      </w:pPr>
      <w:r>
        <w:rPr>
          <w:rFonts w:ascii="Courier New" w:cs="Courier New" w:eastAsia="Courier New" w:hAnsi="Courier New"/>
          <w:sz w:val="12"/>
          <w:szCs w:val="12"/>
          <w:color w:val="auto"/>
        </w:rPr>
        <w:t>This annual report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RISKS AFFECTING OUR BUSINESS</w:t>
      </w:r>
    </w:p>
    <w:p>
      <w:pPr>
        <w:spacing w:after="0" w:line="139" w:lineRule="exact"/>
        <w:rPr>
          <w:sz w:val="20"/>
          <w:szCs w:val="20"/>
          <w:color w:val="auto"/>
        </w:rPr>
      </w:pPr>
    </w:p>
    <w:p>
      <w:pPr>
        <w:ind w:left="8" w:right="4979"/>
        <w:spacing w:after="0" w:line="266" w:lineRule="auto"/>
        <w:rPr>
          <w:sz w:val="20"/>
          <w:szCs w:val="20"/>
          <w:color w:val="auto"/>
        </w:rPr>
      </w:pPr>
      <w:r>
        <w:rPr>
          <w:rFonts w:ascii="Courier New" w:cs="Courier New" w:eastAsia="Courier New" w:hAnsi="Courier New"/>
          <w:sz w:val="11"/>
          <w:szCs w:val="11"/>
          <w:color w:val="auto"/>
        </w:rPr>
        <w:t>IF WE DO NOT HAVE SUFFICIENT FUNDS TO FULLY EQUIP FAB 2 AND/OR IF WE DO NOT COMPLETE THE EQUIPMENT INSTALLATION, TECHNOLOGY TRANSFER AND RAMP-UP OF PRODUCTION IN FAB 2, OUR BUSINESS WILL BE MATERIALLY ADVERSELY AFFECTED.</w:t>
      </w:r>
    </w:p>
    <w:p>
      <w:pPr>
        <w:spacing w:after="0" w:line="126"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Fab 2 production capacity as of May 31, 2007 was approximately 21,000 wafers per month. In March 2006, our board of directors approved a plan to ramp-up Fab 2 production capacity to approximately 24,000 wafers per month which we are currently implementing.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above 24,000 wafers per month is dependent on prevailing and forecasted market conditions and our ability to fund these increases. We have not commenced, and there can be no assurance when or if we will commence, the acquisition, installation, equipping and financing necessary in order for production at our Fab 2 facility to exceed 24,000 wafers per month.</w:t>
      </w:r>
    </w:p>
    <w:p>
      <w:pPr>
        <w:sectPr>
          <w:pgSz w:w="11900" w:h="16910" w:orient="portrait"/>
          <w:cols w:equalWidth="0" w:num="1">
            <w:col w:w="10247"/>
          </w:cols>
          <w:pgMar w:left="212" w:top="137" w:right="1440" w:bottom="0" w:gutter="0" w:footer="0" w:header="0"/>
        </w:sectPr>
      </w:pPr>
    </w:p>
    <w:bookmarkStart w:id="3" w:name="page4"/>
    <w:bookmarkEnd w:id="3"/>
    <w:p>
      <w:pPr>
        <w:ind w:right="4619"/>
        <w:spacing w:after="0" w:line="261" w:lineRule="auto"/>
        <w:rPr>
          <w:sz w:val="20"/>
          <w:szCs w:val="20"/>
          <w:color w:val="auto"/>
        </w:rPr>
      </w:pPr>
      <w:r>
        <w:rPr>
          <w:rFonts w:ascii="Courier New" w:cs="Courier New" w:eastAsia="Courier New" w:hAnsi="Courier New"/>
          <w:sz w:val="11"/>
          <w:szCs w:val="11"/>
          <w:color w:val="auto"/>
        </w:rPr>
        <w:t>The ramp-up of Fab 2 is a substantial and complex project. If we cannot fund the ramp-up of Fab 2 or otherwise successfully complete the ramp-up of Fab 2, we may be unable to meet our customers' production demands and as a result we may lose customers and may not attract new ones. In addition, if we do not execute the acquisition, installation and equipping necessary in order for production at our Fab 2 facility to exceed 24,000 wafers per month or otherwise cannot successfully complete the ramp-up of Fab 2, we will not fully utilize the substantial investment made in constructing Fab 2, which will adversely affect our financial results. In order to fully ramp-up Fab 2 from approximately 24,000 wafers per month, we currently estimate we would need to raise approximately up to $120 million, including the approximately $40 million raised in our June 2007 private placement (see Item 4 -"Recent Developments"). We will also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39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- 5 -</w:t>
      </w:r>
    </w:p>
    <w:p>
      <w:pPr>
        <w:spacing w:after="0" w:line="200" w:lineRule="exact"/>
        <w:rPr>
          <w:sz w:val="20"/>
          <w:szCs w:val="20"/>
          <w:color w:val="auto"/>
        </w:rPr>
      </w:pPr>
    </w:p>
    <w:p>
      <w:pPr>
        <w:spacing w:after="0" w:line="326"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130"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May 31, 2007, we received a cumulative amount of approximately $165 million in grants from the Investment Center in relation to Fab 2.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December 31, 2006, we have invested approximately $150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obtain alternative financing sources to further ramp-up Fab 2 capacity from approximately 24,000 wafers per month,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financing sources to refund the grants we received and if we do not succeed in finding such financing sources, we may have to cease our operations.</w:t>
      </w:r>
    </w:p>
    <w:p>
      <w:pPr>
        <w:spacing w:after="0" w:line="200" w:lineRule="exact"/>
        <w:rPr>
          <w:sz w:val="20"/>
          <w:szCs w:val="20"/>
          <w:color w:val="auto"/>
        </w:rPr>
      </w:pPr>
    </w:p>
    <w:p>
      <w:pPr>
        <w:spacing w:after="0" w:line="209" w:lineRule="exact"/>
        <w:rPr>
          <w:sz w:val="20"/>
          <w:szCs w:val="20"/>
          <w:color w:val="auto"/>
        </w:rPr>
      </w:pPr>
    </w:p>
    <w:p>
      <w:pPr>
        <w:ind w:right="5039"/>
        <w:spacing w:after="0" w:line="273" w:lineRule="auto"/>
        <w:rPr>
          <w:sz w:val="20"/>
          <w:szCs w:val="20"/>
          <w:color w:val="auto"/>
        </w:rPr>
      </w:pPr>
      <w:r>
        <w:rPr>
          <w:rFonts w:ascii="Courier New" w:cs="Courier New" w:eastAsia="Courier New" w:hAnsi="Courier New"/>
          <w:sz w:val="11"/>
          <w:szCs w:val="11"/>
          <w:color w:val="auto"/>
        </w:rPr>
        <w:t>IF OUR FUTURE OPERATIONS DO NOT INCREASE OR IF WE FAIL TO RAISE ADDITIONAL FUNDING, WE MAY BE UNABLE TO REPAY OUR DEBT ON A TIMELY BASIS.</w:t>
      </w:r>
    </w:p>
    <w:p>
      <w:pPr>
        <w:spacing w:after="0" w:line="122"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There is no assurance that our future operations will increase or that we will succeed in raising additional funding required for the completion of the ramp up of Fab 2 and the repayment of our short-term and long-term debt, which consists mainly of bank debt, trade accounts payable and convertible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Bank Hapoalim B.M. and Bank Leumi Le-Israel B.M., our banks, we are required to repay principal in the amount of approximately $369 million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that in the event we have liquidity problems we will be successful at negotiating price reductions and arrangements to slow down or postpone payments to our suppliers and service providers, or negotiating revised repayment schedules of our other debt, including our outstanding debentures.</w:t>
      </w:r>
    </w:p>
    <w:p>
      <w:pPr>
        <w:spacing w:after="0" w:line="142" w:lineRule="exact"/>
        <w:rPr>
          <w:sz w:val="20"/>
          <w:szCs w:val="20"/>
          <w:color w:val="auto"/>
        </w:rPr>
      </w:pPr>
    </w:p>
    <w:p>
      <w:pPr>
        <w:jc w:val="both"/>
        <w:ind w:right="4839"/>
        <w:spacing w:after="0" w:line="266" w:lineRule="auto"/>
        <w:rPr>
          <w:sz w:val="20"/>
          <w:szCs w:val="20"/>
          <w:color w:val="auto"/>
        </w:rPr>
      </w:pPr>
      <w:r>
        <w:rPr>
          <w:rFonts w:ascii="Courier New" w:cs="Courier New" w:eastAsia="Courier New" w:hAnsi="Courier New"/>
          <w:sz w:val="11"/>
          <w:szCs w:val="1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26"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- 6 -</w:t>
      </w:r>
    </w:p>
    <w:p>
      <w:pPr>
        <w:spacing w:after="0" w:line="200" w:lineRule="exact"/>
        <w:rPr>
          <w:sz w:val="20"/>
          <w:szCs w:val="20"/>
          <w:color w:val="auto"/>
        </w:rPr>
      </w:pPr>
    </w:p>
    <w:p>
      <w:pPr>
        <w:spacing w:after="0" w:line="326"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WE HAVE A HISTORY OF OPERATING LOSSES AND EXPECT TO OPERATE AT A LOSS FOR THE FORESEEABLE FUTURE; OUR FACILITIES MUST OPERATE AT HIGH UTILIZATION RATES FOR US TO REDUCE OUR LOSSES.</w:t>
      </w:r>
    </w:p>
    <w:p>
      <w:pPr>
        <w:sectPr>
          <w:pgSz w:w="11900" w:h="16838" w:orient="portrait"/>
          <w:cols w:equalWidth="0" w:num="1">
            <w:col w:w="10239"/>
          </w:cols>
          <w:pgMar w:left="220" w:top="141" w:right="1440" w:bottom="0" w:gutter="0" w:footer="0" w:header="0"/>
        </w:sectPr>
      </w:pPr>
    </w:p>
    <w:bookmarkStart w:id="4" w:name="page5"/>
    <w:bookmarkEnd w:id="4"/>
    <w:p>
      <w:pPr>
        <w:ind w:right="4619" w:firstLine="351"/>
        <w:spacing w:after="0" w:line="237" w:lineRule="auto"/>
        <w:rPr>
          <w:sz w:val="20"/>
          <w:szCs w:val="20"/>
          <w:color w:val="auto"/>
        </w:rPr>
      </w:pPr>
      <w:r>
        <w:rPr>
          <w:rFonts w:ascii="Courier New" w:cs="Courier New" w:eastAsia="Courier New" w:hAnsi="Courier New"/>
          <w:sz w:val="12"/>
          <w:szCs w:val="12"/>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We began construction of Fab 2 in 2001 and Fab 2 operations began in 2003. Our losses since 2003 are due primarily to significant depreciation and amortization expenses related mainly to Fab 2, as well as financing and operating expenses that have not yet been offset by a sufficient increase in the level of our sales. If we do not succeed in operating our facilities at high utilization rates, we expect to continue to operate at a loss for the foreseeable future, which may adversely affect our business and company.</w:t>
      </w:r>
    </w:p>
    <w:p>
      <w:pPr>
        <w:spacing w:after="0" w:line="145"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OUR OPERATING RESULTS FLUCTUATE FROM QUARTER TO QUARTER WHICH MAKES IT DIFFICULT TO PREDICT OUR FUTURE PERFORMANCE.</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41" w:lineRule="exact"/>
        <w:rPr>
          <w:sz w:val="20"/>
          <w:szCs w:val="20"/>
          <w:color w:val="auto"/>
        </w:rPr>
      </w:pPr>
    </w:p>
    <w:p>
      <w:pPr>
        <w:ind w:left="700" w:right="4619" w:hanging="357"/>
        <w:spacing w:after="0" w:line="235"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cyclical nature of both the semiconductor industry and the markets served by our customers;</w:t>
      </w:r>
    </w:p>
    <w:p>
      <w:pPr>
        <w:spacing w:after="0" w:line="139"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the economic conditions of geographical regions where our customers and their markets are located;</w:t>
      </w:r>
    </w:p>
    <w:p>
      <w:pPr>
        <w:spacing w:after="0" w:line="139" w:lineRule="exact"/>
        <w:rPr>
          <w:rFonts w:ascii="Courier New" w:cs="Courier New" w:eastAsia="Courier New" w:hAnsi="Courier New"/>
          <w:sz w:val="12"/>
          <w:szCs w:val="12"/>
          <w:color w:val="auto"/>
        </w:rPr>
      </w:pPr>
    </w:p>
    <w:p>
      <w:pPr>
        <w:ind w:left="700" w:right="4619" w:hanging="357"/>
        <w:spacing w:after="0" w:line="235"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Shifts by integrated device manufacturers (IDMs) and customers between internal and outsourced production;</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Inventory and supply chain management of our customers;</w:t>
      </w:r>
    </w:p>
    <w:p>
      <w:pPr>
        <w:spacing w:after="0" w:line="138" w:lineRule="exact"/>
        <w:rPr>
          <w:rFonts w:ascii="Courier New" w:cs="Courier New" w:eastAsia="Courier New" w:hAnsi="Courier New"/>
          <w:sz w:val="12"/>
          <w:szCs w:val="12"/>
          <w:color w:val="auto"/>
        </w:rPr>
      </w:pPr>
    </w:p>
    <w:p>
      <w:pPr>
        <w:ind w:left="700" w:right="4759" w:hanging="357"/>
        <w:spacing w:after="0" w:line="236"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loss of a key customer, postponement of an order from a key customer, failure of a key customer to pay accounts receivables in a timely manner or the financial condition of our customers;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occurrence of accounts receivables write-offs;</w:t>
      </w:r>
    </w:p>
    <w:p>
      <w:pPr>
        <w:spacing w:after="0" w:line="138" w:lineRule="exact"/>
        <w:rPr>
          <w:rFonts w:ascii="Courier New" w:cs="Courier New" w:eastAsia="Courier New" w:hAnsi="Courier New"/>
          <w:sz w:val="12"/>
          <w:szCs w:val="12"/>
          <w:color w:val="auto"/>
        </w:rPr>
      </w:pPr>
    </w:p>
    <w:p>
      <w:pPr>
        <w:ind w:left="700" w:right="4839" w:hanging="357"/>
        <w:spacing w:after="0" w:line="235"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rescheduling or cancellation of large orders or planned capital expenditures;</w:t>
      </w:r>
    </w:p>
    <w:p>
      <w:pPr>
        <w:spacing w:after="0" w:line="139" w:lineRule="exact"/>
        <w:rPr>
          <w:rFonts w:ascii="Courier New" w:cs="Courier New" w:eastAsia="Courier New" w:hAnsi="Courier New"/>
          <w:sz w:val="12"/>
          <w:szCs w:val="12"/>
          <w:color w:val="auto"/>
        </w:rPr>
      </w:pPr>
    </w:p>
    <w:p>
      <w:pPr>
        <w:ind w:left="700" w:right="4839" w:hanging="357"/>
        <w:spacing w:after="0" w:line="235"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ability to satisfy our customers' demand for quality and timely production;</w:t>
      </w:r>
    </w:p>
    <w:p>
      <w:pPr>
        <w:spacing w:after="0" w:line="139"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timing and volume of orders relative to our available production capacity;</w:t>
      </w:r>
    </w:p>
    <w:p>
      <w:pPr>
        <w:spacing w:after="0" w:line="139" w:lineRule="exact"/>
        <w:rPr>
          <w:rFonts w:ascii="Courier New" w:cs="Courier New" w:eastAsia="Courier New" w:hAnsi="Courier New"/>
          <w:sz w:val="12"/>
          <w:szCs w:val="12"/>
          <w:color w:val="auto"/>
        </w:rPr>
      </w:pPr>
    </w:p>
    <w:p>
      <w:pPr>
        <w:ind w:left="700" w:right="4979" w:hanging="357"/>
        <w:spacing w:after="0" w:line="235"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ability to obtain raw materials and equipment on a timely and cost-effective basis;</w:t>
      </w:r>
    </w:p>
    <w:p>
      <w:pPr>
        <w:spacing w:after="0" w:line="139" w:lineRule="exact"/>
        <w:rPr>
          <w:rFonts w:ascii="Courier New" w:cs="Courier New" w:eastAsia="Courier New" w:hAnsi="Courier New"/>
          <w:sz w:val="12"/>
          <w:szCs w:val="12"/>
          <w:color w:val="auto"/>
        </w:rPr>
      </w:pPr>
    </w:p>
    <w:p>
      <w:pPr>
        <w:ind w:left="700" w:right="5259" w:hanging="357"/>
        <w:spacing w:after="0" w:line="235"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Environmental events or industrial accidents such as fires or explosions;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susceptibility to intellectual property rights disputes;</w:t>
      </w:r>
    </w:p>
    <w:p>
      <w:pPr>
        <w:spacing w:after="0" w:line="138" w:lineRule="exact"/>
        <w:rPr>
          <w:rFonts w:ascii="Courier New" w:cs="Courier New" w:eastAsia="Courier New" w:hAnsi="Courier New"/>
          <w:sz w:val="12"/>
          <w:szCs w:val="12"/>
          <w:color w:val="auto"/>
        </w:rPr>
      </w:pPr>
    </w:p>
    <w:p>
      <w:pPr>
        <w:ind w:left="700" w:right="5339" w:hanging="357"/>
        <w:spacing w:after="0" w:line="236"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ability to continue with existing and to enter into new partnerships and technology and supply alliances on mutually beneficial terms;</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7 -</w:t>
      </w:r>
    </w:p>
    <w:p>
      <w:pPr>
        <w:spacing w:after="0" w:line="200" w:lineRule="exact"/>
        <w:rPr>
          <w:rFonts w:ascii="Courier New" w:cs="Courier New" w:eastAsia="Courier New" w:hAnsi="Courier New"/>
          <w:sz w:val="12"/>
          <w:szCs w:val="12"/>
          <w:color w:val="auto"/>
        </w:rPr>
      </w:pPr>
    </w:p>
    <w:p>
      <w:pPr>
        <w:spacing w:after="0" w:line="321"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Actual capital expenditures exceeding planned capital expenditures;</w:t>
      </w:r>
    </w:p>
    <w:p>
      <w:pPr>
        <w:spacing w:after="0" w:line="138" w:lineRule="exact"/>
        <w:rPr>
          <w:rFonts w:ascii="Courier New" w:cs="Courier New" w:eastAsia="Courier New" w:hAnsi="Courier New"/>
          <w:sz w:val="12"/>
          <w:szCs w:val="12"/>
          <w:color w:val="auto"/>
        </w:rPr>
      </w:pPr>
    </w:p>
    <w:p>
      <w:pPr>
        <w:ind w:left="700" w:right="4899" w:hanging="357"/>
        <w:spacing w:after="0" w:line="235"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and currency rate fluctuations that may not be adequately hedged;</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Technological changes and short product life cycles;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Timing for designing and the qualification of new products; and</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New accounting rules affecting our results.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Due to the factors noted above and other risks discussed in this section, many of which are beyond our control, you should not rely on quarter-to-quarter comparisons to predict our future performance. Unfavorable changes in any of the above factors may seriously harm our company, including our operating results, financial condition and ability to maintain our operations.</w:t>
      </w:r>
    </w:p>
    <w:p>
      <w:pPr>
        <w:spacing w:after="0" w:line="139"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IF WE WILL NOT SUCCESSFULLY REGISTER THE SECURITIES WE ISSUED IN OUR JUNE 2007 PRIVATE PLACEMENT FOR TRADE ON THE TEL AVIV STOCK EXCHANGE, WE MAY NOT HAVE ADEQUATE LIQUIDITY TO MEET OUR SHORT-TERM ACTIVITIES AND LIABILITIES, UNLESS WE RAISE ALTERNATIVE FUNDS.</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Under the terms of our June 2007 Private Placement to Israeli investors (see Item 4. Information on the Company -A. History and Development of the Company - Recent Developments) we may be required to redeem a portion or all of the securities if a prospectus allowing the face trade of such securities is not declared effective within 90 days of the Offering. In such event, we may not have adequate liquidity to meet our short-term activities and liabilities, unless we raise alternative funds, which may include grants from the Investment Center, sales of our equity and/or debt securities, wafer prepayments from our customers or increased cash flow from operations.</w:t>
      </w:r>
    </w:p>
    <w:p>
      <w:pPr>
        <w:spacing w:after="0" w:line="143" w:lineRule="exact"/>
        <w:rPr>
          <w:sz w:val="20"/>
          <w:szCs w:val="20"/>
          <w:color w:val="auto"/>
        </w:rPr>
      </w:pPr>
    </w:p>
    <w:p>
      <w:pPr>
        <w:ind w:right="5039"/>
        <w:spacing w:after="0" w:line="236" w:lineRule="auto"/>
        <w:rPr>
          <w:sz w:val="20"/>
          <w:szCs w:val="20"/>
          <w:color w:val="auto"/>
        </w:rPr>
      </w:pPr>
      <w:r>
        <w:rPr>
          <w:rFonts w:ascii="Courier New" w:cs="Courier New" w:eastAsia="Courier New" w:hAnsi="Courier New"/>
          <w:sz w:val="12"/>
          <w:szCs w:val="12"/>
          <w:color w:val="auto"/>
        </w:rPr>
        <w:t>THE LACK OF A SIGNIFICANT BACKLOG RESULTING FROM OUR CUSTOMERS NOT PLACING PURCHASE ORDERS FAR IN ADVANCE MAKES IT DIFFICULT FOR US TO FORECAST OUR REVENUES IN FUTURE PERIODS.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from our expectations with respect to the product, volume, price or other items, our operating results, financial condition and ability to maintain our operations may be adversely affected.</w:t>
      </w:r>
    </w:p>
    <w:p>
      <w:pPr>
        <w:spacing w:after="0" w:line="139"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OUR SALES CYCLES MAY BE LONG AND, AS A RESULT, ORDERS RECEIVED MAY NOT MEET OUR EXPECTATIONS THAT MAY ADVERSELY AFFECT OUR OPERATING RESULTS.</w:t>
      </w:r>
    </w:p>
    <w:p>
      <w:pPr>
        <w:spacing w:after="0" w:line="139" w:lineRule="exact"/>
        <w:rPr>
          <w:sz w:val="20"/>
          <w:szCs w:val="20"/>
          <w:color w:val="auto"/>
        </w:rPr>
      </w:pPr>
    </w:p>
    <w:p>
      <w:pPr>
        <w:ind w:right="4759" w:firstLine="351"/>
        <w:spacing w:after="0" w:line="266" w:lineRule="auto"/>
        <w:rPr>
          <w:sz w:val="20"/>
          <w:szCs w:val="20"/>
          <w:color w:val="auto"/>
        </w:rPr>
      </w:pPr>
      <w:r>
        <w:rPr>
          <w:rFonts w:ascii="Courier New" w:cs="Courier New" w:eastAsia="Courier New" w:hAnsi="Courier New"/>
          <w:sz w:val="11"/>
          <w:szCs w:val="11"/>
          <w:color w:val="auto"/>
        </w:rPr>
        <w:t>Our sales cycles, which measure the time between our first contact with a customer and the first shipment of product orders to the customer, vary substantially and may last as long as two years or more, particularly for new</w:t>
      </w:r>
    </w:p>
    <w:p>
      <w:pPr>
        <w:sectPr>
          <w:pgSz w:w="11900" w:h="16838" w:orient="portrait"/>
          <w:cols w:equalWidth="0" w:num="1">
            <w:col w:w="10239"/>
          </w:cols>
          <w:pgMar w:left="220" w:top="276" w:right="1440" w:bottom="0" w:gutter="0" w:footer="0" w:header="0"/>
        </w:sectPr>
      </w:pPr>
    </w:p>
    <w:bookmarkStart w:id="5" w:name="page6"/>
    <w:bookmarkEnd w:id="5"/>
    <w:p>
      <w:pPr>
        <w:ind w:right="4619"/>
        <w:spacing w:after="0" w:line="237" w:lineRule="auto"/>
        <w:rPr>
          <w:sz w:val="20"/>
          <w:szCs w:val="20"/>
          <w:color w:val="auto"/>
        </w:rPr>
      </w:pPr>
      <w:r>
        <w:rPr>
          <w:rFonts w:ascii="Courier New" w:cs="Courier New" w:eastAsia="Courier New" w:hAnsi="Courier New"/>
          <w:sz w:val="12"/>
          <w:szCs w:val="12"/>
          <w:color w:val="auto"/>
        </w:rPr>
        <w:t>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- 8 -</w:t>
      </w:r>
    </w:p>
    <w:p>
      <w:pPr>
        <w:spacing w:after="0" w:line="200" w:lineRule="exact"/>
        <w:rPr>
          <w:sz w:val="20"/>
          <w:szCs w:val="20"/>
          <w:color w:val="auto"/>
        </w:rPr>
      </w:pPr>
    </w:p>
    <w:p>
      <w:pPr>
        <w:spacing w:after="0" w:line="32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DEMAND FOR OUR FOUNDRY SERVICES IS DEPENDENT ON THE DEMAND IN OUR CUSTOMERS' END MARKETS.</w:t>
      </w:r>
    </w:p>
    <w:p>
      <w:pPr>
        <w:spacing w:after="0" w:line="139"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w:t>
      </w:r>
    </w:p>
    <w:p>
      <w:pPr>
        <w:spacing w:after="0" w:line="131"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2"/>
          <w:szCs w:val="12"/>
          <w:color w:val="auto"/>
        </w:rPr>
        <w:t>IF WE DO NOT MAINTAIN OUR CURRENT CUSTOMERS AND ATTRACT ADDITIONAL CUSTOMERS, OUR BUSINESS MAY BE ADVERSELY AFFECTED.</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During the three months ended March 31, 2007, approximately 61% of our business was generated by five significant customers that contributed 33%, 11%, 7%, 5% and 5% of our revenue,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 in a timely manner, which could harm our financial results.</w:t>
      </w:r>
    </w:p>
    <w:p>
      <w:pPr>
        <w:spacing w:after="0" w:line="129"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WE DEPEND ON A RELATIVELY SMALL NUMBER OF PRODUCTS FOR A SIGNIFICANT PORTION OF OUR REVENUES.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for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IF WE DO NOT RECEIVE ORDERS FROM OUR WAFER PARTNERS, WE MAY HAVE EXCESS</w:t>
      </w:r>
    </w:p>
    <w:p>
      <w:pPr>
        <w:spacing w:after="0"/>
        <w:rPr>
          <w:sz w:val="20"/>
          <w:szCs w:val="20"/>
          <w:color w:val="auto"/>
        </w:rPr>
      </w:pPr>
      <w:r>
        <w:rPr>
          <w:rFonts w:ascii="Courier New" w:cs="Courier New" w:eastAsia="Courier New" w:hAnsi="Courier New"/>
          <w:sz w:val="12"/>
          <w:szCs w:val="12"/>
          <w:color w:val="auto"/>
        </w:rPr>
        <w:t>CAPACITY.</w:t>
      </w:r>
    </w:p>
    <w:p>
      <w:pPr>
        <w:spacing w:after="0" w:line="138"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- 9 -</w:t>
      </w:r>
    </w:p>
    <w:p>
      <w:pPr>
        <w:spacing w:after="0" w:line="200" w:lineRule="exact"/>
        <w:rPr>
          <w:sz w:val="20"/>
          <w:szCs w:val="20"/>
          <w:color w:val="auto"/>
        </w:rPr>
      </w:pPr>
    </w:p>
    <w:p>
      <w:pPr>
        <w:spacing w:after="0" w:line="32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IF WE DO NOT MAINTAIN AND DEVELOP OUR TECHNOLOGY PROCESSES AND SERVICES, WE WILL LOSE CUSTOMERS AND MAY NOT BE ABLE TO ATTRACT NEW ONES.</w:t>
      </w:r>
    </w:p>
    <w:p>
      <w:pPr>
        <w:spacing w:after="0" w:line="139"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The semiconductor market is characterized by rapid change, including the following:</w:t>
      </w:r>
    </w:p>
    <w:p>
      <w:pPr>
        <w:spacing w:after="0" w:line="135" w:lineRule="exact"/>
        <w:rPr>
          <w:sz w:val="20"/>
          <w:szCs w:val="20"/>
          <w:color w:val="auto"/>
        </w:rPr>
      </w:pPr>
    </w:p>
    <w:p>
      <w:pPr>
        <w:ind w:left="700" w:hanging="357"/>
        <w:spacing w:after="0"/>
        <w:tabs>
          <w:tab w:leader="none" w:pos="7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rapid technological developments;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evolving industry standards;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customer and product end user requirements;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frequent new product introductions and enhancements; and</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short product life cycles with declining prices as products mature.</w:t>
      </w:r>
    </w:p>
    <w:p>
      <w:pPr>
        <w:spacing w:after="0" w:line="139"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IF WE DO NOT COMPETE EFFECTIVELY, WE WILL LOSE BUSINESS TO OUR COMPETITORS.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semiconductor foundry industry is highly competitive. We compete with more than ten independent dedicated foundries, the majority of which are located in Asia-Pacific, including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39" w:lineRule="exact"/>
        <w:rPr>
          <w:sz w:val="20"/>
          <w:szCs w:val="20"/>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greater manufacturing capacity;</w:t>
      </w:r>
    </w:p>
    <w:p>
      <w:pPr>
        <w:sectPr>
          <w:pgSz w:w="11900" w:h="16838" w:orient="portrait"/>
          <w:cols w:equalWidth="0" w:num="1">
            <w:col w:w="10239"/>
          </w:cols>
          <w:pgMar w:left="220" w:top="141" w:right="1440" w:bottom="0" w:gutter="0" w:footer="0" w:header="0"/>
        </w:sectPr>
      </w:pPr>
    </w:p>
    <w:bookmarkStart w:id="6" w:name="page7"/>
    <w:bookmarkEnd w:id="6"/>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multiple and more advanced manufacturing facilities;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more advanced technological capabilities;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more diverse and established customer base;</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greater financial, marketing, distribution and other resources;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better cost structure; and/or</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better operational performance in cycle time and yields.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HAVE A LARGE AMOUNT OF DEBT WHICH COULD HAVE SIGNIFICANT NEGATIVE</w:t>
      </w:r>
    </w:p>
    <w:p>
      <w:pPr>
        <w:spacing w:after="0"/>
        <w:rPr>
          <w:sz w:val="20"/>
          <w:szCs w:val="20"/>
          <w:color w:val="auto"/>
        </w:rPr>
      </w:pPr>
      <w:r>
        <w:rPr>
          <w:rFonts w:ascii="Courier New" w:cs="Courier New" w:eastAsia="Courier New" w:hAnsi="Courier New"/>
          <w:sz w:val="12"/>
          <w:szCs w:val="12"/>
          <w:color w:val="auto"/>
        </w:rPr>
        <w:t>CONSEQUENCES.</w:t>
      </w:r>
    </w:p>
    <w:p>
      <w:pPr>
        <w:spacing w:after="0" w:line="138" w:lineRule="exact"/>
        <w:rPr>
          <w:sz w:val="20"/>
          <w:szCs w:val="20"/>
          <w:color w:val="auto"/>
        </w:rPr>
      </w:pPr>
    </w:p>
    <w:p>
      <w:pPr>
        <w:ind w:right="4699" w:firstLine="351"/>
        <w:spacing w:after="0" w:line="264" w:lineRule="auto"/>
        <w:rPr>
          <w:sz w:val="20"/>
          <w:szCs w:val="20"/>
          <w:color w:val="auto"/>
        </w:rPr>
      </w:pPr>
      <w:r>
        <w:rPr>
          <w:rFonts w:ascii="Courier New" w:cs="Courier New" w:eastAsia="Courier New" w:hAnsi="Courier New"/>
          <w:sz w:val="11"/>
          <w:szCs w:val="11"/>
          <w:color w:val="auto"/>
        </w:rPr>
        <w:t>We have a large amount of long-term debt, which could have significant negative consequences. As of May 31, 3007, we had approximately $369 million of bank debt and approximately $95 million of convertible debt. Our current and future indebtedness could have significant negative consequences, including:</w:t>
      </w:r>
    </w:p>
    <w:p>
      <w:pPr>
        <w:spacing w:after="0" w:line="127" w:lineRule="exact"/>
        <w:rPr>
          <w:sz w:val="20"/>
          <w:szCs w:val="20"/>
          <w:color w:val="auto"/>
        </w:rPr>
      </w:pPr>
    </w:p>
    <w:p>
      <w:pPr>
        <w:ind w:left="700" w:right="4619" w:hanging="357"/>
        <w:spacing w:after="0" w:line="235"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requiring the dedication of a substantial portion of our expected cash flow from operations to service our indebtedness;</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pacing w:after="0" w:line="200" w:lineRule="exact"/>
        <w:rPr>
          <w:rFonts w:ascii="Courier New" w:cs="Courier New" w:eastAsia="Courier New" w:hAnsi="Courier New"/>
          <w:sz w:val="12"/>
          <w:szCs w:val="12"/>
          <w:color w:val="auto"/>
        </w:rPr>
      </w:pPr>
    </w:p>
    <w:p>
      <w:pPr>
        <w:spacing w:after="0" w:line="325" w:lineRule="exact"/>
        <w:rPr>
          <w:rFonts w:ascii="Courier New" w:cs="Courier New" w:eastAsia="Courier New" w:hAnsi="Courier New"/>
          <w:sz w:val="12"/>
          <w:szCs w:val="12"/>
          <w:color w:val="auto"/>
        </w:rPr>
      </w:pPr>
    </w:p>
    <w:p>
      <w:pPr>
        <w:ind w:left="700" w:right="4699" w:hanging="357"/>
        <w:spacing w:after="0" w:line="235"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increasing our vulnerability to general adverse economic and industry conditions;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limiting our ability to obtain additional financing;</w:t>
      </w:r>
    </w:p>
    <w:p>
      <w:pPr>
        <w:spacing w:after="0" w:line="138"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limiting our flexibility in planning for, or reacting to, changes in our business and the industry in which we compete;</w:t>
      </w:r>
    </w:p>
    <w:p>
      <w:pPr>
        <w:spacing w:after="0" w:line="139" w:lineRule="exact"/>
        <w:rPr>
          <w:rFonts w:ascii="Courier New" w:cs="Courier New" w:eastAsia="Courier New" w:hAnsi="Courier New"/>
          <w:sz w:val="12"/>
          <w:szCs w:val="12"/>
          <w:color w:val="auto"/>
        </w:rPr>
      </w:pPr>
    </w:p>
    <w:p>
      <w:pPr>
        <w:ind w:left="700" w:right="4619" w:hanging="357"/>
        <w:spacing w:after="0" w:line="273" w:lineRule="auto"/>
        <w:tabs>
          <w:tab w:leader="none" w:pos="700"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placing us at a competitive disadvantage to less leveraged competitors and competitors that have better access to capital resources; and/or</w:t>
      </w:r>
    </w:p>
    <w:p>
      <w:pPr>
        <w:spacing w:after="0" w:line="121" w:lineRule="exact"/>
        <w:rPr>
          <w:rFonts w:ascii="Courier New" w:cs="Courier New" w:eastAsia="Courier New" w:hAnsi="Courier New"/>
          <w:sz w:val="11"/>
          <w:szCs w:val="11"/>
          <w:color w:val="auto"/>
        </w:rPr>
      </w:pPr>
    </w:p>
    <w:p>
      <w:pPr>
        <w:ind w:left="700" w:right="4899" w:hanging="357"/>
        <w:spacing w:after="0" w:line="235"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affecting our ability to make interest payments and other required debt service on our indebtedness.</w:t>
      </w:r>
    </w:p>
    <w:p>
      <w:pPr>
        <w:spacing w:after="0" w:line="139"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2"/>
          <w:szCs w:val="12"/>
          <w:color w:val="auto"/>
        </w:rPr>
        <w:t>IF WE FAIL TO SATISFY THE COVENANTS SET FORTH IN OUR AMENDED CREDIT FACILITY, OUR BANKS WILL BE ABLE TO CALL OUR LOANS.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credit facility, under which we are required to repay principal in the amount of approximately $369 million,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43" w:lineRule="exact"/>
        <w:rPr>
          <w:sz w:val="20"/>
          <w:szCs w:val="20"/>
          <w:color w:val="auto"/>
        </w:rPr>
      </w:pPr>
    </w:p>
    <w:p>
      <w:pPr>
        <w:ind w:right="5039"/>
        <w:spacing w:after="0" w:line="235" w:lineRule="auto"/>
        <w:rPr>
          <w:sz w:val="20"/>
          <w:szCs w:val="20"/>
          <w:color w:val="auto"/>
        </w:rPr>
      </w:pPr>
      <w:r>
        <w:rPr>
          <w:rFonts w:ascii="Courier New" w:cs="Courier New" w:eastAsia="Courier New" w:hAnsi="Courier New"/>
          <w:sz w:val="12"/>
          <w:szCs w:val="12"/>
          <w:color w:val="auto"/>
        </w:rPr>
        <w:t>ISRAELI BANKING LAWS MAY IMPOSE RESTRICTIONS ON THE TOTAL DEBT THAT WE MAY BORROW FROM OUR BANKS.</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$369 million), which may have a material adverse effect on our business, financial condition and results of operations.</w:t>
      </w:r>
    </w:p>
    <w:p>
      <w:pPr>
        <w:spacing w:after="0" w:line="145" w:lineRule="exact"/>
        <w:rPr>
          <w:sz w:val="20"/>
          <w:szCs w:val="20"/>
          <w:color w:val="auto"/>
        </w:rPr>
      </w:pPr>
    </w:p>
    <w:p>
      <w:pPr>
        <w:jc w:val="both"/>
        <w:ind w:right="5039"/>
        <w:spacing w:after="0" w:line="236" w:lineRule="auto"/>
        <w:rPr>
          <w:sz w:val="20"/>
          <w:szCs w:val="20"/>
          <w:color w:val="auto"/>
        </w:rPr>
      </w:pPr>
      <w:r>
        <w:rPr>
          <w:rFonts w:ascii="Courier New" w:cs="Courier New" w:eastAsia="Courier New" w:hAnsi="Courier New"/>
          <w:sz w:val="12"/>
          <w:szCs w:val="12"/>
          <w:color w:val="auto"/>
        </w:rPr>
        <w:t>IF WE EXPERIENCE DIFFICULTY IN ACHIEVING ACCEPTABLE DEVICE YIELDS, PRODUCT PERFORMANCE AND DELIVERY TIMES AS A RESULT OF MANUFACTURING PROBLEMS, OUR BUSINESS WILL BE ADVERSELY AFFECTED.</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- 11 -</w:t>
      </w:r>
    </w:p>
    <w:p>
      <w:pPr>
        <w:spacing w:after="0" w:line="200" w:lineRule="exact"/>
        <w:rPr>
          <w:sz w:val="20"/>
          <w:szCs w:val="20"/>
          <w:color w:val="auto"/>
        </w:rPr>
      </w:pPr>
    </w:p>
    <w:p>
      <w:pPr>
        <w:spacing w:after="0" w:line="326"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IF WE ARE UNABLE TO PURCHASE EQUIPMENT AND RAW MATERIALS, WE MAY NOT BE ABLE TO MANUFACTURE OUR PRODUCTS IN A TIMELY FASHION, WHICH MAY RESULT IN A LOSS OF EXISTING AND POTENTIAL NEW CUSTOMERS.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39"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2"/>
          <w:szCs w:val="12"/>
          <w:color w:val="auto"/>
        </w:rPr>
        <w:t>OUR EXPOSURE TO INFLATION AND CURRENCY EXCHANGE AND INTEREST RATE FLUCTUATIONS MAY INCREASE OUR COST OF OPERATIONS.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dollar amount of our operations, which is denominated in NIS, is</w:t>
      </w:r>
    </w:p>
    <w:p>
      <w:pPr>
        <w:sectPr>
          <w:pgSz w:w="11900" w:h="16838" w:orient="portrait"/>
          <w:cols w:equalWidth="0" w:num="1">
            <w:col w:w="10239"/>
          </w:cols>
          <w:pgMar w:left="220" w:top="137" w:right="1440" w:bottom="0" w:gutter="0" w:footer="0" w:header="0"/>
        </w:sectPr>
      </w:pPr>
    </w:p>
    <w:bookmarkStart w:id="7" w:name="page8"/>
    <w:bookmarkEnd w:id="7"/>
    <w:p>
      <w:pPr>
        <w:ind w:right="4619"/>
        <w:spacing w:after="0" w:line="237" w:lineRule="auto"/>
        <w:rPr>
          <w:sz w:val="20"/>
          <w:szCs w:val="20"/>
          <w:color w:val="auto"/>
        </w:rPr>
      </w:pPr>
      <w:r>
        <w:rPr>
          <w:rFonts w:ascii="Courier New" w:cs="Courier New" w:eastAsia="Courier New" w:hAnsi="Courier New"/>
          <w:sz w:val="12"/>
          <w:szCs w:val="12"/>
          <w:color w:val="auto"/>
        </w:rPr>
        <w:t>influenced by the timing of any change in the rate of inflation in Israel and the extent to which such change is not offset by the change in valuation of the NIS in relation to the US dollar. Outstanding principal and interest on some of our debentures is linked to the Israeli consumer price index (CPI) and therefore, our dollar costs will increase if inflation in Israel exceeds the devaluation of the NIS against the US dollar, or if the timing of such devaluation lags behind inflation in Israel. In addition, the devaluation of the US dollar against the NIS raises our US dollar costs of operation, which is denominated in NIS.</w:t>
      </w:r>
    </w:p>
    <w:p>
      <w:pPr>
        <w:spacing w:after="0" w:line="143"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39" w:lineRule="exact"/>
        <w:rPr>
          <w:sz w:val="20"/>
          <w:szCs w:val="20"/>
          <w:color w:val="auto"/>
        </w:rPr>
      </w:pPr>
    </w:p>
    <w:p>
      <w:pPr>
        <w:ind w:right="5119"/>
        <w:spacing w:after="0" w:line="235" w:lineRule="auto"/>
        <w:rPr>
          <w:sz w:val="20"/>
          <w:szCs w:val="20"/>
          <w:color w:val="auto"/>
        </w:rPr>
      </w:pPr>
      <w:r>
        <w:rPr>
          <w:rFonts w:ascii="Courier New" w:cs="Courier New" w:eastAsia="Courier New" w:hAnsi="Courier New"/>
          <w:sz w:val="12"/>
          <w:szCs w:val="12"/>
          <w:color w:val="auto"/>
        </w:rPr>
        <w:t>WE DEPEND ON INTELLECTUAL PROPERTY RIGHTS OF THIRD PARTIES AND FAILURE TO MAINTAIN OR ACQUIRE LICENSES COULD HARM OUR BUSINESS.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depend on third party intellectual property in order for us to provide certain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- 12 -</w:t>
      </w:r>
    </w:p>
    <w:p>
      <w:pPr>
        <w:spacing w:after="0" w:line="200" w:lineRule="exact"/>
        <w:rPr>
          <w:sz w:val="20"/>
          <w:szCs w:val="20"/>
          <w:color w:val="auto"/>
        </w:rPr>
      </w:pPr>
    </w:p>
    <w:p>
      <w:pPr>
        <w:spacing w:after="0" w:line="326"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2"/>
          <w:szCs w:val="12"/>
          <w:color w:val="auto"/>
        </w:rPr>
        <w:t>FAILURE TO COMPLY WITH THE INTELLECTUAL PROPERTY RIGHTS OF THIRD PARTIES OR TO DEFEND OUR INTELLECTUAL PROPERTY RIGHTS COULD HARM OUR BUSINESS.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6" w:lineRule="exact"/>
        <w:rPr>
          <w:sz w:val="20"/>
          <w:szCs w:val="20"/>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negotiating cross-license agreements;</w:t>
      </w:r>
    </w:p>
    <w:p>
      <w:pPr>
        <w:spacing w:after="0" w:line="138" w:lineRule="exact"/>
        <w:rPr>
          <w:rFonts w:ascii="Courier New" w:cs="Courier New" w:eastAsia="Courier New" w:hAnsi="Courier New"/>
          <w:sz w:val="12"/>
          <w:szCs w:val="12"/>
          <w:color w:val="auto"/>
        </w:rPr>
      </w:pPr>
    </w:p>
    <w:p>
      <w:pPr>
        <w:ind w:left="700" w:right="4699" w:hanging="357"/>
        <w:spacing w:after="0" w:line="273" w:lineRule="auto"/>
        <w:tabs>
          <w:tab w:leader="none" w:pos="700"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seeking to acquire licenses to the allegedly infringed patents, which may not be available on commercially reasonable terms, if at all;</w:t>
      </w:r>
    </w:p>
    <w:p>
      <w:pPr>
        <w:spacing w:after="0" w:line="121" w:lineRule="exact"/>
        <w:rPr>
          <w:rFonts w:ascii="Courier New" w:cs="Courier New" w:eastAsia="Courier New" w:hAnsi="Courier New"/>
          <w:sz w:val="11"/>
          <w:szCs w:val="11"/>
          <w:color w:val="auto"/>
        </w:rPr>
      </w:pPr>
    </w:p>
    <w:p>
      <w:pPr>
        <w:ind w:left="700" w:right="4619" w:hanging="357"/>
        <w:spacing w:after="0" w:line="236"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discontinuing use of certain process technologies, architectures, or designs, which could cause us to stop manufacturing certain integrated circuits if we were unable to design around the allegedly infringed patents;</w:t>
      </w:r>
    </w:p>
    <w:p>
      <w:pPr>
        <w:spacing w:after="0" w:line="140"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fighting the matter in court and paying substantial monetary damages in the event we lose; or</w:t>
      </w:r>
    </w:p>
    <w:p>
      <w:pPr>
        <w:spacing w:after="0" w:line="139" w:lineRule="exact"/>
        <w:rPr>
          <w:rFonts w:ascii="Courier New" w:cs="Courier New" w:eastAsia="Courier New" w:hAnsi="Courier New"/>
          <w:sz w:val="12"/>
          <w:szCs w:val="12"/>
          <w:color w:val="auto"/>
        </w:rPr>
      </w:pPr>
    </w:p>
    <w:p>
      <w:pPr>
        <w:ind w:left="700" w:right="5039" w:hanging="357"/>
        <w:spacing w:after="0" w:line="235"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seeking to develop non-infringing technologies, which may not be feasible.</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3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As of March 31, 2007, we held 61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COULD BE SERIOUSLY HARMED BY FAILURE TO COMPLY WITH ENVIRONMENTAL</w:t>
      </w:r>
    </w:p>
    <w:p>
      <w:pPr>
        <w:spacing w:after="0"/>
        <w:rPr>
          <w:sz w:val="20"/>
          <w:szCs w:val="20"/>
          <w:color w:val="auto"/>
        </w:rPr>
      </w:pPr>
      <w:r>
        <w:rPr>
          <w:rFonts w:ascii="Courier New" w:cs="Courier New" w:eastAsia="Courier New" w:hAnsi="Courier New"/>
          <w:sz w:val="12"/>
          <w:szCs w:val="12"/>
          <w:color w:val="auto"/>
        </w:rPr>
        <w:t>REGULATIONS.</w:t>
      </w:r>
    </w:p>
    <w:p>
      <w:pPr>
        <w:spacing w:after="0" w:line="138"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ectPr>
          <w:pgSz w:w="11900" w:h="16838" w:orient="portrait"/>
          <w:cols w:equalWidth="0" w:num="1">
            <w:col w:w="10239"/>
          </w:cols>
          <w:pgMar w:left="220" w:top="141" w:right="1440" w:bottom="0" w:gutter="0" w:footer="0" w:header="0"/>
        </w:sectPr>
      </w:pPr>
    </w:p>
    <w:p>
      <w:pPr>
        <w:spacing w:after="0" w:line="276"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- 13 -</w:t>
      </w:r>
    </w:p>
    <w:p>
      <w:pPr>
        <w:sectPr>
          <w:pgSz w:w="11900" w:h="16838" w:orient="portrait"/>
          <w:cols w:equalWidth="0" w:num="1">
            <w:col w:w="10239"/>
          </w:cols>
          <w:pgMar w:left="220" w:top="141" w:right="1440" w:bottom="0" w:gutter="0" w:footer="0" w:header="0"/>
          <w:type w:val="continuous"/>
        </w:sectPr>
      </w:pPr>
    </w:p>
    <w:bookmarkStart w:id="8" w:name="page9"/>
    <w:bookmarkEnd w:id="8"/>
    <w:p>
      <w:pPr>
        <w:ind w:right="4759"/>
        <w:spacing w:after="0" w:line="235" w:lineRule="auto"/>
        <w:rPr>
          <w:sz w:val="20"/>
          <w:szCs w:val="20"/>
          <w:color w:val="auto"/>
        </w:rPr>
      </w:pPr>
      <w:r>
        <w:rPr>
          <w:rFonts w:ascii="Courier New" w:cs="Courier New" w:eastAsia="Courier New" w:hAnsi="Courier New"/>
          <w:sz w:val="12"/>
          <w:szCs w:val="12"/>
          <w:color w:val="auto"/>
        </w:rPr>
        <w:t>WE ARE SUBJECT TO THE RISK OF LOSS DUE TO FIRE BECAUSE THE MATERIALS WE USE IN OUR MANUFACTURING PROCESSES ARE HIGHLY FLAMMABLE.</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POSSIBLE PRODUCT RETURNS COULD HARM OUR BUSINESS.</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Products manufactured by us may be returned within specified periods if they are defective or otherwise fail to meet customers' prior agreed upon specifications. Product returns in excess of established provisions, if any, may have an adverse effect on our business and financial condition.</w:t>
      </w:r>
    </w:p>
    <w:p>
      <w:pPr>
        <w:spacing w:after="0" w:line="141"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WE MAY BE REQUIRED TO REPAY GRANTS TO THE INVESTMENT CENTER THAT WE RECEIVED IN CONNECTION WITH FAB 1.</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with the Investment Center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ARE SUBJECT TO RISKS RELATED TO OUR INTERNATIONAL OPERATIONS.</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We have made substantial sales to customers located in Asia-Pacific and in Europe. Because of our international operations, we are vulnerable to the following risks:</w:t>
      </w:r>
    </w:p>
    <w:p>
      <w:pPr>
        <w:spacing w:after="0" w:line="139" w:lineRule="exact"/>
        <w:rPr>
          <w:sz w:val="20"/>
          <w:szCs w:val="20"/>
          <w:color w:val="auto"/>
        </w:rPr>
      </w:pPr>
    </w:p>
    <w:p>
      <w:pPr>
        <w:ind w:left="700" w:right="4619" w:hanging="357"/>
        <w:spacing w:after="0" w:line="236" w:lineRule="auto"/>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need to comply with foreign government regulation;</w:t>
      </w:r>
    </w:p>
    <w:p>
      <w:pPr>
        <w:spacing w:after="0" w:line="138" w:lineRule="exact"/>
        <w:rPr>
          <w:rFonts w:ascii="Courier New" w:cs="Courier New" w:eastAsia="Courier New" w:hAnsi="Courier New"/>
          <w:sz w:val="12"/>
          <w:szCs w:val="12"/>
          <w:color w:val="auto"/>
        </w:rPr>
      </w:pPr>
    </w:p>
    <w:p>
      <w:pPr>
        <w:ind w:left="700" w:right="4619" w:hanging="357"/>
        <w:spacing w:after="0" w:line="236" w:lineRule="auto"/>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geopolitical risks such as political and economic instability, potential hostilities and changes in diplomatic and trade relationships;</w:t>
      </w:r>
    </w:p>
    <w:p>
      <w:pPr>
        <w:spacing w:after="0" w:line="139" w:lineRule="exact"/>
        <w:rPr>
          <w:rFonts w:ascii="Courier New" w:cs="Courier New" w:eastAsia="Courier New" w:hAnsi="Courier New"/>
          <w:sz w:val="12"/>
          <w:szCs w:val="12"/>
          <w:color w:val="auto"/>
        </w:rPr>
      </w:pPr>
    </w:p>
    <w:p>
      <w:pPr>
        <w:ind w:left="700" w:right="4979" w:hanging="357"/>
        <w:spacing w:after="0" w:line="235" w:lineRule="auto"/>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natural disasters affecting the countries in which we conduct our business;</w:t>
      </w:r>
    </w:p>
    <w:p>
      <w:pPr>
        <w:spacing w:after="0" w:line="139" w:lineRule="exact"/>
        <w:rPr>
          <w:rFonts w:ascii="Courier New" w:cs="Courier New" w:eastAsia="Courier New" w:hAnsi="Courier New"/>
          <w:sz w:val="12"/>
          <w:szCs w:val="12"/>
          <w:color w:val="auto"/>
        </w:rPr>
      </w:pPr>
    </w:p>
    <w:p>
      <w:pPr>
        <w:ind w:left="700" w:right="4619" w:hanging="357"/>
        <w:spacing w:after="0" w:line="273" w:lineRule="auto"/>
        <w:tabs>
          <w:tab w:leader="none" w:pos="700"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reduced sales to our customers or interruption in our manufacturing processes in Asia Pacific that may arise from regional issues in Asia;</w:t>
      </w:r>
    </w:p>
    <w:p>
      <w:pPr>
        <w:spacing w:after="0" w:line="121" w:lineRule="exact"/>
        <w:rPr>
          <w:rFonts w:ascii="Courier New" w:cs="Courier New" w:eastAsia="Courier New" w:hAnsi="Courier New"/>
          <w:sz w:val="11"/>
          <w:szCs w:val="11"/>
          <w:color w:val="auto"/>
        </w:rPr>
      </w:pPr>
    </w:p>
    <w:p>
      <w:pPr>
        <w:ind w:left="700" w:right="4979" w:hanging="357"/>
        <w:spacing w:after="0" w:line="235" w:lineRule="auto"/>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imposition of regulatory requirements, tariffs, import and export restrictions and other barriers and restrictions;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adverse tax rules and regulations;</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14 -</w:t>
      </w:r>
    </w:p>
    <w:p>
      <w:pPr>
        <w:spacing w:after="0" w:line="200" w:lineRule="exact"/>
        <w:rPr>
          <w:rFonts w:ascii="Courier New" w:cs="Courier New" w:eastAsia="Courier New" w:hAnsi="Courier New"/>
          <w:sz w:val="12"/>
          <w:szCs w:val="12"/>
          <w:color w:val="auto"/>
        </w:rPr>
      </w:pPr>
    </w:p>
    <w:p>
      <w:pPr>
        <w:spacing w:after="0" w:line="321"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weak protection of our intellectual property rights; and</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delays in product shipments due to local customs restrictions.</w:t>
      </w:r>
    </w:p>
    <w:p>
      <w:pPr>
        <w:spacing w:after="0" w:line="139" w:lineRule="exact"/>
        <w:rPr>
          <w:sz w:val="20"/>
          <w:szCs w:val="20"/>
          <w:color w:val="auto"/>
        </w:rPr>
      </w:pPr>
    </w:p>
    <w:p>
      <w:pPr>
        <w:ind w:right="5039"/>
        <w:spacing w:after="0" w:line="235" w:lineRule="auto"/>
        <w:rPr>
          <w:sz w:val="20"/>
          <w:szCs w:val="20"/>
          <w:color w:val="auto"/>
        </w:rPr>
      </w:pPr>
      <w:r>
        <w:rPr>
          <w:rFonts w:ascii="Courier New" w:cs="Courier New" w:eastAsia="Courier New" w:hAnsi="Courier New"/>
          <w:sz w:val="12"/>
          <w:szCs w:val="12"/>
          <w:color w:val="auto"/>
        </w:rPr>
        <w:t>OUR BUSINESS COULD SUFFER IF WE ARE UNABLE TO RETAIN AND RECRUIT QUALIFIED PERSONNEL.</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RISKS RELATED TO OUR SECURITIES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OUR STOCK PRICE MAY BE VOLATILE IN THE FUTURE.</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41" w:lineRule="exact"/>
        <w:rPr>
          <w:sz w:val="20"/>
          <w:szCs w:val="20"/>
          <w:color w:val="auto"/>
        </w:rPr>
      </w:pPr>
    </w:p>
    <w:p>
      <w:pPr>
        <w:ind w:right="4759" w:firstLine="351"/>
        <w:spacing w:after="0" w:line="266" w:lineRule="auto"/>
        <w:rPr>
          <w:sz w:val="20"/>
          <w:szCs w:val="20"/>
          <w:color w:val="auto"/>
        </w:rPr>
      </w:pPr>
      <w:r>
        <w:rPr>
          <w:rFonts w:ascii="Courier New" w:cs="Courier New" w:eastAsia="Courier New" w:hAnsi="Courier New"/>
          <w:sz w:val="11"/>
          <w:szCs w:val="11"/>
          <w:color w:val="auto"/>
        </w:rPr>
        <w:t>In addition, it is possible that in some future periods our operating results may be below the expectations of public market analysts and investors. In this event, the price of our securities may under perform or fall.</w:t>
      </w:r>
    </w:p>
    <w:p>
      <w:pPr>
        <w:spacing w:after="0" w:line="126"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As of May 31, 2007 we had approximately 122.2 million ordinary shares outstanding and have outstanding securities convertible or exercisable into up to approximately 248.7 million ordinary shares including: (i) up to 26.6 million ordinary shares issueable upon the conversion of our 2005 outstanding convertible debentures held by some of our major shareholders and others at a conversion rate of $1.10; (ii) 8.3 million warrants issued to our banks with an exercise price of $1.21; (iii) 24.3 million warrants with an exercise price of approximately $1.70; (iv) up to 24.2 million ordinary shares issueable upon the conversion of our 2006 outstanding convertible debentures at a conversion rate</w:t>
      </w:r>
    </w:p>
    <w:p>
      <w:pPr>
        <w:sectPr>
          <w:pgSz w:w="11900" w:h="16838" w:orient="portrait"/>
          <w:cols w:equalWidth="0" w:num="1">
            <w:col w:w="10239"/>
          </w:cols>
          <w:pgMar w:left="220" w:top="54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2"/>
          <w:szCs w:val="12"/>
          <w:color w:val="auto"/>
        </w:rPr>
        <w:t>of approximately $2.00; (v) 9.4 million warrants with an exercise price of</w:t>
      </w:r>
    </w:p>
    <w:p>
      <w:pPr>
        <w:spacing w:after="0" w:line="4"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$2.04; (vi) 5.2 million warrants with an exercise price of approximately $$2.3; and (vii) 30.7 million employee and director options with a weighted average exercise price of $1.86 (including options granted to our CEO). Additionally, in September 2006, we issued equity equivalent capital notes to our banks and to Israel Corp., which are convertible for no additional consideration, into approximately 52 million and 65.8 million of our ordinary shares, respectively.</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- 15 -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for purchase orders placed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last day of the relevant quarter. As of May 31, 2007, we had issued approximately 6 million of our ordinary shares to SanDisk Corporation and approximately 2.6 million ordinary shares to Alliance Semiconductor upon conversion of approximately $14 million of wafer credits. We expect that up to approximately $2.7 million of these credits may be further converted into our ordinary shares. 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audit committee and board of directors and shareholders approved the grant of options to our CEO, such that during the 24 month period ending in May 2008, the CEO will hold options to purchase shares that represent 4% of our shares on a fully diluted basis. Our board of directors further approved the allocation of additional options to be made available for grant to our employees if the total number of employee options, including the options to our CEO, during a 24 month period ending in May 2008 will represent less than 8% of our shares on a fully diluted basis.</w:t>
      </w:r>
    </w:p>
    <w:p>
      <w:pPr>
        <w:spacing w:after="0" w:line="142"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If we obtain Investment Center approval for an expansion plan (see Item 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Key Information - Risk Factors - Risk Affecting Our Business - "If the</w:t>
      </w:r>
    </w:p>
    <w:p>
      <w:pPr>
        <w:spacing w:after="0"/>
        <w:rPr>
          <w:sz w:val="20"/>
          <w:szCs w:val="20"/>
          <w:color w:val="auto"/>
        </w:rPr>
      </w:pPr>
      <w:r>
        <w:rPr>
          <w:rFonts w:ascii="Courier New" w:cs="Courier New" w:eastAsia="Courier New" w:hAnsi="Courier New"/>
          <w:sz w:val="12"/>
          <w:szCs w:val="12"/>
          <w:color w:val="auto"/>
        </w:rPr>
        <w:t>Investment Center will not approve our request for a new expansion</w:t>
      </w:r>
    </w:p>
    <w:p>
      <w:pPr>
        <w:spacing w:after="0" w:line="237" w:lineRule="auto"/>
        <w:rPr>
          <w:sz w:val="20"/>
          <w:szCs w:val="20"/>
          <w:color w:val="auto"/>
        </w:rPr>
      </w:pPr>
      <w:r>
        <w:rPr>
          <w:rFonts w:ascii="Courier New" w:cs="Courier New" w:eastAsia="Courier New" w:hAnsi="Courier New"/>
          <w:sz w:val="12"/>
          <w:szCs w:val="12"/>
          <w:color w:val="auto"/>
        </w:rPr>
        <w:t>program,..."), we will still need to raise considerable additional funds from</w:t>
      </w:r>
    </w:p>
    <w:p>
      <w:pPr>
        <w:spacing w:after="0"/>
        <w:rPr>
          <w:sz w:val="20"/>
          <w:szCs w:val="20"/>
          <w:color w:val="auto"/>
        </w:rPr>
      </w:pPr>
      <w:r>
        <w:rPr>
          <w:rFonts w:ascii="Courier New" w:cs="Courier New" w:eastAsia="Courier New" w:hAnsi="Courier New"/>
          <w:sz w:val="12"/>
          <w:szCs w:val="12"/>
          <w:color w:val="auto"/>
        </w:rPr>
        <w:t>other sources to finance the ramp-up of Fab 2 to exceed capacity of 24,000</w:t>
      </w:r>
    </w:p>
    <w:p>
      <w:pPr>
        <w:spacing w:after="0" w:line="237" w:lineRule="auto"/>
        <w:rPr>
          <w:sz w:val="20"/>
          <w:szCs w:val="20"/>
          <w:color w:val="auto"/>
        </w:rPr>
      </w:pPr>
      <w:r>
        <w:rPr>
          <w:rFonts w:ascii="Courier New" w:cs="Courier New" w:eastAsia="Courier New" w:hAnsi="Courier New"/>
          <w:sz w:val="12"/>
          <w:szCs w:val="12"/>
          <w:color w:val="auto"/>
        </w:rPr>
        <w:t>wafers per month, should we decide to further increase Fab 2's capacity, for</w:t>
      </w:r>
    </w:p>
    <w:p>
      <w:pPr>
        <w:spacing w:after="0"/>
        <w:rPr>
          <w:sz w:val="20"/>
          <w:szCs w:val="20"/>
          <w:color w:val="auto"/>
        </w:rPr>
      </w:pPr>
      <w:r>
        <w:rPr>
          <w:rFonts w:ascii="Courier New" w:cs="Courier New" w:eastAsia="Courier New" w:hAnsi="Courier New"/>
          <w:sz w:val="12"/>
          <w:szCs w:val="12"/>
          <w:color w:val="auto"/>
        </w:rPr>
        <w:t>which we currently estimate we would need to raise approximately up to $120</w:t>
      </w:r>
    </w:p>
    <w:p>
      <w:pPr>
        <w:spacing w:after="0" w:line="237" w:lineRule="auto"/>
        <w:rPr>
          <w:sz w:val="20"/>
          <w:szCs w:val="20"/>
          <w:color w:val="auto"/>
        </w:rPr>
      </w:pPr>
      <w:r>
        <w:rPr>
          <w:rFonts w:ascii="Courier New" w:cs="Courier New" w:eastAsia="Courier New" w:hAnsi="Courier New"/>
          <w:sz w:val="12"/>
          <w:szCs w:val="12"/>
          <w:color w:val="auto"/>
        </w:rPr>
        <w:t>million to fully ramp-up Fab 2, including the approximately $40 million raised</w:t>
      </w:r>
    </w:p>
    <w:p>
      <w:pPr>
        <w:spacing w:after="0"/>
        <w:rPr>
          <w:sz w:val="20"/>
          <w:szCs w:val="20"/>
          <w:color w:val="auto"/>
        </w:rPr>
      </w:pPr>
      <w:r>
        <w:rPr>
          <w:rFonts w:ascii="Courier New" w:cs="Courier New" w:eastAsia="Courier New" w:hAnsi="Courier New"/>
          <w:sz w:val="12"/>
          <w:szCs w:val="12"/>
          <w:color w:val="auto"/>
        </w:rPr>
        <w:t>in our June 2007 private placement.</w:t>
      </w:r>
    </w:p>
    <w:p>
      <w:pPr>
        <w:spacing w:after="0" w:line="138"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In connection with these financings, we may issue shares or securities convertible into shares, which may materially dilute the holdings of our current shareholders.</w:t>
      </w:r>
    </w:p>
    <w:p>
      <w:pPr>
        <w:spacing w:after="0" w:line="139"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2"/>
          <w:szCs w:val="12"/>
          <w:color w:val="auto"/>
        </w:rPr>
        <w:t>MARKET SALES OF LARGE AMOUNTS OF OUR SHARES ELIGIBLE FOR FUTURE SALE MAY LOWER THE PRICE OF OUR ORDINARY SHARES.</w:t>
      </w:r>
    </w:p>
    <w:p>
      <w:pPr>
        <w:spacing w:after="0" w:line="139"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Of our approximately 122.2 million outstanding ordinary shares as of May 31, 2007, approximately 59.2 million are freely tradable and held by non-affiliates under US securities laws. In addition, certain of our affiliates (Israel Corp., SanDisk Corporation, Alliance Semiconductor, and Macronix International) hold approximately 44.2 million of our shares, of which (i) approximately 3.3 million are registered for resale and are therefore freely tradable under US securities laws, (ii) approximately 37.1 million are currently eligible for sale subject to the time, volume and manner of sale limitations of Rule 144 promulgated under the US Securities Act of 1933, as amended, and (iii) approximately 3.8 million shares held by SanDisk Corporation, will become eligible for sale subject to the volume and manner of sale limitations of Rule 144 during 2007and 2008. Shares held by these affiliates are subject to the share transfer restrictions set forth in the shareholders agreement to which they are a party and which remain in effect through January 2008. As of May 31, 2007 up to approximately 26.6 million additional shares issuable upon the conversion of our 2005 convertible debentures are held by non-affiliates or are registered for resale and are therefore freely tradable under US securities laws. In addition, approximately (i) 9.2 million shares issuable upon the exercise of warrants we granted to our banks and (ii) approximately 18.8 million shares issued in our March 2007 private placement, as well as approximately 28.2 million shares issuable upon exercise of warrants issued in such transaction, are registered for resale and are therefore freely tradable under US securities laws. The additional up to: (i) approximately 29.7 million shares issuable upon the conversion and/or exercise of the securities sold in our June 2006 public offering in Israel and (ii) approximately 5.2 million shares issuable upon exercise of warrants sold in private placements completed in November 2006 are freely tradeable in normal trading transactions in the United States. Furthermore, we have filed a registration statement covering the resale of an additional up to approximately 117.8 million shares issuable upon the conversion of equity equivalent convertible capital notes issued to our banks and Israel Corp. and if declared effective, such shares would be freely tradeable under US securities laws.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200" w:lineRule="exact"/>
        <w:rPr>
          <w:sz w:val="20"/>
          <w:szCs w:val="20"/>
          <w:color w:val="auto"/>
        </w:rPr>
      </w:pPr>
    </w:p>
    <w:p>
      <w:pPr>
        <w:spacing w:after="0" w:line="34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- 16 -</w:t>
      </w:r>
    </w:p>
    <w:p>
      <w:pPr>
        <w:spacing w:after="0" w:line="200" w:lineRule="exact"/>
        <w:rPr>
          <w:sz w:val="20"/>
          <w:szCs w:val="20"/>
          <w:color w:val="auto"/>
        </w:rPr>
      </w:pPr>
    </w:p>
    <w:p>
      <w:pPr>
        <w:spacing w:after="0" w:line="326"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OUR PRINCIPAL SHAREHOLDERS COLLECTIVELY OWN A CONTROLLING INTEREST IN US AND WILL BE ABLE TO EXERCISE THEIR VOTING RIGHTS IN WAYS WHICH MAY BE ADVERSE TO THE INTERESTS OF OUR OTHER SHAREHOLDERS.</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As of, May 31, 2007 our major wafer partners and Israel Corp. collectively owned approximately 36% of our outstanding shares. In the event Israel Corp. would exercise its equity convertible capital notes, our major wafer partners and Israel Corp. would collectively own approximately 58.5% %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w:t>
      </w:r>
    </w:p>
    <w:p>
      <w:pPr>
        <w:sectPr>
          <w:pgSz w:w="11900" w:h="16838" w:orient="portrait"/>
          <w:cols w:equalWidth="0" w:num="1">
            <w:col w:w="10239"/>
          </w:cols>
          <w:pgMar w:left="220" w:top="137" w:right="1440" w:bottom="0" w:gutter="0" w:footer="0" w:header="0"/>
        </w:sectPr>
      </w:pPr>
    </w:p>
    <w:bookmarkStart w:id="10" w:name="page11"/>
    <w:bookmarkEnd w:id="10"/>
    <w:p>
      <w:pPr>
        <w:ind w:right="4979"/>
        <w:spacing w:after="0" w:line="235" w:lineRule="auto"/>
        <w:rPr>
          <w:sz w:val="20"/>
          <w:szCs w:val="20"/>
          <w:color w:val="auto"/>
        </w:rPr>
      </w:pPr>
      <w:r>
        <w:rPr>
          <w:rFonts w:ascii="Courier New" w:cs="Courier New" w:eastAsia="Courier New" w:hAnsi="Courier New"/>
          <w:sz w:val="12"/>
          <w:szCs w:val="12"/>
          <w:color w:val="auto"/>
        </w:rPr>
        <w:t>may exercise this control in a manner adverse to the interests of our other shareholders.</w:t>
      </w:r>
    </w:p>
    <w:p>
      <w:pPr>
        <w:spacing w:after="0" w:line="139"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THE PAYMENT OF THE REDEMPTION AMOUNT ON ACCOUNT OF OUR OUTSTANDING DEBENTURES IS SUBORDINATED TO OUR INDEBTEDNESS TO OUR BANKS AND OBLIGATIONS TO SECURED CREDITORS.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 payment of the redemption amount on account of our outstanding debentures is subordinated to the prior payment of all amounts payable by us to our banks under our credit facility agreement with them, to any obligations to the Investment Center of the Israeli Ministry of Industry, Trade and Labor related to approximately $165 million in grants received as of May 31, 2007 under the Investment Center's "Approved Enterprise" program in relation to Fab 2,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credit facility agreement.</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MAY INCUR ADDITIONAL INDEBTEDNESS.</w:t>
      </w:r>
    </w:p>
    <w:p>
      <w:pPr>
        <w:spacing w:after="0" w:line="139" w:lineRule="exact"/>
        <w:rPr>
          <w:sz w:val="20"/>
          <w:szCs w:val="20"/>
          <w:color w:val="auto"/>
        </w:rPr>
      </w:pPr>
    </w:p>
    <w:p>
      <w:pPr>
        <w:ind w:right="4619" w:firstLine="351"/>
        <w:spacing w:after="0" w:line="264" w:lineRule="auto"/>
        <w:rPr>
          <w:sz w:val="20"/>
          <w:szCs w:val="20"/>
          <w:color w:val="auto"/>
        </w:rPr>
      </w:pPr>
      <w:r>
        <w:rPr>
          <w:rFonts w:ascii="Courier New" w:cs="Courier New" w:eastAsia="Courier New" w:hAnsi="Courier New"/>
          <w:sz w:val="11"/>
          <w:szCs w:val="11"/>
          <w:color w:val="auto"/>
        </w:rPr>
        <w:t>Although we are limited by the covenants in our credit facility agreement with our banks, we could enter into certain transactions that would increase the amount of our outstanding indebtedness. If new indebtedness is added to our current indebtedness levels, the related risks that we now face could intensify.</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- 17 -</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RISKS RELATED TO OUR OPERATIONS IN ISRAEL</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INSTABILITY IN ISRAEL MAY HARM OUR BUSINESS.</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All of our manufacturing facilities and our corporate and some of our sales offices are located in Israel. Accordingly, political, economic and military conditions in Israel may directly affect our business.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42"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OUR OPERATIONS MAY BE NEGATIVELY AFFECTED BY THE OBLIGATIONS OF OUR PERSONNEL TO PERFORM MILITARY SERVICE.</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OUR OPERATIONS MAY BE AFFECTED BY NEGATIVE ECONOMIC CONDITIONS IN ISRAEL.</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- 18 -</w:t>
      </w:r>
    </w:p>
    <w:p>
      <w:pPr>
        <w:spacing w:after="0" w:line="200" w:lineRule="exact"/>
        <w:rPr>
          <w:sz w:val="20"/>
          <w:szCs w:val="20"/>
          <w:color w:val="auto"/>
        </w:rPr>
      </w:pPr>
    </w:p>
    <w:p>
      <w:pPr>
        <w:spacing w:after="0" w:line="326"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IF THE EXEMPTION ALLOWING US TO OPERATE OUR MANUFACTURING FACILITIES SEVEN DAYS A WEEK IS NOT RENEWED, OUR BUSINESS WILL BE ADVERSELY AFFECTED.</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operate our manufacturing facilities seven days a week pursuant to an exemption from the law that requires businesses in Israel to be closed from sundown on Friday through sundown on Saturday. This exemption expires by its terms on December 31, 2007.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IF WE ARE CONSIDERED TO BE A PASSIVE FOREIGN INVESTMENT COMPANY, EITHER</w:t>
      </w:r>
    </w:p>
    <w:p>
      <w:pPr>
        <w:spacing w:after="0"/>
        <w:rPr>
          <w:sz w:val="20"/>
          <w:szCs w:val="20"/>
          <w:color w:val="auto"/>
        </w:rPr>
      </w:pPr>
      <w:r>
        <w:rPr>
          <w:rFonts w:ascii="Courier New" w:cs="Courier New" w:eastAsia="Courier New" w:hAnsi="Courier New"/>
          <w:sz w:val="12"/>
          <w:szCs w:val="12"/>
          <w:color w:val="auto"/>
        </w:rPr>
        <w:t>PRESENTLY OR IN THE FUTURE, US HOLDERS WILL BE SUBJECT TO ADVERSE US TAX</w:t>
      </w:r>
    </w:p>
    <w:p>
      <w:pPr>
        <w:spacing w:after="0" w:line="237" w:lineRule="auto"/>
        <w:rPr>
          <w:sz w:val="20"/>
          <w:szCs w:val="20"/>
          <w:color w:val="auto"/>
        </w:rPr>
      </w:pPr>
      <w:r>
        <w:rPr>
          <w:rFonts w:ascii="Courier New" w:cs="Courier New" w:eastAsia="Courier New" w:hAnsi="Courier New"/>
          <w:sz w:val="12"/>
          <w:szCs w:val="12"/>
          <w:color w:val="auto"/>
        </w:rPr>
        <w:t>CONSEQUENCES.</w:t>
      </w:r>
    </w:p>
    <w:p>
      <w:pPr>
        <w:sectPr>
          <w:pgSz w:w="11900" w:h="16838" w:orient="portrait"/>
          <w:cols w:equalWidth="0" w:num="1">
            <w:col w:w="10239"/>
          </w:cols>
          <w:pgMar w:left="220" w:top="141" w:right="1440" w:bottom="0" w:gutter="0" w:footer="0" w:header="0"/>
        </w:sectPr>
      </w:pPr>
    </w:p>
    <w:bookmarkStart w:id="11" w:name="page12"/>
    <w:bookmarkEnd w:id="11"/>
    <w:p>
      <w:pPr>
        <w:ind w:right="4619" w:firstLine="351"/>
        <w:spacing w:after="0" w:line="238" w:lineRule="auto"/>
        <w:rPr>
          <w:sz w:val="20"/>
          <w:szCs w:val="20"/>
          <w:color w:val="auto"/>
        </w:rPr>
      </w:pPr>
      <w:r>
        <w:rPr>
          <w:rFonts w:ascii="Courier New" w:cs="Courier New" w:eastAsia="Courier New" w:hAnsi="Courier New"/>
          <w:sz w:val="12"/>
          <w:szCs w:val="12"/>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45" w:lineRule="exact"/>
        <w:rPr>
          <w:sz w:val="20"/>
          <w:szCs w:val="20"/>
          <w:color w:val="auto"/>
        </w:rPr>
      </w:pPr>
    </w:p>
    <w:p>
      <w:pPr>
        <w:jc w:val="both"/>
        <w:ind w:right="5039"/>
        <w:spacing w:after="0" w:line="236" w:lineRule="auto"/>
        <w:rPr>
          <w:sz w:val="20"/>
          <w:szCs w:val="20"/>
          <w:color w:val="auto"/>
        </w:rPr>
      </w:pPr>
      <w:r>
        <w:rPr>
          <w:rFonts w:ascii="Courier New" w:cs="Courier New" w:eastAsia="Courier New" w:hAnsi="Courier New"/>
          <w:sz w:val="12"/>
          <w:szCs w:val="12"/>
          <w:color w:val="auto"/>
        </w:rPr>
        <w:t>IT MAY BE DIFFICULT TO ENFORCE A US JUDGMENT AGAINST US, OUR OFFICERS AND DIRECTORS AND SOME OF THE EXPERTS NAMED IN THIS PROSPECTUS OR TO ASSERT US SECURITIES LAW CLAIMS IN ISRAEL.</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4. INFORMATION ON THE COMPANY</w:t>
      </w:r>
    </w:p>
    <w:p>
      <w:pPr>
        <w:spacing w:after="0" w:line="134" w:lineRule="exact"/>
        <w:rPr>
          <w:sz w:val="20"/>
          <w:szCs w:val="20"/>
          <w:color w:val="auto"/>
        </w:rPr>
      </w:pPr>
    </w:p>
    <w:p>
      <w:pPr>
        <w:ind w:left="700" w:hanging="357"/>
        <w:spacing w:after="0"/>
        <w:tabs>
          <w:tab w:leader="none" w:pos="700"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HISTORY AND DEVELOPMENT OF THE COMPANY</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design services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- 19 -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are focused on establishing leading market share in high-growth specialized markets by providing our customers with high-value wafer foundry services. Our historical focus has been standard digital complementary metal oxide semiconductor ("CMOS") process technology, which is the most widely used method of producing ICs. We are currently focused on the emerging opportunities in the fields of CMOS image sensors, embedded flash, mixed-signal, radio frequency CMOS (RFCMOS), radio frequency identification (RFID) technologies and power management. To better serve our customers, we have developed and are continuously expanding our technology offerings for use in these fields. Through our expertise and experience gained over fourteen years of operations, we differentiate ourselves by creating a high level of value for our clients through innovative technological processes, design support and services, competitive manufacturing indices, such as cycle times and yields, and dedicated customer service.</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Production capacity in Fab 1 as of May 31, 2007 was approximately 16,000 wafers per month depending on process technology and product mix.</w:t>
      </w:r>
    </w:p>
    <w:p>
      <w:pPr>
        <w:spacing w:after="0" w:line="13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We are currently implementing our plan to ramp-up the capacity of Fab 2 to 24,000 wafer starts per month. Production capacity of Fab 2 as of May 31, 2007 was approximately 21,000 wafers per month. Depending on the process technology and product mix, when fully ramped-up we estimate that Fab 2 will be able to achieve capacity levels of up to approximately 40,000 wafers per month. We have not yet made a decision as to the timing of the commencement of any further ramp-up of Fab 2 capacity beyond 24,000 wafer starts per month. The timing of that decision and its implementation will depend upon several factors, including, funding, and cost availability of equipment and market conditions.</w:t>
      </w:r>
    </w:p>
    <w:p>
      <w:pPr>
        <w:spacing w:after="0" w:line="140"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Our capital expenditures, net of Investment Center grants, for 2006, 2005 and 2004 of approximately $147 million, $24 million and $142 million, respectively, were made principally in connection with the construction of, and purchase of equipment and technology for, Fab 2.</w:t>
      </w:r>
    </w:p>
    <w:p>
      <w:pPr>
        <w:spacing w:after="0" w:line="141"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Our legal and commercial name is Tower Semiconductor Ltd. We were incorporated under the laws of Israel. Our manufacturing facilities and executive offices are located in the Ramat Gavriel Industrial Park, Post Office Box 619, Migdal Haemek, 23105 Israel, and our telephone number is</w:t>
      </w:r>
    </w:p>
    <w:p>
      <w:pPr>
        <w:sectPr>
          <w:pgSz w:w="11900" w:h="16838" w:orient="portrait"/>
          <w:cols w:equalWidth="0" w:num="1">
            <w:col w:w="10239"/>
          </w:cols>
          <w:pgMar w:left="220" w:top="141" w:right="1440" w:bottom="0" w:gutter="0" w:footer="0" w:header="0"/>
        </w:sectPr>
      </w:pPr>
    </w:p>
    <w:bookmarkStart w:id="12" w:name="page13"/>
    <w:bookmarkEnd w:id="12"/>
    <w:p>
      <w:pPr>
        <w:ind w:right="4759"/>
        <w:spacing w:after="0" w:line="236" w:lineRule="auto"/>
        <w:rPr>
          <w:sz w:val="20"/>
          <w:szCs w:val="20"/>
          <w:color w:val="auto"/>
        </w:rPr>
      </w:pPr>
      <w:r>
        <w:rPr>
          <w:rFonts w:ascii="Courier New" w:cs="Courier New" w:eastAsia="Courier New" w:hAnsi="Courier New"/>
          <w:sz w:val="12"/>
          <w:szCs w:val="12"/>
          <w:color w:val="auto"/>
        </w:rPr>
        <w:t>972-4-650-6611. Our worldwide web site is located at http://www.towersemi.com. Information on our web site is not incorporated by reference in this annual report.</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- 20 -</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RECENT DEVELOPMENTS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In June 2007, in a private placement with Israeli investors, we accepted orders for 342 units, resulting in gross proceeds of approximately 167 million NIS ($40 million). Each unit was comprised of: (i) long-term non-convertible bonds, repayable in six equal annual installments between the dates of December 2011 and December 2016, with a face amount of NIS 250,000 (approximately $59,700) and carrying an annual interest rate of 8 percent; (ii) long-term convertible bonds repayable in January 2013 with a 17.2 NIS conversion price (approximately $4.11) and with a face amount of NIS 262,500 (approximately $62,700), carrying an annual interest rate of 8 percent, and (iii) 5,800 warrants, each exercisable for four years from the date the below mentioned prospectus is published, for one ordinary share at a price of $2.04 (approximately 8.54 NIS). Principal and interest on the bonds, including the convertible bonds, are linked to the Israeli consumer price index, or CPI, and were issued at 95.5% of par value. The conversion and exercise prices are subject to reduction in certain limited circumstances. Under Israeli securities laws, the securities are subject to a statutory lock-up. The Company has undertaken to file a prospectus with the Israel Securities Authority to allow for the unrestricted trade of the securities. The funds raised are being held in escrow and will be released to the Company if the prospectus is declared effective by the Israel Securities Authority within 90 days from the date of the offering. In the event the prospectus is not declared effective by the Israel Securities Authority, the holders of the bonds, including the convertible bonds, may elect to have the Company redeem the bonds. Under US securities laws, the securities sold are freely tradeable in normal trading transactions in the United States.</w:t>
      </w:r>
    </w:p>
    <w:p>
      <w:pPr>
        <w:spacing w:after="0" w:line="143" w:lineRule="exact"/>
        <w:rPr>
          <w:sz w:val="20"/>
          <w:szCs w:val="20"/>
          <w:color w:val="auto"/>
        </w:rPr>
      </w:pPr>
    </w:p>
    <w:p>
      <w:pPr>
        <w:ind w:right="8359" w:firstLine="343"/>
        <w:spacing w:after="0" w:line="469" w:lineRule="auto"/>
        <w:tabs>
          <w:tab w:leader="none" w:pos="703"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BUSINESS OVERVIEW INDUSTRY OVERVIEW</w:t>
      </w:r>
    </w:p>
    <w:p>
      <w:pPr>
        <w:spacing w:after="0" w:line="9"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The semiconductor industry is characterized by rapid changes in technology, frequently resulting in the obsolescence of recently introduced products. As performance has increased and size and cost have decreased, the use of semiconductors and the number of their applications have grown significantly.</w:t>
      </w:r>
    </w:p>
    <w:p>
      <w:pPr>
        <w:spacing w:after="0" w:line="128"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Historically, the semiconductor industry was composed primarily of companies that designed and manufactured ICs in their own fabrication facilities. These companies, such as Intel and IBM,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This need has been met by the development of independent companies, known as foundries, which focus primarily on providing IC manufacturing services to semiconductor suppliers. Foundry services are now used by nearly every major semiconductor company in the world, including IDMs as part of a dual-source, risk-diversification and cost effectiveness strategy.</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Semiconductor suppliers face increasing demands for new products that provide higher performance, greater functionality and smaller form factors at lower prices, which require increasingly complex ICs. In addition to the increased complexity of designs, there has also been a dramatic increase in the number of applications for semiconductors. To compete successfully, semiconductor suppliers must also minimize the time it takes to bring a product to market. As a result, fabless companies and IDMs are focusing more on their core competencies--design and intellectual property--and outsourcing manufacturing to foundries.</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- 21 -</w:t>
      </w:r>
    </w:p>
    <w:p>
      <w:pPr>
        <w:spacing w:after="0" w:line="200" w:lineRule="exact"/>
        <w:rPr>
          <w:sz w:val="20"/>
          <w:szCs w:val="20"/>
          <w:color w:val="auto"/>
        </w:rPr>
      </w:pPr>
    </w:p>
    <w:p>
      <w:pPr>
        <w:spacing w:after="0" w:line="326" w:lineRule="exact"/>
        <w:rPr>
          <w:sz w:val="20"/>
          <w:szCs w:val="20"/>
          <w:color w:val="auto"/>
        </w:rPr>
      </w:pPr>
    </w:p>
    <w:p>
      <w:pPr>
        <w:ind w:right="4759" w:firstLine="351"/>
        <w:spacing w:after="0" w:line="263" w:lineRule="auto"/>
        <w:rPr>
          <w:sz w:val="20"/>
          <w:szCs w:val="20"/>
          <w:color w:val="auto"/>
        </w:rPr>
      </w:pPr>
      <w:r>
        <w:rPr>
          <w:rFonts w:ascii="Courier New" w:cs="Courier New" w:eastAsia="Courier New" w:hAnsi="Courier New"/>
          <w:sz w:val="11"/>
          <w:szCs w:val="11"/>
          <w:color w:val="auto"/>
        </w:rPr>
        <w:t>The consumer sector is expanding worldwide with new applications and multi-functional devices, including those that incorporate CMOS image sensors, embedded flash and mixed-signal ICs. Increasingly, emerging applications, such as camera-equipped cell phones, digital still cameras and flat panel displays, are enabled by ICs manufactured using advanced process technologies.</w:t>
      </w:r>
    </w:p>
    <w:p>
      <w:pPr>
        <w:spacing w:after="0" w:line="128" w:lineRule="exact"/>
        <w:rPr>
          <w:sz w:val="20"/>
          <w:szCs w:val="20"/>
          <w:color w:val="auto"/>
        </w:rPr>
      </w:pPr>
    </w:p>
    <w:p>
      <w:pPr>
        <w:ind w:right="4699" w:firstLine="351"/>
        <w:spacing w:after="0" w:line="238" w:lineRule="auto"/>
        <w:rPr>
          <w:sz w:val="20"/>
          <w:szCs w:val="20"/>
          <w:color w:val="auto"/>
        </w:rPr>
      </w:pPr>
      <w:r>
        <w:rPr>
          <w:rFonts w:ascii="Courier New" w:cs="Courier New" w:eastAsia="Courier New" w:hAnsi="Courier New"/>
          <w:sz w:val="12"/>
          <w:szCs w:val="12"/>
          <w:color w:val="auto"/>
        </w:rPr>
        <w:t>The enormous costs associated with modern fabs, combined with the increasing demand for complex ICs, has created an expanding market for outsourced manufacturing offered by foundries. Foundries can cost-effectively supply the technologies involved in manufacturing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such as CMOS image sensors, embedded flash and mixed-signal technologies. Foundries also offer competitive customer service through design, testing, and other technical services, often at a level previously found only at an IDM's internal facilities.</w:t>
      </w:r>
    </w:p>
    <w:p>
      <w:pPr>
        <w:spacing w:after="0" w:line="139" w:lineRule="exact"/>
        <w:rPr>
          <w:sz w:val="20"/>
          <w:szCs w:val="20"/>
          <w:color w:val="auto"/>
        </w:rPr>
      </w:pPr>
    </w:p>
    <w:p>
      <w:pPr>
        <w:ind w:right="4619" w:firstLine="351"/>
        <w:spacing w:after="0" w:line="273" w:lineRule="auto"/>
        <w:rPr>
          <w:sz w:val="20"/>
          <w:szCs w:val="20"/>
          <w:color w:val="auto"/>
        </w:rPr>
      </w:pPr>
      <w:r>
        <w:rPr>
          <w:rFonts w:ascii="Courier New" w:cs="Courier New" w:eastAsia="Courier New" w:hAnsi="Courier New"/>
          <w:sz w:val="11"/>
          <w:szCs w:val="11"/>
          <w:color w:val="auto"/>
        </w:rPr>
        <w:t>These trends have led to the rapid growth in demand in recent years for advanced semiconductor manufacturing services provided by independent foundries.</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MANUFACTURING PROCESSES AND SPECIALIZED TECHNOLOGIES</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We manufacture ICs on silicon wafers, generally using the customer's proprietary circuit designs. In some cases, we use third-party or our own proprietary design elements. The end product of our manufacturing process is a silicon wafer containing multiple identical ICs. In most cases, our customer assumes responsibility for dicing, assembly and testing.</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We provide wafer fabrication services and technologies to fabless IC companies and IDMs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unique positions in large, high-growth specialized markets for CMOS image sensors, embedded flash memory, mixed signal and RF CMOS ICs. We serve as a sole source or alternative provider of foundry services.</w:t>
      </w:r>
    </w:p>
    <w:p>
      <w:pPr>
        <w:spacing w:after="0" w:line="12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We manufacture ICs using CMOS process technology. CMOS is currently the</w:t>
      </w:r>
    </w:p>
    <w:p>
      <w:pPr>
        <w:sectPr>
          <w:pgSz w:w="11900" w:h="16838" w:orient="portrait"/>
          <w:cols w:equalWidth="0" w:num="1">
            <w:col w:w="10239"/>
          </w:cols>
          <w:pgMar w:left="220" w:top="141" w:right="1440" w:bottom="0" w:gutter="0" w:footer="0" w:header="0"/>
        </w:sectPr>
      </w:pPr>
    </w:p>
    <w:bookmarkStart w:id="13" w:name="page14"/>
    <w:bookmarkEnd w:id="13"/>
    <w:p>
      <w:pPr>
        <w:ind w:right="4619"/>
        <w:spacing w:after="0" w:line="238" w:lineRule="auto"/>
        <w:rPr>
          <w:sz w:val="20"/>
          <w:szCs w:val="20"/>
          <w:color w:val="auto"/>
        </w:rPr>
      </w:pPr>
      <w:r>
        <w:rPr>
          <w:rFonts w:ascii="Courier New" w:cs="Courier New" w:eastAsia="Courier New" w:hAnsi="Courier New"/>
          <w:sz w:val="12"/>
          <w:szCs w:val="12"/>
          <w:color w:val="auto"/>
        </w:rPr>
        <w:t>dominant semiconductor manufacturing process because it requires lower power than other technologies and allows dense placement of components onto a single IC. The low power consumption and high-density characteristics of the CMOS process allow the continued development of high performance ICs that are smaller and faster. For example in the end of 2006, Ikanos Communications, Inc. a leading developer and provider of Fiber Fast(TM) broadband solutions, chose us to manufacture its Vx160 high-performance DSL network processor. The product will be produced in 0.16-micron at our Fab 2. In 2007, we also began manufacturing additional Zoran Corporation ICs at Fab 2, using our cost-effective 0.16-micron geometry. We believe that our specialized process technology distinguishes our IC manufacturing services and attracts industry-leading customers.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believe that we are a trusted, customer-oriented service provider that has built a solid reputation in the foundry industry over the last fourteen years. We have built strong relationships with customers, who continue to use our services, even as their demands evolve to smaller form factors and new applications. Our consistent focus on providing high-quality, value added services, including engineering and design support, has allowed us to attract customers for both our Fab 1 and Fab 2 facilities who seek to work with a proven provider of foundry services. Our emphasis on working closely with customers and accelerating the time-to-market of our customers' next-generation products is also reflected in our corporate structure which comprises three distinct product line units: CMOS Image Sensors and embedded Non-Volatile Memory products (CIS/NVM); Radio Frequency (RF)/Mixed Signal; and CMOS. As a result, we have a high customer retention rate and an increase in new customers and new products for production.</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- 22 -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derived approximately 45% of our revenues for the year ended December 31, 2006 from our target specialized markets: CMOS image sensors, embedded flash, mixed-signal, RF and power ICs. We are highly experienced in these markets, being an early entrant and having developed unique proprietary technologies, primarily through licensing and joint development efforts with our customers and other technology companies. The specific process technologies that we currently focus on include:</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CMOS IMAGE SENSORS</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CMOS image sensors are ICs used to capture an image in a wide variety of consumer, communications, medical, automotive and industrial market applications, including camera-equipped cell phones, digital still and video cameras, security and surveillance cameras and video game consoles.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spacing w:after="0" w:line="145"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addition, our innovative "stitching" technology enables semiconductor exposure tools to manufacture single ultra high-resolution CMOS image sensors containing millions of pixels at sizes far larger than their existing field. Our 0.5, 0.35-micron and 0.18-micron CMOS image sensor processes are designed to permit the customer to create high-quality solutions and integrate a product's CMOS analog and logic circuitry together with the sensor pixel array all on one chip, thereby facilitating miniaturization, reducing power consumption and increasing performance.</w:t>
      </w:r>
    </w:p>
    <w:p>
      <w:pPr>
        <w:spacing w:after="0" w:line="142"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We are currently actively involved in this mass market as well as the high-end sensor and applications specific markets, which include applications such as industrial machine vision, medical X-Ray and automotive sensors. While CMOS image sensors for advanced optical applications are an emerging technology, we believe that they are becoming the preferred technology to traditional charge coupled devices, or CCDs. CCDs have historically provided superior image quality; however, advances in semiconductor manufacturing processes and design techniques have led to significant improvements in CMOS image sensor performance and image quality. These advances have resulted in smaller size circuits and better power control, making it possible to design CMOS image sensors that provide high image quality at a significantly lower cost.</w:t>
      </w:r>
    </w:p>
    <w:p>
      <w:pPr>
        <w:spacing w:after="0" w:line="13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As early as 1997, we recognized the market potential of using CMOS process technology for a digital camera-on-a-chip, which would integrate a CMOS image sensor, filters and digital circuitry. In entering the CMOS image sensor foundry business, we utilized research and development work that had been ongoing since 1993. Our services include a broad range of turnkey solutions and services, including pixel IP services, optical characterization of a CMOS process, innovative stitching manufacturing technique and optical testing and packaging. CMOS image sensors manufactured by us deliver outstanding image quality for a broad spectrum of digital imaging applications.</w:t>
      </w:r>
    </w:p>
    <w:p>
      <w:pPr>
        <w:spacing w:after="0" w:line="13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During the last quarter of 2005 we commenced volume production of CMOS image sensors for the cellular phone camera market in 0.18 micron process and using a 3.6 micron pixel which we developed. For example, in November 2005, we began manufacturing 2.0 and 1.3-megapixel CMOS image sensors for Biomorphic Microsystems Corporation (Biomorphic) designed for cellular phone applications. These image sensors are produced in 0.18 micron process at Fab2, utilizing our pixel IP and our optically-optimized-multilayer metallization, which achieves dramatically better optical sensitivity by reducing stack height from silicon to micro-lens. In 2006, we commenced volume production with our developed 2.8 micron pixel and in parallel we developed a 2.2 micron pixel which serves as the foundation for products with several of our customers ordered for 2007, and is being used in VGA, 1.3Mp, 2Mp and 3Mp and which we expect to be used in the future for 5Mp sensors for both the cellular phone and PC camera commodity market, and the low end DSC market.</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- 23 -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During 2006, we ramped to production products with 2.8 micron , 3.2 micron and 3.6 micron pixels, all developed by us and supplied to our customers as pixel IP In the end of 2006, we began prototyping of two image sensors for SuperPix, a leading Chinese products company, in Fab 2 in 0.18 micron technology. The products will be used in cellular phone and smart phone cameras. Our Advanced Photo Diode (APD) technology used in these CMOS image sensors enables improved optical and electrical performance of ultra-small pixels utilizing deep sub-micron process technologies, thus enabling the manufacturing of small, cost-effective camera module solutions.</w:t>
      </w:r>
    </w:p>
    <w:p>
      <w:pPr>
        <w:spacing w:after="0" w:line="143" w:lineRule="exact"/>
        <w:rPr>
          <w:sz w:val="20"/>
          <w:szCs w:val="20"/>
          <w:color w:val="auto"/>
        </w:rPr>
      </w:pPr>
    </w:p>
    <w:p>
      <w:pPr>
        <w:ind w:right="4839" w:firstLine="351"/>
        <w:spacing w:after="0" w:line="264" w:lineRule="auto"/>
        <w:rPr>
          <w:sz w:val="20"/>
          <w:szCs w:val="20"/>
          <w:color w:val="auto"/>
        </w:rPr>
      </w:pPr>
      <w:r>
        <w:rPr>
          <w:rFonts w:ascii="Courier New" w:cs="Courier New" w:eastAsia="Courier New" w:hAnsi="Courier New"/>
          <w:sz w:val="11"/>
          <w:szCs w:val="11"/>
          <w:color w:val="auto"/>
        </w:rPr>
        <w:t>We developed a new 2.2-micron pixel for which prototyping began in early 2007. In addition, in the beginning of 2007, we were selected by e2v as its supplier of choice for its CMOS image sensor devices. e2v's products target a broad range of industrial and medical applications. The CMOS sensors will be</w:t>
      </w:r>
    </w:p>
    <w:p>
      <w:pPr>
        <w:sectPr>
          <w:pgSz w:w="11900" w:h="16838" w:orient="portrait"/>
          <w:cols w:equalWidth="0" w:num="1">
            <w:col w:w="10239"/>
          </w:cols>
          <w:pgMar w:left="220" w:top="141" w:right="1440" w:bottom="0" w:gutter="0" w:footer="0" w:header="0"/>
        </w:sectPr>
      </w:pPr>
    </w:p>
    <w:bookmarkStart w:id="14" w:name="page15"/>
    <w:bookmarkEnd w:id="14"/>
    <w:p>
      <w:pPr>
        <w:ind w:right="4699"/>
        <w:spacing w:after="0" w:line="236" w:lineRule="auto"/>
        <w:rPr>
          <w:sz w:val="20"/>
          <w:szCs w:val="20"/>
          <w:color w:val="auto"/>
        </w:rPr>
      </w:pPr>
      <w:r>
        <w:rPr>
          <w:rFonts w:ascii="Courier New" w:cs="Courier New" w:eastAsia="Courier New" w:hAnsi="Courier New"/>
          <w:sz w:val="12"/>
          <w:szCs w:val="12"/>
          <w:color w:val="auto"/>
        </w:rPr>
        <w:t>produced in Fab2, using the CIS 0.18 micron process and its advanced capabilities, including our patented stitching technology that was successfully developed for Fab 2 in 2006.</w:t>
      </w:r>
    </w:p>
    <w:p>
      <w:pPr>
        <w:spacing w:after="0" w:line="135"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2"/>
          <w:szCs w:val="12"/>
          <w:color w:val="auto"/>
        </w:rPr>
        <w:t>For the X-Ray market, we developed stitched technology in Fab2 on</w:t>
      </w:r>
    </w:p>
    <w:p>
      <w:pPr>
        <w:spacing w:after="0" w:line="4" w:lineRule="exact"/>
        <w:rPr>
          <w:sz w:val="20"/>
          <w:szCs w:val="20"/>
          <w:color w:val="auto"/>
        </w:rPr>
      </w:pPr>
    </w:p>
    <w:p>
      <w:pPr>
        <w:jc w:val="both"/>
        <w:ind w:right="4899"/>
        <w:spacing w:after="0" w:line="236" w:lineRule="auto"/>
        <w:rPr>
          <w:sz w:val="20"/>
          <w:szCs w:val="20"/>
          <w:color w:val="auto"/>
        </w:rPr>
      </w:pPr>
      <w:r>
        <w:rPr>
          <w:rFonts w:ascii="Courier New" w:cs="Courier New" w:eastAsia="Courier New" w:hAnsi="Courier New"/>
          <w:sz w:val="12"/>
          <w:szCs w:val="12"/>
          <w:color w:val="auto"/>
        </w:rPr>
        <w:t>0.18micron process and a variety of 20-micron pixels that are optimized for X-Ray applications. These pixels are used by our customers in X-Ray products prototypes.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stitched technology that was developed for Fab 2 during 2006 provided us with the ability to manufacture large sensors (up to one die per wafer) on 8" wafers using state of the art, 0.18-micron CMOS Image Sensor technology. In 2007, we have several new orders from customers whose products based on this technology.</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EMBEDDED FLASH</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Flash memory is a constantly powered nonvolatile memory that can be erased and reprogrammed in units of memory called blocks. The IC of flash memory is organized so that a section of memory cells may be erased in a single action, or "flash". Applications for flash memory products range from most types of portable electronic equipment devices to high volume mass storage of data. Flash is particularly suitable for applications such as handheld devices, combining the need for portability, high density, ruggedness and lower power requirements. Flash memory products are also well-suited for audio products such as digital answering machines and MP3 players, as well as other applications including networking devices, digital cameras, personal computer motherboards and portable memory devices.</w:t>
      </w:r>
    </w:p>
    <w:p>
      <w:pPr>
        <w:spacing w:after="0" w:line="145"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Embedded flash is the combination of flash memory with other components, such as other memory, logic and analog, on a single IC to provide speed, functionality and form factor advantages and reduce system cost. Embedded flash memory products are used in communications, consumer, industrial, military and automotive applications. End products include networks, base stations, servers, microcontrollers, toys, set-top boxes, DVD players, cell phones and smart cards.</w:t>
      </w:r>
    </w:p>
    <w:p>
      <w:pPr>
        <w:spacing w:after="0" w:line="130"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 1997, we entered into a strategic investment and technology agreement with Saifun Semiconductors Ltd., pursuant to which we obtained approximately a 10% equity stake in Saifun. Together we brought to market a new non-volatile memory technology based on 0.5-micron, microFlash(TM)/NROM(TM). NROM technology enables the implementation of ultra high-density flash arrays using CMOS processes, and is particularly suitable for embedding flash arrays with standard CMOS logic, as well as for commodity memories. Our microFLASH technology, based on Saifun's patented NROM technology, provides greater memory cell density than other currently available flash architectures for given design rule generation, permitting an approximately four-fold reduction in the size of the memory cell for stand-alone memories and embedded applications in a given geometry.</w:t>
      </w:r>
    </w:p>
    <w:p>
      <w:pPr>
        <w:spacing w:after="0" w:line="26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- 24 -</w:t>
      </w:r>
    </w:p>
    <w:p>
      <w:pPr>
        <w:spacing w:after="0" w:line="200" w:lineRule="exact"/>
        <w:rPr>
          <w:sz w:val="20"/>
          <w:szCs w:val="20"/>
          <w:color w:val="auto"/>
        </w:rPr>
      </w:pPr>
    </w:p>
    <w:p>
      <w:pPr>
        <w:spacing w:after="0" w:line="326" w:lineRule="exact"/>
        <w:rPr>
          <w:sz w:val="20"/>
          <w:szCs w:val="20"/>
          <w:color w:val="auto"/>
        </w:rPr>
      </w:pPr>
    </w:p>
    <w:p>
      <w:pPr>
        <w:ind w:right="4979" w:firstLine="351"/>
        <w:spacing w:after="0" w:line="236" w:lineRule="auto"/>
        <w:rPr>
          <w:sz w:val="20"/>
          <w:szCs w:val="20"/>
          <w:color w:val="auto"/>
        </w:rPr>
      </w:pPr>
      <w:r>
        <w:rPr>
          <w:rFonts w:ascii="Courier New" w:cs="Courier New" w:eastAsia="Courier New" w:hAnsi="Courier New"/>
          <w:sz w:val="12"/>
          <w:szCs w:val="12"/>
          <w:color w:val="auto"/>
        </w:rPr>
        <w:t>In December 2004, we sold our entire equity stake in Saifun for approximately $39 million. This sale had no effect on our technology rights under our agreement with Saifun.</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In September 2006, we signed a new agreement with Saifun extending our license of the Saifun NROM(R) technology for the manufacture of embedded flash and embedded EEPROM products. The MICROFLASH(R) embedded modules are manufactured on our 0.18 micron process in various densities and speeds. Under the terms of the new agreement, we may also offer NROM-based embedded flash modules on further advanced process generations.</w:t>
      </w:r>
    </w:p>
    <w:p>
      <w:pPr>
        <w:spacing w:after="0" w:line="140"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The relative simplicity of our microFLASH manufacturing process offers cost advantages over competing flash technologies for high density memories. Using our 0.5-micron technology, we have introduced the first of our microFLASH processes into production with the manufacture of a 2 megabit stand-alone memory device and embedded multi-time programming modules, with a limited number of rewrite cycles. Our 0.18-micron embedded flash technology was mutually developed with a Japanese semiconductor manufacturer during 2004, with multiple flash modules ranging in sizes from 0.5 megabit to 8 megabit, and is currently in different stages of prototyping and production with a few customers.</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MIXED SIGNAL, RF CMOS, AND RFID</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Mixed-signal ICs are an essential part of any electronic system that interacts with the real world. Analog ICs monitor and manipulate real world signals such as sound, light, pressure, motion, temperature and electrical current and are used in a wide variety of electronic products such as PCs, cell phones, DVD players, automotive electronics and medical imaging equipment. Digital ICs perform arithmetic functions on data represented by a series of ones and zeroes, provide critical processing power and have enabled many of the computing and communication advances of recent years. Mixed-signal ICs combine analog and digital semiconductor functionality on a single IC to enable digital systems to interface with the real world. As these digital systems proliferate, there is a growing need for analog functionality to enable them to interface with the real world. For 0.18-micron technology, we have developed design kits optimized for mixed-signal and RFCMOS design. These design kits contain a comprehensive characterization of a wide range of analog and RF devices to provide our customers with the ability to design mixed-signal and RF ICs for their specific needs.</w:t>
      </w:r>
    </w:p>
    <w:p>
      <w:pPr>
        <w:spacing w:after="0" w:line="140"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For example, in 2006 we collaborated with Modiotek to successfully introduce a 32-polyphony sound generator into ULC (Ultra Low Cost) handset models, following manufacturing of over 10 million MAP S32i series products for the past two years. The MAP (Mobile Audio Platform) family consists of half a dozen different products, customized for the specific cellular phone models and applications which were built, using our Fab 2 0.18-micron mixed signal process technology.</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recent years, more and more designers opt to develop high frequency products based on RF CMOS technologies as opposed to exotic process technologies, such as SiGe or GaAs. The superior cost structure of CMOS technologies enables high volume, low cost production of such high frequency products. We use our mixed signal expertise to leverage and develop processes and provide services for customers utilizing CMOS technologies. We further enhanced our mixed signal 0.18-micron platform technology offering by developing RF CMOS product design kits. This allowed us to increase our customer base and obtain new products for production as well as develop special capabilities with RFID applications. For example, in February 2006, we began producing wireless LAN products for Atheros Communications.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- 25 -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73" w:lineRule="auto"/>
        <w:rPr>
          <w:sz w:val="20"/>
          <w:szCs w:val="20"/>
          <w:color w:val="auto"/>
        </w:rPr>
      </w:pPr>
      <w:r>
        <w:rPr>
          <w:rFonts w:ascii="Courier New" w:cs="Courier New" w:eastAsia="Courier New" w:hAnsi="Courier New"/>
          <w:sz w:val="11"/>
          <w:szCs w:val="11"/>
          <w:color w:val="auto"/>
        </w:rPr>
        <w:t>RFID. In 2004, we started a joint development program with Alien Technology Corporation that targets the RFID tag market and utilizes a platform technology</w:t>
      </w:r>
    </w:p>
    <w:p>
      <w:pPr>
        <w:sectPr>
          <w:pgSz w:w="11900" w:h="16838" w:orient="portrait"/>
          <w:cols w:equalWidth="0" w:num="1">
            <w:col w:w="10239"/>
          </w:cols>
          <w:pgMar w:left="220" w:top="141" w:right="1440" w:bottom="0" w:gutter="0" w:footer="0" w:header="0"/>
        </w:sectPr>
      </w:pPr>
    </w:p>
    <w:bookmarkStart w:id="15" w:name="page16"/>
    <w:bookmarkEnd w:id="15"/>
    <w:p>
      <w:pPr>
        <w:ind w:left="8" w:right="4619"/>
        <w:spacing w:after="0" w:line="236" w:lineRule="auto"/>
        <w:rPr>
          <w:sz w:val="20"/>
          <w:szCs w:val="20"/>
          <w:color w:val="auto"/>
        </w:rPr>
      </w:pPr>
      <w:r>
        <w:rPr>
          <w:rFonts w:ascii="Courier New" w:cs="Courier New" w:eastAsia="Courier New" w:hAnsi="Courier New"/>
          <w:sz w:val="12"/>
          <w:szCs w:val="12"/>
          <w:color w:val="auto"/>
        </w:rPr>
        <w:t>of mixed signal, RF and non volatile memory function. As of June 2006 we are the manufacturing supplier for Alien Technology's internally-designed Gen 2 RFID ICs. Currently certain of Alien's products are in production at Fab 2 and additional developments under the program are in process.</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CONVERGENCE OF TECHNOLOGIES</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In response to the growing demand for a single chip to offer a wide array of functions, we are leveraging a combination of some of the abovementioned technologies by developing a single chip with multiple functions. The successful development of this chip will allow us to provide additional value to our customers and obtain a unique market position by offering our customers a unique technology platform. We engage in projects merging CMOS, NVM and CIS for unique solutions to customers' needs, as well as in a project targeting RFID tags applications merging RF CMOS, mixed signal and NVM technologies onto a single chip.</w:t>
      </w: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CUSTOMERS, MARKETING AND SALES</w:t>
      </w:r>
    </w:p>
    <w:p>
      <w:pPr>
        <w:spacing w:after="0" w:line="139" w:lineRule="exact"/>
        <w:rPr>
          <w:sz w:val="20"/>
          <w:szCs w:val="20"/>
          <w:color w:val="auto"/>
        </w:rPr>
      </w:pPr>
    </w:p>
    <w:p>
      <w:pPr>
        <w:ind w:left="8" w:right="4619" w:firstLine="351"/>
        <w:spacing w:after="0" w:line="263" w:lineRule="auto"/>
        <w:rPr>
          <w:sz w:val="20"/>
          <w:szCs w:val="20"/>
          <w:color w:val="auto"/>
        </w:rPr>
      </w:pPr>
      <w:r>
        <w:rPr>
          <w:rFonts w:ascii="Courier New" w:cs="Courier New" w:eastAsia="Courier New" w:hAnsi="Courier New"/>
          <w:sz w:val="11"/>
          <w:szCs w:val="11"/>
          <w:color w:val="auto"/>
        </w:rPr>
        <w:t>Our marketing and sales strategy seeks to aggressively expand our global customer base. We have marketing, sales and engineering support personnel in the United States, Taiwan and Israel. Our marketing and sales staff is supported by independent sales representatives, located throughout the world, who have been selected based on their understanding of the semiconductor marketplace.</w:t>
      </w:r>
    </w:p>
    <w:p>
      <w:pPr>
        <w:spacing w:after="0" w:line="128"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Our sales cycle is generally 12-24 months or longer for new customers and can be as short as 9-12 months for existing customers. The typical stages in the sales cycle process from initial contact until production are:</w:t>
      </w:r>
    </w:p>
    <w:p>
      <w:pPr>
        <w:spacing w:after="0" w:line="135" w:lineRule="exact"/>
        <w:rPr>
          <w:sz w:val="20"/>
          <w:szCs w:val="20"/>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technical evaluation;</w:t>
      </w:r>
    </w:p>
    <w:p>
      <w:pPr>
        <w:spacing w:after="0" w:line="138" w:lineRule="exact"/>
        <w:rPr>
          <w:rFonts w:ascii="Courier New" w:cs="Courier New" w:eastAsia="Courier New" w:hAnsi="Courier New"/>
          <w:sz w:val="12"/>
          <w:szCs w:val="12"/>
          <w:color w:val="auto"/>
        </w:rPr>
      </w:pPr>
    </w:p>
    <w:p>
      <w:pPr>
        <w:ind w:left="708" w:right="4839" w:hanging="357"/>
        <w:spacing w:after="0" w:line="235" w:lineRule="auto"/>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 design to our specifications including integration of third party intellectual property;</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photomask design and third party manufacturing;</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silicon prototyping;</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assembly and test;</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validation and qualification; and</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production.</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The primary customers of our foundry services are fabless semiconductor companies and IDMs. A substantial portion of our product sales are made pursuant to long-term contracts with our customers, under which we have agreed to reserve manufacturing capacity at our production facilities for such customers. Our customers include many industry leaders, some of our shareholders and a number of Taiwanese companies who preferred our solution to the solutions that were offered locally. During the year ended December 31, 2006, we had seven significant customers who contributed 23%, 10%, 10%, 9%, 6%, 5% and 5% of our revenues, respectively. In 2005, we had five significant customers who contributed 22%, 14%, 8%, 7% and 5% of our revenues, respectively.</w:t>
      </w:r>
    </w:p>
    <w:p>
      <w:pPr>
        <w:spacing w:after="0" w:line="131" w:lineRule="exact"/>
        <w:rPr>
          <w:sz w:val="20"/>
          <w:szCs w:val="20"/>
          <w:color w:val="auto"/>
        </w:rPr>
      </w:pPr>
    </w:p>
    <w:p>
      <w:pPr>
        <w:ind w:left="8" w:right="4759" w:firstLine="351"/>
        <w:spacing w:after="0" w:line="237" w:lineRule="auto"/>
        <w:rPr>
          <w:sz w:val="20"/>
          <w:szCs w:val="20"/>
          <w:color w:val="auto"/>
        </w:rPr>
      </w:pPr>
      <w:r>
        <w:rPr>
          <w:rFonts w:ascii="Courier New" w:cs="Courier New" w:eastAsia="Courier New" w:hAnsi="Courier New"/>
          <w:sz w:val="12"/>
          <w:szCs w:val="12"/>
          <w:color w:val="auto"/>
        </w:rPr>
        <w:t>In addition to further developing our customer base, we have also made a concentrated effort to expand the geographical diversity of our sales. The percentage of our sales from customers located outside the United States was 40%, 36% and 31% in the years ended December 31, 2004, 2005 and 2006, respectively. We believe that a substantial portion of our sales will continue to come from customers located outside the United States. The following table sets forth the geographical distribution, by percentage, of our net sales for the periods indicated:</w:t>
      </w:r>
    </w:p>
    <w:p>
      <w:pPr>
        <w:spacing w:after="0" w:line="273"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4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- 26 -</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658"/>
        </w:trPr>
        <w:tc>
          <w:tcPr>
            <w:tcW w:w="2420" w:type="dxa"/>
            <w:vAlign w:val="bottom"/>
          </w:tcPr>
          <w:p>
            <w:pPr>
              <w:spacing w:after="0"/>
              <w:rPr>
                <w:sz w:val="24"/>
                <w:szCs w:val="24"/>
                <w:color w:val="auto"/>
              </w:rPr>
            </w:pPr>
          </w:p>
        </w:tc>
        <w:tc>
          <w:tcPr>
            <w:tcW w:w="2340" w:type="dxa"/>
            <w:vAlign w:val="bottom"/>
            <w:gridSpan w:val="3"/>
          </w:tcPr>
          <w:p>
            <w:pPr>
              <w:jc w:val="right"/>
              <w:ind w:right="28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2420" w:type="dxa"/>
            <w:vAlign w:val="bottom"/>
          </w:tcPr>
          <w:p>
            <w:pPr>
              <w:spacing w:after="0"/>
              <w:rPr>
                <w:sz w:val="11"/>
                <w:szCs w:val="11"/>
                <w:color w:val="auto"/>
              </w:rPr>
            </w:pPr>
          </w:p>
        </w:tc>
        <w:tc>
          <w:tcPr>
            <w:tcW w:w="234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c>
          <w:tcPr>
            <w:tcW w:w="8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2005</w:t>
            </w:r>
          </w:p>
        </w:tc>
        <w:tc>
          <w:tcPr>
            <w:tcW w:w="6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24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270"/>
        </w:trPr>
        <w:tc>
          <w:tcPr>
            <w:tcW w:w="2420" w:type="dxa"/>
            <w:vAlign w:val="bottom"/>
          </w:tcPr>
          <w:p>
            <w:pPr>
              <w:spacing w:after="0"/>
              <w:rPr>
                <w:sz w:val="20"/>
                <w:szCs w:val="20"/>
                <w:color w:val="auto"/>
              </w:rPr>
            </w:pPr>
            <w:r>
              <w:rPr>
                <w:rFonts w:ascii="Courier New" w:cs="Courier New" w:eastAsia="Courier New" w:hAnsi="Courier New"/>
                <w:sz w:val="12"/>
                <w:szCs w:val="12"/>
                <w:color w:val="auto"/>
              </w:rPr>
              <w:t>United States</w:t>
            </w: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69%</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64%</w:t>
            </w:r>
          </w:p>
        </w:tc>
        <w:tc>
          <w:tcPr>
            <w:tcW w:w="6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60%</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Israel</w:t>
            </w: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7%</w:t>
            </w:r>
          </w:p>
        </w:tc>
        <w:tc>
          <w:tcPr>
            <w:tcW w:w="6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Asia-Pacific ( primarily Taiwan)</w:t>
            </w: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16%</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20%(*)</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11%(*)</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Europe</w:t>
            </w: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w:t>
            </w:r>
          </w:p>
        </w:tc>
        <w:tc>
          <w:tcPr>
            <w:tcW w:w="6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w:t>
            </w:r>
          </w:p>
        </w:tc>
      </w:tr>
      <w:tr>
        <w:trPr>
          <w:trHeight w:val="135"/>
        </w:trPr>
        <w:tc>
          <w:tcPr>
            <w:tcW w:w="24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100%</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100%</w:t>
            </w:r>
          </w:p>
        </w:tc>
        <w:tc>
          <w:tcPr>
            <w:tcW w:w="6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100%</w:t>
            </w:r>
          </w:p>
        </w:tc>
      </w:tr>
      <w:tr>
        <w:trPr>
          <w:trHeight w:val="135"/>
        </w:trPr>
        <w:tc>
          <w:tcPr>
            <w:tcW w:w="24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8" w:right="5259" w:hanging="8"/>
        <w:spacing w:after="0" w:line="273" w:lineRule="auto"/>
        <w:tabs>
          <w:tab w:leader="none" w:pos="289"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Including payments made to us in connection with our May 2002 joint development agreement for 0.18-micron embedded MICROFLASH technology.</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COMPETITION</w:t>
      </w:r>
    </w:p>
    <w:p>
      <w:pPr>
        <w:spacing w:after="0" w:line="139"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The global semiconductor foundry industry is highly competitive. The major independent dedicated foundries include Taiwan Semiconductor Manufacturing Corporation, United Microelectronics, Chartered Semiconductor Manufacturing and Semiconductor Manufacturing International Corp.; emerging and existing Chinese, Korean, Malaysian and Taiwanese foundries, including DongBu, He Jien Technology, ASMC, MagnaChip, CSMC Grace, HHNEC, and Silterra; and other specialized foundries, such as AMI Semiconductor, Jazz Semiconductor and X-Fab. In addition, there are IDMs and end-product manufacturers that produce ICs for their own use and/or allocate a portion of their manufacturing capacity to foundry operations. Most of the foundries with which we compete are located in Asia-Pacific and benefit from their close proximity to other companies involved in the design and manufacture of ICs. We believe that the principal elements of competition in the wafer foundry market are:</w:t>
      </w:r>
    </w:p>
    <w:p>
      <w:pPr>
        <w:spacing w:after="0" w:line="135" w:lineRule="exact"/>
        <w:rPr>
          <w:sz w:val="20"/>
          <w:szCs w:val="20"/>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technical competence;</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production quality;</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time-to-market;</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device and end-product price;</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available capacity;</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device yields;</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 and customer support services;</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access to intellectual property; and</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research and development capabilities.</w:t>
      </w:r>
    </w:p>
    <w:p>
      <w:pPr>
        <w:spacing w:after="0" w:line="139" w:lineRule="exact"/>
        <w:rPr>
          <w:sz w:val="20"/>
          <w:szCs w:val="20"/>
          <w:color w:val="auto"/>
        </w:rPr>
      </w:pPr>
    </w:p>
    <w:p>
      <w:pPr>
        <w:ind w:left="8" w:right="5039" w:firstLine="351"/>
        <w:spacing w:after="0" w:line="273" w:lineRule="auto"/>
        <w:rPr>
          <w:sz w:val="20"/>
          <w:szCs w:val="20"/>
          <w:color w:val="auto"/>
        </w:rPr>
      </w:pPr>
      <w:r>
        <w:rPr>
          <w:rFonts w:ascii="Courier New" w:cs="Courier New" w:eastAsia="Courier New" w:hAnsi="Courier New"/>
          <w:sz w:val="11"/>
          <w:szCs w:val="11"/>
          <w:color w:val="auto"/>
        </w:rPr>
        <w:t>Many of our competitors have greater manufacturing capacity, multiple manufacturing facilities, more advanced technological capabilities, a more</w:t>
      </w:r>
    </w:p>
    <w:p>
      <w:pPr>
        <w:sectPr>
          <w:pgSz w:w="11900" w:h="16838" w:orient="portrait"/>
          <w:cols w:equalWidth="0" w:num="1">
            <w:col w:w="10247"/>
          </w:cols>
          <w:pgMar w:left="212" w:top="141"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2"/>
          <w:szCs w:val="12"/>
          <w:color w:val="auto"/>
        </w:rPr>
        <w:t>diverse and established customer base, greater financial, marketing,</w:t>
      </w:r>
    </w:p>
    <w:p>
      <w:pPr>
        <w:spacing w:after="0"/>
        <w:rPr>
          <w:sz w:val="20"/>
          <w:szCs w:val="20"/>
          <w:color w:val="auto"/>
        </w:rPr>
      </w:pPr>
      <w:r>
        <w:rPr>
          <w:rFonts w:ascii="Courier New" w:cs="Courier New" w:eastAsia="Courier New" w:hAnsi="Courier New"/>
          <w:sz w:val="12"/>
          <w:szCs w:val="12"/>
          <w:color w:val="auto"/>
        </w:rPr>
        <w:t>distribution and other resources and a better cost structure than ours.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- 27 -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seek to compete primarily on the basis of technology, production quality, device yields and services involving design, support and manufacturing. We believe we have a differentiated service offering and track record in specialized markets, which enables us to effectively compete with larger IC manufacturers.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WAFER FABRICATION SERVICES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140"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CIRCUIT DESIGN. IC production begins when a fabless IC company or IDM designs the layout of a device's components and designates the interconnections between each component. The result is a pattern of components and connections that defines the function of the IC. In highly complex circuits, there may be more than 35 layers of electronic patterns. After the IC design is complete, we provide these companies with IC manufacturing services.</w:t>
      </w:r>
    </w:p>
    <w:p>
      <w:pPr>
        <w:spacing w:after="0" w:line="130"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MASK MAKING. The design for each layer of a semiconductor wafer is imprinted on a photographic negative, called a reticle or mask. The mask is the blueprint for each specific layer of the semiconductor wafer.</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IC MANUFACTURING. Transistors and other circuit elements comprising an IC are formed by repeating a series of processes in which photosensitive 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probe, which involves electronically inspecting each individual IC in order to identify those that are operable for assembly.</w:t>
      </w:r>
    </w:p>
    <w:p>
      <w:pPr>
        <w:spacing w:after="0" w:line="143"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ASSEMBLY AND TEST. After IC manufacture, the wafers are transferred to assembly and test facilities. In the assembly process, each wafer is cut into dies, or individual semiconductors, and tested. Defective dies are discarded, while good dies are packaged and assembled. Assembly protects the IC, facilitates its integration into electronic systems and enables the dissipation of heat or cold. Following assembly, the functionality, voltage, current and timing of each IC is tested. After testing, the completed IC is shipped to the IC supplier or directly to its final destination.</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PROCUREMENT AND SOURCING</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Our manufacturing processes use many raw materials, including silicon wafers, chemicals, gases and various metals. These raw materials generally are available from several suppliers. In many instances, we purchase raw materials from a single source. In connection with our technology advancement plans, we expect to continue to make purchases of semiconductor manufacturing equipment, mainly for Fab 2.</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RESEARCH AND DEVELOPMENT</w:t>
      </w:r>
    </w:p>
    <w:p>
      <w:pPr>
        <w:spacing w:after="0" w:line="139"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Our future success depends, to a large degree, on our ability to continue to successfully develop and introduce to production advanced process technologies that meet our customers' needs. Our process development strategy relies on CMOS process technologies that we primarily license and transfer from third parties. We also develop these technologies on our own, at our own initiative, our customers' request or in cooperation with our customers.</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- 28 -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From time to time, at a customer's request, we develop a specialty process module, which we use for such customer on an exclusive basis, and, if permitted under our agreements with such customer, we then add it to our process offering. Such developments are very common in all of our special process technologies noted above. In 2004, in response to market demand, we introduced a 0.16-micron optical shrink solution which represents a 10% linear shrink from our existing 0.18-micron offering while utilizing virtually the same 0.18-micron libraries and IP. The shrink allows a 15 to 20 percent die size reduction and a potentially higher wafer ASP and lower die cost. Applications include industry standard CMOS logic and some mixed-signal technologies. This 0.16-micron technology is currently in production.</w:t>
      </w:r>
    </w:p>
    <w:p>
      <w:pPr>
        <w:spacing w:after="0" w:line="145"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Our research and development activities have related primarily to our process development efforts and have been sponsored and funded by us with some participation by the Israeli Office of the Chief Scientist, or OCS. Accordingly, we are subject to restrictions set forth in Israeli law which limit the ability of a company to manufacture products or to transfer technologies outside of Israel, if such products or technologies were developed with OCS funding. Research and development expenses for the years ended December 31, 2004, 2005 and 2006 were $17.1 million, $16.0 million and $15.0 million, net of government participation of $1.5 million, $1.0 million and $1.9 million, respectively.</w:t>
      </w:r>
    </w:p>
    <w:p>
      <w:pPr>
        <w:spacing w:after="0" w:line="13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As of May 31, 2007, we employed 157 professionals in our research and development department, 30 of whom have PhDs. In addition to our research and development department located at our facilities in Migdal Haemek, we maintain a design center in Netanya, Israel.</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PROPRIETARY RIGHTS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INTELLECTUAL PROPERTY AND LICENSING AGREEMENTS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success depends in part on our ability to obtain patents, licenses and other intellectual property rights covering our production processes. To that end, we have acquired certain patents and patent licenses and intend to continue to seek patents on our production processes. As of March 31, 2006, we held 61 patents. We have entered into various patent licenses and cross-licenses with technology companies including Toshiba, Freescale, Synopsys, ARM, Chipidea Microelectronics, Virage Logic, Impinj and others. We may choose to renew our present licenses or obtain additional technology licenses in the future. There can be no assurance that any such licenses could be obtained on commercially reasonable terms.</w:t>
      </w:r>
    </w:p>
    <w:p>
      <w:pPr>
        <w:spacing w:after="0" w:line="144" w:lineRule="exact"/>
        <w:rPr>
          <w:sz w:val="20"/>
          <w:szCs w:val="20"/>
          <w:color w:val="auto"/>
        </w:rPr>
      </w:pPr>
    </w:p>
    <w:p>
      <w:pPr>
        <w:ind w:right="4619" w:firstLine="351"/>
        <w:spacing w:after="0" w:line="273" w:lineRule="auto"/>
        <w:rPr>
          <w:sz w:val="20"/>
          <w:szCs w:val="20"/>
          <w:color w:val="auto"/>
        </w:rPr>
      </w:pPr>
      <w:r>
        <w:rPr>
          <w:rFonts w:ascii="Courier New" w:cs="Courier New" w:eastAsia="Courier New" w:hAnsi="Courier New"/>
          <w:sz w:val="11"/>
          <w:szCs w:val="11"/>
          <w:color w:val="auto"/>
        </w:rPr>
        <w:t>We constantly seek to strengthen our technological expertise through relationships with technology companies and silicon suppliers. We seek to expand</w:t>
      </w:r>
    </w:p>
    <w:p>
      <w:pPr>
        <w:sectPr>
          <w:pgSz w:w="11900" w:h="16838" w:orient="portrait"/>
          <w:cols w:equalWidth="0" w:num="1">
            <w:col w:w="10239"/>
          </w:cols>
          <w:pgMar w:left="220" w:top="137" w:right="1440" w:bottom="0" w:gutter="0" w:footer="0" w:header="0"/>
        </w:sectPr>
      </w:pPr>
    </w:p>
    <w:bookmarkStart w:id="17" w:name="page18"/>
    <w:bookmarkEnd w:id="17"/>
    <w:p>
      <w:pPr>
        <w:ind w:right="4619"/>
        <w:spacing w:after="0" w:line="237" w:lineRule="auto"/>
        <w:rPr>
          <w:sz w:val="20"/>
          <w:szCs w:val="20"/>
          <w:color w:val="auto"/>
        </w:rPr>
      </w:pPr>
      <w:r>
        <w:rPr>
          <w:rFonts w:ascii="Courier New" w:cs="Courier New" w:eastAsia="Courier New" w:hAnsi="Courier New"/>
          <w:sz w:val="12"/>
          <w:szCs w:val="12"/>
          <w:color w:val="auto"/>
        </w:rPr>
        <w:t>our core strengths in CMOS image sensors, embedded flash and mixed-signal technologies by combining our proprietary technology with those of other technology companies. A main component of our process development strategy is to acquire licenses for standard CMOS technologies and cell libraries from leading designers, such as Freescale and Toshiba, and further develop specialized processes through our internal design teams. The licensing of these technologies has enormously reduced our internal development costs.</w:t>
      </w:r>
    </w:p>
    <w:p>
      <w:pPr>
        <w:spacing w:after="0" w:line="137"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CMOS PROCESS TECHNOLOGY PLATFORM</w:t>
      </w:r>
    </w:p>
    <w:p>
      <w:pPr>
        <w:spacing w:after="0" w:line="139"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We have licensed an array of process technologies through the following arrangements: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TOSHIBA. In April 2000, we entered into a technology transfer agreement with Toshiba, pursuant to which Toshiba has transferred to us certain advanced CMOS technologies for use in Fab 2. In exchange for certain license and technology transfer fees and royalties, Toshiba has provided us with recipes, know-how and patent licenses and has trained a group of our engineers and managers. Subject to prior termination for cause by Toshiba, our licenses under the agreement with Toshiba are perpetual. Based on Toshiba's 0.18-micron CMOS process technology, we have internally developed an enhanced industry compatible version of the process technology.</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- 29 -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MOTOROLA (NOW FREESCALE). In September 2002, we entered into a technology transfer and development agreement with Motorola, pursuant to which Motorola transferred to us its 0.13-micron HiPerMOS7 CMOS process technology for Fab 2 as well as co-developed with us an industry-standard compatible version of the process technology. Subject to prior termination for cause by Motorola, our licenses under the technology transfer agreement with Motorola are perpetual. In August 2004, Motorola assigned all of its rights and obligations under the aforementioned agreement to Freescale.</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FOUNDATION IP BLOCKS</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To better serve our customers design needs using advanced CMOS processes and mixed-signal, we have entered into a series of agreements with leading providers of physical design libraries, mixed-signal and non volatile memory design components. These components are basic design building blocks, such as standard cells, interface input-output (I/O) cells, software compilers for the generation of on-chip embedded memories arrays, mixed-signal and non-volatile memory design blocks. To achieve optimal performance, all of these components must be customized to work with our manufacturing process and are used in most of our customers' chip designs.</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SYNOPSYS. In June 2001, we entered into an agreement with Synopsys</w:t>
      </w:r>
    </w:p>
    <w:p>
      <w:pPr>
        <w:spacing w:after="0"/>
        <w:rPr>
          <w:sz w:val="20"/>
          <w:szCs w:val="20"/>
          <w:color w:val="auto"/>
        </w:rPr>
      </w:pPr>
      <w:r>
        <w:rPr>
          <w:rFonts w:ascii="Courier New" w:cs="Courier New" w:eastAsia="Courier New" w:hAnsi="Courier New"/>
          <w:sz w:val="12"/>
          <w:szCs w:val="12"/>
          <w:color w:val="auto"/>
        </w:rPr>
        <w:t>(formerly, Avant!) under which Synopsys has developed libraries for our</w:t>
      </w:r>
    </w:p>
    <w:p>
      <w:pPr>
        <w:spacing w:after="0" w:line="3"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0.18-micron process technology. Multiple customers use the Synopsys libraries in producing their ICs at our company. In 2004, we entered into a set of comprehensive technology transfer and license agreements with Synopsys that provide us with broad rights to use Synopsys' library technology in multiple process technology generations including 0.18 micron and 0.13 micron. Under these agreements, we were given the right to develop, customize, validate and characterize libraries, based on Synopsys' library technology and to distribute such libraries through and have them supported by Synopsys. These agreements place us in a superior position of having in-house capability to serve our customers' needs. Certain parts of the 2004 license agreements, relating to elements of distribution and support by Synopsys, expired in October 2006, and we may be unable to extend or renew them on similar terms.</w:t>
      </w:r>
    </w:p>
    <w:p>
      <w:pPr>
        <w:spacing w:after="0" w:line="139" w:lineRule="exact"/>
        <w:rPr>
          <w:sz w:val="20"/>
          <w:szCs w:val="20"/>
          <w:color w:val="auto"/>
        </w:rPr>
      </w:pPr>
    </w:p>
    <w:p>
      <w:pPr>
        <w:ind w:right="4759" w:firstLine="351"/>
        <w:spacing w:after="0" w:line="262" w:lineRule="auto"/>
        <w:rPr>
          <w:sz w:val="20"/>
          <w:szCs w:val="20"/>
          <w:color w:val="auto"/>
        </w:rPr>
      </w:pPr>
      <w:r>
        <w:rPr>
          <w:rFonts w:ascii="Courier New" w:cs="Courier New" w:eastAsia="Courier New" w:hAnsi="Courier New"/>
          <w:sz w:val="11"/>
          <w:szCs w:val="11"/>
          <w:color w:val="auto"/>
        </w:rPr>
        <w:t>ARM (including its wholly-owned subsidiary, ARM Physical IP). In 2002 and subsequently in 2004 and 2006, we entered into license agreements with ARM (formerly, Artisan Components) under which we received a license to a suite of library products for our 0.18-micron and 0.13-micron process technologies and ARM licenses its libraries to our customers free of charge. Multiple customers are using the ARM libraries in their chip design for manufacturing at our company. The ARM libraries include, among others, standard cells, general purpose and specialty input-output cells and memory generators.</w:t>
      </w:r>
    </w:p>
    <w:p>
      <w:pPr>
        <w:spacing w:after="0" w:line="128"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VIRAGE LOGIC. In 2002 and subsequently in 2004, we entered into license agreements with Virage Logic under which we received a license to a suite of library products for our 0.18-micron and 0.13-micron process technologies, respectively. These library products are available for licensing by our customers, and with respect to most of the 0.13-micron library products, free of a license charge. Virage offers a variety of SRAM and ROM memory compilers on both process technologies, and also offers standard cells, general purpose and specialty input-output cells libraries in the 0.13-micron technology. Presently, multiple customers' products that use Virage Logic's memory products are in production at Fab 2. In addition, our license agreement with Virage Logic from 2002 has also introduced Virage Logic's patented Nonvolatile Electrically Alterable embedded memories for production on our 0.18-micron CMOS logic process. Currently customers' products that use Virage Logic's non-volatile memory products are in production at Fab 2. We have selected and qualified these memories for our process to help our customers meet their application requirements for cost-effective embedded non-volatile memory for security, encryption, unique device identification, analog trimming, silicon repair and flexible program store.</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- 30 -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CHIPIDEA MICROELECTRONICS. In 2003 and subsequently in 2005, we entered into a non-exclusive, perpetual, royalty-free license and design agreement with Chipidea Microelectronics. Further to this agreement, Chipidea has customized several of its mixed-signal design blocks for manufacturing on our 0.18-micron and 0.13-micron process technologies, such asUSB 2.0 (Universal Serial Bus 2.0) and USB2.0 OTG (On The Go), which are currently being utilized by several of our customers.</w:t>
      </w:r>
    </w:p>
    <w:p>
      <w:pPr>
        <w:spacing w:after="0" w:line="14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IMPINJ INC. In 2005, we entered into a development and license agreement with Impinj Inc. under which Impinj is developing its AEON(R) non-volatile memory (NVM), in parallel architecture, based on its patented Self-Adaptive Silicon(R) technology, for production on our 0.13-micron CMOS logic process. We chose Impinj's cost-effective NVM to help our customers' products meet their application requirements for embedded non-volatile memories. Primary applications for Impinj's AEON parallel architecture include analog trimming, digital rights management and wireless controllers. In 2007, Impinj's AEON(R)/MTP Parallel Architecture NVM cores became available in our 0.13-micron logic process.</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IMAGE SENSOR TECHNOLOGIES</w:t>
      </w:r>
    </w:p>
    <w:p>
      <w:pPr>
        <w:spacing w:after="0" w:line="139" w:lineRule="exact"/>
        <w:rPr>
          <w:sz w:val="20"/>
          <w:szCs w:val="20"/>
          <w:color w:val="auto"/>
        </w:rPr>
      </w:pPr>
    </w:p>
    <w:p>
      <w:pPr>
        <w:ind w:right="4759" w:firstLine="351"/>
        <w:spacing w:after="0" w:line="273" w:lineRule="auto"/>
        <w:rPr>
          <w:sz w:val="20"/>
          <w:szCs w:val="20"/>
          <w:color w:val="auto"/>
        </w:rPr>
      </w:pPr>
      <w:r>
        <w:rPr>
          <w:rFonts w:ascii="Courier New" w:cs="Courier New" w:eastAsia="Courier New" w:hAnsi="Courier New"/>
          <w:sz w:val="11"/>
          <w:szCs w:val="11"/>
          <w:color w:val="auto"/>
        </w:rPr>
        <w:t>We developed, both independently and together with our customers, basic pixel intellectual property to be used by those customers in the manufacturing</w:t>
      </w:r>
    </w:p>
    <w:p>
      <w:pPr>
        <w:sectPr>
          <w:pgSz w:w="11900" w:h="16838" w:orient="portrait"/>
          <w:cols w:equalWidth="0" w:num="1">
            <w:col w:w="10239"/>
          </w:cols>
          <w:pgMar w:left="220" w:top="141"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2"/>
          <w:szCs w:val="12"/>
          <w:color w:val="auto"/>
        </w:rPr>
        <w:t>of our CMOS image sensor products.</w:t>
      </w:r>
    </w:p>
    <w:p>
      <w:pPr>
        <w:spacing w:after="0" w:line="134" w:lineRule="exact"/>
        <w:rPr>
          <w:sz w:val="20"/>
          <w:szCs w:val="20"/>
          <w:color w:val="auto"/>
        </w:rPr>
      </w:pPr>
    </w:p>
    <w:p>
      <w:pPr>
        <w:ind w:left="700" w:hanging="357"/>
        <w:spacing w:after="0"/>
        <w:tabs>
          <w:tab w:leader="none" w:pos="70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ORGANIZATIONAL STRUCTURE</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The legal and commercial name of our company is Tower Semiconductor Ltd. We were incorporated under the laws of the State of Israel in 1993. We have one subsidiary, incorporated in the United States under the name Tower Semiconductor USA, Inc. Our subsidiary is wholly-owned by us.</w:t>
      </w:r>
    </w:p>
    <w:p>
      <w:pPr>
        <w:spacing w:after="0" w:line="141" w:lineRule="exact"/>
        <w:rPr>
          <w:sz w:val="20"/>
          <w:szCs w:val="20"/>
          <w:color w:val="auto"/>
        </w:rPr>
      </w:pPr>
    </w:p>
    <w:p>
      <w:pPr>
        <w:ind w:right="7439" w:firstLine="343"/>
        <w:spacing w:after="0" w:line="469" w:lineRule="auto"/>
        <w:tabs>
          <w:tab w:leader="none" w:pos="703"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PLANTS AND EQUIPMENT MANUFACTURING FACILITIES</w:t>
      </w:r>
    </w:p>
    <w:p>
      <w:pPr>
        <w:spacing w:after="0" w:line="4" w:lineRule="exact"/>
        <w:rPr>
          <w:rFonts w:ascii="Courier New" w:cs="Courier New" w:eastAsia="Courier New" w:hAnsi="Courier New"/>
          <w:sz w:val="12"/>
          <w:szCs w:val="12"/>
          <w:color w:val="auto"/>
        </w:rPr>
      </w:pPr>
    </w:p>
    <w:p>
      <w:pPr>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FAB 1</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We acquired our Fab 1 facility from National Semiconductor in 1993, which had operated the facility since 1986. We occupy the facility pursuant to a long-term lease from the Israel Lands Authority that expires in 2032.</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Since we commenced manufacturing at Fab 1, we increased its manufacturing capacity from 5,000 wafers per month, using 1.25-micron and 1.0-micron processes, to approximately 16,000 wafers per month as of May 31, 2006 depending on process technology and product mix, using our 1.0 micron to 0.35-micron processes, including specialized processes. Fab 1 is also manufacturing products for Siliconix Incorporated and Siliconix Technology C.V under a long term foundry agreement that we entered into in May 2004 using process technology that Siliconix transferred to us.</w:t>
      </w:r>
    </w:p>
    <w:p>
      <w:pPr>
        <w:spacing w:after="0" w:line="14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exact capacity is variable and depends on the combination of the processes being used and may be significantly lower at certain times as a result of certain of our combinations. In general, our ability to increase our manufacturing capacity has been achieved through the addition of equipment, improvement in equipment utilization, the reconfiguration and expansion of the existing clean room area and the construction of an additional clean room area within the building shell of Fab 1.</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- 31 -</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FAB 2</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In January 2001, we commenced construction of Fab 2, our advanced wafer fab adjacent to Fab 1 in Migdal Haemek. The land on which Fab 2 is located is subject to a long-term lease from the Israel Lands Authority that expires in 2049.</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Fab 2 offers integrated circuits manufacturing services utilizing advanced materials and a 0.18-micron process technology we licensed from Toshiba, as well as 0.13-micron process technology we licensed from Freescale. Fab 2 is also manufacturing products in 0.35-micron process technology that International Rectifier Corporation transferred to us under a long term foundry agreement that we entered into in September 2006.</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overall clean room area in Fab 2 is approximately 100,000 square feet. We began volume production at Fab 2 during the third quarter of 2003. Production capacity as of May 31, 2007 was approximately 21,000 wafers per month. Depending on the process technology and product mix, when fully ramped-up, we estimate that Fab 2 will be able to achieve capacity levels of approximately 40,000 wafers per month.</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Since 2000, we have invested significantly in the purchase of fixed assets, primarily in connection with the construction of Fab 2, technology advancement and capacity expansion. Capital expenditures in 2006, 2005 and 2004 were approximately $146 million, $30 million and $173 million, respectively, before related Investment Center grants of $0 million, $6 million and $30 million, respectively.</w:t>
      </w:r>
    </w:p>
    <w:p>
      <w:pPr>
        <w:spacing w:after="0" w:line="140"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We have registered liens in favor of the State of Israel and our banks on substantially all of our present and future assets, including Fab 1 and Fab 2 (see "Item 5 - Operating and Financial Review and Prospects - B. Liquidity and Capital Resources - Fab 2 Agreements - Credit Facility").</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ENVIRONMENTAL MATTERS AND CERTIFICATIONS</w:t>
      </w:r>
    </w:p>
    <w:p>
      <w:pPr>
        <w:spacing w:after="0" w:line="139" w:lineRule="exact"/>
        <w:rPr>
          <w:sz w:val="20"/>
          <w:szCs w:val="20"/>
          <w:color w:val="auto"/>
        </w:rPr>
      </w:pPr>
    </w:p>
    <w:p>
      <w:pPr>
        <w:ind w:right="4759" w:firstLine="351"/>
        <w:spacing w:after="0" w:line="263" w:lineRule="auto"/>
        <w:rPr>
          <w:sz w:val="20"/>
          <w:szCs w:val="20"/>
          <w:color w:val="auto"/>
        </w:rPr>
      </w:pPr>
      <w:r>
        <w:rPr>
          <w:rFonts w:ascii="Courier New" w:cs="Courier New" w:eastAsia="Courier New" w:hAnsi="Courier New"/>
          <w:sz w:val="11"/>
          <w:szCs w:val="11"/>
          <w:color w:val="auto"/>
        </w:rPr>
        <w:t>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w:t>
      </w:r>
    </w:p>
    <w:p>
      <w:pPr>
        <w:spacing w:after="0" w:line="128"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We believe that we are currently in compliance in all material respects with applicable environmental laws and regulations.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November 2004, we received ISO 14001 certification from The Standards Institution of Israel. A series of international standards on environmental management, ISO 14000 provides a framework for the development of an environmental management system and the supporting audit program. ISO 14001 is the cornerstone standard of the ISO 14000 series. It specifies a framework of control for an environmental management system pursuant to which an organization can be certified by a third party. The ISO 14001 certification applies to all of our manufacturing facilities. Our authorized design center in Netanya, Israel also received certification.</w:t>
      </w:r>
    </w:p>
    <w:p>
      <w:pPr>
        <w:spacing w:after="0" w:line="143" w:lineRule="exact"/>
        <w:rPr>
          <w:sz w:val="20"/>
          <w:szCs w:val="20"/>
          <w:color w:val="auto"/>
        </w:rPr>
      </w:pPr>
    </w:p>
    <w:p>
      <w:pPr>
        <w:ind w:right="4979" w:firstLine="351"/>
        <w:spacing w:after="0" w:line="236" w:lineRule="auto"/>
        <w:rPr>
          <w:sz w:val="20"/>
          <w:szCs w:val="20"/>
          <w:color w:val="auto"/>
        </w:rPr>
      </w:pPr>
      <w:r>
        <w:rPr>
          <w:rFonts w:ascii="Courier New" w:cs="Courier New" w:eastAsia="Courier New" w:hAnsi="Courier New"/>
          <w:sz w:val="12"/>
          <w:szCs w:val="12"/>
          <w:color w:val="auto"/>
        </w:rPr>
        <w:t>In December 2004, we received the OHSAS 18001 certification from the Standard Institution of Israel, which provides the framework of control for Safety and Health. This certification covers all of our activities and departments.</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- 32 -</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In November 2005, we achieved ISO/TS 16949 certification from the UK-based National Quality Association pertaining to the manufacturing processes, work procedures and product performance meeting the requirements of the automotive industry. This quality management system standard certification covers all our departments and activities.</w:t>
      </w:r>
    </w:p>
    <w:p>
      <w:pPr>
        <w:spacing w:after="0" w:line="139" w:lineRule="exact"/>
        <w:rPr>
          <w:sz w:val="20"/>
          <w:szCs w:val="20"/>
          <w:color w:val="auto"/>
        </w:rPr>
      </w:pPr>
    </w:p>
    <w:p>
      <w:pPr>
        <w:jc w:val="both"/>
        <w:ind w:right="5039" w:firstLine="351"/>
        <w:spacing w:after="0" w:line="266" w:lineRule="auto"/>
        <w:rPr>
          <w:sz w:val="20"/>
          <w:szCs w:val="20"/>
          <w:color w:val="auto"/>
        </w:rPr>
      </w:pPr>
      <w:r>
        <w:rPr>
          <w:rFonts w:ascii="Courier New" w:cs="Courier New" w:eastAsia="Courier New" w:hAnsi="Courier New"/>
          <w:sz w:val="11"/>
          <w:szCs w:val="11"/>
          <w:color w:val="auto"/>
        </w:rPr>
        <w:t>In March 2006, we achieved ISO 17799 certification from The Standards Institution of Israel for the high quality of our security technology and implementations, covering all our departments and activities.</w:t>
      </w:r>
    </w:p>
    <w:p>
      <w:pPr>
        <w:sectPr>
          <w:pgSz w:w="11900" w:h="16838" w:orient="portrait"/>
          <w:cols w:equalWidth="0" w:num="1">
            <w:col w:w="10239"/>
          </w:cols>
          <w:pgMar w:left="220" w:top="137"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2"/>
          <w:szCs w:val="12"/>
          <w:color w:val="auto"/>
        </w:rPr>
        <w:t>ITEM 4A. UNRESOLVED STAFF COMMENTS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5. OPERATING AND FINANCIAL REVIEW AND PROSPECTS</w:t>
      </w:r>
    </w:p>
    <w:p>
      <w:pPr>
        <w:spacing w:after="0" w:line="134" w:lineRule="exact"/>
        <w:rPr>
          <w:sz w:val="20"/>
          <w:szCs w:val="20"/>
          <w:color w:val="auto"/>
        </w:rPr>
      </w:pPr>
    </w:p>
    <w:p>
      <w:pPr>
        <w:ind w:left="700" w:hanging="357"/>
        <w:spacing w:after="0"/>
        <w:tabs>
          <w:tab w:leader="none" w:pos="70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OPERATING RESULTS</w:t>
      </w:r>
    </w:p>
    <w:p>
      <w:pPr>
        <w:spacing w:after="0" w:line="139" w:lineRule="exact"/>
        <w:rPr>
          <w:sz w:val="20"/>
          <w:szCs w:val="20"/>
          <w:color w:val="auto"/>
        </w:rPr>
      </w:pPr>
    </w:p>
    <w:p>
      <w:pPr>
        <w:ind w:right="5039"/>
        <w:spacing w:after="0" w:line="235" w:lineRule="auto"/>
        <w:rPr>
          <w:sz w:val="20"/>
          <w:szCs w:val="20"/>
          <w:color w:val="auto"/>
        </w:rPr>
      </w:pPr>
      <w:r>
        <w:rPr>
          <w:rFonts w:ascii="Courier New" w:cs="Courier New" w:eastAsia="Courier New" w:hAnsi="Courier New"/>
          <w:sz w:val="12"/>
          <w:szCs w:val="12"/>
          <w:color w:val="auto"/>
        </w:rPr>
        <w:t>MANAGEMENT'S DISCUSSION AND ANALYSIS OF FINANCIAL CONDITION AND RESULTS OF OPERATIONS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THE INFORMATION CONTAINED IN THIS SECTION SHOULD BE READ IN CONJUNCTION WITH OUR CONSOLIDATED FINANCIAL STATEMENTS FOR THE YEAR ENDED DECEMBER 31, 2006 AND RELATED NOTES AND THE INFORMATION CONTAINED ELSEWHERE IN THIS ANNUAL REPORT. OUR FINANCIAL STATEMENTS HAVE BEEN PREPARED IN ACCORDANCE WITH GENERALLY ACCEPTED ACCOUNTING PRINCIPLES ("GAAP") IN ISRAEL. DIFFERENCES BETWEEN ISRAELI GAAP AND US GAAP AS THEY RELATE TO OUR FINANCIAL STATEMENTS ARE DESCRIBED IN NOTE 19 TO OUR AUDITED ANNUAL CONSOLIDATED FINANCIAL STATEMENTS FOR THE YEAR ENDED DECEMBER 31, 2006.</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OVERVIEW</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We are a pure-play independent specialty foundry dedicated to the manufacture of semiconductors. Pure-play foundries do not offer any products of their own, but focus on producing integrated circuits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primary source of our revenue is from the fabrication of ICs using CMOS process technology. We are currently focused on the emerging opportunities involving CMOS image sensors, embedded flash, mixed-signal, RFCMOS and RFID technologies. ICs manufactured by us are incorporated into a wide range of products in diverse markets, including consumer electronics, personal computer and office equipment, communications, automotive, professional photography and medical device products.</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primary customers for our products are fabless IC companies and IDMs. A substantial portion of our product sales are made pursuant to long-term contracts with our customers, under which we have agreed to reserve manufacturing capacity at our production facilities. Our sales cycle is generally 12-24 months for new customers and can be as short as 9-12 months for existing customers. The typical stages in the sales process, from initial contact until production are: technical evaluation; photomask design specification; silicon prototyping; assembly and testing; validation and qualification; and production.</w:t>
      </w:r>
    </w:p>
    <w:p>
      <w:pPr>
        <w:spacing w:after="0" w:line="143"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During the year ended December 31, 2006, we had seven significant customers who contributed between 5% to 23% of our revenues. In 2005, we had five significant customers who contributed between 5% to 22% of our revenues. In 2004, we had seven significant customers who contributed between 5% to 24% of our revenues. In these years SanDisk was instrumental in ramping up our business. While we currently expect that SanDisk will continue to be a significant customer of Fab 2, additional customers are expected to commence or increase their purchase orders following the qualification of their products in Fab 2 during 2007.</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- 33 -</w:t>
      </w:r>
    </w:p>
    <w:p>
      <w:pPr>
        <w:spacing w:after="0" w:line="200" w:lineRule="exact"/>
        <w:rPr>
          <w:sz w:val="20"/>
          <w:szCs w:val="20"/>
          <w:color w:val="auto"/>
        </w:rPr>
      </w:pPr>
    </w:p>
    <w:p>
      <w:pPr>
        <w:spacing w:after="0" w:line="326"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In addition to further developing our customer base, we have also made a concentrated effort to expand the geographical diversity of our sales. The percentage of our sales from customers located outside the United States was 31%, 36% and 40% in the years ended December 31, 2006, 2005 and 2004, respectively. We believe that a substantial portion of our sales will continue to come from customers located outside the United States.</w:t>
      </w:r>
    </w:p>
    <w:p>
      <w:pPr>
        <w:spacing w:after="0" w:line="140" w:lineRule="exact"/>
        <w:rPr>
          <w:sz w:val="20"/>
          <w:szCs w:val="20"/>
          <w:color w:val="auto"/>
        </w:rPr>
      </w:pPr>
    </w:p>
    <w:p>
      <w:pPr>
        <w:ind w:right="4699" w:firstLine="351"/>
        <w:spacing w:after="0" w:line="260" w:lineRule="auto"/>
        <w:rPr>
          <w:sz w:val="20"/>
          <w:szCs w:val="20"/>
          <w:color w:val="auto"/>
        </w:rPr>
      </w:pPr>
      <w:r>
        <w:rPr>
          <w:rFonts w:ascii="Courier New" w:cs="Courier New" w:eastAsia="Courier New" w:hAnsi="Courier New"/>
          <w:sz w:val="11"/>
          <w:szCs w:val="11"/>
          <w:color w:val="auto"/>
        </w:rPr>
        <w:t>Our company was founded in 1993, when we acquired National Semiconductor's 150-mm wafer fabrication facility, or Fab 1, and commenced operations as an independent foundry. Since then, we have significantly modernized our Fab 1 facility, which has improved its process geometries from 1.0-micron to</w:t>
      </w:r>
    </w:p>
    <w:p>
      <w:pPr>
        <w:ind w:right="4619"/>
        <w:spacing w:after="0" w:line="237" w:lineRule="auto"/>
        <w:rPr>
          <w:sz w:val="20"/>
          <w:szCs w:val="20"/>
          <w:color w:val="auto"/>
        </w:rPr>
      </w:pPr>
      <w:r>
        <w:rPr>
          <w:rFonts w:ascii="Courier New" w:cs="Courier New" w:eastAsia="Courier New" w:hAnsi="Courier New"/>
          <w:sz w:val="12"/>
          <w:szCs w:val="12"/>
          <w:color w:val="auto"/>
        </w:rPr>
        <w:t>0.35-micron and enhanced its process technologies to include CMOS image sensors, embedded flash and mixed-signal technologies. We have also expanded our production capacity in Fab 1 to approximately 16,000 wafers per month as of May 31, 2007, depending on process technology and product mix, to meet additional customer demand. Fab 1 has been cash flow positive from operations since the second quarter of 2002.</w:t>
      </w:r>
    </w:p>
    <w:p>
      <w:pPr>
        <w:spacing w:after="0" w:line="140"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During the third quarter of 2003, we completed the construction of the building and infrastructure of our second manufacturing facility, or Fab 2. Fab 2 is designed to operate in geometries of 0.18-micron and below, using advanced materials and advanced CMOS technology licensed from Freescale and Toshiba, as well as other technologies that we might acquire or develop independently. We began volume production at Fab 2 during the third quarter of 2003. Production capacity of Fab 2 as of May 31, 2007 was approximately 21,000 wafers per month.</w:t>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CRITICAL ACCOUNTING POLICIES</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REVENUE RECOGNITION. In accordance with generally accepted accounting principles, our revenues are recognized upon shipment or as services are rendered when title has been transferred, collectibility is reasonably assured and acceptance criteria are satisfied, based on tests performed prior to customer on-site testing. Prior to commencement of our production, both our customers and our personnel test and pre-approve the prototype, on the basis of which specifications and features the ordered products will be produced. Electronic, functional and quality tests are performed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Our revenue recognition policy is significant because our revenues are a key component of our results of operations. We follow very specific and detailed guidelines in measuring revenue; however an accrual for estimated returns, which is computed primarily on the basis of historical experience, is recorded. Any changes in assumptions for determining the accrual for returns and other factors affecting revenue recognition may affect mainly the timing of our revenue recognition and cause our operating results to vary from quarter to quarter.</w:t>
      </w:r>
    </w:p>
    <w:p>
      <w:pPr>
        <w:spacing w:after="0" w:line="258"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2"/>
          <w:szCs w:val="12"/>
          <w:color w:val="auto"/>
        </w:rPr>
        <w:t>Accordingly, our financial position and results of operations may be</w:t>
      </w:r>
    </w:p>
    <w:p>
      <w:pPr>
        <w:spacing w:after="0" w:line="4"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1"/>
          <w:szCs w:val="11"/>
          <w:color w:val="auto"/>
        </w:rPr>
        <w:t>affected. That effect, if any, under Israel GAAP and US GAAP would be similar.</w:t>
      </w:r>
    </w:p>
    <w:p>
      <w:pPr>
        <w:spacing w:after="0" w:line="27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- 34 -</w:t>
      </w:r>
    </w:p>
    <w:p>
      <w:pPr>
        <w:sectPr>
          <w:pgSz w:w="11900" w:h="16838" w:orient="portrait"/>
          <w:cols w:equalWidth="0" w:num="1">
            <w:col w:w="10239"/>
          </w:cols>
          <w:pgMar w:left="220" w:top="137" w:right="1440" w:bottom="0" w:gutter="0" w:footer="0" w:header="0"/>
        </w:sect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DEPRECIATION AND AMORTIZATION . Depreciation and amortization expenses in</w:t>
      </w:r>
    </w:p>
    <w:p>
      <w:pPr>
        <w:sectPr>
          <w:pgSz w:w="11900" w:h="16838" w:orient="portrait"/>
          <w:cols w:equalWidth="0" w:num="1">
            <w:col w:w="10239"/>
          </w:cols>
          <w:pgMar w:left="220" w:top="137" w:right="1440" w:bottom="0" w:gutter="0" w:footer="0" w:header="0"/>
          <w:type w:val="continuous"/>
        </w:sectPr>
      </w:pPr>
    </w:p>
    <w:bookmarkStart w:id="20" w:name="page21"/>
    <w:bookmarkEnd w:id="20"/>
    <w:p>
      <w:pPr>
        <w:ind w:right="4619"/>
        <w:spacing w:after="0" w:line="261" w:lineRule="auto"/>
        <w:rPr>
          <w:sz w:val="20"/>
          <w:szCs w:val="20"/>
          <w:color w:val="auto"/>
        </w:rPr>
      </w:pPr>
      <w:r>
        <w:rPr>
          <w:rFonts w:ascii="Courier New" w:cs="Courier New" w:eastAsia="Courier New" w:hAnsi="Courier New"/>
          <w:sz w:val="11"/>
          <w:szCs w:val="11"/>
          <w:color w:val="auto"/>
        </w:rPr>
        <w:t>2006 amounted to $154.8 million. During the third quarter of 2003, we commenced depreciating the Fab 2 property and equipment and amortizing the 0.18-micron technology, based on the straight-line method. Currently, we estimate that the expected economic life of the Fab 2 assets will be as follows: (i) prepaid perpetual land lease and buildings (including facility infrastructure) - 14 to 25 years; (ii) machinery and equipment - five years; and (iii) the 0.18-micron and 0.13 micron technology - four years, while amortization phases in commencing on the dates on which each of the Fab 2 manufacturing lines is ready for its intended use. We expect that the depreciation and amortization expenses relating to Fab 2 facilities will be approximately $162 million in 2007. Changes in our estimates regarding the expected economic life of Fab 2 assets, or a change in the dates on which each of the Fab 2 manufacturing lines is ready for its intended use, might affect our depreciation and amortization expenses. That effect, if any, under Israel GAAP and US GAAP would be similar.</w:t>
      </w:r>
    </w:p>
    <w:p>
      <w:pPr>
        <w:spacing w:after="0" w:line="12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IMPAIRMENT OF ASSETS. Standard No. 15, "Impairment of Assets," of the Israeli Accounting Standards Board addresses the accounting treatment and presentation of impairment of assets, and establishes procedures to be implemented in order to ensure that assets are not presented in amounts exceeding their recoverable value. The review of possible impairment charges was performed based on our business plan, as was approved by our board of directors. The business plan is based, among other things, on the future completion of the construction and equipping of Fab 2 to reach full capacity. Application of Standard 15 resulted in no impairment charges. According to US GAAP, for example, under SFAS 144 and SFAS 142, recoverability tests are performed based on undiscounted expected cash flows, SFAS 144 indicates that an asset's recoverable value is the higher of the asset's net selling price and the asset's value in use, the latter being equal to the asset's discounted expected cash flows. While applying the provisions of SFAS 144 had no effect on our financial position and results of operations, the use of different assumptions with respect to the expected cash flows from our assets and with respect to other economic variables, primarily the discount rate, may lead to different conclusions regarding the recoverability of our assets' carrying values and to the potential need to record an impairment loss for our long-lived assets.</w:t>
      </w:r>
    </w:p>
    <w:p>
      <w:pPr>
        <w:spacing w:after="0" w:line="263" w:lineRule="exact"/>
        <w:rPr>
          <w:sz w:val="20"/>
          <w:szCs w:val="20"/>
          <w:color w:val="auto"/>
        </w:rPr>
      </w:pPr>
    </w:p>
    <w:p>
      <w:pPr>
        <w:ind w:right="4899" w:firstLine="351"/>
        <w:spacing w:after="0" w:line="236" w:lineRule="auto"/>
        <w:rPr>
          <w:sz w:val="20"/>
          <w:szCs w:val="20"/>
          <w:color w:val="auto"/>
        </w:rPr>
      </w:pPr>
      <w:r>
        <w:rPr>
          <w:rFonts w:ascii="Courier New" w:cs="Courier New" w:eastAsia="Courier New" w:hAnsi="Courier New"/>
          <w:sz w:val="12"/>
          <w:szCs w:val="12"/>
          <w:color w:val="auto"/>
        </w:rPr>
        <w:t>CONVERTIBLE DEBENTURES. In January 2006, the company adopted Accounting Standard No. 22 of the Israeli Accounting Standard Board - "Financial Instruments: Disclosure and Presentation".</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As of December 31, 2006, the Company issued three series of convertible debentures that are considered compound instruments under this standard. According to the Standard, a compound instrument has to be separated to its components, the equity component and the liability component. The equity component is classified as shareholders' equity and is determined as the excess of the proceeds over the fair value of the liability component.</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Under US GAAP the Company is required to determine whether the conversion option embedded in the convertible debt should be bifurcated and accounted for separately. Such determination is based on the determination whether on a stand alone such conversion option would be classified in equity. If the option can be classified as equity no bifurcation is required.</w:t>
      </w:r>
    </w:p>
    <w:p>
      <w:pPr>
        <w:spacing w:after="0" w:line="139" w:lineRule="exact"/>
        <w:rPr>
          <w:sz w:val="20"/>
          <w:szCs w:val="20"/>
          <w:color w:val="auto"/>
        </w:rPr>
      </w:pPr>
    </w:p>
    <w:p>
      <w:pPr>
        <w:jc w:val="both"/>
        <w:ind w:right="4619" w:firstLine="351"/>
        <w:spacing w:after="0" w:line="260" w:lineRule="auto"/>
        <w:rPr>
          <w:sz w:val="20"/>
          <w:szCs w:val="20"/>
          <w:color w:val="auto"/>
        </w:rPr>
      </w:pPr>
      <w:r>
        <w:rPr>
          <w:rFonts w:ascii="Courier New" w:cs="Courier New" w:eastAsia="Courier New" w:hAnsi="Courier New"/>
          <w:sz w:val="11"/>
          <w:szCs w:val="11"/>
          <w:color w:val="auto"/>
        </w:rPr>
        <w:t>DEBT RESTRUCTURING. Under Israeli GAAP we accounted for the September 2006 amendment to the facility agreement as extinguishment and assumption of new debt in accordance with provisions set forth in IAS 39 "Financial Instruments:</w:t>
      </w:r>
    </w:p>
    <w:p>
      <w:pPr>
        <w:ind w:right="4839"/>
        <w:spacing w:after="0" w:line="235" w:lineRule="auto"/>
        <w:rPr>
          <w:sz w:val="20"/>
          <w:szCs w:val="20"/>
          <w:color w:val="auto"/>
        </w:rPr>
      </w:pPr>
      <w:r>
        <w:rPr>
          <w:rFonts w:ascii="Courier New" w:cs="Courier New" w:eastAsia="Courier New" w:hAnsi="Courier New"/>
          <w:sz w:val="12"/>
          <w:szCs w:val="12"/>
          <w:color w:val="auto"/>
        </w:rPr>
        <w:t>Recognition and Measurement". Under IAS 39, we accounted for the modification under the September 2006 amendment as follows:</w:t>
      </w:r>
    </w:p>
    <w:p>
      <w:pPr>
        <w:spacing w:after="0" w:line="139" w:lineRule="exact"/>
        <w:rPr>
          <w:sz w:val="20"/>
          <w:szCs w:val="20"/>
          <w:color w:val="auto"/>
        </w:rPr>
      </w:pPr>
    </w:p>
    <w:p>
      <w:pPr>
        <w:ind w:left="700" w:right="4759" w:hanging="357"/>
        <w:spacing w:after="0" w:line="236" w:lineRule="auto"/>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amount considered settled for shares and classified to equity is based on the per share price as quoted at the closing date; such amount totaled to approximately $76 million.</w:t>
      </w:r>
    </w:p>
    <w:p>
      <w:pPr>
        <w:spacing w:after="0" w:line="139" w:lineRule="exact"/>
        <w:rPr>
          <w:rFonts w:ascii="Courier New" w:cs="Courier New" w:eastAsia="Courier New" w:hAnsi="Courier New"/>
          <w:sz w:val="12"/>
          <w:szCs w:val="12"/>
          <w:color w:val="auto"/>
        </w:rPr>
      </w:pPr>
    </w:p>
    <w:p>
      <w:pPr>
        <w:ind w:left="700" w:right="4899" w:hanging="357"/>
        <w:spacing w:after="0" w:line="236" w:lineRule="auto"/>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remaining balance, totaling approximately $435 million, is considered to be substantially modified and thus treated as debt extinguishment of the outstanding debt and the incurrence of a new debt.</w:t>
      </w:r>
    </w:p>
    <w:p>
      <w:pPr>
        <w:spacing w:after="0" w:line="140" w:lineRule="exact"/>
        <w:rPr>
          <w:rFonts w:ascii="Courier New" w:cs="Courier New" w:eastAsia="Courier New" w:hAnsi="Courier New"/>
          <w:sz w:val="12"/>
          <w:szCs w:val="12"/>
          <w:color w:val="auto"/>
        </w:rPr>
      </w:pPr>
    </w:p>
    <w:p>
      <w:pPr>
        <w:ind w:left="700" w:right="4979" w:hanging="357"/>
        <w:spacing w:after="0" w:line="235" w:lineRule="auto"/>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debt incurred is initially recognized at fair value, totaling approximately $355 million.</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35 -</w:t>
      </w:r>
    </w:p>
    <w:p>
      <w:pPr>
        <w:spacing w:after="0" w:line="200" w:lineRule="exact"/>
        <w:rPr>
          <w:rFonts w:ascii="Courier New" w:cs="Courier New" w:eastAsia="Courier New" w:hAnsi="Courier New"/>
          <w:sz w:val="12"/>
          <w:szCs w:val="12"/>
          <w:color w:val="auto"/>
        </w:rPr>
      </w:pPr>
    </w:p>
    <w:p>
      <w:pPr>
        <w:spacing w:after="0" w:line="325" w:lineRule="exact"/>
        <w:rPr>
          <w:rFonts w:ascii="Courier New" w:cs="Courier New" w:eastAsia="Courier New" w:hAnsi="Courier New"/>
          <w:sz w:val="12"/>
          <w:szCs w:val="12"/>
          <w:color w:val="auto"/>
        </w:rPr>
      </w:pPr>
    </w:p>
    <w:p>
      <w:pPr>
        <w:ind w:left="700" w:right="4839" w:hanging="357"/>
        <w:spacing w:after="0" w:line="237" w:lineRule="auto"/>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difference between the fair value of the debt incurred and the outstanding debt (exclusive of the amount used as proceeds for the share issuance in 1 above), totaling approximately $80 million, is recognized in the consolidated statement of operations as a gain on debt restructuring in the current period.</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Under US GAAP, as of December 31, 2006, the debt modification under the September 2006 Amendment is considered troubled debt restructuring within the scope of SFAS No. 15 "Accounting by Debtors and Creditors for Troubled Debt Restructurings" which requires the following: (i) the amount considered settled for shares and classified in equity is based on the price per share as quoted at the closing date; (ii) the remaining balance after deduction of the amount used as proceeds for the share issuance in the first bullet above, will remain outstanding; (iii) a new, lower effective interest rate will be calculated as the interest rate that equates future payments to the outstanding balance; and (iv) no gains or losses are recognized in the current period.</w:t>
      </w:r>
    </w:p>
    <w:p>
      <w:pPr>
        <w:spacing w:after="0" w:line="13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During the first quarter of 2007 we early adopted the provisions of SFAS No. 159 "The Fair Value Option for Financial Assets and Financial Liabilities". As required by the standard we concurrently adopted the provisions of SFAS 157 Fair Value Measurements. The adoption of the standard is effective January 1, 2007. According to the standard we can choose to carry at fair value eligible items as defined in the standard, from the date of early adoption and accordingly we decided to apply the fair value option to the facility agreement. The effect of applying the fair value option to the facility agreement as of January 1, 2007 has been recorded as a cumulative effect adjustment to retained earnings (no tax effects have been recorded).</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RECENT ACCOUNTING PRONOUNCEMENTS UNDER US GAAP AS THEY APPLY TO US</w:t>
      </w:r>
    </w:p>
    <w:p>
      <w:pPr>
        <w:spacing w:after="0" w:line="139" w:lineRule="exact"/>
        <w:rPr>
          <w:sz w:val="20"/>
          <w:szCs w:val="20"/>
          <w:color w:val="auto"/>
        </w:rPr>
      </w:pPr>
    </w:p>
    <w:p>
      <w:pPr>
        <w:ind w:right="4699" w:firstLine="351"/>
        <w:spacing w:after="0" w:line="263" w:lineRule="auto"/>
        <w:rPr>
          <w:sz w:val="20"/>
          <w:szCs w:val="20"/>
          <w:color w:val="auto"/>
        </w:rPr>
      </w:pPr>
      <w:r>
        <w:rPr>
          <w:rFonts w:ascii="Courier New" w:cs="Courier New" w:eastAsia="Courier New" w:hAnsi="Courier New"/>
          <w:sz w:val="11"/>
          <w:szCs w:val="11"/>
          <w:color w:val="auto"/>
        </w:rPr>
        <w:t>SFAS NO. 123 (REVISED 2004) "SHARE BASED PAYMENTS". In December 2004, the FASB issued SFAS No. 123 (revised 2004) "Share Based Payments" ("SFAS 123(R)"). This Statement is a revision of FASB Statement No. 123, "Accounting for Stock-Based Compensation", which supersedes APB Opinion No. 25, "Accounting for Stock Issued to Employees" and its authoritative interpretations.</w:t>
      </w:r>
    </w:p>
    <w:p>
      <w:pPr>
        <w:spacing w:after="0" w:line="128"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SFAS 123(R) eliminates the alternative to use APB 25's intrinsic value method of accounting that was allowed in SFAS 123 as originally issued and requires to measure the cost of employee services received in exchange for an award of equity instruments based on the grant-date fair value of the award. The fair-value-based method in this Statement is similar to the fair-value-based method in SFAS 123 in most respects. The costs associated with the awards will be recognized over the period during which an employee is required to provide service in exchange for the award - the requisite service period (usually the vesting period).</w:t>
      </w:r>
    </w:p>
    <w:p>
      <w:pPr>
        <w:sectPr>
          <w:pgSz w:w="11900" w:h="16838" w:orient="portrait"/>
          <w:cols w:equalWidth="0" w:num="1">
            <w:col w:w="10239"/>
          </w:cols>
          <w:pgMar w:left="220" w:top="141" w:right="1440" w:bottom="0" w:gutter="0" w:footer="0" w:header="0"/>
        </w:sectPr>
      </w:pPr>
    </w:p>
    <w:bookmarkStart w:id="21" w:name="page22"/>
    <w:bookmarkEnd w:id="21"/>
    <w:p>
      <w:pPr>
        <w:ind w:right="4619" w:firstLine="351"/>
        <w:spacing w:after="0" w:line="238" w:lineRule="auto"/>
        <w:rPr>
          <w:sz w:val="20"/>
          <w:szCs w:val="20"/>
          <w:color w:val="auto"/>
        </w:rPr>
      </w:pPr>
      <w:r>
        <w:rPr>
          <w:rFonts w:ascii="Courier New" w:cs="Courier New" w:eastAsia="Courier New" w:hAnsi="Courier New"/>
          <w:sz w:val="12"/>
          <w:szCs w:val="12"/>
          <w:color w:val="auto"/>
        </w:rPr>
        <w:t>The provisions of SFAS 123(R) apply to all awards granted by us on or after January 1, 2006 and to awards modified, repurchased, or cancelled after that date. When initially applied the provisions of SFAS 123(R), in the first quarter of 2006, we were required to elect between using either the "modified prospective method" or the "modified retrospective method". Under the modified prospective method, we were required to recognize compensation cost for all awards granted after the adoption of SFAS 123(R) and for the unvested portion of previously granted awards that were outstanding on that date. Under the modified retrospective method, we were required to restate on previously issued financial statements to recognize the amounts previously calculated and reported on a pro forma basis, as if the original provisions of SFAS 123(R) had been adopted. Under both methods, it is permitted to use either a straight line or an accelerated method to amortize the cost as an expense for awards with graded vesting. We elected the modified prospective method using graded vesting amortization.</w:t>
      </w:r>
    </w:p>
    <w:p>
      <w:pPr>
        <w:spacing w:after="0" w:line="140" w:lineRule="exact"/>
        <w:rPr>
          <w:sz w:val="20"/>
          <w:szCs w:val="20"/>
          <w:color w:val="auto"/>
        </w:rPr>
      </w:pPr>
    </w:p>
    <w:p>
      <w:pPr>
        <w:ind w:right="5039" w:firstLine="351"/>
        <w:spacing w:after="0" w:line="236" w:lineRule="auto"/>
        <w:rPr>
          <w:sz w:val="20"/>
          <w:szCs w:val="20"/>
          <w:color w:val="auto"/>
        </w:rPr>
      </w:pPr>
      <w:r>
        <w:rPr>
          <w:rFonts w:ascii="Courier New" w:cs="Courier New" w:eastAsia="Courier New" w:hAnsi="Courier New"/>
          <w:sz w:val="12"/>
          <w:szCs w:val="12"/>
          <w:color w:val="auto"/>
        </w:rPr>
        <w:t>Based on the outstanding options as of December 31, 2006, the total compensation to be amortized in 2007 is expected to be approximately $ 7.8 million.</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- 36 -</w:t>
      </w:r>
    </w:p>
    <w:p>
      <w:pPr>
        <w:spacing w:after="0" w:line="200" w:lineRule="exact"/>
        <w:rPr>
          <w:sz w:val="20"/>
          <w:szCs w:val="20"/>
          <w:color w:val="auto"/>
        </w:rPr>
      </w:pPr>
    </w:p>
    <w:p>
      <w:pPr>
        <w:spacing w:after="0" w:line="326"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SFAS NO. 154, ACCOUNTING CHANGES AND ERROR CORRECTIONS. This statement, published in May 2005, replaces APB Opinion No. 20, "Accounting Changes", and FASB Statement No. 3, "Reporting Accounting Changes in Interim Financial Statements", and changes the requirements for the accounting for and reporting of a change in accounting principles. This statement applies to all voluntary changes in accounting principles, and to changes required by an accounting pronouncement in the unusual instance that the pronouncement does not include specific transition provisions.</w:t>
      </w:r>
    </w:p>
    <w:p>
      <w:pPr>
        <w:spacing w:after="0" w:line="142"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FIN NO. 48. ACCOUNTING FOR UNCERTAINTY IN INCOME TAXES. On July 13, 2006, the FASB issued Interpretation No. 48, "Accounting for Uncertainty in Income Taxes - An Interpretation of FASB Statement No. 109" ("FIN 48"), which clarifies the accounting for uncertainty in tax positions. This Interpretation requires recognition in the financial statements of the impact of a tax position, if that position is more likely than not of being sustained on audit, based on the technical merits of the position. A tax position that meets the more-likely-than-not recognition threshold shall initially and subsequently be measured as the largest amount of tax benefit that is greater than 50 percent likely of being realized upon ultimate settlement with a taxing authority that has full knowledge of all relevant information. Measurement of a tax position that meets the more-likely-than-not recognition threshold shall consider the amounts and probabilities of the outcomes that could be realized upon ultimate settlement using the facts, circumstances, and information available at the reporting date.</w:t>
      </w:r>
    </w:p>
    <w:p>
      <w:pPr>
        <w:spacing w:after="0" w:line="140"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The provisions of FIN 48 are effective for the 2007 fiscal year with the cumulative effect of the change in accounting principle recorded as an adjustment to opening balance of retained earnings. FIN 48 did not have a material effect on our financial condition and results of operations.</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SFAS NO. 157. FAIR VALUE MEASUREMENT. In September 2006, the FASB issued SFAS No. 157, "Fair Value Measurements". SFAS No. 157 requires companies to disclose the fair value of their financial instruments according to a fair value hierarchy as defined in the standard. Additionally, companies are required to provide enhanced disclosure regarding financial instruments in one of the categories (level 3), including a reconciliation of the beginning and ending balances separately for each major category of assets and liabilities. The purpose of SFAS No. 157 is to define fair value, establish a framework for measuring fair value, and enhance disclosures about fair value measurements.</w:t>
      </w:r>
    </w:p>
    <w:p>
      <w:pPr>
        <w:spacing w:after="0" w:line="143" w:lineRule="exact"/>
        <w:rPr>
          <w:sz w:val="20"/>
          <w:szCs w:val="20"/>
          <w:color w:val="auto"/>
        </w:rPr>
      </w:pPr>
    </w:p>
    <w:p>
      <w:pPr>
        <w:jc w:val="both"/>
        <w:ind w:right="4619" w:firstLine="351"/>
        <w:spacing w:after="0" w:line="266" w:lineRule="auto"/>
        <w:rPr>
          <w:sz w:val="20"/>
          <w:szCs w:val="20"/>
          <w:color w:val="auto"/>
        </w:rPr>
      </w:pPr>
      <w:r>
        <w:rPr>
          <w:rFonts w:ascii="Courier New" w:cs="Courier New" w:eastAsia="Courier New" w:hAnsi="Courier New"/>
          <w:sz w:val="11"/>
          <w:szCs w:val="11"/>
          <w:color w:val="auto"/>
        </w:rPr>
        <w:t>The Company decided to early adopt the provisions of SFAS No. 157 effective January 1, 2007, concurrent with the adoption of SFAS 159 "The Fair Value Option for Financial Assets and Financial Liabilities" as described below.</w:t>
      </w:r>
    </w:p>
    <w:p>
      <w:pPr>
        <w:spacing w:after="0" w:line="126"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SFAS NO. 159, "THE FAIR VALUE OPTION FOR FINANCIAL ASSETS AND FINANCIAL LIABILITIES". In February 2007, the FASB issued SFAS No. 159, "The Fair Value Option for Financial Assets and Financial Liabilities". SFAS No. 159 permits companies to choose to measure certain financial instruments and certain other items at fair value. The standard requires that unrealized gains and losses on items for which the fair value option has been elected be reported in earnings. SFAS No. 159 is effective for the Company beginning in the first quarter of fiscal year 2008, although earlier adoption is permitted. We decided to early adopt the provisions of SFAS No. 159 effective January 1, 2007, and elected to carry at fair value the Facility agreement.</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RECENT ACCOUNTING PRONOUNCEMENTS UNDER ISRAELI GAAP AS THEY APPLY TO US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ACCOUNTING STANDARD NO. 29 "ADOPTION OF INTERNATIONAL FINANCIAL REPORTING STANDARDS". In July 2006, the Israeli Accounting Standards Board published Accounting Standard No. 29 - "Adoption of International Financial Reporting Standards- IFRS". According to the IAS No 29, an entity subject to the Israeli Securities Law and authoritative Regulations thereunder (including dual listed companies), excluding foreign corporations, that do not prepare their financial statements in accordance with Israeli GAAP, as defined by this Law, will be required to prepare financial statements in accordance with the IFRS and related interpretations published by the International Accounting Standards Board, for the reporting periods commencing January 1, 2008, including interim periods. However, dual listed companies, such as our, will be required to prepare financial statements in accordance with the IFRS or US GAAP. We are examining these alternatives.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- 37 -</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An entity adopting IFRS as of January 1, 2008 and electing to report comparative figures in accordance with the IFRS for only 2007, will be required to prepare opening balance-sheet amounts as of January 1, 2007 based on the IFRS.</w:t>
      </w:r>
    </w:p>
    <w:p>
      <w:pPr>
        <w:spacing w:after="0" w:line="14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Reporting in accordance with the IFRS will be carried out based on the provisions of IFRS No. 1, "First-time Adoption of IFRS Standards", which establishes guidance on implementing and transitioning from financial reporting based on domestic national accounting standards to reporting in accordance with IFRS.</w:t>
      </w:r>
    </w:p>
    <w:p>
      <w:pPr>
        <w:spacing w:after="0" w:line="139" w:lineRule="exact"/>
        <w:rPr>
          <w:sz w:val="20"/>
          <w:szCs w:val="20"/>
          <w:color w:val="auto"/>
        </w:rPr>
      </w:pPr>
    </w:p>
    <w:p>
      <w:pPr>
        <w:ind w:right="4899" w:firstLine="351"/>
        <w:spacing w:after="0" w:line="237" w:lineRule="auto"/>
        <w:rPr>
          <w:sz w:val="20"/>
          <w:szCs w:val="20"/>
          <w:color w:val="auto"/>
        </w:rPr>
      </w:pPr>
      <w:r>
        <w:rPr>
          <w:rFonts w:ascii="Courier New" w:cs="Courier New" w:eastAsia="Courier New" w:hAnsi="Courier New"/>
          <w:sz w:val="12"/>
          <w:szCs w:val="12"/>
          <w:color w:val="auto"/>
        </w:rPr>
        <w:t>IFRS No. 1 supersedes the transitional provisions established in other IFRSs (including those established in former domestic national accounting standards), stating that all IFRSs should be adopted retroactively for the opening balance-sheet amounts. Nevertheless, IFRS No. 1 grants exemptions on certain issues by allowing the alternative of not applying the retroactive application in respect thereof.</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ACCOUNTING STANDARD NO. 24 "SHARE-BASED PAYMENTS". In September 2005, the</w:t>
      </w:r>
    </w:p>
    <w:p>
      <w:pPr>
        <w:sectPr>
          <w:pgSz w:w="11900" w:h="16838" w:orient="portrait"/>
          <w:cols w:equalWidth="0" w:num="1">
            <w:col w:w="10239"/>
          </w:cols>
          <w:pgMar w:left="220" w:top="141" w:right="1440" w:bottom="0" w:gutter="0" w:footer="0" w:header="0"/>
        </w:sectPr>
      </w:pPr>
    </w:p>
    <w:bookmarkStart w:id="22" w:name="page23"/>
    <w:bookmarkEnd w:id="22"/>
    <w:p>
      <w:pPr>
        <w:ind w:right="4619"/>
        <w:spacing w:after="0" w:line="237" w:lineRule="auto"/>
        <w:rPr>
          <w:sz w:val="20"/>
          <w:szCs w:val="20"/>
          <w:color w:val="auto"/>
        </w:rPr>
      </w:pPr>
      <w:r>
        <w:rPr>
          <w:rFonts w:ascii="Courier New" w:cs="Courier New" w:eastAsia="Courier New" w:hAnsi="Courier New"/>
          <w:sz w:val="12"/>
          <w:szCs w:val="12"/>
          <w:color w:val="auto"/>
        </w:rPr>
        <w:t>Israeli Accounting Standards Board published Accounting Standard No. 24 "Share-Based Compensation", which calls for the recognition in the financial statements of share-based payments, including transactions with employees, which are to be settled by the payment of cash, by other assets, or by equity instruments. Under IAS No. 24, amongst other matters, costs associated with grants of shares and options to employees will be expensed over the vesting period of each grant. Said costs will be determined based on the fair value of the grants at each grant date. IAS No. 24 establishes guidelines for measuring the fair value of each grant based on the settlement terms (either by cash or equity instrument), and disclosure provisions.</w:t>
      </w:r>
    </w:p>
    <w:p>
      <w:pPr>
        <w:spacing w:after="0" w:line="144"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IAS No. 24 is effective for financial statements for periods commencing January 1, 2006 or thereafter. IAS No. 24 provides that with respect to Share-based payments to be settled by equity instruments, its provisions should be applied to all grants made after March 15, 2005, that are unvested as of December 31, 2005. IAS No. 24 further provides that its provisions should be applied to modifications that were made after March 15, 2005, even if the underlying grants are not in the scope of the standard .</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ACCOUNTING STANDARD NO. 26 "INVENTORY". In August 2006 the Israeli Accounting Standards Board published Accounting Standard No. 26 - "Inventory", which outlines the accounting treatment for inventory. The IAS No. 26 applies to all types of inventory, other than buildings earmarked for sale and addressed by Accounting Standard No. 2 "Construction of Buildings for Sale", inventory of work in progress stemming from performance contracts, addressed by Accounting Standard No. 4 "Work Based on Performance Contract's", and financial instruments and biological assets relating to agricultural activity and agricultural production during harvest.</w:t>
      </w:r>
    </w:p>
    <w:p>
      <w:pPr>
        <w:spacing w:after="0" w:line="143"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IAS No. 26 establishes, among other things, that inventory should be stated at the lower of cost and net realizable value. Cost is determined by the first in, first out (FIFO) method or by average weighted cost used consistently for all types of inventory of similar nature and uses. In certain circumstances the standard requires cost determination by a specific identification of cost, which includes all purchase and production costs, as well as any other costs incurred in reaching the inventory's present stage.</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- 38 -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When inventory is acquired on credit incorporating a financing component, the inventory should then be presented at cost equaling the purchase cost in cash. The financing component is recognized as a financing expense over the term of the credit period.</w:t>
      </w:r>
    </w:p>
    <w:p>
      <w:pPr>
        <w:spacing w:after="0" w:line="14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Any reduction of inventory to net realizable value following impairment as well as any other inventory loss should be expensed during the current period. Subsequent reversal of an impairment write-down that stems from an increase in net realizable value will be allocated to operations during the period in which the reversal took place.</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IAS No. 26 will apply to financial statements covering periods beginning January 1, 2007 and onwards and should be implemented retroactively. The Standard is not expected to affect our financial position, results of operations and cash flows. [</w:t>
      </w:r>
    </w:p>
    <w:p>
      <w:pPr>
        <w:spacing w:after="0" w:line="14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ACCOUNTING STANDARD NO. 27 "FIXED ASSETS". In September 2006 the Israeli Accounting Standards Board published Accounting Standard No. 27, which establishes the accounting treatment for fixed assets, including recognition of assets, determination of their book value, related depreciation, as well as the disclosure required in the financial statements.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IAS No. 27 states that a fixed-asset item will be measured at the initial recognition date at cost which includes, in addition to the purchase price, all the related costs incurred for bringing the item to the position enabling it to operate in the manner contemplated by management. The cost also includes the initial estimate of costs required to dismantle and remove the item, along with the expenses for restoration of the site on which the item had been placed and in respect of which the entity incurred that obligation when the item had been acquired or following its use over a given period of time not in the production of inventory during that period.</w:t>
      </w:r>
    </w:p>
    <w:p>
      <w:pPr>
        <w:spacing w:after="0" w:line="143"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IAS No. 27 also states that when acquiring assets in exchange for a non-monetary asset or a combination of monetary as well as non-monetary assets, the cost will be determined at fair value unless (a) the barter transaction has no commercial substance or (b) it is impossible to reliably measure the fair value of the asset received and the asset provided. Should the provided asset not be measured at fair value, its cost would equal the book value of the asset provided/transferred.</w:t>
      </w:r>
    </w:p>
    <w:p>
      <w:pPr>
        <w:spacing w:after="0" w:line="14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Following the initial recognition, the Standard permits the entity to implement in its accounting policy the measurement of the fixed assets by the cost method or by revaluation so long as this policy is implemented in regard to all the items in that group.</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Cost method - an item will be presented at cost less accumulated</w:t>
      </w:r>
    </w:p>
    <w:p>
      <w:pPr>
        <w:spacing w:after="0"/>
        <w:rPr>
          <w:sz w:val="20"/>
          <w:szCs w:val="20"/>
          <w:color w:val="auto"/>
        </w:rPr>
      </w:pPr>
      <w:r>
        <w:rPr>
          <w:rFonts w:ascii="Courier New" w:cs="Courier New" w:eastAsia="Courier New" w:hAnsi="Courier New"/>
          <w:sz w:val="12"/>
          <w:szCs w:val="12"/>
          <w:color w:val="auto"/>
        </w:rPr>
        <w:t>depreciation, less accumulated impairment losses.</w:t>
      </w:r>
    </w:p>
    <w:p>
      <w:pPr>
        <w:spacing w:after="0" w:line="138"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Revaluation method - an item whose fair value can be measured reliably will be presented at its estimated amount, which equals its fair value at the revaluation date, net of depreciation accumulated subsequently and less accumulated impairment losses. Revaluations should take place on a current basis in order to ensure that book value does not materially differ from the fair value that would have been determined on the balance-sheet date. The revaluation of a single item calls for the revaluation of the entire group and if the asset's book value rises following this revaluation, this increase should be allocated directly to shareholders' equity ("revaluation reserve"). Nevertheless, this increase will be recognized as an operating item up to the amount offsetting the decrease from that asset's revaluation recognized previously as income or loss. Should book value decline following revaluation, this decline will be recognized as an operating item yet allocated directly to shareholders' equity ("revaluation reserve") up to the amount leaving any credit balance in that reserve in respect of that asset.</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- 39 -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Any fixed assets with a significant cost in relation to the item's total cost should be depreciated separately. Moreover, the depreciation method used will be reviewed at least once at yearend and, if any meaningful change had taken place in the estimated consumption of future economic benefits inherent in the asset, the method should be modified to reflect such changes. This change will be treated as a change in an accounting estimate.</w:t>
      </w:r>
    </w:p>
    <w:p>
      <w:pPr>
        <w:spacing w:after="0" w:line="136"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2"/>
          <w:szCs w:val="12"/>
          <w:color w:val="auto"/>
        </w:rPr>
        <w:t>This new standard will apply to financial statements covering periods</w:t>
      </w:r>
    </w:p>
    <w:p>
      <w:pPr>
        <w:spacing w:after="0" w:line="4"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1"/>
          <w:szCs w:val="11"/>
          <w:color w:val="auto"/>
        </w:rPr>
        <w:t>beginning January 1, 2007 and onwards and implemented retroactively. IAS No. 27</w:t>
      </w:r>
    </w:p>
    <w:p>
      <w:pPr>
        <w:sectPr>
          <w:pgSz w:w="11900" w:h="16838" w:orient="portrait"/>
          <w:cols w:equalWidth="0" w:num="1">
            <w:col w:w="10239"/>
          </w:cols>
          <w:pgMar w:left="220" w:top="141" w:right="1440" w:bottom="0" w:gutter="0" w:footer="0" w:header="0"/>
        </w:sectPr>
      </w:pPr>
    </w:p>
    <w:bookmarkStart w:id="23" w:name="page24"/>
    <w:bookmarkEnd w:id="23"/>
    <w:p>
      <w:pPr>
        <w:ind w:right="4699"/>
        <w:spacing w:after="0" w:line="236" w:lineRule="auto"/>
        <w:rPr>
          <w:sz w:val="20"/>
          <w:szCs w:val="20"/>
          <w:color w:val="auto"/>
        </w:rPr>
      </w:pPr>
      <w:r>
        <w:rPr>
          <w:rFonts w:ascii="Courier New" w:cs="Courier New" w:eastAsia="Courier New" w:hAnsi="Courier New"/>
          <w:sz w:val="12"/>
          <w:szCs w:val="12"/>
          <w:color w:val="auto"/>
        </w:rPr>
        <w:t>is not expected to affect our financial position or results of operations, except for reclassification in the balance sheet and cash flows report of spare parts from inventory to fixed assets.</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In April 2007 the Israeli Accounting Standard Board published Standard No. 28 that amends Standard No. 27 to allow, at transition, the exemptions allowed under IFRS 1 regarding fixed assets.</w:t>
      </w:r>
    </w:p>
    <w:p>
      <w:pPr>
        <w:spacing w:after="0" w:line="139" w:lineRule="exact"/>
        <w:rPr>
          <w:sz w:val="20"/>
          <w:szCs w:val="20"/>
          <w:color w:val="auto"/>
        </w:rPr>
      </w:pPr>
    </w:p>
    <w:p>
      <w:pPr>
        <w:ind w:right="4839" w:firstLine="351"/>
        <w:spacing w:after="0" w:line="237" w:lineRule="auto"/>
        <w:rPr>
          <w:sz w:val="20"/>
          <w:szCs w:val="20"/>
          <w:color w:val="auto"/>
        </w:rPr>
      </w:pPr>
      <w:r>
        <w:rPr>
          <w:rFonts w:ascii="Courier New" w:cs="Courier New" w:eastAsia="Courier New" w:hAnsi="Courier New"/>
          <w:sz w:val="12"/>
          <w:szCs w:val="12"/>
          <w:color w:val="auto"/>
        </w:rPr>
        <w:t>STANDARD NO. 23, "ACCOUNTING FOR TRANSACTIONS BETWEEN AN ENTITY AND A CONTROLLING PARTY". In December 2006 the Israeli Accounting Standards Board published Accounting Standard No. 23, "Accounting for Transactions between an Entity and a Controlling Party. IAS No. 23 applies to entities subject to the Israeli Securities Law-1968.</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IAS No. 23 establishes the requirements for accounting for transactions between an entity and its controlling party which involve the transposition of an asset, the taking on of a liability, reimbursement or debt concession, and the receiving of loans. IAS No. 23 does not apply to business combinations under common control.</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IAS No. 23 stipulates that transactions between an entity and a controlling party will be measured based on fair value; transactions which in nature are owner investment should be reported directly in equity and not be recognized in the controlled entity's profit and loss; the differences between the consideration set in transactions between an entity and a controlling party and their fair value will be allocated directly to the equity; and current and deferred taxes pertaining to the items allocated to equity due to transactions with controlling parties will be allocated directly to equity as well.</w:t>
      </w:r>
    </w:p>
    <w:p>
      <w:pPr>
        <w:spacing w:after="0" w:line="128" w:lineRule="exact"/>
        <w:rPr>
          <w:sz w:val="20"/>
          <w:szCs w:val="20"/>
          <w:color w:val="auto"/>
        </w:rPr>
      </w:pPr>
    </w:p>
    <w:p>
      <w:pPr>
        <w:ind w:right="4619" w:firstLine="351"/>
        <w:spacing w:after="0" w:line="263" w:lineRule="auto"/>
        <w:rPr>
          <w:sz w:val="20"/>
          <w:szCs w:val="20"/>
          <w:color w:val="auto"/>
        </w:rPr>
      </w:pPr>
      <w:r>
        <w:rPr>
          <w:rFonts w:ascii="Courier New" w:cs="Courier New" w:eastAsia="Courier New" w:hAnsi="Courier New"/>
          <w:sz w:val="11"/>
          <w:szCs w:val="11"/>
          <w:color w:val="auto"/>
        </w:rPr>
        <w:t>IAS No. 23 is effective for transactions between an entity and a controlling party taking place subsequent to January 1, 2007 and for loans granted from or given to a controlling party prior to the standard's coming into effect, starting on the standard's effective date. IAS No. 23 is not expected to affect our financial position, results of operations and cash flows.</w:t>
      </w:r>
    </w:p>
    <w:p>
      <w:pPr>
        <w:spacing w:after="0" w:line="128"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ACCOUNTING STANDARD NO. 30 - "INTANGIBLE ASSETS". In March 2007, The Israeli Accounting Standards Board published Accounting Standard No. 30, "Intangible Assets", which sets the accounting treatment for Intangible Assets that are not covered by any other standard, as well as the disclosure requirements in the financial statements for the entity's Intangible Assets.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An intangible asset shall be measured initially at cost. Expenditures arising from research (or from the research phase of an internal project) shall not be recognized as an asset and should be expensed when incurred. An intangible asset arising from development (or from the development phase of an internal project) shall be recognized if, and only if, the criteria for recognition as an intangible asset in the standard are met. Expenditure on an intangible item that was not recognized initially, shall not be recognized as part of the cost of an intangible asset at a later date.</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- 40 -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After initial recognition, an entity may choose to measure intangible asset at its cost less any accumulated amortization and any accumulated impairment losses, or for an intangible asset that have an active market, as defined in the standard, may be carried at a revalued amount, being its fair value at the date of the revaluation less any subsequent accumulated amortization and any subsequent accumulated impairment losses. An entity shall assess whether the useful life of an intangible asset is finite or indefinite. The amortization of an intangible asset with a finite useful life shall be over its useful life using a systematic basis. An intangible asset with an indefinite useful life shall not be amortized. Instead, an entity is required to test an intangible asset with an indefinite useful life for impairment in a manner similar to the method prescribed in Standard No. 15, annually, or whenever there is an indication that the intangible asset may be impaired.</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IAS No. 30 applies apply to financial statements for annual periods beginning on or after January 1, 2007. IAS No. 30 is not expected to affect our financial position, results of operations and cash flows.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w w:val="96"/>
              </w:rPr>
              <w:t>YEAR ENDED DECEMBER 31,</w:t>
            </w:r>
          </w:p>
        </w:tc>
      </w:tr>
      <w:tr>
        <w:trPr>
          <w:trHeight w:val="135"/>
        </w:trPr>
        <w:tc>
          <w:tcPr>
            <w:tcW w:w="2840" w:type="dxa"/>
            <w:vAlign w:val="bottom"/>
          </w:tcPr>
          <w:p>
            <w:pPr>
              <w:spacing w:after="0"/>
              <w:rPr>
                <w:sz w:val="11"/>
                <w:szCs w:val="11"/>
                <w:color w:val="auto"/>
              </w:rPr>
            </w:pPr>
          </w:p>
        </w:tc>
        <w:tc>
          <w:tcPr>
            <w:tcW w:w="278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c>
          <w:tcPr>
            <w:tcW w:w="12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2005</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284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2840" w:type="dxa"/>
            <w:vAlign w:val="bottom"/>
          </w:tcPr>
          <w:p>
            <w:pPr>
              <w:spacing w:after="0"/>
              <w:rPr>
                <w:sz w:val="20"/>
                <w:szCs w:val="20"/>
                <w:color w:val="auto"/>
              </w:rPr>
            </w:pPr>
            <w:r>
              <w:rPr>
                <w:rFonts w:ascii="Courier New" w:cs="Courier New" w:eastAsia="Courier New" w:hAnsi="Courier New"/>
                <w:sz w:val="12"/>
                <w:szCs w:val="12"/>
                <w:color w:val="auto"/>
              </w:rPr>
              <w:t>STATEMENT OF OPERATIONS DATA:</w:t>
            </w:r>
          </w:p>
        </w:tc>
        <w:tc>
          <w:tcPr>
            <w:tcW w:w="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7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100.0%</w:t>
            </w:r>
          </w:p>
        </w:tc>
        <w:tc>
          <w:tcPr>
            <w:tcW w:w="12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100.0%</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100.0%</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Cost of total revenues</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142.7</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233.7</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181.2</w:t>
            </w:r>
          </w:p>
        </w:tc>
      </w:tr>
      <w:tr>
        <w:trPr>
          <w:trHeight w:val="135"/>
        </w:trPr>
        <w:tc>
          <w:tcPr>
            <w:tcW w:w="284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7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(42.7)</w:t>
            </w:r>
          </w:p>
        </w:tc>
        <w:tc>
          <w:tcPr>
            <w:tcW w:w="12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(133.7)</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(81.2)</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Research and development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15.7</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13.5</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Marketing, general and administrative</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13.1</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17.1</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16.9</w:t>
            </w:r>
          </w:p>
        </w:tc>
      </w:tr>
      <w:tr>
        <w:trPr>
          <w:trHeight w:val="135"/>
        </w:trPr>
        <w:tc>
          <w:tcPr>
            <w:tcW w:w="284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7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(63.8)</w:t>
            </w:r>
          </w:p>
        </w:tc>
        <w:tc>
          <w:tcPr>
            <w:tcW w:w="12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(166.5)</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(111.6)</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7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(25.7)</w:t>
            </w:r>
          </w:p>
        </w:tc>
        <w:tc>
          <w:tcPr>
            <w:tcW w:w="12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(35.0)</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(23.6)</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42.7</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Other income (expense), net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0.3</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2.34</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25.9</w:t>
            </w:r>
          </w:p>
        </w:tc>
      </w:tr>
      <w:tr>
        <w:trPr>
          <w:trHeight w:val="135"/>
        </w:trPr>
        <w:tc>
          <w:tcPr>
            <w:tcW w:w="284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Loss</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(46.5)%</w:t>
            </w:r>
          </w:p>
        </w:tc>
        <w:tc>
          <w:tcPr>
            <w:tcW w:w="12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(199.1)%</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(109.3)%</w:t>
            </w:r>
          </w:p>
        </w:tc>
      </w:tr>
      <w:tr>
        <w:trPr>
          <w:trHeight w:val="135"/>
        </w:trPr>
        <w:tc>
          <w:tcPr>
            <w:tcW w:w="284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YEAR ENDED DECEMBER 31, 2006 COMPARED TO YEAR ENDED DECEMBER 31, 2005</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REVENUES. Revenues for the year ended December 31, 2006 increased by 83.8% to $187.4 million from $102 million for the year ended December 31, 2005. This $85.4 million increase was mainly attributable to an increase in our customer base and higher volume of wafer shipments offset by $8 million recorded for the year ended December 31, 2005 from a previously announced technology-related agreement.</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COST OF TOTAL REVENUES. Cost of total revenues for the year ended December 31, 2006 amounted to $267.4 million, compared with $238.4 million for the year ended December 31, 2005. This 12.2% modest increase in cost of revenues, despite the 83.8% increase in revenues, was achieved mainly due to previously announced cost reductions and efficiency measures taken by the Company and the Company's cost structure, according to which, the Company has high net margins for each marginal additional sum of revenue.</w:t>
      </w:r>
    </w:p>
    <w:p>
      <w:pPr>
        <w:spacing w:after="0" w:line="141" w:lineRule="exact"/>
        <w:rPr>
          <w:sz w:val="20"/>
          <w:szCs w:val="20"/>
          <w:color w:val="auto"/>
        </w:rPr>
      </w:pPr>
    </w:p>
    <w:p>
      <w:pPr>
        <w:ind w:right="4759" w:firstLine="351"/>
        <w:spacing w:after="0" w:line="273" w:lineRule="auto"/>
        <w:rPr>
          <w:sz w:val="20"/>
          <w:szCs w:val="20"/>
          <w:color w:val="auto"/>
        </w:rPr>
      </w:pPr>
      <w:r>
        <w:rPr>
          <w:rFonts w:ascii="Courier New" w:cs="Courier New" w:eastAsia="Courier New" w:hAnsi="Courier New"/>
          <w:sz w:val="11"/>
          <w:szCs w:val="11"/>
          <w:color w:val="auto"/>
        </w:rPr>
        <w:t>GROSS LOSS. Gross loss for the year ended December 31, 2006 was $80.0 million compared to a gross loss of $136.4 million for the year ended December</w:t>
      </w:r>
    </w:p>
    <w:p>
      <w:pPr>
        <w:sectPr>
          <w:pgSz w:w="11900" w:h="16838" w:orient="portrait"/>
          <w:cols w:equalWidth="0" w:num="1">
            <w:col w:w="10239"/>
          </w:cols>
          <w:pgMar w:left="220" w:top="141" w:right="1440" w:bottom="0" w:gutter="0" w:footer="0" w:header="0"/>
        </w:sectPr>
      </w:pPr>
    </w:p>
    <w:bookmarkStart w:id="24" w:name="page25"/>
    <w:bookmarkEnd w:id="24"/>
    <w:p>
      <w:pPr>
        <w:jc w:val="both"/>
        <w:ind w:right="4619"/>
        <w:spacing w:after="0" w:line="236" w:lineRule="auto"/>
        <w:rPr>
          <w:sz w:val="20"/>
          <w:szCs w:val="20"/>
          <w:color w:val="auto"/>
        </w:rPr>
      </w:pPr>
      <w:r>
        <w:rPr>
          <w:rFonts w:ascii="Courier New" w:cs="Courier New" w:eastAsia="Courier New" w:hAnsi="Courier New"/>
          <w:sz w:val="12"/>
          <w:szCs w:val="12"/>
          <w:color w:val="auto"/>
        </w:rPr>
        <w:t>31, 2005. The decrease in gross loss was mainly attributable to the increase in revenues and previously announced cost reductions and efficiency measures taken by the Company and the Company's cost structure, according to which, the Company has high net margins for each marginal additional sum of revenue.</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- 41 -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RESEARCH AND DEVELOPMENT. Research and development expenses for the year ended December 31, 2006 decreased to $15.0 million from $16.0 million for the year ended December 31, 2005. The decrease was mainly attributable to previously announced cost reductions and efficiency measures taken by the Company. Research and development expenses are reflected net of participation grants received from the Israeli government.</w:t>
      </w:r>
    </w:p>
    <w:p>
      <w:pPr>
        <w:spacing w:after="0" w:line="140"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MARKETING, GENERAL AND ADMINISTRATIVE EXPENSES. Marketing, general and administrative expenses for the year ended December 31, 2006 increased to $24.5 million from $17.4 million for the year ended December 31, 2005, primarily due to stock based compensation expenses recorded for the first time with the adoption of Standard No. 24 and increased sales commissions attributable to the higher revenues mentioned above.</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OPERATING LOSS. Operating loss for the year ended December 31, 2006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$119.4 million, compared to $169.8 million for the year ended December 31, 2005.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decrease in the operating loss is attributable mainly to the decrease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gross loss described above and the Company's cost structure, according to which,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has high net margins for each marginal additional sum of revenue.</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FINANCING EXPENSES, NET. Financing expenses, net for the year ended</w:t>
      </w:r>
    </w:p>
    <w:p>
      <w:pPr>
        <w:spacing w:after="0"/>
        <w:rPr>
          <w:sz w:val="20"/>
          <w:szCs w:val="20"/>
          <w:color w:val="auto"/>
        </w:rPr>
      </w:pPr>
      <w:r>
        <w:rPr>
          <w:rFonts w:ascii="Courier New" w:cs="Courier New" w:eastAsia="Courier New" w:hAnsi="Courier New"/>
          <w:sz w:val="12"/>
          <w:szCs w:val="12"/>
          <w:color w:val="auto"/>
        </w:rPr>
        <w:t>December 31, 2006 were $48.1 million compared to financing expenses, net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$35.7 million for the year ended December 31, 2005. This increase is mainly due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an increase of $9.2 million in costs related to our convertible debentures</w:t>
      </w:r>
    </w:p>
    <w:p>
      <w:pPr>
        <w:spacing w:after="0"/>
        <w:rPr>
          <w:sz w:val="20"/>
          <w:szCs w:val="20"/>
          <w:color w:val="auto"/>
        </w:rPr>
      </w:pPr>
      <w:r>
        <w:rPr>
          <w:rFonts w:ascii="Courier New" w:cs="Courier New" w:eastAsia="Courier New" w:hAnsi="Courier New"/>
          <w:sz w:val="12"/>
          <w:szCs w:val="12"/>
          <w:color w:val="auto"/>
        </w:rPr>
        <w:t>attributable mainly to the: (i) $5.9 million increase in the discount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amortization and interest expenses resulting mainly from the issuance of two new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series of convertible debentures (in December 2005 and June 2006) and (ii) the</w:t>
      </w:r>
    </w:p>
    <w:p>
      <w:pPr>
        <w:spacing w:after="0"/>
        <w:rPr>
          <w:sz w:val="20"/>
          <w:szCs w:val="20"/>
          <w:color w:val="auto"/>
        </w:rPr>
      </w:pPr>
      <w:r>
        <w:rPr>
          <w:rFonts w:ascii="Courier New" w:cs="Courier New" w:eastAsia="Courier New" w:hAnsi="Courier New"/>
          <w:sz w:val="12"/>
          <w:szCs w:val="12"/>
          <w:color w:val="auto"/>
        </w:rPr>
        <w:t>weakening in 2006 of the NIS/dollar exchange rate which caused an increase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dollar amount of the NIS denominated outstanding convertible debt, resulting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in an annual increase of $4.8 million in expenses (see below for more details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currency fluctuations).</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GAIN ON DEBT RESTRUCTURING. Gain on debt restructuring for the year ended December 31, 2006 was $80.1 million. This one-time gain resulted from the successful consummation of our debt restructuring with our banks, which was closed in the third quarter of 2006.</w:t>
      </w:r>
    </w:p>
    <w:p>
      <w:pPr>
        <w:spacing w:after="0" w:line="141" w:lineRule="exact"/>
        <w:rPr>
          <w:sz w:val="20"/>
          <w:szCs w:val="20"/>
          <w:color w:val="auto"/>
        </w:rPr>
      </w:pPr>
    </w:p>
    <w:p>
      <w:pPr>
        <w:jc w:val="both"/>
        <w:ind w:right="4699" w:firstLine="351"/>
        <w:spacing w:after="0" w:line="266" w:lineRule="auto"/>
        <w:rPr>
          <w:sz w:val="20"/>
          <w:szCs w:val="20"/>
          <w:color w:val="auto"/>
        </w:rPr>
      </w:pPr>
      <w:r>
        <w:rPr>
          <w:rFonts w:ascii="Courier New" w:cs="Courier New" w:eastAsia="Courier New" w:hAnsi="Courier New"/>
          <w:sz w:val="11"/>
          <w:szCs w:val="11"/>
          <w:color w:val="auto"/>
        </w:rPr>
        <w:t>OTHER INCOME, NET. Other income, net, for the year ended December 31, 2006 was $0.6 million compared to $2.4 million for the year ended December 31, 2005, mainly due to a lower capital gain, net, from sale and disposal of equipment.</w:t>
      </w:r>
    </w:p>
    <w:p>
      <w:pPr>
        <w:spacing w:after="0" w:line="126" w:lineRule="exact"/>
        <w:rPr>
          <w:sz w:val="20"/>
          <w:szCs w:val="20"/>
          <w:color w:val="auto"/>
        </w:rPr>
      </w:pPr>
    </w:p>
    <w:p>
      <w:pPr>
        <w:ind w:right="4699" w:firstLine="351"/>
        <w:spacing w:after="0" w:line="263" w:lineRule="auto"/>
        <w:rPr>
          <w:sz w:val="20"/>
          <w:szCs w:val="20"/>
          <w:color w:val="auto"/>
        </w:rPr>
      </w:pPr>
      <w:r>
        <w:rPr>
          <w:rFonts w:ascii="Courier New" w:cs="Courier New" w:eastAsia="Courier New" w:hAnsi="Courier New"/>
          <w:sz w:val="11"/>
          <w:szCs w:val="11"/>
          <w:color w:val="auto"/>
        </w:rPr>
        <w:t>LOSS. Our loss for the year ended December 31, 2006 was $86.9 million, compared to $203.1 million for the year ended December 31, 2005. This decrease is primarily attributable to the $80.1 million gain on debt restructuring and a decrease of $50.4 million in the operating loss described above, offset by the $12.5 million increase in financing expenses described above.</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YEAR ENDED DECEMBER 31, 2005 COMPARED TO YEAR ENDED DECEMBER 31, 2004</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TOTAL REVENUES. Total revenues for the year ended December 31, 2005 decreased by 19.1% to $102.0 million from $126.1 million for the year ended December 31, 2004. This $24.1 million decrease was mainly attributable to lower volume of wafer shipments, which was partly offset by increased revenues from a joint development agreement for certain technology with a Japanese semiconductor manufacturer.</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- 42 -</w:t>
      </w:r>
    </w:p>
    <w:p>
      <w:pPr>
        <w:spacing w:after="0" w:line="200" w:lineRule="exact"/>
        <w:rPr>
          <w:sz w:val="20"/>
          <w:szCs w:val="20"/>
          <w:color w:val="auto"/>
        </w:rPr>
      </w:pPr>
    </w:p>
    <w:p>
      <w:pPr>
        <w:spacing w:after="0" w:line="326"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COST OF TOTAL REVENUES. Cost of total revenues in the year ended December 31, 2005 amounted to $238.4 million, compared with $228.4 million for the year ended December 31, 2004. This increase was mainly due to an increase in depreciation and amortization expenses which was partly offset by cost reductions and efficiency measures taken by us.</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GROSS LOSS. Gross loss in the year ended December 31, 2005 was $136.4 million compared to a gross loss of $102.4 million for the year ended December 31, 2004. The increase in gross loss was mainly attributable to the decrease in total revenues and to the increased cost of total revenues.</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RESEARCH AND DEVELOPMENT. Research and development expenses for the year ended December 31, 2005 decreased to $16.0 million from $17.1 million for the year ended December 31, 2004. The decrease was mainly attributable to cost reductions and efficiency measures taken by us. Research and development expenses are reflected net of participation grants received from the Israeli government ($1.0 million and $1.5 million, for the years ended December 31, 2005 and 2004, respectively).</w:t>
      </w:r>
    </w:p>
    <w:p>
      <w:pPr>
        <w:spacing w:after="0" w:line="141"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MARKETING, GENERAL AND ADMINISTRATION. Marketing, general and administrative expenses in the year ended December 31, 2005 decreased to $17.4 million from $21.3 million for the year ended December 31, 2004, primarily due to cost reductions and efficiency measures taken by us.</w:t>
      </w:r>
    </w:p>
    <w:p>
      <w:pPr>
        <w:spacing w:after="0" w:line="13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OPERATING LOSS. Operating loss in the year ended December 31, 2005 was</w:t>
      </w:r>
    </w:p>
    <w:p>
      <w:pPr>
        <w:spacing w:after="0" w:line="4" w:lineRule="exact"/>
        <w:rPr>
          <w:sz w:val="20"/>
          <w:szCs w:val="20"/>
          <w:color w:val="auto"/>
        </w:rPr>
      </w:pPr>
    </w:p>
    <w:p>
      <w:pPr>
        <w:jc w:val="both"/>
        <w:ind w:right="4619"/>
        <w:spacing w:after="0" w:line="236" w:lineRule="auto"/>
        <w:rPr>
          <w:sz w:val="20"/>
          <w:szCs w:val="20"/>
          <w:color w:val="auto"/>
        </w:rPr>
      </w:pPr>
      <w:r>
        <w:rPr>
          <w:rFonts w:ascii="Courier New" w:cs="Courier New" w:eastAsia="Courier New" w:hAnsi="Courier New"/>
          <w:sz w:val="12"/>
          <w:szCs w:val="12"/>
          <w:color w:val="auto"/>
        </w:rPr>
        <w:t>$169.8 million, compared to $140.7 million for the year ended December 31, 2004. The increase in the operating loss is attributable mainly to the increase in the gross loss.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FINANCING EXPENSES, NET. Financing expenses, net in the year ended December 31, 2005 were $35.7 million compared to financing expenses, net of $29.8 million for the year ended December 31, 2004. This increase is mainly due to an increase of $7.6 million in connection with our Fab 2 credit facility agreement attributable to (i) a higher amount of long-term loans which financed the construction and equipping of Fab 2 during the year ended December 31, 2005 as compared to the amount of such long-term loans during the year ended December 31, 2004, and (ii) an increase in the LIBOR rate from an average of approximately 1.5% per annum for the year ended December 31, 2004 to an average of approximately 3.3% per annum for the year ended December 31, 2005 (our long-term loans bear interest at a rate of LIBOR + 2.5% per annum).</w:t>
      </w:r>
    </w:p>
    <w:p>
      <w:pPr>
        <w:spacing w:after="0" w:line="145"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OTHER INCOME (EXPENSE), NET. Other income, net for the year ended December 31, 2005 was $2.4 million compared to $32.7 million for the year ended December 31, 2004. This decrease was mainly attributable to the $32.4 million gain from the sale of the Saifun Semiconductor shares in 2004.</w:t>
      </w:r>
    </w:p>
    <w:p>
      <w:pPr>
        <w:spacing w:after="0" w:line="141" w:lineRule="exact"/>
        <w:rPr>
          <w:sz w:val="20"/>
          <w:szCs w:val="20"/>
          <w:color w:val="auto"/>
        </w:rPr>
      </w:pPr>
    </w:p>
    <w:p>
      <w:pPr>
        <w:ind w:right="4759" w:firstLine="351"/>
        <w:spacing w:after="0" w:line="266" w:lineRule="auto"/>
        <w:rPr>
          <w:sz w:val="20"/>
          <w:szCs w:val="20"/>
          <w:color w:val="auto"/>
        </w:rPr>
      </w:pPr>
      <w:r>
        <w:rPr>
          <w:rFonts w:ascii="Courier New" w:cs="Courier New" w:eastAsia="Courier New" w:hAnsi="Courier New"/>
          <w:sz w:val="11"/>
          <w:szCs w:val="11"/>
          <w:color w:val="auto"/>
        </w:rPr>
        <w:t>LOSS. Our loss in the year ended December 31, 2005 was $203.1 million, compared to $137.8 million for the year ended December 31, 2004. This increase is primarily attributable to the increase in the operating loss of $29.1</w:t>
      </w:r>
    </w:p>
    <w:p>
      <w:pPr>
        <w:sectPr>
          <w:pgSz w:w="11900" w:h="16838" w:orient="portrait"/>
          <w:cols w:equalWidth="0" w:num="1">
            <w:col w:w="10239"/>
          </w:cols>
          <w:pgMar w:left="220" w:top="141" w:right="1440" w:bottom="0" w:gutter="0" w:footer="0" w:header="0"/>
        </w:sectPr>
      </w:pPr>
    </w:p>
    <w:bookmarkStart w:id="25" w:name="page26"/>
    <w:bookmarkEnd w:id="25"/>
    <w:p>
      <w:pPr>
        <w:ind w:right="5119"/>
        <w:spacing w:after="0" w:line="235" w:lineRule="auto"/>
        <w:rPr>
          <w:sz w:val="20"/>
          <w:szCs w:val="20"/>
          <w:color w:val="auto"/>
        </w:rPr>
      </w:pPr>
      <w:r>
        <w:rPr>
          <w:rFonts w:ascii="Courier New" w:cs="Courier New" w:eastAsia="Courier New" w:hAnsi="Courier New"/>
          <w:sz w:val="12"/>
          <w:szCs w:val="12"/>
          <w:color w:val="auto"/>
        </w:rPr>
        <w:t>million, the increase in financing expenses, net of $5.9 million, and the decrease in other income, net of $30.3 million.</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IMPACT OF INFLATION AND CURRENCY FLUCTUATIONS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dollar cost of our operations in Israel is influenced by the timing of any change in the rate of inflation in Israel and the extent to which such change is not offset by the change in valuation of the NIS in relation to the dollar. During the year ended December 31, 2006, the exchange rate of the dollar in relation to the NIS decreased by 8.2%, and the Israeli Consumer Price Index, or CPI, decreased by 0.1% (during the year ended December 31, 2005 there was an increase of 6.8% in the exchange rate of the dollar in relation to the NIS and an increase of 2.4% in the CPI).</w:t>
      </w:r>
    </w:p>
    <w:p>
      <w:pPr>
        <w:spacing w:after="0" w:line="142"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- 43 -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41"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Our borrowings under our Fab 2 credit facility, which comprise the majority of our long-term liabilities, provide for interest based on a floating Libor rate, and we are therefore exposed to interest rate fluctuations. From time to time, we engage in various hedging strategies to reduce our exposure to some, but not all, of these risks and intend to continue to do so in the future. However, despite any such hedging activity, we are likely to remain exposed to interest rate and currency exchange rate fluctuations, which may increase the cost of our business activities, particularly our financing expenses.</w:t>
      </w:r>
    </w:p>
    <w:p>
      <w:pPr>
        <w:spacing w:after="0" w:line="128"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2002 and 2006 convertible debentures are denominated in NIS linked to the Israeli CPI and therefore we are exposed to fluctuation in the NIS/dollar exchange rate. The dollar amount of our financing costs (interest and currency adjustments) related to the 2002 and 2006 convertible debentures will increase if the rate of inflation in Israel is not offset (or is offset on a lagging basis) by the devaluation of the NIS in relation to the dollar. In addition, the dollar amount of any repayment on account of the principal of the 2002 and 2006 convertible debentures will increase as well.</w:t>
      </w:r>
    </w:p>
    <w:p>
      <w:pPr>
        <w:spacing w:after="0" w:line="142"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The quantitative and qualitative disclosures about market risk are in Item 11 of this annual report.</w:t>
      </w:r>
    </w:p>
    <w:p>
      <w:pPr>
        <w:spacing w:after="0" w:line="135" w:lineRule="exact"/>
        <w:rPr>
          <w:sz w:val="20"/>
          <w:szCs w:val="20"/>
          <w:color w:val="auto"/>
        </w:rPr>
      </w:pPr>
    </w:p>
    <w:p>
      <w:pPr>
        <w:ind w:left="700" w:hanging="357"/>
        <w:spacing w:after="0"/>
        <w:tabs>
          <w:tab w:leader="none" w:pos="70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LIQUIDITY AND CAPITAL RESOURCES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As of December 31, 2006, we had an aggregate of $40.9 million in cash, cash equivalents and short term interest bearing deposits. This compares to $39.0 million we had as of December 31, 2005 in cash, cash equivalents, and short-term interest-bearing deposits of which $22.0 million was contractually restricted for Fab 2 use only and $9.6 million was contractually restricted for exclusive use in the Siliconix project.</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During the year ended December 31, 2006, we received $18.3 million from long term loans, $100.0 million from the issuance of equity equivalent capital notes, $58.8 million from the issuance of convertible debentures, net, $3.7 million from the exercise of warrants, $17.5 million from the issuance of ordinary shares, $5.2 million from Investment Center grants and $0.6 million from the sale and disposal of property and equipment. We utilized the proceeds of these transactions to fund our operating activities (net amount of $45.5 million) and our investments made during the year ($150.2 million), mainly in connection with the construction, purchase and installation of equipment and other assets for Fab 2 and our repayment of convertible debentures in the amount of $6.5 million.</w:t>
      </w:r>
    </w:p>
    <w:p>
      <w:pPr>
        <w:spacing w:after="0" w:line="145"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As of December 31, 2006, we had long-term loans, at present value, in the amount of $356.9 million which we obtained in connection with the establishment of Fab 2. As of such date, we had outstanding, in the aggregate, convertible debentures with par value of $98.4 million, of which $6.6 million are presented as current maturities and $20.2 million of the proceeds were allocated and are presented as equity component of the convertible debentures as part of the shareholders' equity.</w:t>
      </w:r>
    </w:p>
    <w:p>
      <w:pPr>
        <w:spacing w:after="0" w:line="141"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In recent years, the Company has experienced significant recurring losses, recurring negative cash flows from operating activities and an increasing accumulated deficit.</w:t>
      </w:r>
    </w:p>
    <w:p>
      <w:pPr>
        <w:spacing w:after="0" w:line="139"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The Company has been working to mitigate its financial difficulties in various ways. During the second half of 2005 and during 2006, the Company increased its customer base, mainly in Fab 2, modified its organizational structure to better address its customers and its market positioning, improved its sales, EBITDA and cash flows from operations, reduced its losses, increased its Fab 2 capacity level and utilization rates, raised funds totaling approximately $209 million in gross proceeds and restructured its bank debt. In 2007, we raised an additional $69 million in gross proceeds, $40 million of which is in escrow as described above. See "Item 4. - Recent Developments".</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- 44 -</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During the third quarter of 2003, Fab 2 commenced operations. In March 2006, our board of directors approved a plan to increase Fab 2 production capacity to approximately 24,000 wafers per month. To support the plan, an estimated approximately $150 million was needed, all of which was raised during the remainder of the year, enabling us to begin implementation of the plan. See "- Fab 2 Agreements" below for a discussion of Fab 2 financing arrangements. As of May 31, 2007, Fab 2 production capacity was approximately 21,000 wafers per month.</w:t>
      </w:r>
    </w:p>
    <w:p>
      <w:pPr>
        <w:spacing w:after="0" w:line="14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Assuming we are successful in registering the securities we issued in our June 2007 private placement for trade in Israel (See "Item 4. - Recent Developments"), we currently expect to have sufficient liquidity at least until the end of 2007 to meet our short-term activities and liabilities. If we are not successful, we will be required to raise alternative funds in order to meet our short-term activities and liabilities, which may include grants from the Investment Center, sales of our equity and/or debt securities, wafer prepayments from our customers or increased cash flow from operations.</w:t>
      </w:r>
    </w:p>
    <w:p>
      <w:pPr>
        <w:spacing w:after="0" w:line="142" w:lineRule="exact"/>
        <w:rPr>
          <w:sz w:val="20"/>
          <w:szCs w:val="20"/>
          <w:color w:val="auto"/>
        </w:rPr>
      </w:pPr>
    </w:p>
    <w:p>
      <w:pPr>
        <w:ind w:right="4699" w:firstLine="351"/>
        <w:spacing w:after="0" w:line="264" w:lineRule="auto"/>
        <w:rPr>
          <w:sz w:val="20"/>
          <w:szCs w:val="20"/>
          <w:color w:val="auto"/>
        </w:rPr>
      </w:pPr>
      <w:r>
        <w:rPr>
          <w:rFonts w:ascii="Courier New" w:cs="Courier New" w:eastAsia="Courier New" w:hAnsi="Courier New"/>
          <w:sz w:val="11"/>
          <w:szCs w:val="11"/>
          <w:color w:val="auto"/>
        </w:rPr>
        <w:t>We anticipate full production capacity of Fab 2 to be approximately 40,000 wafers per month. To achieve full capacity, we currently estimate that we will require an additional up to approximately $120 million including the approximately $40 million raised in our June 2007 private placement (see Item 4</w:t>
      </w:r>
    </w:p>
    <w:p>
      <w:pPr>
        <w:sectPr>
          <w:pgSz w:w="11900" w:h="16838" w:orient="portrait"/>
          <w:cols w:equalWidth="0" w:num="1">
            <w:col w:w="10239"/>
          </w:cols>
          <w:pgMar w:left="220" w:top="141" w:right="1440" w:bottom="0" w:gutter="0" w:footer="0" w:header="0"/>
        </w:sectPr>
      </w:pPr>
    </w:p>
    <w:bookmarkStart w:id="26" w:name="page27"/>
    <w:bookmarkEnd w:id="26"/>
    <w:p>
      <w:pPr>
        <w:ind w:left="8" w:right="4619" w:hanging="8"/>
        <w:spacing w:after="0" w:line="261" w:lineRule="auto"/>
        <w:tabs>
          <w:tab w:leader="none" w:pos="149" w:val="left"/>
        </w:tabs>
        <w:numPr>
          <w:ilvl w:val="0"/>
          <w:numId w:val="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-"Recent Developments"). In June 2007, the Company accepted orders for approximately $40 million in principal amount of bonds and warrants, the proceeds of which are being held in escrow pending effectiveness of a prospectus to be filed with the Israel Securities Authority and are intended be used to expand Fab 2 production capacity beyond the 24,000 wafer per month level. See "-Item 4 -"Recent Developments and "Fab 2 Agreements - Public Offerings and Private Placements". The Company is currently examining alternatives for additional funding sources in order to further ramp-up the equipping of Fab 2 and to fund its short-term activities and liabilities. While we have no arrangements in place, potential funding sources include, without limitation, additional grants from the Investment Center, sales of our equity and/or debt securities, wafer prepayments from our customers and cash flow from operations.</w:t>
      </w:r>
    </w:p>
    <w:p>
      <w:pPr>
        <w:spacing w:after="0" w:line="261"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FAB 2 AGREEMENTS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WAFER PARTNER AGREEMENTS.</w:t>
      </w:r>
    </w:p>
    <w:p>
      <w:pPr>
        <w:spacing w:after="0" w:line="139"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During 2000, we entered into a series of agreements with four wafer partners: SanDisk Corporation, Alliance Semiconductor, Macronix International and QuickLogic Corporation. The wafer partners agreed to invest $250 million in our company; SanDisk, Alliance and Macronix each committed to invest $75 million, and QuickLogic committed to invest $25 million in exchange for our ordinary shares and credits towards the purchase of wafers from Fab 2 under the terms set forth in the agreements. We also agreed to reserve approximately 50% of Fab 2's capacity for our wafer partners for a 10-year period ending in January 2011, including during the ramp-up of Fab 2. In addition, these agreements generally provide for a five percent discount on wafer purchases made by the wafer partners of up to 80% of the maximum Fab 2 wafer fabrication capacity committed to the wafer partners, subject to minimum holdings of our ordinary shares. These agreements (and the agreements with our financial investors) were amended a number of times.</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In August 2006, we signed agreements with SanDisk in connection with the expansion of our 0.13 micron manufacturing capacity. SanDisk committed to purchase, upon such expansion, volume quantities of 0.13 micron wafers during 2007 and 2008 and has a right of first refusal on the use of this extra capacity in 2009. We also signed a Loan Agreement under which we borrowed approximately $10 million from SanDisk for the purpose of financing the purchase of the equipment needed for the expansion. The loan is to be repaid with interest on the amounts outstanding at any time under the loan at LIBOR plus 1.1% over eight consecutive quarters. Pursuant to the agreement, in order to secure the repayment of the loan, we granted SanDisk a first ranking charge on the equipment purchased with the loan proceeds.</w:t>
      </w:r>
    </w:p>
    <w:p>
      <w:pPr>
        <w:spacing w:after="0" w:line="275"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- 45 -</w:t>
      </w:r>
    </w:p>
    <w:p>
      <w:pPr>
        <w:spacing w:after="0" w:line="200" w:lineRule="exact"/>
        <w:rPr>
          <w:sz w:val="20"/>
          <w:szCs w:val="20"/>
          <w:color w:val="auto"/>
        </w:rPr>
      </w:pPr>
    </w:p>
    <w:p>
      <w:pPr>
        <w:spacing w:after="0" w:line="326"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WAFER CREDITS. In connection with their investments in Fab 2, we issued to our wafer partners non-transferable credits that may be used to reduce the cash amounts to be paid by them when paying for wafers manufactured in Fab 2. These credits could generally be used at a rate of 7.5% for purchases made through June 2005 and 15% for purchases made thereafter. Our major wafer partners, SanDisk, Alliance and Macronix, agreed that they will not utilize any of their credits, for purchase orders of our wafer products until December 31, 2006. For orders placed from January 1, 2004 to December 31, 2006, each major wafer partner was entitled, every quarter, to convert into our ordinary shares its wafer credits that could have been utilized by such wafer partner against the actual payment of wafers manufactured at Fab 2 during such quarter; otherwise, these credits will bear interest payable every quarter at three-month LIBOR plus 2.5% through December 31, 2007. On December 31, 2007, subject to the amendment with one of the primary wafer partners which closed in 2006, as detailed below, the remaining wafer credits that could have been utilized during this period that have not been converted into shares will be repaid to all of our major wafer partners. Should the wafer partners elect to convert their wafer credits into our ordinary shares, they will be issued ordinary shares at the average trading price of our ordinary shares during the 15 consecutive trading days preceding the last day of the relevant quarter. As of May 31, 2007, approximately $14 million of wafer credits had been converted into an aggregate of 8.6 million ordinary shares and we expect that an additional approximately $2.7 million in wafer credits will be converted into our ordinary shares.</w:t>
      </w:r>
    </w:p>
    <w:p>
      <w:pPr>
        <w:spacing w:after="0" w:line="273"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In 2006, we and one of the primary wafer partners, entered into an agreement to extend the period in which long-term customer's advances could not be utilized against purchases, to December 31, 2009. According to the agreement, with respect to certain orders placed until July 2006, and all orders placed thereafter through December 2009, such unutilized advances that could have been utilized by such wafer partner but for the agreement, will bear interest at an annual rate equal to three-month LIBOR plus 1.1%, payable at the end of each quarter, through December 31, 2009.</w:t>
      </w:r>
    </w:p>
    <w:p>
      <w:pPr>
        <w:spacing w:after="0" w:line="142"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All of the ordinary shares issued to our wafer partners and Israel Corp. in connection with their committed investments are subject to registration rights and pursuant to a shareholders agreement amongst SanDisk, Alliance Semiconductor, Israel Corp. and Macronix, restrictions on transfer.</w:t>
      </w:r>
    </w:p>
    <w:p>
      <w:pPr>
        <w:spacing w:after="0" w:line="13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See Note 11A(4) to our audited annual consolidated financial statements.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CREDIT FACILITY</w:t>
      </w:r>
    </w:p>
    <w:p>
      <w:pPr>
        <w:spacing w:after="0" w:line="139"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In January 2001, we entered into a credit facility with two leading Israeli banks, Bank Hapoalim and Bank Leumi, pursuant to which the banks committed to make available to us up to $550 million in loans for Fab 2. As a result of our reduction of the total project cost of Fab 2 through the renegotiation of equipment prices and a change of equipment suppliers, in January 2002, we and our banks agreed to amend the credit facility such that the total amount of loans committed by the banks was reduced to $500 million. Of that amount, we withdrew an aggregate of $497 million. Under the original terms of the Facility Agreement the loans bore interest at a rate of LIBOR plus 1.55% per annum payable at the end of each quarter. In July 2005, we entered into a definitive amendment to our facility agreement with our banks which provided, among other things, for our banks to provide additional financing of up to approximately $30 million. We borrowed such additional $30 million pursuant to the July 2005 amendment.</w:t>
      </w:r>
    </w:p>
    <w:p>
      <w:pPr>
        <w:spacing w:after="0" w:line="270"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- 46 -</w:t>
      </w:r>
    </w:p>
    <w:p>
      <w:pPr>
        <w:spacing w:after="0" w:line="200" w:lineRule="exact"/>
        <w:rPr>
          <w:sz w:val="20"/>
          <w:szCs w:val="20"/>
          <w:color w:val="auto"/>
        </w:rPr>
      </w:pPr>
    </w:p>
    <w:p>
      <w:pPr>
        <w:spacing w:after="0" w:line="326"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2006 AMENDMENT TO OUR FACILITY AGREEMENT. As part of the financing efforts for the ramp-up plan to increase Fab 2's capacity to 24,000 wafers per month, in September 2006, we closed a definitive amendment to the credit facility with our banks for the refinancing of the approximately $526.7 million of long-term debt outstanding thereunder. Pursuant to the amendment, among other things: (i) $158 million, representing 30% of such debt, was converted into capital notes, with a face amount of $79 million, that are convertible into 51,973,684 of our ordinary shares, at a conversion price per share of $1.52; (ii) the interest rate applicable to the quarterly actual interest payment on the loans was reduced by</w:t>
      </w:r>
    </w:p>
    <w:p>
      <w:pPr>
        <w:sectPr>
          <w:pgSz w:w="11900" w:h="16838" w:orient="portrait"/>
          <w:cols w:equalWidth="0" w:num="1">
            <w:col w:w="10247"/>
          </w:cols>
          <w:pgMar w:left="212" w:top="141" w:right="1440" w:bottom="0" w:gutter="0" w:footer="0" w:header="0"/>
        </w:sectPr>
      </w:pPr>
    </w:p>
    <w:bookmarkStart w:id="27" w:name="page28"/>
    <w:bookmarkEnd w:id="27"/>
    <w:p>
      <w:pPr>
        <w:ind w:left="8" w:right="4619"/>
        <w:spacing w:after="0" w:line="260" w:lineRule="auto"/>
        <w:rPr>
          <w:sz w:val="20"/>
          <w:szCs w:val="20"/>
          <w:color w:val="auto"/>
        </w:rPr>
      </w:pPr>
      <w:r>
        <w:rPr>
          <w:rFonts w:ascii="Courier New" w:cs="Courier New" w:eastAsia="Courier New" w:hAnsi="Courier New"/>
          <w:sz w:val="11"/>
          <w:szCs w:val="11"/>
          <w:color w:val="auto"/>
        </w:rPr>
        <w:t>1.4%, from LIBOR plus 2.5% per annum to LIBOR plus 1.1% per annum, effective May 2006; (iii) the commencement date for the repayment of the outstanding loans, which following the conversion are approximately $369 million, was postponed from July 2007 to September 2009, such that the loans shall be repaid in 12 quarterly installments between September 2009 and June 2012; (iv) the exercise periods of the warrants held by the Banks immediately prior to the signing of the September 2006 amendment, were extended such that they are exercisable until September 2011, five years from the closing of the September 2006 amendment; and</w:t>
      </w:r>
    </w:p>
    <w:p>
      <w:pPr>
        <w:spacing w:after="0" w:line="1" w:lineRule="exact"/>
        <w:rPr>
          <w:sz w:val="20"/>
          <w:szCs w:val="20"/>
          <w:color w:val="auto"/>
        </w:rPr>
      </w:pPr>
    </w:p>
    <w:p>
      <w:pPr>
        <w:ind w:left="8" w:right="5039" w:hanging="8"/>
        <w:spacing w:after="0" w:line="235" w:lineRule="auto"/>
        <w:tabs>
          <w:tab w:leader="none" w:pos="289"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financial ratios and covenants that the Company is to satisfy were revised to be inline with the Company's May 2006 working plan.</w:t>
      </w:r>
    </w:p>
    <w:p>
      <w:pPr>
        <w:spacing w:after="0" w:line="139" w:lineRule="exact"/>
        <w:rPr>
          <w:sz w:val="20"/>
          <w:szCs w:val="20"/>
          <w:color w:val="auto"/>
        </w:rPr>
      </w:pPr>
    </w:p>
    <w:p>
      <w:pPr>
        <w:ind w:left="8" w:right="4699" w:firstLine="351"/>
        <w:spacing w:after="0" w:line="237" w:lineRule="auto"/>
        <w:rPr>
          <w:sz w:val="20"/>
          <w:szCs w:val="20"/>
          <w:color w:val="auto"/>
        </w:rPr>
      </w:pPr>
      <w:r>
        <w:rPr>
          <w:rFonts w:ascii="Courier New" w:cs="Courier New" w:eastAsia="Courier New" w:hAnsi="Courier New"/>
          <w:sz w:val="12"/>
          <w:szCs w:val="12"/>
          <w:color w:val="auto"/>
        </w:rPr>
        <w:t>To compensate the banks for the reduction in interest payments, we agreed to issue to the banks an additional number of shares (or equity equivalent capital notes or convertible debentures) on or about December 31, 2010, calculated based on the amount of decreased interest payments as set forth in the amendment. The amounts payable in securities of the Company may be payable in cash under certain circumstances and may be reduced in the event the Company prepays any part of the outstanding loans.</w:t>
      </w:r>
    </w:p>
    <w:p>
      <w:pPr>
        <w:spacing w:after="0" w:line="141" w:lineRule="exact"/>
        <w:rPr>
          <w:sz w:val="20"/>
          <w:szCs w:val="20"/>
          <w:color w:val="auto"/>
        </w:rPr>
      </w:pPr>
    </w:p>
    <w:p>
      <w:pPr>
        <w:ind w:left="8" w:right="4839" w:firstLine="351"/>
        <w:spacing w:after="0" w:line="266" w:lineRule="auto"/>
        <w:rPr>
          <w:sz w:val="20"/>
          <w:szCs w:val="20"/>
          <w:color w:val="auto"/>
        </w:rPr>
      </w:pPr>
      <w:r>
        <w:rPr>
          <w:rFonts w:ascii="Courier New" w:cs="Courier New" w:eastAsia="Courier New" w:hAnsi="Courier New"/>
          <w:sz w:val="11"/>
          <w:szCs w:val="11"/>
          <w:color w:val="auto"/>
        </w:rPr>
        <w:t>In connection with the amendment to the facility agreement, Israel Corp. invested $100 million in consideration for a capital note, convertible into 65,789,474 of our ordinary shares, at a price per share of $1.52; See below.</w:t>
      </w:r>
    </w:p>
    <w:p>
      <w:pPr>
        <w:spacing w:after="0" w:line="122"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COMPLIANCE WITH FINANCIAL RATIOS AND COVENANTS.</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Under the terms of the amended facility agreement, we must also meet certain financial ratios, including mainly financial covenants relating to our quarterly sales, our quarterly earnings before interest, taxes, depreciation and amortization (quarterly EBITDA), our "life of loan coverage ratio" (which is the ratio of our Fab 2 net cash flow to our total debt related to Fab 2 in any quarter), our ratio of debt to EBITDA and our ratio of equity to assets. Under the terms of the amended facility agreement, satisfying these financial ratios and covenants is a material provision.</w:t>
      </w:r>
    </w:p>
    <w:p>
      <w:pPr>
        <w:spacing w:after="0" w:line="142" w:lineRule="exact"/>
        <w:rPr>
          <w:sz w:val="20"/>
          <w:szCs w:val="20"/>
          <w:color w:val="auto"/>
        </w:rPr>
      </w:pPr>
    </w:p>
    <w:p>
      <w:pPr>
        <w:ind w:left="8" w:right="4979" w:firstLine="351"/>
        <w:spacing w:after="0" w:line="235" w:lineRule="auto"/>
        <w:rPr>
          <w:sz w:val="20"/>
          <w:szCs w:val="20"/>
          <w:color w:val="auto"/>
        </w:rPr>
      </w:pPr>
      <w:r>
        <w:rPr>
          <w:rFonts w:ascii="Courier New" w:cs="Courier New" w:eastAsia="Courier New" w:hAnsi="Courier New"/>
          <w:sz w:val="12"/>
          <w:szCs w:val="12"/>
          <w:color w:val="auto"/>
        </w:rPr>
        <w:t>As of May 31, 2007, the Company was in full compliance with all of the financial ratios and covenants under the amended Facility Agreement.</w:t>
      </w:r>
    </w:p>
    <w:p>
      <w:pPr>
        <w:spacing w:after="0" w:line="139" w:lineRule="exact"/>
        <w:rPr>
          <w:sz w:val="20"/>
          <w:szCs w:val="20"/>
          <w:color w:val="auto"/>
        </w:rPr>
      </w:pPr>
    </w:p>
    <w:p>
      <w:pPr>
        <w:ind w:left="8" w:right="4619" w:firstLine="351"/>
        <w:spacing w:after="0" w:line="262" w:lineRule="auto"/>
        <w:rPr>
          <w:sz w:val="20"/>
          <w:szCs w:val="20"/>
          <w:color w:val="auto"/>
        </w:rPr>
      </w:pPr>
      <w:r>
        <w:rPr>
          <w:rFonts w:ascii="Courier New" w:cs="Courier New" w:eastAsia="Courier New" w:hAnsi="Courier New"/>
          <w:sz w:val="11"/>
          <w:szCs w:val="11"/>
          <w:color w:val="auto"/>
        </w:rPr>
        <w:t>According to the Facility Agreement, satisfying the financial ratios and covenants is a material provision. The amended Facility Agreement provides that if, as a result of any default, the Banks were to accelerate the Company's obligations, the Company would be obligated, among other matters, to immediately repay all loans made by the Banks (which as of the balance sheet date amounted to approximately $369 million) plus penalties, and the Banks would be entitled to exercise the remedies available to them under the Facility Agreement, including enforcement of their liens against all of the Company's assets.</w:t>
      </w:r>
    </w:p>
    <w:p>
      <w:pPr>
        <w:spacing w:after="0" w:line="128"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Under the terms of the amended facility agreement, (i) there are limitations on changes of ownership which generally require that, (a) until such time that more than 50% of our current outstanding loans have been repaid, Israel Corp. hold approximately 32.2 million of our ordinary shares (including shares issuable upon conversion of our convertible debentures) and thereafter hold approximately 14 million of our ordinary shares, and (b) our three largest wafer partners together hold approximately 60% of the shares held by them in January 2006 (with such amount being reduced under certain circumstances); (ii) TIC and our three largest wafer partners nominate a majority of our board of directors, subject to exceptions; and (iii) additional conditions and covenants, including restrictions on incurring debt and a prohibition on the distribution of dividends.</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- 47 -</w:t>
      </w:r>
    </w:p>
    <w:p>
      <w:pPr>
        <w:spacing w:after="0" w:line="200" w:lineRule="exact"/>
        <w:rPr>
          <w:sz w:val="20"/>
          <w:szCs w:val="20"/>
          <w:color w:val="auto"/>
        </w:rPr>
      </w:pPr>
    </w:p>
    <w:p>
      <w:pPr>
        <w:spacing w:after="0" w:line="326"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Our amended credit facility further provides that upon certain triggering events (such as the commencement of bankruptcy or receivership, proceedings against us ordered by a court of competent jurisdiction or the prior determination of an arbitrator that bankruptcy or receivership proceedings would be issued by a court against us were a petition to be filed with a court seeking reorganization or arrangement under applicable bankruptcy law or our requesting creditor protection), our banks will be able to bring a firm offer made by a potential investor to purchase our shares at the price provided in the offer. In such case, we shall be required thereafter to procure a rights offering to invest up to 60% of the amount of this offer on the same terms. If the offeror intends to purchase a majority of our outstanding share capital, the rights offering will be limited to allow for this, unless Israel Corp. and the wafer partners (excluding QuickLogic) agree to exercise in a rights offering rights applicable to their shareholdings and agree to purchase in a private placement enough shares to ensure that the full amount of the offer is invested.</w:t>
      </w:r>
    </w:p>
    <w:p>
      <w:pPr>
        <w:spacing w:after="0" w:line="12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In January 2001, we also issued the banks warrants to purchase an aggregate of 400,000 ordinary shares at a purchase price of $6.20 per share, which expired in January 2006. In December 2003, pursuant to the November 11, 2003 amendment to the credit facility, we issued our banks additional five year warrants to purchase an aggregate of 896,596 ordinary shares at a purchase price of $6.17 per share, exercisable until December 2008. In connection with the July 2005 amendment to the credit facility, we issued our banks five year warrants to purchase an aggregate of 8,264,464 ordinary shares at a purchase price of $1.21 per share. As described above, under the terms of the September 2006 amendment to our facility agreement, all of the banks' warrants expire in September 2011.</w:t>
      </w:r>
    </w:p>
    <w:p>
      <w:pPr>
        <w:spacing w:after="0" w:line="131" w:lineRule="exact"/>
        <w:rPr>
          <w:sz w:val="20"/>
          <w:szCs w:val="20"/>
          <w:color w:val="auto"/>
        </w:rPr>
      </w:pPr>
    </w:p>
    <w:p>
      <w:pPr>
        <w:ind w:left="8" w:right="4619" w:firstLine="351"/>
        <w:spacing w:after="0" w:line="235" w:lineRule="auto"/>
        <w:rPr>
          <w:sz w:val="20"/>
          <w:szCs w:val="20"/>
          <w:color w:val="auto"/>
        </w:rPr>
      </w:pPr>
      <w:r>
        <w:rPr>
          <w:rFonts w:ascii="Courier New" w:cs="Courier New" w:eastAsia="Courier New" w:hAnsi="Courier New"/>
          <w:sz w:val="12"/>
          <w:szCs w:val="12"/>
          <w:color w:val="auto"/>
        </w:rPr>
        <w:t>For more information on our credit facility, see Note 11A(6) to our audited annual consolidated financial statements.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INVESTMENT BY ISRAEL CORPORATION.</w:t>
      </w:r>
    </w:p>
    <w:p>
      <w:pPr>
        <w:spacing w:after="0" w:line="139" w:lineRule="exact"/>
        <w:rPr>
          <w:sz w:val="20"/>
          <w:szCs w:val="20"/>
          <w:color w:val="auto"/>
        </w:rPr>
      </w:pPr>
    </w:p>
    <w:p>
      <w:pPr>
        <w:ind w:left="8" w:right="4699" w:firstLine="351"/>
        <w:spacing w:after="0" w:line="260" w:lineRule="auto"/>
        <w:rPr>
          <w:sz w:val="20"/>
          <w:szCs w:val="20"/>
          <w:color w:val="auto"/>
        </w:rPr>
      </w:pPr>
      <w:r>
        <w:rPr>
          <w:rFonts w:ascii="Courier New" w:cs="Courier New" w:eastAsia="Courier New" w:hAnsi="Courier New"/>
          <w:sz w:val="11"/>
          <w:szCs w:val="11"/>
          <w:color w:val="auto"/>
        </w:rPr>
        <w:t>In order to implement the ramp-up plan to increase Fab 2's capacity to 24,000 wafers per month in a timely manner, in May 2006, we entered into an Equipment Purchase Agreement with Israel Corporation Ltd. ("TIC" or "Israel Corporation") according to which TIC would order up to approximately $100 million worth of equipment for Fab 2. Under the terms of the Equipment Purchase Agreement: (i) TIC had the right to sell to us the equipment at cost, plus related expenses; (ii) we had the right to purchase the equipment from TIC at cost, plus related expenses, subject to our having raised $100 million; and</w:t>
      </w:r>
    </w:p>
    <w:p>
      <w:pPr>
        <w:spacing w:after="0" w:line="1" w:lineRule="exact"/>
        <w:rPr>
          <w:sz w:val="20"/>
          <w:szCs w:val="20"/>
          <w:color w:val="auto"/>
        </w:rPr>
      </w:pPr>
    </w:p>
    <w:p>
      <w:pPr>
        <w:ind w:left="8" w:right="5259" w:hanging="8"/>
        <w:spacing w:after="0" w:line="235" w:lineRule="auto"/>
        <w:tabs>
          <w:tab w:leader="none" w:pos="43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the purchase of the equipment from TIC we would assume TIC's obligations to the equipment suppliers.</w:t>
      </w:r>
    </w:p>
    <w:p>
      <w:pPr>
        <w:spacing w:after="0" w:line="139"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In regard to our financing efforts for such ramp-up plan to increase Fab 2's capacity to 24,000 wafers per month and in connection with the September 2006 amendment to the Facility Agreement, in August 2006, we entered into a securities purchase agreement with TIC. The principal terms of the Securities Purchase Agreement were: (i) in consideration for its $100 million investment, we issued to TIC capital notes convertible, for no additional consideration, into 65,789,474 of our Ordinary Shares at a conversion price per share of $1.52;</w:t>
      </w:r>
    </w:p>
    <w:p>
      <w:pPr>
        <w:spacing w:after="0" w:line="1" w:lineRule="exact"/>
        <w:rPr>
          <w:sz w:val="20"/>
          <w:szCs w:val="20"/>
          <w:color w:val="auto"/>
        </w:rPr>
      </w:pPr>
    </w:p>
    <w:p>
      <w:pPr>
        <w:ind w:left="8" w:right="4699" w:hanging="8"/>
        <w:spacing w:after="0" w:line="237" w:lineRule="auto"/>
        <w:tabs>
          <w:tab w:leader="none" w:pos="359"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would be deemed to have exercised the call option under the Equipment Purchase Agreement described above; and (iii) we and TIC would settle the amounts payable by TIC under the Securities Purchase Agreement with the amounts payable by us under the Equipment Purchase Agreement. The Securities Purchase Agreement closed contemporaneously with the closing of the September 2006 amendment to our facility agreement.</w:t>
      </w:r>
    </w:p>
    <w:p>
      <w:pPr>
        <w:sectPr>
          <w:pgSz w:w="11900" w:h="16838" w:orient="portrait"/>
          <w:cols w:equalWidth="0" w:num="1">
            <w:col w:w="10247"/>
          </w:cols>
          <w:pgMar w:left="212" w:top="141" w:right="1440" w:bottom="0" w:gutter="0" w:footer="0" w:header="0"/>
        </w:sectPr>
      </w:pPr>
    </w:p>
    <w:bookmarkStart w:id="28" w:name="page29"/>
    <w:bookmarkEnd w:id="28"/>
    <w:p>
      <w:pPr>
        <w:ind w:left="2600"/>
        <w:spacing w:after="0"/>
        <w:rPr>
          <w:sz w:val="20"/>
          <w:szCs w:val="20"/>
          <w:color w:val="auto"/>
        </w:rPr>
      </w:pPr>
      <w:r>
        <w:rPr>
          <w:rFonts w:ascii="Courier New" w:cs="Courier New" w:eastAsia="Courier New" w:hAnsi="Courier New"/>
          <w:sz w:val="12"/>
          <w:szCs w:val="12"/>
          <w:color w:val="auto"/>
        </w:rPr>
        <w:t>- 48 -</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Upon the closing of the September 2006 amendment to our facility agreement and the Securities Purchase Agreement, TIC transferred ownership of the purchased equipment to us and we assumed TIC's obligations to the equipment suppliers.</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See Note 11A(5) to our audited annual consolidated financial statements.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JOINT DEVELOPMENT AGREEMENT</w:t>
      </w:r>
    </w:p>
    <w:p>
      <w:pPr>
        <w:spacing w:after="0" w:line="139" w:lineRule="exact"/>
        <w:rPr>
          <w:sz w:val="20"/>
          <w:szCs w:val="20"/>
          <w:color w:val="auto"/>
        </w:rPr>
      </w:pPr>
    </w:p>
    <w:p>
      <w:pPr>
        <w:jc w:val="both"/>
        <w:ind w:right="4899" w:firstLine="351"/>
        <w:spacing w:after="0" w:line="260" w:lineRule="auto"/>
        <w:rPr>
          <w:sz w:val="20"/>
          <w:szCs w:val="20"/>
          <w:color w:val="auto"/>
        </w:rPr>
      </w:pPr>
      <w:r>
        <w:rPr>
          <w:rFonts w:ascii="Courier New" w:cs="Courier New" w:eastAsia="Courier New" w:hAnsi="Courier New"/>
          <w:sz w:val="11"/>
          <w:szCs w:val="11"/>
          <w:color w:val="auto"/>
        </w:rPr>
        <w:t>In May 2002, we entered into an agreement for the joint development of 0.18-micron embedded microFLASH technology with a Japanese manufacturer. The Japanese manufacturer granted to us the non-exclusive right to utilize, on a royalty-free basis, our jointly developed technology, which is based on its</w:t>
      </w:r>
    </w:p>
    <w:p>
      <w:pPr>
        <w:ind w:right="4619"/>
        <w:spacing w:after="0" w:line="237" w:lineRule="auto"/>
        <w:rPr>
          <w:sz w:val="20"/>
          <w:szCs w:val="20"/>
          <w:color w:val="auto"/>
        </w:rPr>
      </w:pPr>
      <w:r>
        <w:rPr>
          <w:rFonts w:ascii="Courier New" w:cs="Courier New" w:eastAsia="Courier New" w:hAnsi="Courier New"/>
          <w:sz w:val="12"/>
          <w:szCs w:val="12"/>
          <w:color w:val="auto"/>
        </w:rPr>
        <w:t>0.18-micron process technology, for foundry services and for the manufacture and sale of our own proprietary products. We granted the Japanese manufacturer a royalty-free, non-exclusive license with respect to our microFLASH technology for manufacturing semiconductor devices that utilize our jointly developed technology for its own semiconductor business.</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In April 2005, the Japanese manufacturer elected, and we agreed, to cease the joint development of certain technology and to terminate the agreement. According to the terms of the termination agreement, the Japanese manufacturer paid us, net of deducted tax, $2.25 million. Revenues for 2005 include $8 million generated by the termination of the agreement. In addition, each party expressly released the other party from any obligations or liabilities of any nature in connection with the joint development agreement. The license rights granted to the parties continue pursuant to the terms of the original agreement.</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INVESTMENT CENTER GRANTS</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 December 2000, the Israeli government's Investment Center approved an investment program in connection with Fab 2. The approval certificate provides for government grants equal to 20% of qualified investments up to $1.25 billion (i.e., up to $250 million), subject to customary conditions and other conditions, including a requirement that approximately 30% of our Fab 2 funding consist of paid-in-capital and that $550 million of our Fab 2 funding be obtained by way of a credit facility from commercial banks (which amount was subsequently reduced to $500 million with the consent of the Investment Center). We have registered a lien on our assets for the benefit of the Investment Center which ranks subordinate to that of our banks. The approval certificate also provides for a tax holiday on all taxable income related to Fab 2 for the first two years of undistributed profitable operations. As of May 31, 2007, we had received $165 million in grants from the Investment Center, and satisfied in full the 30% requirement described above. As long as we comply with the terms of our approval certificate, we are not required to make royalty payments or any other payments under the terms of our Investment Center grants.</w:t>
      </w:r>
    </w:p>
    <w:p>
      <w:pPr>
        <w:spacing w:after="0" w:line="264"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To be eligible to receive grants, we are required to invest minimum amounts on an annual basis. We notified the Investment Center of our reduced rate of annual investments and in July 2004, we received approval of our revised investment schedule from the Investment Center. Our not completing investments in an amount of $1.25 billion by the end of 2005 may permit the Investment Center to require us to repay all or a portion of grants already received. Israeli law limits the ability of the Investment Center to extend this time limitation, unless approved through an expansion program. We have been holding discussions with the Investment Center to achieve satisfactory arrangements to approve our request for a new expansion program effective as of January 1, 2006. As of May 31, 2007, the Company's management cannot estimate when, if at all, the Company will receive approval of its request for a new expansion program. There can be no assurance that we will obtain the Investment Center's approval for the new expansion program and we cannot estimate the outcome of our efforts to obtain such approval. See Item 3. Key Information -- Risk Factors -- Risks Affecting Our Business "Risk Factors -- If the Investment Center of the Israeli Ministry of Industry, Trade and Labor, or Investment Center, will not approve our request for a new expansion program . . ."</w:t>
      </w:r>
    </w:p>
    <w:p>
      <w:pPr>
        <w:spacing w:after="0" w:line="39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- 49 -</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PUBLIC OFFERINGS AND PRIVATE PLACEMENTS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Set forth below is a description of public and private offerings of securities completed by us since inception of our financing activity for Fab 2. For further description, including the accounting treatment for certain of these transactions, see Note 12 [F] - 12 [K] of our audited consolidated financial statements.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UNIT OFFERING 2002. In January 2002, we completed a sale of units in Israel, composed of NIS 110,579,800 principal amount of convertible unsecured subordinated debentures and 2,211,596 options, resulting in net proceeds of approximately $21.5 million. Each debenture is NIS 1 in principal amount, and is adjusted to reflect increases in the Israeli Consumer Price Index and bears interest at a rate of 4.7% per annum, payable yearly commencing January 20, 2003. Principal is payable in four installments beginning in January of 2006 through 2009. Prior to December 31, 2008, the debentures are convertible into ordinary shares at a conversion rate of one ordinary share per NIS 41 principal amount of debentures linked to the Israel Consumer Price Index. Each option was exercisable into one ordinary share until January 20, 2006 at an exercise price of NIS 39, linked to the Israel Consumer Price Index. All options expired and none have been exercised.</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RIGHTS OFFERING 2002. In September 2002, we distributed to our shareholders and certain of our employees in Israel and the United States rights to purchase ordinary shares and warrants to purchase our ordinary shares. Substantially all of the rights exercised in connection with the rights offering were exercised by Israel Corp. and our major wafer partners. The rights offering resulted in net proceeds of approximately $19.7 million.</w:t>
      </w:r>
    </w:p>
    <w:p>
      <w:pPr>
        <w:spacing w:after="0" w:line="140"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UNDERWRITTEN PUBLIC OFFERING. In January 2004, we completed an underwritten public offering in the United States of 11.44 million of our ordinary shares at a price to the public of $7.00 per share. The underwritten public offering resulted in net proceeds of approximately $75.1 million.</w:t>
      </w:r>
    </w:p>
    <w:p>
      <w:pPr>
        <w:spacing w:after="0" w:line="141"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RIGHTS OFFERING 2005. In December 2005, we distributed in the United States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Israel transferable rights to purchase up to $50 million US dollar</w:t>
      </w:r>
    </w:p>
    <w:p>
      <w:pPr>
        <w:spacing w:after="0"/>
        <w:rPr>
          <w:sz w:val="20"/>
          <w:szCs w:val="20"/>
          <w:color w:val="auto"/>
        </w:rPr>
      </w:pPr>
      <w:r>
        <w:rPr>
          <w:rFonts w:ascii="Courier New" w:cs="Courier New" w:eastAsia="Courier New" w:hAnsi="Courier New"/>
          <w:sz w:val="12"/>
          <w:szCs w:val="12"/>
          <w:color w:val="auto"/>
        </w:rPr>
        <w:t>denominated debentures that are convertible into up to approximately 45.5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million of our ordinary shares. In connection with the exercise of these rights,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through January 2006, we issued, in the aggregate, 48.2 million convertible</w:t>
      </w:r>
    </w:p>
    <w:p>
      <w:pPr>
        <w:spacing w:after="0"/>
        <w:rPr>
          <w:sz w:val="20"/>
          <w:szCs w:val="20"/>
          <w:color w:val="auto"/>
        </w:rPr>
      </w:pPr>
      <w:r>
        <w:rPr>
          <w:rFonts w:ascii="Courier New" w:cs="Courier New" w:eastAsia="Courier New" w:hAnsi="Courier New"/>
          <w:sz w:val="12"/>
          <w:szCs w:val="12"/>
          <w:color w:val="auto"/>
        </w:rPr>
        <w:t>debentures, with each debenture of $1.00 in principal amount, or a total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$48.2 million principal amount of debentures, which bear annual interest at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rate of 5%. The principal of the debentures, together with accrued interest,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payable in one installment on January 12, 2012. The debentures are convertible</w:t>
      </w:r>
    </w:p>
    <w:p>
      <w:pPr>
        <w:spacing w:after="0"/>
        <w:rPr>
          <w:sz w:val="20"/>
          <w:szCs w:val="20"/>
          <w:color w:val="auto"/>
        </w:rPr>
      </w:pPr>
      <w:r>
        <w:rPr>
          <w:rFonts w:ascii="Courier New" w:cs="Courier New" w:eastAsia="Courier New" w:hAnsi="Courier New"/>
          <w:sz w:val="12"/>
          <w:szCs w:val="12"/>
          <w:color w:val="auto"/>
        </w:rPr>
        <w:t>into our ordinary shares at a rate of one ordinary share per $1.10 aggregate</w:t>
      </w:r>
    </w:p>
    <w:p>
      <w:pPr>
        <w:sectPr>
          <w:pgSz w:w="11900" w:h="16838" w:orient="portrait"/>
          <w:cols w:equalWidth="0" w:num="1">
            <w:col w:w="10239"/>
          </w:cols>
          <w:pgMar w:left="220" w:top="272" w:right="1440" w:bottom="0" w:gutter="0" w:footer="0" w:header="0"/>
        </w:sectPr>
      </w:pPr>
    </w:p>
    <w:bookmarkStart w:id="29" w:name="page30"/>
    <w:bookmarkEnd w:id="29"/>
    <w:p>
      <w:pPr>
        <w:ind w:right="4619"/>
        <w:spacing w:after="0" w:line="262" w:lineRule="auto"/>
        <w:rPr>
          <w:sz w:val="20"/>
          <w:szCs w:val="20"/>
          <w:color w:val="auto"/>
        </w:rPr>
      </w:pPr>
      <w:r>
        <w:rPr>
          <w:rFonts w:ascii="Courier New" w:cs="Courier New" w:eastAsia="Courier New" w:hAnsi="Courier New"/>
          <w:sz w:val="11"/>
          <w:szCs w:val="11"/>
          <w:color w:val="auto"/>
        </w:rPr>
        <w:t>principal amount of debentures. The debentures contained a price protection antidilution provision, which expired in December 2006 without having been triggered. Subject to the terms of our facility agreement, we may at our option announce the early redemption of the debentures, provided that the outstanding aggregate balance of principal on account of the debentures is equal to or less than $500,000. The debentures and interest thereon are unsecured and rank behind our existing and future secured indebtedness. For more information, see Note 12I to our audited annual consolidated financial statements.</w:t>
      </w:r>
    </w:p>
    <w:p>
      <w:pPr>
        <w:spacing w:after="0" w:line="128"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PUBLIC OFFERING 2006. In June 2006, we completed an underwritten public offering of our securities on the TASE in Israel resulting in gross proceeds of approximately NIS 140 million (approximately $31 million). In the offering, 78,000 Units were sold at a price per Unit of NIS 1,785 (approximately $400). Each Unit consisted of (i) convertible debentures in the face amount of NIS 2,100 (approximately $470), (ii) five options each exercisable for three months for NIS 100 principal amount of convertible debentures at an exercise price equal to 85% of their face amount linked to the Israeli Consumer Price Index ("CPI") , (iii) 140 warrants each exercisable for three months for one ordinary share at a price of NIS 6.75 (approximately $1.67) linked to the CPI and (iv) 70 warrants each exercisable for three years for one ordinary share at a price of NIS 7.40 (approximately $1.83), linked to the CPI. In addition, the Company issued 300 such units in consideration for NIS 526,000 (approximately $$117,000) through a private placement to its market maker in connection with the offering. The options and warrants described in (ii) and (iii) above expired in September 2006 and the warrants described in (iv) above expire on June 28, 2009. The convertible debentures are convertible into ordinary shares at a conversion rate of one ordinary share per NIS 8.40 (approximately $2.00) principal amount of convertible debentures. The convertible debentures carry a zero coupon with principal payable at maturity in December 2011, at a premium of 37% over face value, linked to the Israeli Consumer Price Index (CPI). The conversion price is subject to reduction in certain limited circumstances.</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- 50 -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PRIVATE PLACEMENT 2006. In November 2006, we sold to Israeli investors in private placements: (i) 58,150 units, each comprised of 100 ordinary shares and 50 warrants ("Series 5 Warrants"), which were sold at a price of NIS 759 (approximately $177) per unit and (ii) 58,000 units, each comprised of 100 ordinary shares and 40 Series 5 Warrants, which were sold at a price of NIS 850 (approximately $198) per unit. The price of the ordinary shares included in the units was equal to the closing price of our shares on the Tel-Aviv Stock Exchange prior to each of the relevant private placements. Total immediate gross proceeds amounted to approximately $22 million.</w:t>
      </w:r>
    </w:p>
    <w:p>
      <w:pPr>
        <w:spacing w:after="0" w:line="143"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Under Israeli securities laws, the securities were subject to a statutory lock-up, which has since terminated following publication of a prospectus in December 2006 filed with the Israel Securities Authority. Each of the Series 5 Warrants is exercisable at any time during a period of four years ending in December 2010 at a price per share equal to a 25% premium to the market price of the Company's shares at the date the prospectus is published. As of December 28, 2006, following the publication of the prospectus, the exercise price was finalized and determined to be NIS 9.48 (approximately $2.35) linked to the CPI.</w:t>
      </w:r>
    </w:p>
    <w:p>
      <w:pPr>
        <w:spacing w:after="0" w:line="128"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US INSTITUTIONAL PLACEMENT 2007. In March 2007, we completed a private placement of our securities in which we sold ordinary shares and warrants for the purchase of ordinary shares, raising a total of approximately $29 million in gross proceeds. In the private placement, the Company issued approximately 18.8 million shares, warrants exercisable for approximately 9.4 million shares at an exercise price of $2.04 (subject to downward adjustments), exercisable until March 15, 2012 ("Series I Warrants"), and short-term warrants exercisable for approximately 18.8 million shares at an exercise price of $1.70, which was identical to the closing price of the Company's ordinary shares on the NASDAQ on the trading day immediately prior to the closing of the private placement ("Series II Warrants"), exercisable until December 31, 2007. Subject to the registration statement covering the resale of the shares issued and the shares issuable upon exercise of the warrants remaining effective, the Company can compel the exercise of the Series II Warrants if during any 20 out of 30 consecutive trading days the closing price of the Company's shares on NASDAQ exceeds $2.12.</w:t>
      </w:r>
    </w:p>
    <w:p>
      <w:pPr>
        <w:spacing w:after="0" w:line="140"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ISRAEL INSTITUTIONAL PLACEMENT 2007. In June 2007, in a private placement with Israeli investors, we accepted orders for 342 units, resulting in gross proceeds of approximately 167 million NIS ($40 million). Each unit was comprised of: (i) long-term non-convertible bonds, repayable in six equal annual installments between the dates of December 2011 and December 2016, with a face amount of NIS 250,000 (approximately $59,700) and carrying an annual interest rate of 8 percent; (ii) long-term convertible bonds repayable in January 2013 with a 17.2 NIS conversion price (approximately $4.11) and with a face amount of NIS 262,500 (approximately $62,700), carrying an annual interest rate of 8 percent, and (iii) 5,800 warrants, each exercisable for four years from the date the below mentioned prospectus is published, for one ordinary share at a price of $2.04 (approximately 8.54 NIS). Principal and interest on the bonds, including the convertible bonds, are linked to the Israeli consumer price index, or CPI, and were issued at 95.5% of par value. The conversion and exercise prices are subject to reduction in certain limited circumstances. Under Israeli securities laws, the securities are subject to a statutory lock-up. The Company has undertaken to file a prospectus with the Israel Securities Authority to allow for the unrestricted trade of the securities. The funds raised are being held in escrow and will be released to the Company if the prospectus is declared effective by the Israel Securities Authority within 90 days from the date of the offering. In the event the prospectus is not declared effective by the Israel Securities Authority, the holders of the bonds, including the convertible bonds, may elect to have the Company redeem the bonds.</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- 51 -</w:t>
      </w:r>
    </w:p>
    <w:p>
      <w:pPr>
        <w:spacing w:after="0" w:line="200" w:lineRule="exact"/>
        <w:rPr>
          <w:sz w:val="20"/>
          <w:szCs w:val="20"/>
          <w:color w:val="auto"/>
        </w:rPr>
      </w:pPr>
    </w:p>
    <w:p>
      <w:pPr>
        <w:spacing w:after="0" w:line="322" w:lineRule="exact"/>
        <w:rPr>
          <w:sz w:val="20"/>
          <w:szCs w:val="20"/>
          <w:color w:val="auto"/>
        </w:rPr>
      </w:pPr>
    </w:p>
    <w:p>
      <w:pPr>
        <w:ind w:left="700" w:hanging="357"/>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RESEARCH AND DEVELOPMENT, PATENTS AND LICENSES</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Our research and development activities have related primarily to our process development and microFLASH module design efforts, and have been sponsored and funded by us with some participation by the Israeli government. Research and development expenses for the years ended December 31, 2006, 2005 and 2004 were $15.0 million, $16.0 million and $17.1 million net of government participation of $1.9 million, $1.0 million and $1.5 million, respectively. We have also incurred costs in connection with the transfer of Toshiba and Freescale technology for use in Fab 2, some of which have been amortized over the estimated economic life of the technology following the commencement of production in Fab 2 during the third quarter of 2003 (see also in this Item "Critical Accounting Policies - Depreciation and Amortization of Fab 2 Assets"). For a description of our research &amp; development policies and our patents and licenses, see "Item 4. Information on the Company--4.B. Business Overview".</w:t>
      </w:r>
    </w:p>
    <w:p>
      <w:pPr>
        <w:spacing w:after="0" w:line="261" w:lineRule="exact"/>
        <w:rPr>
          <w:sz w:val="20"/>
          <w:szCs w:val="20"/>
          <w:color w:val="auto"/>
        </w:rPr>
      </w:pPr>
    </w:p>
    <w:p>
      <w:pPr>
        <w:ind w:left="340"/>
        <w:spacing w:after="0"/>
        <w:tabs>
          <w:tab w:leader="none" w:pos="680" w:val="left"/>
        </w:tabs>
        <w:rPr>
          <w:sz w:val="20"/>
          <w:szCs w:val="20"/>
          <w:color w:val="auto"/>
        </w:rPr>
      </w:pPr>
      <w:r>
        <w:rPr>
          <w:rFonts w:ascii="Courier New" w:cs="Courier New" w:eastAsia="Courier New" w:hAnsi="Courier New"/>
          <w:sz w:val="12"/>
          <w:szCs w:val="12"/>
          <w:color w:val="auto"/>
        </w:rPr>
        <w:t>D.</w:t>
      </w:r>
      <w:r>
        <w:rPr>
          <w:sz w:val="20"/>
          <w:szCs w:val="20"/>
          <w:color w:val="auto"/>
        </w:rPr>
        <w:tab/>
      </w:r>
      <w:r>
        <w:rPr>
          <w:rFonts w:ascii="Courier New" w:cs="Courier New" w:eastAsia="Courier New" w:hAnsi="Courier New"/>
          <w:sz w:val="12"/>
          <w:szCs w:val="12"/>
          <w:color w:val="auto"/>
        </w:rPr>
        <w:t>TREND INFORMATION</w:t>
      </w:r>
    </w:p>
    <w:p>
      <w:pPr>
        <w:sectPr>
          <w:pgSz w:w="11900" w:h="16838" w:orient="portrait"/>
          <w:cols w:equalWidth="0" w:num="1">
            <w:col w:w="10239"/>
          </w:cols>
          <w:pgMar w:left="220" w:top="141" w:right="1440" w:bottom="0" w:gutter="0" w:footer="0" w:header="0"/>
        </w:sectPr>
      </w:pPr>
    </w:p>
    <w:bookmarkStart w:id="30" w:name="page31"/>
    <w:bookmarkEnd w:id="30"/>
    <w:p>
      <w:pPr>
        <w:ind w:left="8" w:right="4759" w:firstLine="351"/>
        <w:spacing w:after="0" w:line="237" w:lineRule="auto"/>
        <w:rPr>
          <w:sz w:val="20"/>
          <w:szCs w:val="20"/>
          <w:color w:val="auto"/>
        </w:rPr>
      </w:pPr>
      <w:r>
        <w:rPr>
          <w:rFonts w:ascii="Courier New" w:cs="Courier New" w:eastAsia="Courier New" w:hAnsi="Courier New"/>
          <w:sz w:val="12"/>
          <w:szCs w:val="12"/>
          <w:color w:val="auto"/>
        </w:rPr>
        <w:t>The semiconductor industry has historically been highly cyclical on a seasonal and long-term basis. On a long-term basis, the market has fluctuated, cycling through periods of weak demand, production overcapacity, excess inventory and lower sales prices and periods of strong demand, full capacity utilization, product shortages and higher sales prices.</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There is a trend within the semiconductor industry toward ever-smaller features and ever-growing wafer sizes. State-of-the-art fabs are currently using process geometries of 90-nanometer and below and wafer sizes of 300-mm. As demand for smaller geometries increases, there is downward pressure on the pricing of larger geometry products and increasing underutilization of fabs that are limited to manufacturing larger geometry products, which results in less profitability for manufacturers of larger geometry products. Fab 1 is limited to geometries of 0.35-micron and above on 150-mm wafers and Fab 2 currently offers process geometries of 0.18 and 0.13-micron and produces 200-mm wafers.</w:t>
      </w:r>
    </w:p>
    <w:p>
      <w:pPr>
        <w:spacing w:after="0" w:line="127" w:lineRule="exact"/>
        <w:rPr>
          <w:sz w:val="20"/>
          <w:szCs w:val="20"/>
          <w:color w:val="auto"/>
        </w:rPr>
      </w:pPr>
    </w:p>
    <w:p>
      <w:pPr>
        <w:ind w:left="708" w:hanging="357"/>
        <w:spacing w:after="0"/>
        <w:tabs>
          <w:tab w:leader="none" w:pos="708"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OFF-BALANCE SHEET ARRANGEMENTS</w:t>
      </w:r>
    </w:p>
    <w:p>
      <w:pPr>
        <w:spacing w:after="0" w:line="139" w:lineRule="exact"/>
        <w:rPr>
          <w:sz w:val="20"/>
          <w:szCs w:val="20"/>
          <w:color w:val="auto"/>
        </w:rPr>
      </w:pPr>
    </w:p>
    <w:p>
      <w:pPr>
        <w:ind w:left="8" w:right="4899" w:firstLine="351"/>
        <w:spacing w:after="0" w:line="266" w:lineRule="auto"/>
        <w:rPr>
          <w:sz w:val="20"/>
          <w:szCs w:val="20"/>
          <w:color w:val="auto"/>
        </w:rPr>
      </w:pPr>
      <w:r>
        <w:rPr>
          <w:rFonts w:ascii="Courier New" w:cs="Courier New" w:eastAsia="Courier New" w:hAnsi="Courier New"/>
          <w:sz w:val="11"/>
          <w:szCs w:val="11"/>
          <w:color w:val="auto"/>
        </w:rPr>
        <w:t>We are not a party to any material off-balance sheet arrangements. In addition, we have no unconsolidated special purpose financing or partnership entities that are likely to create material contingent obligations.</w:t>
      </w:r>
    </w:p>
    <w:p>
      <w:pPr>
        <w:spacing w:after="0" w:line="257"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- 52 -</w:t>
      </w:r>
    </w:p>
    <w:p>
      <w:pPr>
        <w:spacing w:after="0" w:line="200" w:lineRule="exact"/>
        <w:rPr>
          <w:sz w:val="20"/>
          <w:szCs w:val="20"/>
          <w:color w:val="auto"/>
        </w:rPr>
      </w:pPr>
    </w:p>
    <w:p>
      <w:pPr>
        <w:spacing w:after="0" w:line="322" w:lineRule="exact"/>
        <w:rPr>
          <w:sz w:val="20"/>
          <w:szCs w:val="20"/>
          <w:color w:val="auto"/>
        </w:rPr>
      </w:pPr>
    </w:p>
    <w:p>
      <w:pPr>
        <w:ind w:left="708" w:hanging="357"/>
        <w:spacing w:after="0"/>
        <w:tabs>
          <w:tab w:leader="none" w:pos="70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TABULAR DISCLOSURE OF CONTRACTUAL OBLIGATIONS</w:t>
      </w:r>
    </w:p>
    <w:p>
      <w:pPr>
        <w:spacing w:after="0" w:line="139" w:lineRule="exact"/>
        <w:rPr>
          <w:sz w:val="20"/>
          <w:szCs w:val="20"/>
          <w:color w:val="auto"/>
        </w:rPr>
      </w:pPr>
    </w:p>
    <w:p>
      <w:pPr>
        <w:ind w:left="8" w:right="4759" w:firstLine="351"/>
        <w:spacing w:after="0" w:line="235" w:lineRule="auto"/>
        <w:rPr>
          <w:sz w:val="20"/>
          <w:szCs w:val="20"/>
          <w:color w:val="auto"/>
        </w:rPr>
      </w:pPr>
      <w:r>
        <w:rPr>
          <w:rFonts w:ascii="Courier New" w:cs="Courier New" w:eastAsia="Courier New" w:hAnsi="Courier New"/>
          <w:sz w:val="12"/>
          <w:szCs w:val="12"/>
          <w:color w:val="auto"/>
        </w:rPr>
        <w:t>The following table summarizes our contractual obligations and commercial commitments as of December 31, 2006:</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3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PAYMENT DUE</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540" w:type="dxa"/>
            <w:vAlign w:val="bottom"/>
          </w:tcPr>
          <w:p>
            <w:pPr>
              <w:spacing w:after="0"/>
              <w:rPr>
                <w:sz w:val="11"/>
                <w:szCs w:val="11"/>
                <w:color w:val="auto"/>
              </w:rPr>
            </w:pPr>
          </w:p>
        </w:tc>
        <w:tc>
          <w:tcPr>
            <w:tcW w:w="6640" w:type="dxa"/>
            <w:vAlign w:val="bottom"/>
            <w:gridSpan w:val="7"/>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LESS THAN 1</w:t>
            </w:r>
          </w:p>
        </w:tc>
        <w:tc>
          <w:tcPr>
            <w:tcW w:w="7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AFTER 5</w:t>
            </w:r>
          </w:p>
        </w:tc>
      </w:tr>
      <w:tr>
        <w:trPr>
          <w:trHeight w:val="135"/>
        </w:trPr>
        <w:tc>
          <w:tcPr>
            <w:tcW w:w="3540" w:type="dxa"/>
            <w:vAlign w:val="bottom"/>
          </w:tcPr>
          <w:p>
            <w:pPr>
              <w:spacing w:after="0"/>
              <w:rPr>
                <w:sz w:val="11"/>
                <w:szCs w:val="11"/>
                <w:color w:val="auto"/>
              </w:rPr>
            </w:pP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TOTAL</w:t>
            </w:r>
          </w:p>
        </w:tc>
        <w:tc>
          <w:tcPr>
            <w:tcW w:w="11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YEAR</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 YEARS</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 YEARS</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 YEARS</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 YEARS</w:t>
            </w:r>
          </w:p>
        </w:tc>
        <w:tc>
          <w:tcPr>
            <w:tcW w:w="7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YEARS</w:t>
            </w:r>
          </w:p>
        </w:tc>
      </w:tr>
      <w:tr>
        <w:trPr>
          <w:trHeight w:val="135"/>
        </w:trPr>
        <w:tc>
          <w:tcPr>
            <w:tcW w:w="3540" w:type="dxa"/>
            <w:vAlign w:val="bottom"/>
          </w:tcPr>
          <w:p>
            <w:pPr>
              <w:spacing w:after="0"/>
              <w:rPr>
                <w:sz w:val="11"/>
                <w:szCs w:val="11"/>
                <w:color w:val="auto"/>
              </w:rPr>
            </w:pP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(IN THOUSANDS)</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70"/>
        </w:trPr>
        <w:tc>
          <w:tcPr>
            <w:tcW w:w="3540" w:type="dxa"/>
            <w:vAlign w:val="bottom"/>
          </w:tcPr>
          <w:p>
            <w:pPr>
              <w:spacing w:after="0"/>
              <w:rPr>
                <w:sz w:val="20"/>
                <w:szCs w:val="20"/>
                <w:color w:val="auto"/>
              </w:rPr>
            </w:pPr>
            <w:r>
              <w:rPr>
                <w:rFonts w:ascii="Courier New" w:cs="Courier New" w:eastAsia="Courier New" w:hAnsi="Courier New"/>
                <w:sz w:val="12"/>
                <w:szCs w:val="12"/>
                <w:color w:val="auto"/>
              </w:rPr>
              <w:t>CONTRACTUAL OBLIGATIONS</w:t>
            </w:r>
          </w:p>
        </w:tc>
        <w:tc>
          <w:tcPr>
            <w:tcW w:w="9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Short Term Debt(1)</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55,128</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55,128</w:t>
            </w:r>
          </w:p>
        </w:tc>
        <w:tc>
          <w:tcPr>
            <w:tcW w:w="7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Other current liabilities</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18,096</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18,096</w:t>
            </w:r>
          </w:p>
        </w:tc>
        <w:tc>
          <w:tcPr>
            <w:tcW w:w="7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Long term debt(2)</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463,424</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23,028</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23,027</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84,810</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139,996</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68,938</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123,625</w:t>
            </w: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Convertible Debenture(3)</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128,115</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8,076</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7,743</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7,410</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65,002</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39,884</w:t>
            </w: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Operating leases</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3,888</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2,434</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1,203</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251</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Construction &amp; equipment purchase agreements(4)</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11,198</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11,198</w:t>
            </w:r>
          </w:p>
        </w:tc>
        <w:tc>
          <w:tcPr>
            <w:tcW w:w="7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Siliconix advance</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17,884</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2,471</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2,852</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2,850</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2,850</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2,850</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4,011</w:t>
            </w: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Other long-term liabilities</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15,330</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1,448</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8,227</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2,374</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3,281</w:t>
            </w: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Purchase obligations</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29,321</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3,208</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2,724</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2,724</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2,724</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2,724</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15,217</w:t>
            </w:r>
          </w:p>
        </w:tc>
      </w:tr>
      <w:tr>
        <w:trPr>
          <w:trHeight w:val="135"/>
        </w:trPr>
        <w:tc>
          <w:tcPr>
            <w:tcW w:w="3540" w:type="dxa"/>
            <w:vAlign w:val="bottom"/>
          </w:tcPr>
          <w:p>
            <w:pPr>
              <w:spacing w:after="0"/>
              <w:rPr>
                <w:sz w:val="11"/>
                <w:szCs w:val="11"/>
                <w:color w:val="auto"/>
              </w:rPr>
            </w:pP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Total contractual obligations</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742,384</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125,087</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45,776</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100,419</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145,570</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139,514</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186,018</w:t>
            </w:r>
          </w:p>
        </w:tc>
      </w:tr>
      <w:tr>
        <w:trPr>
          <w:trHeight w:val="135"/>
        </w:trPr>
        <w:tc>
          <w:tcPr>
            <w:tcW w:w="3540" w:type="dxa"/>
            <w:vAlign w:val="bottom"/>
          </w:tcPr>
          <w:p>
            <w:pPr>
              <w:spacing w:after="0"/>
              <w:rPr>
                <w:sz w:val="11"/>
                <w:szCs w:val="11"/>
                <w:color w:val="auto"/>
              </w:rPr>
            </w:pP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348" w:right="4839" w:hanging="348"/>
        <w:spacing w:after="0" w:line="273" w:lineRule="auto"/>
        <w:tabs>
          <w:tab w:leader="none" w:pos="3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Short-term debt and other current liabilities include our trade accounts payable for equipment and services that have already been supplied.</w:t>
      </w:r>
    </w:p>
    <w:p>
      <w:pPr>
        <w:spacing w:after="0" w:line="121" w:lineRule="exact"/>
        <w:rPr>
          <w:rFonts w:ascii="Courier New" w:cs="Courier New" w:eastAsia="Courier New" w:hAnsi="Courier New"/>
          <w:sz w:val="11"/>
          <w:szCs w:val="11"/>
          <w:color w:val="auto"/>
        </w:rPr>
      </w:pPr>
    </w:p>
    <w:p>
      <w:pPr>
        <w:jc w:val="both"/>
        <w:ind w:left="348" w:right="4699" w:hanging="348"/>
        <w:spacing w:after="0" w:line="236" w:lineRule="auto"/>
        <w:tabs>
          <w:tab w:leader="none" w:pos="348"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Long-term debt includes principal and interest payments in accordance with the terms of the credit facility, as amended in September 2006, as well as the impact of our hedging transactions.</w:t>
      </w:r>
    </w:p>
    <w:p>
      <w:pPr>
        <w:spacing w:after="0" w:line="139" w:lineRule="exact"/>
        <w:rPr>
          <w:rFonts w:ascii="Courier New" w:cs="Courier New" w:eastAsia="Courier New" w:hAnsi="Courier New"/>
          <w:sz w:val="12"/>
          <w:szCs w:val="12"/>
          <w:color w:val="auto"/>
        </w:rPr>
      </w:pPr>
    </w:p>
    <w:p>
      <w:pPr>
        <w:ind w:left="348" w:right="4979" w:hanging="348"/>
        <w:spacing w:after="0" w:line="235" w:lineRule="auto"/>
        <w:tabs>
          <w:tab w:leader="none" w:pos="348"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Total amounts include expected principal and interest payments for the presented periods.</w:t>
      </w:r>
    </w:p>
    <w:p>
      <w:pPr>
        <w:spacing w:after="0" w:line="139" w:lineRule="exact"/>
        <w:rPr>
          <w:rFonts w:ascii="Courier New" w:cs="Courier New" w:eastAsia="Courier New" w:hAnsi="Courier New"/>
          <w:sz w:val="12"/>
          <w:szCs w:val="12"/>
          <w:color w:val="auto"/>
        </w:rPr>
      </w:pPr>
    </w:p>
    <w:p>
      <w:pPr>
        <w:ind w:left="348" w:right="4699" w:hanging="348"/>
        <w:spacing w:after="0" w:line="236" w:lineRule="auto"/>
        <w:tabs>
          <w:tab w:leader="none" w:pos="348"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These amounts primarily consist of ordered equipment that has not yet been received. In addition to these contractual obligations, we have committed approximately $8.5 million in standby letters of credit and guarantees to secure our Fab 2 equipment obligations.</w:t>
      </w:r>
    </w:p>
    <w:p>
      <w:pPr>
        <w:spacing w:after="0" w:line="141"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The above table does not include other contractual obligations or commitments we have, such as undertakings pursuant to royalty agreements, commissions and service agreements. We are unable to reasonably estimate the total amounts or the time table for such payments to be paid under the terms of these agreements, as the royalties, commissions and required services are a function of future sales revenues, the volume of business and hourly-based fees. In addition, the above table does not include our long-term liability with respect to our wafer partner advances, which as of December 31, 2006, amounted to approximately $30.9 million that may be utilized by them against future purchases of Fab 2 products. We are unable to reasonably estimate the total amounts that may be utilized by our wafer partners since we can not reasonably estimate their future orders in the periods set forth in the above chart.</w:t>
      </w:r>
    </w:p>
    <w:p>
      <w:pPr>
        <w:spacing w:after="0" w:line="261"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6. DIRECTORS, SENIOR MANAGEMENT AND EMPLOYEES</w:t>
      </w:r>
    </w:p>
    <w:p>
      <w:pPr>
        <w:spacing w:after="0" w:line="134" w:lineRule="exact"/>
        <w:rPr>
          <w:sz w:val="20"/>
          <w:szCs w:val="20"/>
          <w:color w:val="auto"/>
        </w:rPr>
      </w:pPr>
    </w:p>
    <w:p>
      <w:pPr>
        <w:ind w:left="708" w:hanging="357"/>
        <w:spacing w:after="0"/>
        <w:tabs>
          <w:tab w:leader="none" w:pos="708"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DIRECTORS AND SENIOR MANAGEMENT</w:t>
      </w:r>
    </w:p>
    <w:p>
      <w:pPr>
        <w:spacing w:after="0" w:line="139" w:lineRule="exact"/>
        <w:rPr>
          <w:sz w:val="20"/>
          <w:szCs w:val="20"/>
          <w:color w:val="auto"/>
        </w:rPr>
      </w:pPr>
    </w:p>
    <w:p>
      <w:pPr>
        <w:ind w:left="8" w:right="4619" w:firstLine="351"/>
        <w:spacing w:after="0" w:line="235" w:lineRule="auto"/>
        <w:rPr>
          <w:sz w:val="20"/>
          <w:szCs w:val="20"/>
          <w:color w:val="auto"/>
        </w:rPr>
      </w:pPr>
      <w:r>
        <w:rPr>
          <w:rFonts w:ascii="Courier New" w:cs="Courier New" w:eastAsia="Courier New" w:hAnsi="Courier New"/>
          <w:sz w:val="12"/>
          <w:szCs w:val="12"/>
          <w:color w:val="auto"/>
        </w:rPr>
        <w:t>Set forth below is information regarding the members of our administrative, supervisory or management bodies and our directors.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740" w:type="dxa"/>
            <w:vAlign w:val="bottom"/>
          </w:tcPr>
          <w:p>
            <w:pPr>
              <w:spacing w:after="0"/>
              <w:rPr>
                <w:sz w:val="20"/>
                <w:szCs w:val="20"/>
                <w:color w:val="auto"/>
              </w:rPr>
            </w:pPr>
            <w:r>
              <w:rPr>
                <w:rFonts w:ascii="Courier New" w:cs="Courier New" w:eastAsia="Courier New" w:hAnsi="Courier New"/>
                <w:sz w:val="12"/>
                <w:szCs w:val="12"/>
                <w:color w:val="auto"/>
              </w:rPr>
              <w:t>SENIOR MANAGEMENT</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AGE</w:t>
            </w:r>
          </w:p>
        </w:tc>
        <w:tc>
          <w:tcPr>
            <w:tcW w:w="3680" w:type="dxa"/>
            <w:vAlign w:val="bottom"/>
          </w:tcPr>
          <w:p>
            <w:pPr>
              <w:ind w:left="1500"/>
              <w:spacing w:after="0"/>
              <w:rPr>
                <w:sz w:val="20"/>
                <w:szCs w:val="20"/>
                <w:color w:val="auto"/>
              </w:rPr>
            </w:pPr>
            <w:r>
              <w:rPr>
                <w:rFonts w:ascii="Courier New" w:cs="Courier New" w:eastAsia="Courier New" w:hAnsi="Courier New"/>
                <w:sz w:val="12"/>
                <w:szCs w:val="12"/>
                <w:color w:val="auto"/>
              </w:rPr>
              <w:t>TITLE</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680" w:type="dxa"/>
            <w:vAlign w:val="bottom"/>
          </w:tcPr>
          <w:p>
            <w:pPr>
              <w:ind w:left="360"/>
              <w:spacing w:after="0"/>
              <w:rPr>
                <w:sz w:val="20"/>
                <w:szCs w:val="20"/>
                <w:color w:val="auto"/>
              </w:rPr>
            </w:pPr>
            <w:r>
              <w:rPr>
                <w:rFonts w:ascii="Courier New" w:cs="Courier New" w:eastAsia="Courier New" w:hAnsi="Courier New"/>
                <w:sz w:val="12"/>
                <w:szCs w:val="12"/>
                <w:color w:val="auto"/>
              </w:rPr>
              <w:t>--</w:t>
            </w:r>
          </w:p>
        </w:tc>
        <w:tc>
          <w:tcPr>
            <w:tcW w:w="3680" w:type="dxa"/>
            <w:vAlign w:val="bottom"/>
          </w:tcPr>
          <w:p>
            <w:pPr>
              <w:ind w:left="320"/>
              <w:spacing w:after="0"/>
              <w:rPr>
                <w:sz w:val="20"/>
                <w:szCs w:val="20"/>
                <w:color w:val="auto"/>
              </w:rPr>
            </w:pPr>
            <w:r>
              <w:rPr>
                <w:rFonts w:ascii="Courier New" w:cs="Courier New" w:eastAsia="Courier New" w:hAnsi="Courier New"/>
                <w:sz w:val="12"/>
                <w:szCs w:val="12"/>
                <w:color w:val="auto"/>
                <w:w w:val="96"/>
              </w:rPr>
              <w:t>------------------------------------------------</w:t>
            </w:r>
          </w:p>
        </w:tc>
      </w:tr>
      <w:tr>
        <w:trPr>
          <w:trHeight w:val="270"/>
        </w:trPr>
        <w:tc>
          <w:tcPr>
            <w:tcW w:w="1740" w:type="dxa"/>
            <w:vAlign w:val="bottom"/>
          </w:tcPr>
          <w:p>
            <w:pPr>
              <w:spacing w:after="0"/>
              <w:rPr>
                <w:sz w:val="20"/>
                <w:szCs w:val="20"/>
                <w:color w:val="auto"/>
              </w:rPr>
            </w:pPr>
            <w:r>
              <w:rPr>
                <w:rFonts w:ascii="Courier New" w:cs="Courier New" w:eastAsia="Courier New" w:hAnsi="Courier New"/>
                <w:sz w:val="12"/>
                <w:szCs w:val="12"/>
                <w:color w:val="auto"/>
              </w:rPr>
              <w:t>Russell C.  Ellwanger</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52</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Chief Executive Officer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Oren Shirazi</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37</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Acting Chief Financial Officer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Dudu Vidan</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46</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Vice President and Fab 2 Manager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Dr. Itzhak Edrei</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47</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Senior Vice President of Product Lines and Sales</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Rafi Nave</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57</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Chief Technology Officer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Ephie Koltin</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45</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Vice President and Fab 1 Manager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Dalit Dahan</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39</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Vice President of Human Resources</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Shimon Dahan</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44</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Vice President of Manufacturing Services</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Nati Somekh Gilboa</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32</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Corporate Secretary and General Counsel</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Rafi Mor</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43</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Vice President of Business Development</w:t>
            </w:r>
          </w:p>
        </w:tc>
      </w:tr>
      <w:tr>
        <w:trPr>
          <w:trHeight w:val="405"/>
        </w:trPr>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- 53 -</w:t>
            </w:r>
          </w:p>
        </w:tc>
      </w:tr>
      <w:tr>
        <w:trPr>
          <w:trHeight w:val="658"/>
        </w:trPr>
        <w:tc>
          <w:tcPr>
            <w:tcW w:w="1740" w:type="dxa"/>
            <w:vAlign w:val="bottom"/>
          </w:tcPr>
          <w:p>
            <w:pPr>
              <w:spacing w:after="0"/>
              <w:rPr>
                <w:sz w:val="20"/>
                <w:szCs w:val="20"/>
                <w:color w:val="auto"/>
              </w:rPr>
            </w:pPr>
            <w:r>
              <w:rPr>
                <w:rFonts w:ascii="Courier New" w:cs="Courier New" w:eastAsia="Courier New" w:hAnsi="Courier New"/>
                <w:sz w:val="12"/>
                <w:szCs w:val="12"/>
                <w:color w:val="auto"/>
              </w:rPr>
              <w:t>DIRECTORS</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AGE</w:t>
            </w:r>
          </w:p>
        </w:tc>
        <w:tc>
          <w:tcPr>
            <w:tcW w:w="3680" w:type="dxa"/>
            <w:vAlign w:val="bottom"/>
          </w:tcPr>
          <w:p>
            <w:pPr>
              <w:ind w:left="1160"/>
              <w:spacing w:after="0"/>
              <w:rPr>
                <w:sz w:val="20"/>
                <w:szCs w:val="20"/>
                <w:color w:val="auto"/>
              </w:rPr>
            </w:pPr>
            <w:r>
              <w:rPr>
                <w:rFonts w:ascii="Courier New" w:cs="Courier New" w:eastAsia="Courier New" w:hAnsi="Courier New"/>
                <w:sz w:val="12"/>
                <w:szCs w:val="12"/>
                <w:color w:val="auto"/>
              </w:rPr>
              <w:t>TITLE</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680" w:type="dxa"/>
            <w:vAlign w:val="bottom"/>
          </w:tcPr>
          <w:p>
            <w:pPr>
              <w:ind w:left="360"/>
              <w:spacing w:after="0"/>
              <w:rPr>
                <w:sz w:val="20"/>
                <w:szCs w:val="20"/>
                <w:color w:val="auto"/>
              </w:rPr>
            </w:pPr>
            <w:r>
              <w:rPr>
                <w:rFonts w:ascii="Courier New" w:cs="Courier New" w:eastAsia="Courier New" w:hAnsi="Courier New"/>
                <w:sz w:val="12"/>
                <w:szCs w:val="12"/>
                <w:color w:val="auto"/>
              </w:rPr>
              <w:t>--</w:t>
            </w:r>
          </w:p>
        </w:tc>
        <w:tc>
          <w:tcPr>
            <w:tcW w:w="368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Dov Moran</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51</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Chairman of the Board</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Russell C. Ellwanger</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52</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Director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Yossi Rosen</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67</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Director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Dr. Eli Harari</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62</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Director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Miin Wu</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58</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Director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Melvin Keating</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60</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Director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Nir Gilad</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50</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Director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Kalman Kaufman</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62</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Independent Director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Hans Rohrer</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57</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Independent and External Director</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Miri Katz</w:t>
            </w:r>
          </w:p>
        </w:tc>
        <w:tc>
          <w:tcPr>
            <w:tcW w:w="680" w:type="dxa"/>
            <w:vAlign w:val="bottom"/>
          </w:tcPr>
          <w:p>
            <w:pPr>
              <w:ind w:left="220"/>
              <w:spacing w:after="0"/>
              <w:rPr>
                <w:sz w:val="20"/>
                <w:szCs w:val="20"/>
                <w:color w:val="auto"/>
              </w:rPr>
            </w:pPr>
            <w:r>
              <w:rPr>
                <w:rFonts w:ascii="Courier New" w:cs="Courier New" w:eastAsia="Courier New" w:hAnsi="Courier New"/>
                <w:sz w:val="12"/>
                <w:szCs w:val="12"/>
                <w:color w:val="auto"/>
              </w:rPr>
              <w:t>56</w:t>
            </w:r>
          </w:p>
        </w:tc>
        <w:tc>
          <w:tcPr>
            <w:tcW w:w="3680" w:type="dxa"/>
            <w:vAlign w:val="bottom"/>
          </w:tcPr>
          <w:p>
            <w:pPr>
              <w:ind w:left="180"/>
              <w:spacing w:after="0"/>
              <w:rPr>
                <w:sz w:val="20"/>
                <w:szCs w:val="20"/>
                <w:color w:val="auto"/>
              </w:rPr>
            </w:pPr>
            <w:r>
              <w:rPr>
                <w:rFonts w:ascii="Courier New" w:cs="Courier New" w:eastAsia="Courier New" w:hAnsi="Courier New"/>
                <w:sz w:val="12"/>
                <w:szCs w:val="12"/>
                <w:color w:val="auto"/>
              </w:rPr>
              <w:t>Independent and External Director</w:t>
            </w:r>
          </w:p>
        </w:tc>
      </w:tr>
    </w:tbl>
    <w:p>
      <w:pPr>
        <w:sectPr>
          <w:pgSz w:w="11900" w:h="16838" w:orient="portrait"/>
          <w:cols w:equalWidth="0" w:num="1">
            <w:col w:w="10247"/>
          </w:cols>
          <w:pgMar w:left="212" w:top="141" w:right="1440" w:bottom="0" w:gutter="0" w:footer="0" w:header="0"/>
        </w:sectPr>
      </w:pPr>
    </w:p>
    <w:bookmarkStart w:id="31" w:name="page32"/>
    <w:bookmarkEnd w:id="31"/>
    <w:p>
      <w:pPr>
        <w:ind w:right="4619" w:firstLine="351"/>
        <w:spacing w:after="0" w:line="238" w:lineRule="auto"/>
        <w:rPr>
          <w:sz w:val="20"/>
          <w:szCs w:val="20"/>
          <w:color w:val="auto"/>
        </w:rPr>
      </w:pPr>
      <w:r>
        <w:rPr>
          <w:rFonts w:ascii="Courier New" w:cs="Courier New" w:eastAsia="Courier New" w:hAnsi="Courier New"/>
          <w:sz w:val="12"/>
          <w:szCs w:val="12"/>
          <w:color w:val="auto"/>
        </w:rPr>
        <w:t>RUSSELL C. ELLWANGER has served as our Chief Executive Officer since May 2005.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OREN SHIRAZI was appointed as our acting Chief Financial Officer in November 2004. Mr. Shirazi joined us in October 1998 and served as our controller since July 2000, after serving as vice controller since October 1998. Prior to joining us, Mr. Shirazi was employed as an Audit Manager in the accounting firm of Ratzkovski-Fried &amp; Co., which merged into Ernst &amp; Young (Israel). Mr. Shirazi is a Certified Public Accountant in Israel (CPA). He has an MBA from the Graduate School of Business of Haifa University with honors and a BA in economics and accounting from the Haifa University.</w:t>
      </w:r>
    </w:p>
    <w:p>
      <w:pPr>
        <w:spacing w:after="0" w:line="14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DUDU VIDAN was appointed Vice President and Fab 2 Manager in April 2007, having served previously as Vice President and Fab 1 Manager since August 2005, as Fab2 production manager since March 2003 and as Fab2 tool installation manager since March 2001. Previously, Mr. Vidan was employed by MDF, serving as plant manager, and Carcom Aviation Products serving as production manager. Mr. Vidan served as a Naval Reserve Lt. Colonel in the Israel Defense Forces. Mr. Vidan holds a B.Sc. in Industrial and Management Engineering from the Technion - Israel Institute of Technology.</w:t>
      </w:r>
    </w:p>
    <w:p>
      <w:pPr>
        <w:spacing w:after="0" w:line="142"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DR. ITZHAK EDREI was appointed Senior Vice President of Product Lines and Sales in August 2005 after serving as Vice President of Research and Development since August 2001,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- 54 -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RAFI NAVE was appointed Chief Technology Officer in August 2005 after serving as Vice President of Customer Services since August 2003. From 1996 to 2003, Mr. Nave served as Vice President of Research and Development for NDS Group. From 1974 to 1995, Mr. Nave was employed by Intel Corporation in a variety of positions of increasing responsibility, among them chip design engineer and General Manager of Intel's design center in Israel. Mr. Nave earned master and bachelor degrees in electrical engineering from the Technion - Israel Institute of Technology.</w:t>
      </w:r>
    </w:p>
    <w:p>
      <w:pPr>
        <w:spacing w:after="0" w:line="142"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EPHIE KOLTIN was appointed Vice President and Fab 1 Manager in April 2007, having served previously as Vice President of Business Development since August 2005, as Vice President, General Foundry and Mixed Signal Technology since 2003 and as Senior Director, FAB2 Process Engineering since 2000. From 1996-1999, Mr. Koltin served in several senior positions as Director, NVM Technology, CIS technology and ERS manager, Fab 1. Prior to joining Tower, Mr. Koltin was employed at National Semiconductor and the Technion - Israel Institute of Technology. Mr. Koltin holds a B.Sc. in Mechanical Engineering and M.Sc. in Materials Engineering from the Technion - Israel Institute of Technology.</w:t>
      </w:r>
    </w:p>
    <w:p>
      <w:pPr>
        <w:spacing w:after="0" w:line="13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DALIT DAHAN was appointed Vice President of Human Resources in April 2004. Ms. Dahan joined us in November 1993 and served as Personnel Manager since April 2000, after having served as Compensation &amp; Benefits Manager and in various other positions in the Human Resources Department. Prior to joining us, Ms. Dahan served as Manager of the North Branch of O.R.S - Manpower Company for 3 years. Ms. Dahan holds a bachelor's degree in social science from Haifa University and an MBA from the University of Derby.</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SHIMON DAHAN was appointed Vice President of Manufacturing Services in January 2006, having served previously as Test &amp; MTG manager since August 2005 and prior to that as Research and Development Operation Manager from November 2000. Prior to that, Mr. Dahan was employed by National Semiconductor in various capacities. Mr. Dahan holds a bachelors degree in Political Science from Haifa University, and an MBA from the University of Derby.</w:t>
      </w:r>
    </w:p>
    <w:p>
      <w:pPr>
        <w:spacing w:after="0" w:line="140" w:lineRule="exact"/>
        <w:rPr>
          <w:sz w:val="20"/>
          <w:szCs w:val="20"/>
          <w:color w:val="auto"/>
        </w:rPr>
      </w:pPr>
    </w:p>
    <w:p>
      <w:pPr>
        <w:jc w:val="both"/>
        <w:ind w:right="4619" w:firstLine="351"/>
        <w:spacing w:after="0" w:line="260" w:lineRule="auto"/>
        <w:rPr>
          <w:sz w:val="20"/>
          <w:szCs w:val="20"/>
          <w:color w:val="auto"/>
        </w:rPr>
      </w:pPr>
      <w:r>
        <w:rPr>
          <w:rFonts w:ascii="Courier New" w:cs="Courier New" w:eastAsia="Courier New" w:hAnsi="Courier New"/>
          <w:sz w:val="11"/>
          <w:szCs w:val="11"/>
          <w:color w:val="auto"/>
        </w:rPr>
        <w:t>NATI SOMEKH GILBOA was appointed as Corporate Secretary and General Counsel in March 2005, has served as our Associate General Counsel since May 2004. From 2001 to 2004, Ms. Somekh Gilboa was employed by Goldsobel &amp; Kirshen, Adv. Ms.</w:t>
      </w:r>
    </w:p>
    <w:p>
      <w:pPr>
        <w:ind w:right="4619"/>
        <w:spacing w:after="0" w:line="236" w:lineRule="auto"/>
        <w:rPr>
          <w:sz w:val="20"/>
          <w:szCs w:val="20"/>
          <w:color w:val="auto"/>
        </w:rPr>
      </w:pPr>
      <w:r>
        <w:rPr>
          <w:rFonts w:ascii="Courier New" w:cs="Courier New" w:eastAsia="Courier New" w:hAnsi="Courier New"/>
          <w:sz w:val="12"/>
          <w:szCs w:val="12"/>
          <w:color w:val="auto"/>
        </w:rPr>
        <w:t>Somekh Gilboa holds an LL.M. and J.D. from Boston University and a B.A. from Johns Hopkins University. She is a member of the Israeli Bar Association and the New York bar.</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RAFI MOR was appointed Vice President of Business Development since April 2007, having served previously as Vice President and Fab 2 Manager since August 2005, as Fab 1 Manager since August 2003 and Senior Director and Fab 1 Manager since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earned master and bachelor degrees in chemical engineering from Ben Gurion University.</w:t>
      </w:r>
    </w:p>
    <w:p>
      <w:pPr>
        <w:spacing w:after="0" w:line="143"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DOV MORAN has served as Chairman of the Board since December 2006. Mr. Moran was a founder of M-Systems and served as a director, President, Chief Executive Officer and Chairman of the Board of Directors of M-Systems from 1989 until September 2006. From 1984 to 1989, Mr. Moran was an independent consultant in the computer industry. Mr. Moran holds a B.Sc. in Computers and Electronic Engineering from the Technion Israel Institute of Technology.</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- 55 -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YOSSI ROSEN has served as a director and Chairman of the Stock Option and Compensation Committee since February 2005. From November 30, 1998 until May 2007, Mr. Rosen served as the President and CEO of The Israel Corporation. Mr. Rosen is Chairman of the Board of Directors of Israel Chemicals Ltd., a member of the Board of Directors and Executive Committee of ZIM Integrated Shipping Services, Chairman of the Board of Dead Sea Magnesium Ltd. and a director of Oil Refineries Ltd. Mr. Rosen holds a BA in Economics from the Hebrew University of Jerusalem and an MA in Business Management from the Hebrew University of Jerusalem.</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DR. ELI HARARI has served as a director since January 2001. Dr. Harari</w:t>
      </w:r>
    </w:p>
    <w:p>
      <w:pPr>
        <w:sectPr>
          <w:pgSz w:w="11900" w:h="16838" w:orient="portrait"/>
          <w:cols w:equalWidth="0" w:num="1">
            <w:col w:w="10239"/>
          </w:cols>
          <w:pgMar w:left="220" w:top="141" w:right="1440" w:bottom="0" w:gutter="0" w:footer="0" w:header="0"/>
        </w:sectPr>
      </w:pPr>
    </w:p>
    <w:bookmarkStart w:id="32" w:name="page33"/>
    <w:bookmarkEnd w:id="32"/>
    <w:p>
      <w:pPr>
        <w:ind w:right="4619"/>
        <w:spacing w:after="0" w:line="238" w:lineRule="auto"/>
        <w:rPr>
          <w:sz w:val="20"/>
          <w:szCs w:val="20"/>
          <w:color w:val="auto"/>
        </w:rPr>
      </w:pPr>
      <w:r>
        <w:rPr>
          <w:rFonts w:ascii="Courier New" w:cs="Courier New" w:eastAsia="Courier New" w:hAnsi="Courier New"/>
          <w:sz w:val="12"/>
          <w:szCs w:val="12"/>
          <w:color w:val="auto"/>
        </w:rPr>
        <w:t>serves on the Stock Option and Compensation Committee. Dr. Harari served as Chairman and Chief Executive Officer of SanDisk Corporation from its inception in 1988 until June and currently has served as Chief Executive Officer and Chairman of the Board of SanDisk since June 2006. Dr. Harari is a pioneer in non-volatile semiconductor storage with more than 100 US and foreign patents and numerous technical articles and has more than 30 years of experience in the electronics industry. His extensive operational and technological development experiences include co-founding Waferscale Integration, overseeing the development and transfer into production of Intel Corporation's first-generation stepper and dry etch technology, and technical management positions at Hughes Aircraft and Honeywell, Inc. He holds an M.A. and Ph.D. in Solid State Sciences from Princeton University and a B.S. (Honors) degree in Physics from Manchester University.</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MIIN WU has served as a director since January 2001. Mr. Wu serves as President and Chief Executive Officer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MELVIN L. KEATING has served as a director since July 2006. Since 2005, Mr. Keating has served as the President and Chief Executive Officer of Alliance Semiconductor Corporation since 2005. Mr. Keating also serves on the board of Kitty Hawk Inc. From April 2004 to September 2005, Mr. Keating served as Executive Vice President, Chief Financial Officer and Treasurer of Quovadx, Inc. From 1997 to 2004, Mr. Keating served as a strategy consultant to Warburg Pincus Equity Partners. Mr. Keating holds two Masters degrees from the University of Pennsylvania, Wharton School and a B.A. from Rutgers University.</w:t>
      </w:r>
    </w:p>
    <w:p>
      <w:pPr>
        <w:spacing w:after="0" w:line="142"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KALMAN KAUFMAN has served as a director and as a member of our Audit Committee since August 2005. Mr. Kaufman also served as Corporate Vice President at Applied Materials from 1994 to 2005. Between 1985 and 1994, Mr. Kaufman 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12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HANS ROHRER has been a director and member of the Audit Committee since April 2002. Since May 2002, Mr. Rohrer has served as President and Chief Executive Officer of Acuid Corporation. From 1999 to 2002, Mr. Rohrer served as President of Taiwan Semiconductor Manufacturing Company -- Europe (TSMC - Europe). Mr. Rohrer has held various engineering, marketing, sales and general management positions, including Vice President and General Manager, Europe, with National Semiconductor between 1980 and 1998. Mr. Rohrer started his career in the semiconductor industry with Texas Instruments.</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- 56 -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MIRI KATZ has served as a director and member of the Audit Committee and the Stock Option and Compensation Committee since January 2007. Ms. \Katz has been a member of the board of trustees of The Hebrew University of Jerusalem and a member of its Committee for Academic Policy, the Audit Committee and the Constitution Committee since 2004. Ms. Katz has been of counsel at Ophir Katz &amp;Co. and has served as a director of The Caesarea Foundation and The Caesarea Edmond Benjamin de Rothschild Development Corporation Ltd. since 2003. In addition, Ms. Katz has also served as a director of the Bank of Jerusalem Ltd. and the chairperson of its audit committee since 2003. From 1997-2002, Ms. Katz served as the chairperson of the Israel Securities Authority. Ms. Katz holds an LL.B. from The Hebrew University of Jerusalem.</w:t>
      </w:r>
    </w:p>
    <w:p>
      <w:pPr>
        <w:spacing w:after="0" w:line="145"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NIR GILAD has served as a director since May 2007. Mr. Gilad has served as Chief Executive Officer of Israel Corp. since_ June 2007; he previously served as Vice-Chief Executive Officer of the Israel Corporation from May 2006 to May 2007. From 2004-2006, Mr. Gilad served as vice-Chief Executive Officer of Migdal Holdings Insurance and Financings Ltd., Chief Executive Officer of Migdal Investment Management 2001 Ltd. and chairman of Migdal Capital Markets Ltd. In addition, from 1999-2003, Mr. Gilad served as General Comptroller of the Treasury Office of the State of Israel. Throughout the years, Mr. Gilad was a member and chairman of several boards of directors. Mr. Gilad holds a B.A. in Economics and Agricultural Management in Natural Sciences from the Hebrew University of Jerusalem and an M.A. in business administration from Bar Ilan University.</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Pursuant to a shareholders agreement dated January 18, 2001, SanDisk, Alliance Semiconductor, Israel Corp. and Macronix have agreed to vote all their respective shares for nominees designated by each shareholder and for the election of a nominee of Israel Corp. as Chairman of the Board, unless agreed to otherwise.</w:t>
      </w:r>
    </w:p>
    <w:p>
      <w:pPr>
        <w:spacing w:after="0" w:line="135" w:lineRule="exact"/>
        <w:rPr>
          <w:sz w:val="20"/>
          <w:szCs w:val="20"/>
          <w:color w:val="auto"/>
        </w:rPr>
      </w:pPr>
    </w:p>
    <w:p>
      <w:pPr>
        <w:ind w:left="700" w:hanging="357"/>
        <w:spacing w:after="0"/>
        <w:tabs>
          <w:tab w:leader="none" w:pos="700"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COMPENSATION</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For the years ended December 31, 2006 and 2005, we paid to all our</w:t>
      </w:r>
    </w:p>
    <w:p>
      <w:pPr>
        <w:spacing w:after="0"/>
        <w:rPr>
          <w:sz w:val="20"/>
          <w:szCs w:val="20"/>
          <w:color w:val="auto"/>
        </w:rPr>
      </w:pPr>
      <w:r>
        <w:rPr>
          <w:rFonts w:ascii="Courier New" w:cs="Courier New" w:eastAsia="Courier New" w:hAnsi="Courier New"/>
          <w:sz w:val="12"/>
          <w:szCs w:val="12"/>
          <w:color w:val="auto"/>
        </w:rPr>
        <w:t>directors and senior management, as a group, an aggregate of $1.4 million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$1.2 million, respectively, in salaries, fees and bonuses, excluding management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fees paid to Israel Corp. The total amount set aside or accrued in the year</w:t>
      </w:r>
    </w:p>
    <w:p>
      <w:pPr>
        <w:spacing w:after="0"/>
        <w:rPr>
          <w:sz w:val="20"/>
          <w:szCs w:val="20"/>
          <w:color w:val="auto"/>
        </w:rPr>
      </w:pPr>
      <w:r>
        <w:rPr>
          <w:rFonts w:ascii="Courier New" w:cs="Courier New" w:eastAsia="Courier New" w:hAnsi="Courier New"/>
          <w:sz w:val="12"/>
          <w:szCs w:val="12"/>
          <w:color w:val="auto"/>
        </w:rPr>
        <w:t>ended December 31, 2006 to provide for severance, retirement and similar</w:t>
      </w:r>
    </w:p>
    <w:p>
      <w:pPr>
        <w:spacing w:after="0" w:line="237" w:lineRule="auto"/>
        <w:rPr>
          <w:sz w:val="20"/>
          <w:szCs w:val="20"/>
          <w:color w:val="auto"/>
        </w:rPr>
      </w:pPr>
      <w:r>
        <w:rPr>
          <w:rFonts w:ascii="Courier New" w:cs="Courier New" w:eastAsia="Courier New" w:hAnsi="Courier New"/>
          <w:sz w:val="12"/>
          <w:szCs w:val="12"/>
          <w:color w:val="auto"/>
        </w:rPr>
        <w:t>benefits for such persons was $0.3 million.</w:t>
      </w:r>
    </w:p>
    <w:p>
      <w:pPr>
        <w:spacing w:after="0" w:line="139" w:lineRule="exact"/>
        <w:rPr>
          <w:sz w:val="20"/>
          <w:szCs w:val="20"/>
          <w:color w:val="auto"/>
        </w:rPr>
      </w:pPr>
    </w:p>
    <w:p>
      <w:pPr>
        <w:ind w:right="4759" w:firstLine="351"/>
        <w:spacing w:after="0" w:line="262" w:lineRule="auto"/>
        <w:rPr>
          <w:sz w:val="20"/>
          <w:szCs w:val="20"/>
          <w:color w:val="auto"/>
        </w:rPr>
      </w:pPr>
      <w:r>
        <w:rPr>
          <w:rFonts w:ascii="Courier New" w:cs="Courier New" w:eastAsia="Courier New" w:hAnsi="Courier New"/>
          <w:sz w:val="11"/>
          <w:szCs w:val="11"/>
          <w:color w:val="auto"/>
        </w:rPr>
        <w:t>During 2001, the Audit Committee, Board of Directors and shareholders approved a stock option plan which provides for the grant to our Board members of options to purchase up to 400,000 ordinary shares. As of May 31, 2007, 280,000 options to purchase ordinary shares were outstanding under this plan, with a weighted average exercise price of $5.39. These options vest over a four-year period, according to various vesting schedules and are generally not exercisable following the fifth anniversary of their vesting date.</w:t>
      </w:r>
    </w:p>
    <w:p>
      <w:pPr>
        <w:spacing w:after="0" w:line="12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Since October 2001, our directors have foregone their directors' fees, except for fees required by law to be paid to our independent directors. The aggregate amount payable to each of our external directors with respect to the year ended December 31, 2006 was approximately $28,000. Each of these directors also receives a per meeting fee.</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On January 31, 2007, our shareholders approved, following our Board of Directors' and Audit Committee approvals, the grant to each independent director of the Company who is not affiliated with our major shareholders, and is not an employee of the Company, initial options to purchase Ordinary Shares that equal 150,000 less the number of unvested options to purchase Ordinary Shares held by such independent director as of the date of the shareholders' meeting. These initial options vest over three years, one third on the first month anniversary of the date the shareholders approved the grant, and thereafter, the remaining two-thirds pro-rata on a monthly basis over the remaining two years until fully vested. The exercise price per initial option is $1.88, which was the closing price of our shares on the NASDAQ on the trading day immediately prior to the date the shareholders approved the grant. On January 31, 2007, our shareholders approved (i) the payment of annual fees and participation fees (per meeting) to the Independent Directors; and (ii) the reimbursement of out-of-pocket expenses of the independent directors, in both cases, to the maximum extent permitted</w:t>
      </w:r>
    </w:p>
    <w:p>
      <w:pPr>
        <w:sectPr>
          <w:pgSz w:w="11900" w:h="16838" w:orient="portrait"/>
          <w:cols w:equalWidth="0" w:num="1">
            <w:col w:w="10239"/>
          </w:cols>
          <w:pgMar w:left="220" w:top="141"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2"/>
          <w:szCs w:val="12"/>
          <w:color w:val="auto"/>
        </w:rPr>
        <w:t>under applicable Israeli law and regulations.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- 57 -</w:t>
      </w:r>
    </w:p>
    <w:p>
      <w:pPr>
        <w:spacing w:after="0" w:line="200" w:lineRule="exact"/>
        <w:rPr>
          <w:sz w:val="20"/>
          <w:szCs w:val="20"/>
          <w:color w:val="auto"/>
        </w:rPr>
      </w:pPr>
    </w:p>
    <w:p>
      <w:pPr>
        <w:spacing w:after="0" w:line="326"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Each new independent director appointed will be granted 150,000 options to purchase Ordinary Shares, exercisable at the closing price of our shares on the NASDAQ on the trading day immediately prior to the relevant date of appointment, with the same vesting terms as the initial grants.</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Upon each third anniversary of a previous grant of options to an independent director, each such Independent Director shall be granted an additional 150,000 options to purchase Ordinary Shares, which will vest over 3 years on a monthly basis until fully vested. The exercise price per each such option shall be the closing price of our shares on the NASDAQ on the trading day immediately prior to the relevant grant date.</w:t>
      </w:r>
    </w:p>
    <w:p>
      <w:pPr>
        <w:spacing w:after="0" w:line="140"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Subject to certain conditions, the options that have vested shall be exercisable by an independent director for a period of ten years following the date on which the relevant options, as the case may be, first vested.</w:t>
      </w:r>
    </w:p>
    <w:p>
      <w:pPr>
        <w:spacing w:after="0" w:line="139"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So long as this option plan remains in effect, no future grants will be made to independent directors under the 2001 plan mentioned above.</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On January 31, 2007, our shareholders approved the appointment of Dov Moran as Chairman of the Board of Directors and approved the grant to him of options to purchase 3,158,090 Ordinary Shares, which represented 1.0% of our issued and outstanding share capital on a fully diluted basis. The exercise price of these options is $1.88, which was the closing price of our shares on the NASDAQ on the trading day immediately prior to the date of the shareholder approval. These options vest over four years as follows: 25% will vest on the 12 month anniversary of the shareholders approval date and 6.25% will vest each three months thereafter until fully vested.</w:t>
      </w:r>
    </w:p>
    <w:p>
      <w:pPr>
        <w:spacing w:after="0" w:line="143"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April 2005, our Board of Directors approved the grant of options to purchase up to 1,325,724 of our ordinary shares (which represented 1.6% of our issued and outstanding shares as of June 30, 2006) to Russell Ellwanger, our then newly-appointed Chief Executive Officer, who was also appointed as a director, which was further approved by our shareholders in October 2005. These options are exercisable at an exercise price of $1.56, which was the closing market price of our shares on the last trading day prior to the board approval of the grant. These options vest over a four-year period, with 25% vesting over each year of employment. The options granted are exercisable for a period of ten years from the date of grant.</w:t>
      </w:r>
    </w:p>
    <w:p>
      <w:pPr>
        <w:spacing w:after="0" w:line="144"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In addition, in May 2006, our Audit Committee and Board of Directors approved the grant of options to Mr. Ellwanger in addition to the options granted to him in April 2005, such that in total, he will hold options to purchase shares that represent 4% of our issued and outstanding shares on a fully diluted basis during the two-year period beginning May 16, 2006 (the date of the approval of the Audit Committee). This was further approved by our shareholders on September 28, 2006. The exercise price of the initial grant of approximately 4.3 million additional options was $1.45, the 90 day average closing price of our shares prior to May 17, 2006 (the date of the Board of Directors' approval). In future dilutive events following May 2006, additional options will be granted to the CEO with an exercise price equal to the price per share of the newly issued securities. Under certain circumstances, the exercise price will equal the 30-day average closing price of the Company's shares prior to the dilutive event. As of May 31, 2007, due to dilutive events, approximately an additional 9.3 million options were granted to our CEO. The vesting period of the new options will be identical to the vesting period of the existing options. Any decrease in the Company's shares on a fully diluted basis during the two-year period from the approval of the Audit Committee will be followed by the cancellation of the corresponding options granted to the CEO. No additional options will be granted to the CEO under the April 2005 option grant.</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- 58 -</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On January 31, 2007, our shareholders approved: (i) an eight percent (8%) increase in Mr. Ellwanger's annual base salary from $350,000 to $378,000, effective January 1, 2007; and (ii) a performance-based bonus of up to $525,000 for the year ending December 31, 2006.</w:t>
      </w:r>
    </w:p>
    <w:p>
      <w:pPr>
        <w:spacing w:after="0" w:line="141"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As of May 31, 2007, a total of 14,956,234 options were outstanding to our CEO at a weighted average exercise price of $1.59.</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 May 2006, our board of directors approved a plan to offer each of our current employees, including senior management, the opportunity to exchange their existing options to purchase our ordinary shares for new options with an exercise price of $1.45, which is the average closing price of our shares on the NASDAQ during the 90 consecutive trading days prior to the board of directors' approval in May 2006. The new options were granted based on terms similar to our existing employee option plan with new vesting periods. As of May 31, 2007, options to purchase approximately 12 million ordinary shares held by our current employees, with exercise prices ranging from $1.18 to $25, were outstanding.</w:t>
      </w:r>
    </w:p>
    <w:p>
      <w:pPr>
        <w:spacing w:after="0" w:line="13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board of directors further approved the allocation of additional options to be made available for grant to our employees if the total number of employee options, including the options to our CEO and senior management, during the 24 months from the date of the board of directors' approval, will represent less than 8% of our shares on a fully diluted basis. To date, no additional options have been granted pursuant to this authorization.</w:t>
      </w:r>
    </w:p>
    <w:p>
      <w:pPr>
        <w:spacing w:after="0" w:line="140" w:lineRule="exact"/>
        <w:rPr>
          <w:sz w:val="20"/>
          <w:szCs w:val="20"/>
          <w:color w:val="auto"/>
        </w:rPr>
      </w:pPr>
    </w:p>
    <w:p>
      <w:pPr>
        <w:jc w:val="both"/>
        <w:ind w:right="4759" w:firstLine="351"/>
        <w:spacing w:after="0" w:line="264" w:lineRule="auto"/>
        <w:rPr>
          <w:sz w:val="20"/>
          <w:szCs w:val="20"/>
          <w:color w:val="auto"/>
        </w:rPr>
      </w:pPr>
      <w:r>
        <w:rPr>
          <w:rFonts w:ascii="Courier New" w:cs="Courier New" w:eastAsia="Courier New" w:hAnsi="Courier New"/>
          <w:sz w:val="11"/>
          <w:szCs w:val="11"/>
          <w:color w:val="auto"/>
        </w:rPr>
        <w:t>During 2006, we granted a total of 1,589,878 options to purchase ordinary shares to our senior managers as a group (excluding the options granted to our CEO described above). These options have a weighted average exercise price of $1.42 per share with vesting periods over four years and expire in 2016.</w:t>
      </w:r>
    </w:p>
    <w:p>
      <w:pPr>
        <w:spacing w:after="0" w:line="123" w:lineRule="exact"/>
        <w:rPr>
          <w:sz w:val="20"/>
          <w:szCs w:val="20"/>
          <w:color w:val="auto"/>
        </w:rPr>
      </w:pPr>
    </w:p>
    <w:p>
      <w:pPr>
        <w:ind w:left="700" w:hanging="357"/>
        <w:spacing w:after="0"/>
        <w:tabs>
          <w:tab w:leader="none" w:pos="70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BOARD PRACTICES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Articles of Association provide that the Board of Directors shall consist of at least five and no more than 11 members. All directors, except for external directors, hold office until their successors are elected at the next annual general meeting of shareholders. Our officers are appointed by the Board of Directors and (subject, in certain cases, to employment agreement provisions that require 270 days notice of termination) continue to serve at the discretion of the Board of Directors. The Board of Directors may grant the CEO the power to appoint officers.</w:t>
      </w:r>
    </w:p>
    <w:p>
      <w:pPr>
        <w:spacing w:after="0" w:line="142"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Our Articles of Association provide that any director may, by written notice to us, appoint another person to serve as an alternate director, and may cancel such appointment. Any person who is not already a director may act as an alternate, and the same person may not act as the alternate for more than one director at a time. The term of appointment of an alternate director may be for one meeting of the Board of Directors or for a specified period or until notice</w:t>
      </w:r>
    </w:p>
    <w:p>
      <w:pPr>
        <w:sectPr>
          <w:pgSz w:w="11900" w:h="16838" w:orient="portrait"/>
          <w:cols w:equalWidth="0" w:num="1">
            <w:col w:w="10239"/>
          </w:cols>
          <w:pgMar w:left="220" w:top="137"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2"/>
          <w:szCs w:val="12"/>
          <w:color w:val="auto"/>
        </w:rPr>
        <w:t>is given of the cancellation of the appointment.</w:t>
      </w:r>
    </w:p>
    <w:p>
      <w:pPr>
        <w:spacing w:after="0" w:line="139"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None of the members of the Board are entitled to receive any severance or similar benefits upon termination of service with the Board of Directors.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- 59 -</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The Israeli Companies Law - 1999 (the "Companies Law") requires Israeli companies with shares that have been offered to the public in or outside of Israel to appoint no less than two external directors. No person may be appointed as an external director if the person or the person's relative, partner, employer or any entity under the person's control, has or had, on or within the two years preceding the date of the person's appointment to serve as external director, any affiliation with the company or any entity controlling, controlled by or under common control with the company. The term "affiliation" includes:</w:t>
      </w:r>
    </w:p>
    <w:p>
      <w:pPr>
        <w:spacing w:after="0" w:line="139" w:lineRule="exact"/>
        <w:rPr>
          <w:sz w:val="20"/>
          <w:szCs w:val="20"/>
          <w:color w:val="auto"/>
        </w:rPr>
      </w:pPr>
    </w:p>
    <w:p>
      <w:pPr>
        <w:ind w:left="700" w:hanging="357"/>
        <w:spacing w:after="0"/>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employment relationship;</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0"/>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business or professional relationship maintained on a regular basis;</w:t>
      </w:r>
    </w:p>
    <w:p>
      <w:pPr>
        <w:spacing w:after="0" w:line="141" w:lineRule="exact"/>
        <w:rPr>
          <w:rFonts w:ascii="Courier New" w:cs="Courier New" w:eastAsia="Courier New" w:hAnsi="Courier New"/>
          <w:sz w:val="11"/>
          <w:szCs w:val="11"/>
          <w:color w:val="auto"/>
        </w:rPr>
      </w:pPr>
    </w:p>
    <w:p>
      <w:pPr>
        <w:ind w:left="700" w:hanging="357"/>
        <w:spacing w:after="0"/>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control; and</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service as an office holder.</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A person shall be qualified to serve as an external director only if he or she possesses accounting and financial expertise or professional qualifications. At least one external director must possess accounting and financial expertise. The conditions and criteria for possessing accounting and financial expertise or professional qualifications were determined in regulations promulgated by the Israeli Minister of Justice in consultation with the Israeli Securities Authority. These regulations do not appear to apply to external directors which served at the time of their coming into force. The regulations mandate that a person is deemed to have "expertise in finance and accounting" if his or her education, experience and qualifications provide him or her with expertise and understanding in business matters - accounting and financial statements, in a way that allows him or her to understand, in depth, the company's financial statements and to encourage discussion about the manner in which the financial data is presented.</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company's board of directors must evaluate the proposed external director's expertise in finance and accounting, by considering, among other things, his or her education, experience and knowledge in the following: (i) accounting and auditing issues typical to the field in which the company operates and to companies of a size and complexity similar to such company; (ii) a company's external public accountant's duties and obligations; (iii) preparing company financial statements and their approval in accordance with the Companies Law and the Israeli Securities Law.</w:t>
      </w:r>
    </w:p>
    <w:p>
      <w:pPr>
        <w:spacing w:after="0" w:line="142"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A director is deemed to be "professionally qualified" if he or she meets any of the following criteria: (i) has an academic degree in any of the following professions: economics, business administration, accounting, law or public administration; (ii) has a different academic degree or has completed higher education in a field that is the company's main field of operations, or a field relevant to his or her position; or (iii) has at least five years experience in any of the following, or has a total of five years experience in at least two of the following: (A) a senior position in the business management of a corporation with significant operations, (B) a senior public position or a senior position in public service, or (C) a senior position in the company's main field of operations. The board of directors here too must evaluate the proposed external director's "professional qualification" in accordance with the criteria set forth above.</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The affidavit required by law to be signed by a candidate to serve as an external director must include a statement by such candidate concerning his or her education and experience, if relevant, in order that the board of directors may properly evaluate whether such candidate meets the requirements set forth in the regulations. Additionally, the candidate should submit documents and certificates that support the statements set forth in the affidavit.</w:t>
      </w:r>
    </w:p>
    <w:p>
      <w:pPr>
        <w:spacing w:after="0" w:line="13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No person may serve as an external director if the person's position or other business activities create, or may create, a conflict of interest with the person's responsibilities as an external director or may otherwise interfere with the person's ability to serve as an external director. If, at the time external directors are to be appointed, all current members of the board of directors are of the same gender, then at least one external director must be of the other gender.</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- 60 -</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External directors are to be elected by a majority vote at a shareholders' meeting, provided that either:</w:t>
      </w:r>
    </w:p>
    <w:p>
      <w:pPr>
        <w:spacing w:after="0" w:line="139" w:lineRule="exact"/>
        <w:rPr>
          <w:sz w:val="20"/>
          <w:szCs w:val="20"/>
          <w:color w:val="auto"/>
        </w:rPr>
      </w:pPr>
    </w:p>
    <w:p>
      <w:pPr>
        <w:ind w:left="700" w:right="4839" w:hanging="357"/>
        <w:spacing w:after="0" w:line="266" w:lineRule="auto"/>
        <w:tabs>
          <w:tab w:leader="none" w:pos="700"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majority of shares voted at the meeting, including at least one-third of the shares held by non-controlling shareholders that voted at the meeting, vote in favor of election of the director; or</w:t>
      </w:r>
    </w:p>
    <w:p>
      <w:pPr>
        <w:spacing w:after="0" w:line="126" w:lineRule="exact"/>
        <w:rPr>
          <w:rFonts w:ascii="Courier New" w:cs="Courier New" w:eastAsia="Courier New" w:hAnsi="Courier New"/>
          <w:sz w:val="11"/>
          <w:szCs w:val="11"/>
          <w:color w:val="auto"/>
        </w:rPr>
      </w:pPr>
    </w:p>
    <w:p>
      <w:pPr>
        <w:ind w:left="700" w:right="4699" w:hanging="357"/>
        <w:spacing w:after="0" w:line="236" w:lineRule="auto"/>
        <w:tabs>
          <w:tab w:leader="none" w:pos="700"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total number of shares held by non-controlling shareholders voted against the election of the director does not exceed one percent of the aggregate voting rights in the company.</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initial term of an external director is three years and may be extended for an additional three years. External directors may be removed only by the same percentage of shareholders as is required for their election, or by a court, and then only if the external directors cease to meet the statutory qualifications for their appointment or if they violate their duty of loyalty to the company. Each committee of a company's board of directors must include at least one external director.</w:t>
      </w:r>
    </w:p>
    <w:p>
      <w:pPr>
        <w:spacing w:after="0" w:line="141" w:lineRule="exact"/>
        <w:rPr>
          <w:sz w:val="20"/>
          <w:szCs w:val="20"/>
          <w:color w:val="auto"/>
        </w:rPr>
      </w:pPr>
    </w:p>
    <w:p>
      <w:pPr>
        <w:ind w:right="4619" w:firstLine="351"/>
        <w:spacing w:after="0" w:line="264" w:lineRule="auto"/>
        <w:rPr>
          <w:sz w:val="20"/>
          <w:szCs w:val="20"/>
          <w:color w:val="auto"/>
        </w:rPr>
      </w:pPr>
      <w:r>
        <w:rPr>
          <w:rFonts w:ascii="Courier New" w:cs="Courier New" w:eastAsia="Courier New" w:hAnsi="Courier New"/>
          <w:sz w:val="11"/>
          <w:szCs w:val="11"/>
          <w:color w:val="auto"/>
        </w:rPr>
        <w:t>Mr. Rohrer and Ms. Miri Katz currently serve as our external directors. Mr. Rohrer was appointed for an initial three-year term that expired in April 2005 and was reappointed for a subsequent three-year term expiring in April 2008. Ms. Katz was appointed for an initial three-year term expiring in January 2010.</w:t>
      </w:r>
    </w:p>
    <w:p>
      <w:pPr>
        <w:spacing w:after="0" w:line="127"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An external director is entitled to compensation, as provided in regulations adopted under the Israeli Companies Law, and is otherwise prohibited from receiving any other compensation, directly or indirectly, in connection with service provided as an external director.</w:t>
      </w:r>
    </w:p>
    <w:p>
      <w:pPr>
        <w:spacing w:after="0" w:line="141" w:lineRule="exact"/>
        <w:rPr>
          <w:sz w:val="20"/>
          <w:szCs w:val="20"/>
          <w:color w:val="auto"/>
        </w:rPr>
      </w:pPr>
    </w:p>
    <w:p>
      <w:pPr>
        <w:ind w:right="4619" w:firstLine="351"/>
        <w:spacing w:after="0" w:line="263" w:lineRule="auto"/>
        <w:rPr>
          <w:sz w:val="20"/>
          <w:szCs w:val="20"/>
          <w:color w:val="auto"/>
        </w:rPr>
      </w:pPr>
      <w:r>
        <w:rPr>
          <w:rFonts w:ascii="Courier New" w:cs="Courier New" w:eastAsia="Courier New" w:hAnsi="Courier New"/>
          <w:sz w:val="11"/>
          <w:szCs w:val="11"/>
          <w:color w:val="auto"/>
        </w:rPr>
        <w:t>The Companies Law requires public companies to appoint an audit committee. The responsibilities of the audit committee include reviewing the company's financial statements, monitoring the company's independent auditors, identifying irregularities in the management of the company's business and approving related party transactions as required by law. An audit committee must consist of at</w:t>
      </w:r>
    </w:p>
    <w:p>
      <w:pPr>
        <w:sectPr>
          <w:pgSz w:w="11900" w:h="16838" w:orient="portrait"/>
          <w:cols w:equalWidth="0" w:num="1">
            <w:col w:w="10239"/>
          </w:cols>
          <w:pgMar w:left="220" w:top="137" w:right="1440" w:bottom="0" w:gutter="0" w:footer="0" w:header="0"/>
        </w:sectPr>
      </w:pPr>
    </w:p>
    <w:bookmarkStart w:id="35" w:name="page36"/>
    <w:bookmarkEnd w:id="35"/>
    <w:p>
      <w:pPr>
        <w:ind w:left="8" w:right="4619"/>
        <w:spacing w:after="0" w:line="262" w:lineRule="auto"/>
        <w:rPr>
          <w:sz w:val="20"/>
          <w:szCs w:val="20"/>
          <w:color w:val="auto"/>
        </w:rPr>
      </w:pPr>
      <w:r>
        <w:rPr>
          <w:rFonts w:ascii="Courier New" w:cs="Courier New" w:eastAsia="Courier New" w:hAnsi="Courier New"/>
          <w:sz w:val="11"/>
          <w:szCs w:val="11"/>
          <w:color w:val="auto"/>
        </w:rPr>
        <w:t>least three directors, including the external directors of the company. The chairman of the board of directors, any director employed by or otherwise providing services to the company, and a controlling shareholder or any relative of a controlling shareholder, may not be a member of the audit committee. An employee, executive officer or director of a controlling shareholder of an Israeli company may serve as a member of an audit committee under Israeli law, unless such individual controls more than 50% of the controlling shareholder. Each of our external directors are members of our audit committee.</w:t>
      </w:r>
    </w:p>
    <w:p>
      <w:pPr>
        <w:spacing w:after="0" w:line="128"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an affiliate, or a relative of an office holder or affiliate, and he may not be the company's independent auditor or its representative.</w:t>
      </w:r>
    </w:p>
    <w:p>
      <w:pPr>
        <w:spacing w:after="0" w:line="141" w:lineRule="exact"/>
        <w:rPr>
          <w:sz w:val="20"/>
          <w:szCs w:val="20"/>
          <w:color w:val="auto"/>
        </w:rPr>
      </w:pPr>
    </w:p>
    <w:p>
      <w:pPr>
        <w:ind w:left="8" w:right="4839" w:firstLine="351"/>
        <w:spacing w:after="0" w:line="237" w:lineRule="auto"/>
        <w:rPr>
          <w:sz w:val="20"/>
          <w:szCs w:val="20"/>
          <w:color w:val="auto"/>
        </w:rPr>
      </w:pPr>
      <w:r>
        <w:rPr>
          <w:rFonts w:ascii="Courier New" w:cs="Courier New" w:eastAsia="Courier New" w:hAnsi="Courier New"/>
          <w:sz w:val="12"/>
          <w:szCs w:val="12"/>
          <w:color w:val="auto"/>
        </w:rPr>
        <w:t>Mr. Rosen, Dr. Harari and Ms. Katz serve on the stock option and compensation committee. The committee meets at least once a year. The primary function of this committee is to approve our employee compensation policy and determine remuneration and other terms of employment for our officers. In setting our remuneration policy, the committee considers a number of factors including:</w:t>
      </w:r>
    </w:p>
    <w:p>
      <w:pPr>
        <w:spacing w:after="0" w:line="136" w:lineRule="exact"/>
        <w:rPr>
          <w:sz w:val="20"/>
          <w:szCs w:val="20"/>
          <w:color w:val="auto"/>
        </w:rPr>
      </w:pPr>
    </w:p>
    <w:p>
      <w:pPr>
        <w:ind w:left="708" w:hanging="357"/>
        <w:spacing w:after="0"/>
        <w:tabs>
          <w:tab w:leader="none" w:pos="708"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overall employment market environment;</w:t>
      </w:r>
    </w:p>
    <w:p>
      <w:pPr>
        <w:spacing w:after="0" w:line="138" w:lineRule="exact"/>
        <w:rPr>
          <w:rFonts w:ascii="Courier New" w:cs="Courier New" w:eastAsia="Courier New" w:hAnsi="Courier New"/>
          <w:sz w:val="12"/>
          <w:szCs w:val="12"/>
          <w:color w:val="auto"/>
        </w:rPr>
      </w:pPr>
    </w:p>
    <w:p>
      <w:pPr>
        <w:ind w:left="708" w:right="4839" w:hanging="357"/>
        <w:spacing w:after="0" w:line="235" w:lineRule="auto"/>
        <w:tabs>
          <w:tab w:leader="none" w:pos="708"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basic salaries and benefits available to comparable officers at comparable companies;</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need to attract and retain officers of an appropriate caliber;</w:t>
      </w:r>
    </w:p>
    <w:p>
      <w:pPr>
        <w:spacing w:after="0" w:line="269"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61 -</w:t>
      </w:r>
    </w:p>
    <w:p>
      <w:pPr>
        <w:spacing w:after="0" w:line="200" w:lineRule="exact"/>
        <w:rPr>
          <w:rFonts w:ascii="Courier New" w:cs="Courier New" w:eastAsia="Courier New" w:hAnsi="Courier New"/>
          <w:sz w:val="12"/>
          <w:szCs w:val="12"/>
          <w:color w:val="auto"/>
        </w:rPr>
      </w:pPr>
    </w:p>
    <w:p>
      <w:pPr>
        <w:spacing w:after="0" w:line="325" w:lineRule="exact"/>
        <w:rPr>
          <w:rFonts w:ascii="Courier New" w:cs="Courier New" w:eastAsia="Courier New" w:hAnsi="Courier New"/>
          <w:sz w:val="12"/>
          <w:szCs w:val="12"/>
          <w:color w:val="auto"/>
        </w:rPr>
      </w:pPr>
    </w:p>
    <w:p>
      <w:pPr>
        <w:ind w:left="708" w:right="4759" w:hanging="357"/>
        <w:spacing w:after="0" w:line="235" w:lineRule="auto"/>
        <w:tabs>
          <w:tab w:leader="none" w:pos="708"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need to ensure such executives' commitment to the future success of our company by means of incentive schemes;</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performance of the officer; and</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financial and operating results of our company.</w:t>
      </w:r>
    </w:p>
    <w:p>
      <w:pPr>
        <w:spacing w:after="0" w:line="134" w:lineRule="exact"/>
        <w:rPr>
          <w:sz w:val="20"/>
          <w:szCs w:val="20"/>
          <w:color w:val="auto"/>
        </w:rPr>
      </w:pPr>
    </w:p>
    <w:p>
      <w:pPr>
        <w:ind w:left="708" w:hanging="357"/>
        <w:spacing w:after="0"/>
        <w:tabs>
          <w:tab w:leader="none" w:pos="708"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EMPLOYEES</w:t>
      </w:r>
    </w:p>
    <w:p>
      <w:pPr>
        <w:spacing w:after="0" w:line="139" w:lineRule="exact"/>
        <w:rPr>
          <w:sz w:val="20"/>
          <w:szCs w:val="20"/>
          <w:color w:val="auto"/>
        </w:rPr>
      </w:pPr>
    </w:p>
    <w:p>
      <w:pPr>
        <w:ind w:left="8" w:right="4699" w:firstLine="351"/>
        <w:spacing w:after="0" w:line="235" w:lineRule="auto"/>
        <w:rPr>
          <w:sz w:val="20"/>
          <w:szCs w:val="20"/>
          <w:color w:val="auto"/>
        </w:rPr>
      </w:pPr>
      <w:r>
        <w:rPr>
          <w:rFonts w:ascii="Courier New" w:cs="Courier New" w:eastAsia="Courier New" w:hAnsi="Courier New"/>
          <w:sz w:val="12"/>
          <w:szCs w:val="12"/>
          <w:color w:val="auto"/>
        </w:rPr>
        <w:t>The following table sets forth for the last three fiscal years, the number of our employees engaged in the specified activities.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3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2"/>
                <w:szCs w:val="12"/>
                <w:color w:val="auto"/>
                <w:w w:val="98"/>
              </w:rPr>
              <w:t>AS OF DECEMBER 31,</w:t>
            </w:r>
          </w:p>
        </w:tc>
        <w:tc>
          <w:tcPr>
            <w:tcW w:w="360" w:type="dxa"/>
            <w:vAlign w:val="bottom"/>
          </w:tcPr>
          <w:p>
            <w:pPr>
              <w:spacing w:after="0"/>
              <w:rPr>
                <w:sz w:val="11"/>
                <w:szCs w:val="11"/>
                <w:color w:val="auto"/>
              </w:rPr>
            </w:pPr>
          </w:p>
        </w:tc>
      </w:tr>
      <w:tr>
        <w:trPr>
          <w:trHeight w:val="135"/>
        </w:trPr>
        <w:tc>
          <w:tcPr>
            <w:tcW w:w="3460" w:type="dxa"/>
            <w:vAlign w:val="bottom"/>
          </w:tcPr>
          <w:p>
            <w:pPr>
              <w:spacing w:after="0"/>
              <w:rPr>
                <w:sz w:val="11"/>
                <w:szCs w:val="11"/>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2006</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2005</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3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270"/>
        </w:trPr>
        <w:tc>
          <w:tcPr>
            <w:tcW w:w="3460" w:type="dxa"/>
            <w:vAlign w:val="bottom"/>
          </w:tcPr>
          <w:p>
            <w:pPr>
              <w:spacing w:after="0"/>
              <w:rPr>
                <w:sz w:val="20"/>
                <w:szCs w:val="20"/>
                <w:color w:val="auto"/>
              </w:rPr>
            </w:pPr>
            <w:r>
              <w:rPr>
                <w:rFonts w:ascii="Courier New" w:cs="Courier New" w:eastAsia="Courier New" w:hAnsi="Courier New"/>
                <w:sz w:val="12"/>
                <w:szCs w:val="12"/>
                <w:color w:val="auto"/>
              </w:rPr>
              <w:t>Process and product engineering, R&amp;D, design</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343</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293</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360</w:t>
            </w: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color w:val="auto"/>
              </w:rPr>
              <w:t>Manufacturing, operations (*)</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879</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734</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780</w:t>
            </w: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color w:val="auto"/>
              </w:rPr>
              <w:t>Manufacturing support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113</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123</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124</w:t>
            </w: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color w:val="auto"/>
              </w:rPr>
              <w:t>Administration, marketing, finance</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111</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88</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color w:val="auto"/>
              </w:rPr>
              <w:t>Fab 2 Construction and Technology Transfer (*)</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r>
      <w:tr>
        <w:trPr>
          <w:trHeight w:val="135"/>
        </w:trPr>
        <w:tc>
          <w:tcPr>
            <w:tcW w:w="3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46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1,446</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1,238</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1,369</w:t>
            </w:r>
          </w:p>
        </w:tc>
      </w:tr>
      <w:tr>
        <w:trPr>
          <w:trHeight w:val="135"/>
        </w:trPr>
        <w:tc>
          <w:tcPr>
            <w:tcW w:w="3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bl>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 -----------------------</w:t>
      </w:r>
    </w:p>
    <w:p>
      <w:pPr>
        <w:spacing w:after="0" w:line="139" w:lineRule="exact"/>
        <w:rPr>
          <w:sz w:val="20"/>
          <w:szCs w:val="20"/>
          <w:color w:val="auto"/>
        </w:rPr>
      </w:pPr>
    </w:p>
    <w:p>
      <w:pPr>
        <w:ind w:left="8" w:right="4619" w:hanging="8"/>
        <w:spacing w:after="0" w:line="236" w:lineRule="auto"/>
        <w:tabs>
          <w:tab w:leader="none" w:pos="289"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commencement of operations of Fab 2 during the third quarter of 2003, most of the employees that prior to that date were classified under Fab 2 construction and technology transfer activities are classified under manufacturing operations activities.</w:t>
      </w:r>
    </w:p>
    <w:p>
      <w:pPr>
        <w:spacing w:after="0" w:line="14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Except for an arrangement regarding pension contributions, we have no collective bargaining agreements with any of our employees. However, by administrative order, certain provisions of the collective bargaining agreements between the Histadrut (General Federation of Labor in Israel) and the Coordination Bureau of Economic Organizations, relating primarily to the length of the work day, minimum wages, pension contributions, insurance for work-related accidents, procedures for dismissing employees, determination of severance pay and other conditions of employment are applicable to our employees. In accordance with these provisions, the salaries of our employees are partially indexed to the Consumer Price Index in Israel.</w:t>
      </w:r>
    </w:p>
    <w:p>
      <w:pPr>
        <w:spacing w:after="0" w:line="144"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We generally provide our employees with benefits and working conditions beyond the minimum requirements. For example, a general practice in Israel, which we follow, is the contribution of funds to an employee's "Manager's Insurance" fund and/or pension fund. Such funds generally provide a combination of savings plans, insurance and severance pay benefits to the employee, giving the employee a lump sum payment upon retirement and securing his or her right to receive severance pay, if legally entitled, upon termination of employment. To the Manager's Insurance fund, the employee usually contributes an amount equal to 5% of his or her wages and the employer usually contributes an additional</w:t>
      </w:r>
    </w:p>
    <w:p>
      <w:pPr>
        <w:spacing w:after="0" w:line="1" w:lineRule="exact"/>
        <w:rPr>
          <w:sz w:val="20"/>
          <w:szCs w:val="20"/>
          <w:color w:val="auto"/>
        </w:rPr>
      </w:pPr>
    </w:p>
    <w:p>
      <w:pPr>
        <w:ind w:left="8" w:right="4759"/>
        <w:spacing w:after="0" w:line="237" w:lineRule="auto"/>
        <w:rPr>
          <w:sz w:val="20"/>
          <w:szCs w:val="20"/>
          <w:color w:val="auto"/>
        </w:rPr>
      </w:pPr>
      <w:r>
        <w:rPr>
          <w:rFonts w:ascii="Courier New" w:cs="Courier New" w:eastAsia="Courier New" w:hAnsi="Courier New"/>
          <w:sz w:val="12"/>
          <w:szCs w:val="12"/>
          <w:color w:val="auto"/>
        </w:rPr>
        <w:t>13.3% to 15.8%. To the pension fund the employee usually contributes an amount equal to between 5% and 6% of his or her wages and the employer usually contributes an additional 13.7% to 17.3%. Israeli law generally requires severance pay upon the retirement or death of an employee or termination of employment without due cause. Furthermore, Israeli employees and employers are required to make payments to the National Insurance Institute. We consider our relationship with our employees to be good, and we have never experienced a labor dispute, strike or work stoppage.</w:t>
      </w:r>
    </w:p>
    <w:p>
      <w:pPr>
        <w:spacing w:after="0" w:line="273"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- 62 -</w:t>
      </w:r>
    </w:p>
    <w:p>
      <w:pPr>
        <w:spacing w:after="0" w:line="200" w:lineRule="exact"/>
        <w:rPr>
          <w:sz w:val="20"/>
          <w:szCs w:val="20"/>
          <w:color w:val="auto"/>
        </w:rPr>
      </w:pPr>
    </w:p>
    <w:p>
      <w:pPr>
        <w:spacing w:after="0" w:line="322" w:lineRule="exact"/>
        <w:rPr>
          <w:sz w:val="20"/>
          <w:szCs w:val="20"/>
          <w:color w:val="auto"/>
        </w:rPr>
      </w:pPr>
    </w:p>
    <w:p>
      <w:pPr>
        <w:ind w:left="708" w:hanging="357"/>
        <w:spacing w:after="0"/>
        <w:tabs>
          <w:tab w:leader="none" w:pos="708"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OWNERSHIP</w:t>
      </w:r>
    </w:p>
    <w:p>
      <w:pPr>
        <w:spacing w:after="0" w:line="139" w:lineRule="exact"/>
        <w:rPr>
          <w:sz w:val="20"/>
          <w:szCs w:val="20"/>
          <w:color w:val="auto"/>
        </w:rPr>
      </w:pPr>
    </w:p>
    <w:p>
      <w:pPr>
        <w:ind w:left="8" w:right="4899" w:firstLine="351"/>
        <w:spacing w:after="0" w:line="262" w:lineRule="auto"/>
        <w:rPr>
          <w:sz w:val="20"/>
          <w:szCs w:val="20"/>
          <w:color w:val="auto"/>
        </w:rPr>
      </w:pPr>
      <w:r>
        <w:rPr>
          <w:rFonts w:ascii="Courier New" w:cs="Courier New" w:eastAsia="Courier New" w:hAnsi="Courier New"/>
          <w:sz w:val="11"/>
          <w:szCs w:val="11"/>
          <w:color w:val="auto"/>
        </w:rPr>
        <w:t>All of the persons listed above under the caption "Directors and Senior Management" own ordinary shares and/or options to purchase ordinary shares. Except as described below, none of such persons own shares and/or options amounting to 1% or more of the outstanding ordinary shares. Information regarding our share option plans and warrants presented in Note 12B to our consolidated financial statements is incorporated herein by reference.</w:t>
      </w:r>
    </w:p>
    <w:p>
      <w:pPr>
        <w:spacing w:after="0" w:line="12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7. MAJOR SHAREHOLDERS AND RELATED PARTY TRANSACTIONS</w:t>
      </w:r>
    </w:p>
    <w:p>
      <w:pPr>
        <w:spacing w:after="0" w:line="134" w:lineRule="exact"/>
        <w:rPr>
          <w:sz w:val="20"/>
          <w:szCs w:val="20"/>
          <w:color w:val="auto"/>
        </w:rPr>
      </w:pPr>
    </w:p>
    <w:p>
      <w:pPr>
        <w:ind w:left="708" w:hanging="357"/>
        <w:spacing w:after="0"/>
        <w:tabs>
          <w:tab w:leader="none" w:pos="708"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MAJOR SHAREHOLDERS</w:t>
      </w:r>
    </w:p>
    <w:p>
      <w:pPr>
        <w:spacing w:after="0" w:line="139" w:lineRule="exact"/>
        <w:rPr>
          <w:sz w:val="20"/>
          <w:szCs w:val="20"/>
          <w:color w:val="auto"/>
        </w:rPr>
      </w:pPr>
    </w:p>
    <w:p>
      <w:pPr>
        <w:ind w:left="8" w:right="4699" w:firstLine="351"/>
        <w:spacing w:after="0" w:line="264" w:lineRule="auto"/>
        <w:rPr>
          <w:sz w:val="20"/>
          <w:szCs w:val="20"/>
          <w:color w:val="auto"/>
        </w:rPr>
      </w:pPr>
      <w:r>
        <w:rPr>
          <w:rFonts w:ascii="Courier New" w:cs="Courier New" w:eastAsia="Courier New" w:hAnsi="Courier New"/>
          <w:sz w:val="11"/>
          <w:szCs w:val="11"/>
          <w:color w:val="auto"/>
        </w:rPr>
        <w:t>The following table and notes thereto set forth information, as of May 31, 2007, concerning the beneficial ownership (as defined in Rule 13d-3 under the Securities Exchange Act of 1934, as amended), and on a diluted basis, of ordinary shares by any person who is known to own at least 5% of our issued and</w:t>
      </w:r>
    </w:p>
    <w:p>
      <w:pPr>
        <w:sectPr>
          <w:pgSz w:w="11900" w:h="16838" w:orient="portrait"/>
          <w:cols w:equalWidth="0" w:num="1">
            <w:col w:w="10247"/>
          </w:cols>
          <w:pgMar w:left="212" w:top="141" w:right="1440" w:bottom="0" w:gutter="0" w:footer="0" w:header="0"/>
        </w:sectPr>
      </w:pPr>
    </w:p>
    <w:bookmarkStart w:id="36" w:name="page37"/>
    <w:bookmarkEnd w:id="36"/>
    <w:p>
      <w:pPr>
        <w:ind w:left="8" w:right="4619"/>
        <w:spacing w:after="0" w:line="237" w:lineRule="auto"/>
        <w:rPr>
          <w:sz w:val="20"/>
          <w:szCs w:val="20"/>
          <w:color w:val="auto"/>
        </w:rPr>
      </w:pPr>
      <w:r>
        <w:rPr>
          <w:rFonts w:ascii="Courier New" w:cs="Courier New" w:eastAsia="Courier New" w:hAnsi="Courier New"/>
          <w:sz w:val="12"/>
          <w:szCs w:val="12"/>
          <w:color w:val="auto"/>
        </w:rPr>
        <w:t>outstanding ordinary shares. On such date, 122,195,333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900" w:type="dxa"/>
            <w:vAlign w:val="bottom"/>
          </w:tcPr>
          <w:p>
            <w:pPr>
              <w:spacing w:after="0"/>
              <w:rPr>
                <w:sz w:val="11"/>
                <w:szCs w:val="11"/>
                <w:color w:val="auto"/>
              </w:rPr>
            </w:pPr>
          </w:p>
        </w:tc>
        <w:tc>
          <w:tcPr>
            <w:tcW w:w="130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AMOUNT</w:t>
            </w: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PERCENT OF</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PERCENT OF CLASS</w:t>
            </w:r>
          </w:p>
        </w:tc>
      </w:tr>
      <w:tr>
        <w:trPr>
          <w:trHeight w:val="135"/>
        </w:trPr>
        <w:tc>
          <w:tcPr>
            <w:tcW w:w="2900" w:type="dxa"/>
            <w:vAlign w:val="bottom"/>
          </w:tcPr>
          <w:p>
            <w:pPr>
              <w:spacing w:after="0"/>
              <w:rPr>
                <w:sz w:val="20"/>
                <w:szCs w:val="20"/>
                <w:color w:val="auto"/>
              </w:rPr>
            </w:pPr>
            <w:r>
              <w:rPr>
                <w:rFonts w:ascii="Courier New" w:cs="Courier New" w:eastAsia="Courier New" w:hAnsi="Courier New"/>
                <w:sz w:val="12"/>
                <w:szCs w:val="12"/>
                <w:color w:val="auto"/>
              </w:rPr>
              <w:t>IDENTITY OF PERSON OR GROUP</w:t>
            </w:r>
          </w:p>
        </w:tc>
        <w:tc>
          <w:tcPr>
            <w:tcW w:w="1300" w:type="dxa"/>
            <w:vAlign w:val="bottom"/>
          </w:tcPr>
          <w:p>
            <w:pPr>
              <w:ind w:left="320"/>
              <w:spacing w:after="0"/>
              <w:rPr>
                <w:sz w:val="20"/>
                <w:szCs w:val="20"/>
                <w:color w:val="auto"/>
              </w:rPr>
            </w:pPr>
            <w:r>
              <w:rPr>
                <w:rFonts w:ascii="Courier New" w:cs="Courier New" w:eastAsia="Courier New" w:hAnsi="Courier New"/>
                <w:sz w:val="12"/>
                <w:szCs w:val="12"/>
                <w:color w:val="auto"/>
              </w:rPr>
              <w:t>OWNED (1)</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CLASS(1)</w:t>
            </w:r>
          </w:p>
        </w:tc>
        <w:tc>
          <w:tcPr>
            <w:tcW w:w="12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(DILUTED)(2)</w:t>
            </w:r>
          </w:p>
        </w:tc>
      </w:tr>
      <w:tr>
        <w:trPr>
          <w:trHeight w:val="135"/>
        </w:trPr>
        <w:tc>
          <w:tcPr>
            <w:tcW w:w="290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130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r>
      <w:tr>
        <w:trPr>
          <w:trHeight w:val="270"/>
        </w:trPr>
        <w:tc>
          <w:tcPr>
            <w:tcW w:w="2900" w:type="dxa"/>
            <w:vAlign w:val="bottom"/>
          </w:tcPr>
          <w:p>
            <w:pPr>
              <w:spacing w:after="0"/>
              <w:rPr>
                <w:sz w:val="20"/>
                <w:szCs w:val="20"/>
                <w:color w:val="auto"/>
              </w:rPr>
            </w:pPr>
            <w:r>
              <w:rPr>
                <w:rFonts w:ascii="Courier New" w:cs="Courier New" w:eastAsia="Courier New" w:hAnsi="Courier New"/>
                <w:sz w:val="12"/>
                <w:szCs w:val="12"/>
                <w:color w:val="auto"/>
              </w:rPr>
              <w:t>Israel Corporation Ltd. (3)</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98,290,707(4)</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47.66%</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26.58%</w:t>
            </w:r>
          </w:p>
        </w:tc>
      </w:tr>
      <w:tr>
        <w:trPr>
          <w:trHeight w:val="135"/>
        </w:trPr>
        <w:tc>
          <w:tcPr>
            <w:tcW w:w="2900" w:type="dxa"/>
            <w:vAlign w:val="bottom"/>
          </w:tcPr>
          <w:p>
            <w:pPr>
              <w:ind w:left="60"/>
              <w:spacing w:after="0"/>
              <w:rPr>
                <w:sz w:val="20"/>
                <w:szCs w:val="20"/>
                <w:color w:val="auto"/>
              </w:rPr>
            </w:pPr>
            <w:r>
              <w:rPr>
                <w:rFonts w:ascii="Courier New" w:cs="Courier New" w:eastAsia="Courier New" w:hAnsi="Courier New"/>
                <w:sz w:val="12"/>
                <w:szCs w:val="12"/>
                <w:color w:val="auto"/>
              </w:rPr>
              <w:t>SanDisk Corporation(3)</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18,083,680(5)</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14.42%</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1.70%</w:t>
            </w:r>
          </w:p>
        </w:tc>
      </w:tr>
      <w:tr>
        <w:trPr>
          <w:trHeight w:val="135"/>
        </w:trPr>
        <w:tc>
          <w:tcPr>
            <w:tcW w:w="2900" w:type="dxa"/>
            <w:vAlign w:val="bottom"/>
          </w:tcPr>
          <w:p>
            <w:pPr>
              <w:ind w:left="60"/>
              <w:spacing w:after="0"/>
              <w:rPr>
                <w:sz w:val="20"/>
                <w:szCs w:val="20"/>
                <w:color w:val="auto"/>
              </w:rPr>
            </w:pPr>
            <w:r>
              <w:rPr>
                <w:rFonts w:ascii="Courier New" w:cs="Courier New" w:eastAsia="Courier New" w:hAnsi="Courier New"/>
                <w:sz w:val="12"/>
                <w:szCs w:val="12"/>
                <w:color w:val="auto"/>
              </w:rPr>
              <w:t>Alliance Semiconductor Corporation (3)</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6,286,630(6)</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5.14%</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2.62%</w:t>
            </w:r>
          </w:p>
        </w:tc>
      </w:tr>
      <w:tr>
        <w:trPr>
          <w:trHeight w:val="135"/>
        </w:trPr>
        <w:tc>
          <w:tcPr>
            <w:tcW w:w="2900" w:type="dxa"/>
            <w:vAlign w:val="bottom"/>
          </w:tcPr>
          <w:p>
            <w:pPr>
              <w:ind w:left="60"/>
              <w:spacing w:after="0"/>
              <w:rPr>
                <w:sz w:val="20"/>
                <w:szCs w:val="20"/>
                <w:color w:val="auto"/>
              </w:rPr>
            </w:pPr>
            <w:r>
              <w:rPr>
                <w:rFonts w:ascii="Courier New" w:cs="Courier New" w:eastAsia="Courier New" w:hAnsi="Courier New"/>
                <w:sz w:val="12"/>
                <w:szCs w:val="12"/>
                <w:color w:val="auto"/>
              </w:rPr>
              <w:t>Macronix International Co. Ltd.(3)</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9,682,485(7)</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7.87%</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8.27%</w:t>
            </w:r>
          </w:p>
        </w:tc>
      </w:tr>
      <w:tr>
        <w:trPr>
          <w:trHeight w:val="135"/>
        </w:trPr>
        <w:tc>
          <w:tcPr>
            <w:tcW w:w="2900" w:type="dxa"/>
            <w:vAlign w:val="bottom"/>
          </w:tcPr>
          <w:p>
            <w:pPr>
              <w:ind w:left="60"/>
              <w:spacing w:after="0"/>
              <w:rPr>
                <w:sz w:val="20"/>
                <w:szCs w:val="20"/>
                <w:color w:val="auto"/>
              </w:rPr>
            </w:pPr>
            <w:r>
              <w:rPr>
                <w:rFonts w:ascii="Courier New" w:cs="Courier New" w:eastAsia="Courier New" w:hAnsi="Courier New"/>
                <w:sz w:val="12"/>
                <w:szCs w:val="12"/>
                <w:color w:val="auto"/>
              </w:rPr>
              <w:t>Bank Hapoalim</w:t>
            </w:r>
          </w:p>
        </w:tc>
        <w:tc>
          <w:tcPr>
            <w:tcW w:w="13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30,567,372</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20.01%</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8.27%</w:t>
            </w:r>
          </w:p>
        </w:tc>
      </w:tr>
      <w:tr>
        <w:trPr>
          <w:trHeight w:val="135"/>
        </w:trPr>
        <w:tc>
          <w:tcPr>
            <w:tcW w:w="2900" w:type="dxa"/>
            <w:vAlign w:val="bottom"/>
          </w:tcPr>
          <w:p>
            <w:pPr>
              <w:ind w:left="60"/>
              <w:spacing w:after="0"/>
              <w:rPr>
                <w:sz w:val="20"/>
                <w:szCs w:val="20"/>
                <w:color w:val="auto"/>
              </w:rPr>
            </w:pPr>
            <w:r>
              <w:rPr>
                <w:rFonts w:ascii="Courier New" w:cs="Courier New" w:eastAsia="Courier New" w:hAnsi="Courier New"/>
                <w:sz w:val="12"/>
                <w:szCs w:val="12"/>
                <w:color w:val="auto"/>
              </w:rPr>
              <w:t>Bank Leumi</w:t>
            </w:r>
          </w:p>
        </w:tc>
        <w:tc>
          <w:tcPr>
            <w:tcW w:w="13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30,567,372</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20.01%</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26.58%</w:t>
            </w:r>
          </w:p>
        </w:tc>
      </w:tr>
    </w:tbl>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 ---------------------</w:t>
      </w:r>
    </w:p>
    <w:p>
      <w:pPr>
        <w:spacing w:after="0" w:line="139" w:lineRule="exact"/>
        <w:rPr>
          <w:sz w:val="20"/>
          <w:szCs w:val="20"/>
          <w:color w:val="auto"/>
        </w:rPr>
      </w:pPr>
    </w:p>
    <w:p>
      <w:pPr>
        <w:ind w:left="348" w:right="4839" w:hanging="348"/>
        <w:spacing w:after="0" w:line="235" w:lineRule="auto"/>
        <w:tabs>
          <w:tab w:leader="none" w:pos="348"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Assumes the holder's beneficial ownership of all Ordinary Shares and all securities that the holder has a right to purchase within 60 days.</w:t>
      </w:r>
    </w:p>
    <w:p>
      <w:pPr>
        <w:spacing w:after="0" w:line="139" w:lineRule="exact"/>
        <w:rPr>
          <w:rFonts w:ascii="Courier New" w:cs="Courier New" w:eastAsia="Courier New" w:hAnsi="Courier New"/>
          <w:sz w:val="12"/>
          <w:szCs w:val="12"/>
          <w:color w:val="auto"/>
        </w:rPr>
      </w:pPr>
    </w:p>
    <w:p>
      <w:pPr>
        <w:ind w:left="348" w:right="4699" w:hanging="348"/>
        <w:spacing w:after="0" w:line="236" w:lineRule="auto"/>
        <w:tabs>
          <w:tab w:leader="none" w:pos="348"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Assumes that all currently outstanding securities to purchase Ordinary Shares, other than those which cannot be calculated as of the date of this annual report, have been exercised by all holders</w:t>
      </w:r>
    </w:p>
    <w:p>
      <w:pPr>
        <w:spacing w:after="0" w:line="139" w:lineRule="exact"/>
        <w:rPr>
          <w:rFonts w:ascii="Courier New" w:cs="Courier New" w:eastAsia="Courier New" w:hAnsi="Courier New"/>
          <w:sz w:val="12"/>
          <w:szCs w:val="12"/>
          <w:color w:val="auto"/>
        </w:rPr>
      </w:pPr>
    </w:p>
    <w:p>
      <w:pPr>
        <w:ind w:left="348" w:right="4699" w:hanging="348"/>
        <w:spacing w:after="0" w:line="263" w:lineRule="auto"/>
        <w:tabs>
          <w:tab w:leader="none" w:pos="348"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Pursuant to a shareholders agreement among Israel Corp., Alliance Semiconductor Corporation, SanDisk Corporation and Macronix Co. Ltd., each of Israel Corp., Alliance Semiconductor Corporation, SanDisk Corporation and Macronix Co. Ltd. may be said to have shared voting and dispositive control over approximately 36% of the outstanding shares of Tower.</w:t>
      </w:r>
    </w:p>
    <w:p>
      <w:pPr>
        <w:spacing w:after="0" w:line="127" w:lineRule="exact"/>
        <w:rPr>
          <w:rFonts w:ascii="Courier New" w:cs="Courier New" w:eastAsia="Courier New" w:hAnsi="Courier New"/>
          <w:sz w:val="11"/>
          <w:szCs w:val="11"/>
          <w:color w:val="auto"/>
        </w:rPr>
      </w:pPr>
    </w:p>
    <w:p>
      <w:pPr>
        <w:ind w:left="348" w:right="4619" w:hanging="348"/>
        <w:spacing w:after="0" w:line="237" w:lineRule="auto"/>
        <w:tabs>
          <w:tab w:leader="none" w:pos="348"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Israel Corp., represents 14,260,504 shares currently owned by Israel Corp., 18,181,823 shares issuable upon conversion of debentures, 65,789,474 shares issuable upon conversion of capital notes and 58,906 shares issuable upon the exercise of currently exercisable warrants.</w:t>
      </w:r>
    </w:p>
    <w:p>
      <w:pPr>
        <w:spacing w:after="0" w:line="139" w:lineRule="exact"/>
        <w:rPr>
          <w:rFonts w:ascii="Courier New" w:cs="Courier New" w:eastAsia="Courier New" w:hAnsi="Courier New"/>
          <w:sz w:val="12"/>
          <w:szCs w:val="12"/>
          <w:color w:val="auto"/>
        </w:rPr>
      </w:pPr>
    </w:p>
    <w:p>
      <w:pPr>
        <w:ind w:left="348" w:right="4619" w:hanging="348"/>
        <w:spacing w:after="0" w:line="236" w:lineRule="auto"/>
        <w:tabs>
          <w:tab w:leader="none" w:pos="348"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SanDisk, represents 14,901,862 shares currently owned by SanDisk and 3,181,818 shares issuable upon conversion of debentures.</w:t>
      </w:r>
    </w:p>
    <w:p>
      <w:pPr>
        <w:spacing w:after="0" w:line="139" w:lineRule="exact"/>
        <w:rPr>
          <w:rFonts w:ascii="Courier New" w:cs="Courier New" w:eastAsia="Courier New" w:hAnsi="Courier New"/>
          <w:sz w:val="12"/>
          <w:szCs w:val="12"/>
          <w:color w:val="auto"/>
        </w:rPr>
      </w:pPr>
    </w:p>
    <w:p>
      <w:pPr>
        <w:ind w:left="348" w:right="4839" w:hanging="348"/>
        <w:spacing w:after="0" w:line="235" w:lineRule="auto"/>
        <w:tabs>
          <w:tab w:leader="none" w:pos="348"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upon information provided by Alliance, represents 6,286,630 shares currently owned by Alliance.</w:t>
      </w:r>
    </w:p>
    <w:p>
      <w:pPr>
        <w:spacing w:after="0" w:line="269"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63 -</w:t>
      </w:r>
    </w:p>
    <w:p>
      <w:pPr>
        <w:spacing w:after="0" w:line="200" w:lineRule="exact"/>
        <w:rPr>
          <w:rFonts w:ascii="Courier New" w:cs="Courier New" w:eastAsia="Courier New" w:hAnsi="Courier New"/>
          <w:sz w:val="12"/>
          <w:szCs w:val="12"/>
          <w:color w:val="auto"/>
        </w:rPr>
      </w:pPr>
    </w:p>
    <w:p>
      <w:pPr>
        <w:spacing w:after="0" w:line="325" w:lineRule="exact"/>
        <w:rPr>
          <w:rFonts w:ascii="Courier New" w:cs="Courier New" w:eastAsia="Courier New" w:hAnsi="Courier New"/>
          <w:sz w:val="12"/>
          <w:szCs w:val="12"/>
          <w:color w:val="auto"/>
        </w:rPr>
      </w:pPr>
    </w:p>
    <w:p>
      <w:pPr>
        <w:ind w:left="348" w:right="4699" w:hanging="348"/>
        <w:spacing w:after="0" w:line="236" w:lineRule="auto"/>
        <w:tabs>
          <w:tab w:leader="none" w:pos="348"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Macronix, represents 8,773,395 shares currently owned by Macronix and 909,090 shares issuable upon conversion of debentures.</w:t>
      </w:r>
    </w:p>
    <w:p>
      <w:pPr>
        <w:spacing w:after="0" w:line="139" w:lineRule="exact"/>
        <w:rPr>
          <w:rFonts w:ascii="Courier New" w:cs="Courier New" w:eastAsia="Courier New" w:hAnsi="Courier New"/>
          <w:sz w:val="12"/>
          <w:szCs w:val="12"/>
          <w:color w:val="auto"/>
        </w:rPr>
      </w:pPr>
    </w:p>
    <w:p>
      <w:pPr>
        <w:ind w:left="348" w:right="4699" w:hanging="348"/>
        <w:spacing w:after="0" w:line="237" w:lineRule="auto"/>
        <w:tabs>
          <w:tab w:leader="none" w:pos="348"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Bank Hapoalim represents25,986,842 shares issuable upon conversion of capital notes, 4,132,232 shares issuable upon the exercise of currently exercisable warrants and 448,298 ordinary shares issuable upon exercise of warrants issued to Tarshish Hahzakot Vehashkaot Hapoalim Ltd.</w:t>
      </w:r>
    </w:p>
    <w:p>
      <w:pPr>
        <w:spacing w:after="0" w:line="139" w:lineRule="exact"/>
        <w:rPr>
          <w:rFonts w:ascii="Courier New" w:cs="Courier New" w:eastAsia="Courier New" w:hAnsi="Courier New"/>
          <w:sz w:val="12"/>
          <w:szCs w:val="12"/>
          <w:color w:val="auto"/>
        </w:rPr>
      </w:pPr>
    </w:p>
    <w:p>
      <w:pPr>
        <w:jc w:val="both"/>
        <w:ind w:left="348" w:right="4899" w:hanging="348"/>
        <w:spacing w:after="0" w:line="236" w:lineRule="auto"/>
        <w:tabs>
          <w:tab w:leader="none" w:pos="348"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Bank Leumi represents25,986,842 shares issuable upon conversion of capital notes and 4,580,530 shares issuable upon the exercise of currently exercisable warrants.</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This information does not take into account the following potential dilutive issuances of securities pursuant to our credit facility agreement, agreements with our major wafer partners and with Israel Corp.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up to approximately $2.7 million in wafer prepayment credits (as of May 31, 2007) which we have issued to our major wafer partners; (ii) ordinary shares issuable upon conversion of securities we may be required to issue in connection with a rights offering and outside investor provisions agreed to in the November 2003 amendment to our facility agreement; (iii) ordinary shares issuable to our banks in January 2011 as a result of the reduction of the interest rate applicable to the quarterly actual interest payments on our outstanding loans and (iv) anti-dilution options that may be granted to our Chief Executive Officer.</w:t>
      </w:r>
    </w:p>
    <w:p>
      <w:pPr>
        <w:spacing w:after="0" w:line="12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and against the election of any other persons to the Board of Directors. In addition, subject to certain exceptions, each shareholder agreed to restrictions on the transfer of its shares, including certain rights of first refusal, and through January 2008, to maintain minimum shareholdings.</w:t>
      </w:r>
    </w:p>
    <w:p>
      <w:pPr>
        <w:spacing w:after="0" w:line="144" w:lineRule="exact"/>
        <w:rPr>
          <w:sz w:val="20"/>
          <w:szCs w:val="20"/>
          <w:color w:val="auto"/>
        </w:rPr>
      </w:pPr>
    </w:p>
    <w:p>
      <w:pPr>
        <w:ind w:left="8" w:right="4979" w:firstLine="351"/>
        <w:spacing w:after="0" w:line="260" w:lineRule="auto"/>
        <w:rPr>
          <w:sz w:val="20"/>
          <w:szCs w:val="20"/>
          <w:color w:val="auto"/>
        </w:rPr>
      </w:pPr>
      <w:r>
        <w:rPr>
          <w:rFonts w:ascii="Courier New" w:cs="Courier New" w:eastAsia="Courier New" w:hAnsi="Courier New"/>
          <w:sz w:val="11"/>
          <w:szCs w:val="11"/>
          <w:color w:val="auto"/>
        </w:rPr>
        <w:t>As of June 21, 2007, there were a total of 41 holders of record of our ordinary shares, of which 27 were registered with addresses in the United</w:t>
      </w:r>
    </w:p>
    <w:p>
      <w:pPr>
        <w:ind w:left="8" w:right="4199"/>
        <w:spacing w:after="0" w:line="235" w:lineRule="auto"/>
        <w:rPr>
          <w:sz w:val="20"/>
          <w:szCs w:val="20"/>
          <w:color w:val="auto"/>
        </w:rPr>
      </w:pPr>
      <w:r>
        <w:rPr>
          <w:rFonts w:ascii="Courier New" w:cs="Courier New" w:eastAsia="Courier New" w:hAnsi="Courier New"/>
          <w:sz w:val="12"/>
          <w:szCs w:val="12"/>
          <w:color w:val="auto"/>
        </w:rPr>
        <w:t>States. Such United States record holders were, as of such date, the holders of record of approximately 58.7% of our outstanding ordinary shares.</w:t>
      </w:r>
    </w:p>
    <w:p>
      <w:pPr>
        <w:spacing w:after="0" w:line="135" w:lineRule="exact"/>
        <w:rPr>
          <w:sz w:val="20"/>
          <w:szCs w:val="20"/>
          <w:color w:val="auto"/>
        </w:rPr>
      </w:pPr>
    </w:p>
    <w:p>
      <w:pPr>
        <w:ind w:left="708" w:hanging="357"/>
        <w:spacing w:after="0"/>
        <w:tabs>
          <w:tab w:leader="none" w:pos="708"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RELATED PARTY TRANSACTIONS</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EXEMPTION AND INDEMNIFICATION AGREEMENTS WITH DIRECTORS. In December 2001, we entered into exemption and indemnification agreements with the members of our Board of Directors, pursuant to which, subject to the limitations set forth in the Israeli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In September 2005, we entered into amended exemption and indemnification agreements with the members of our Board of Directors to reflect certain amendments to the Companies Law that came into effect in March 2005. Our shareholders approved these amended exemption and indemnification agreements in October 2005.</w:t>
      </w:r>
    </w:p>
    <w:p>
      <w:pPr>
        <w:spacing w:after="0" w:line="13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AGREEMENTS WITH CERTAIN OF OUR WAFER PARTNERS AND ISRAEL CORP. We are party to several agreements with our wafer partners, including SanDisk and Alliance, and Israel Corp related to the financing of Fab 2 and manufacture of products as described under the caption "Fab 2 Agreements" in "Item 5. Operating and Financial Review and Prospects Reference" of this annual report and Note 11A to the consolidated financial statements included in this annual report, which discussions are incorporated by reference herein.</w:t>
      </w:r>
    </w:p>
    <w:p>
      <w:pPr>
        <w:sectPr>
          <w:pgSz w:w="11900" w:h="16838" w:orient="portrait"/>
          <w:cols w:equalWidth="0" w:num="1">
            <w:col w:w="10247"/>
          </w:cols>
          <w:pgMar w:left="212" w:top="141" w:right="1440" w:bottom="0" w:gutter="0" w:footer="0" w:header="0"/>
        </w:sectPr>
      </w:pPr>
    </w:p>
    <w:bookmarkStart w:id="37" w:name="page38"/>
    <w:bookmarkEnd w:id="37"/>
    <w:p>
      <w:pPr>
        <w:spacing w:after="0" w:line="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- 64 -</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AGREEMENTS WITH ISRAEL CORP. Discussed under "Item 4. Information on the Company -A. History and Development of the Company - Recent Developments" which discussion is incorporated by reference herein.</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GRANT OF OPTIONS TO OUR CEO AND DIRECTOR. Discussed under "Item 6 -</w:t>
      </w:r>
    </w:p>
    <w:p>
      <w:pPr>
        <w:spacing w:after="0"/>
        <w:rPr>
          <w:sz w:val="20"/>
          <w:szCs w:val="20"/>
          <w:color w:val="auto"/>
        </w:rPr>
      </w:pPr>
      <w:r>
        <w:rPr>
          <w:rFonts w:ascii="Courier New" w:cs="Courier New" w:eastAsia="Courier New" w:hAnsi="Courier New"/>
          <w:sz w:val="12"/>
          <w:szCs w:val="12"/>
          <w:color w:val="auto"/>
        </w:rPr>
        <w:t>Directors, Senior Management and Employees - E. Share Ownership", which</w:t>
      </w:r>
    </w:p>
    <w:p>
      <w:pPr>
        <w:spacing w:after="0" w:line="237" w:lineRule="auto"/>
        <w:rPr>
          <w:sz w:val="20"/>
          <w:szCs w:val="20"/>
          <w:color w:val="auto"/>
        </w:rPr>
      </w:pPr>
      <w:r>
        <w:rPr>
          <w:rFonts w:ascii="Courier New" w:cs="Courier New" w:eastAsia="Courier New" w:hAnsi="Courier New"/>
          <w:sz w:val="12"/>
          <w:szCs w:val="12"/>
          <w:color w:val="auto"/>
        </w:rPr>
        <w:t>discussion is incorporated by reference herein.</w:t>
      </w:r>
    </w:p>
    <w:p>
      <w:pPr>
        <w:spacing w:after="0" w:line="139" w:lineRule="exact"/>
        <w:rPr>
          <w:sz w:val="20"/>
          <w:szCs w:val="20"/>
          <w:color w:val="auto"/>
        </w:rPr>
      </w:pPr>
    </w:p>
    <w:p>
      <w:pPr>
        <w:ind w:left="340" w:right="7299" w:firstLine="3"/>
        <w:spacing w:after="0" w:line="469" w:lineRule="auto"/>
        <w:tabs>
          <w:tab w:leader="none" w:pos="691"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INTERESTS OF EXPERTS AND COUNSEL Not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8. FINANCIAL INFORMATION</w:t>
      </w:r>
    </w:p>
    <w:p>
      <w:pPr>
        <w:spacing w:after="0" w:line="134" w:lineRule="exact"/>
        <w:rPr>
          <w:sz w:val="20"/>
          <w:szCs w:val="20"/>
          <w:color w:val="auto"/>
        </w:rPr>
      </w:pPr>
    </w:p>
    <w:p>
      <w:pPr>
        <w:ind w:left="700" w:hanging="357"/>
        <w:spacing w:after="0"/>
        <w:tabs>
          <w:tab w:leader="none" w:pos="700"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CONSOLIDATED STATEMENTS AND OTHER FINANCIAL INFORMATION</w:t>
      </w:r>
    </w:p>
    <w:p>
      <w:pPr>
        <w:spacing w:after="0" w:line="139"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Our consolidated financial statements are incorporated herein by reference to pages following the signature page of this Annual Report.</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LEGAL PROCEEDINGS</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 June 2006, the United States Court of Appeals for the Second Circuit affirmed the August 2004 decision of the United States District Court for the Southern District of New York to dismiss the class action suit filed in July 2003 by certain of our shareholders in the United States against us and certain of our directors, wafer partners and equity investors (the "Defendants"). The plaintiffs had asserted claims arising under the Securities Exchange Act of 1934, alleging misstatements and omissions made by the Defendants in materials sent to our shareholders in April 2002 with respect to the approval of an amendment to the investment agreements with our Fab 2 investors. The decision of the Court of Appeals is a final disposition of the action.</w:t>
      </w:r>
    </w:p>
    <w:p>
      <w:pPr>
        <w:spacing w:after="0" w:line="131"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From time to time we are a party to various litigation matters incidental to the conduct of our business. There is no pending or threatened legal proceeding to which we are a party, that, in the opinion of management, is likely to have a material adverse effect on our future financial results or financial condition.</w:t>
      </w:r>
    </w:p>
    <w:p>
      <w:pPr>
        <w:spacing w:after="0" w:line="139" w:lineRule="exact"/>
        <w:rPr>
          <w:sz w:val="20"/>
          <w:szCs w:val="20"/>
          <w:color w:val="auto"/>
        </w:rPr>
      </w:pPr>
    </w:p>
    <w:p>
      <w:pPr>
        <w:ind w:left="340" w:right="8219" w:firstLine="3"/>
        <w:spacing w:after="0" w:line="469" w:lineRule="auto"/>
        <w:tabs>
          <w:tab w:leader="none" w:pos="691"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SIGNIFICANT CHANGES Not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9. THE OFFER AND LISTING</w:t>
      </w:r>
    </w:p>
    <w:p>
      <w:pPr>
        <w:spacing w:after="0" w:line="139" w:lineRule="exact"/>
        <w:rPr>
          <w:sz w:val="20"/>
          <w:szCs w:val="20"/>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Our ordinary shares are listed and traded on the NASDAQ Global Market under the symbol "TSEM". In addition, in January 2001, our ordinary shares commenced trading on the Tel Aviv Stock Exchange (TASE) under the symbol "TSEM".</w:t>
      </w:r>
    </w:p>
    <w:p>
      <w:pPr>
        <w:spacing w:after="0" w:line="257"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- 65 -</w:t>
      </w:r>
    </w:p>
    <w:p>
      <w:pPr>
        <w:spacing w:after="0" w:line="200" w:lineRule="exact"/>
        <w:rPr>
          <w:sz w:val="20"/>
          <w:szCs w:val="20"/>
          <w:color w:val="auto"/>
        </w:rPr>
      </w:pPr>
    </w:p>
    <w:p>
      <w:pPr>
        <w:spacing w:after="0" w:line="326"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The following table sets forth, for the periods indicated, the high and low reported sales prices of the ordinary shares on the NASDAQ Global Market and Tel Aviv Stock Exchange: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7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9"/>
              </w:rPr>
              <w:t>NASDAQ GLOBAL MARKET</w:t>
            </w:r>
          </w:p>
        </w:tc>
        <w:tc>
          <w:tcPr>
            <w:tcW w:w="190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TEL AVIV STOCK EXCHANGE</w:t>
            </w:r>
          </w:p>
        </w:tc>
      </w:tr>
      <w:tr>
        <w:trPr>
          <w:trHeight w:val="135"/>
        </w:trPr>
        <w:tc>
          <w:tcPr>
            <w:tcW w:w="5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74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19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3"/>
              </w:rPr>
              <w:t>HIGH ($)</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LOW ($)</w:t>
            </w:r>
          </w:p>
        </w:tc>
        <w:tc>
          <w:tcPr>
            <w:tcW w:w="1100" w:type="dxa"/>
            <w:vAlign w:val="bottom"/>
          </w:tcPr>
          <w:p>
            <w:pPr>
              <w:ind w:left="220"/>
              <w:spacing w:after="0"/>
              <w:rPr>
                <w:sz w:val="20"/>
                <w:szCs w:val="20"/>
                <w:color w:val="auto"/>
              </w:rPr>
            </w:pPr>
            <w:r>
              <w:rPr>
                <w:rFonts w:ascii="Courier New" w:cs="Courier New" w:eastAsia="Courier New" w:hAnsi="Courier New"/>
                <w:sz w:val="12"/>
                <w:szCs w:val="12"/>
                <w:color w:val="auto"/>
              </w:rPr>
              <w:t>HIGH (NIS)</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LOW (NIS)</w:t>
            </w:r>
          </w:p>
        </w:tc>
      </w:tr>
      <w:tr>
        <w:trPr>
          <w:trHeight w:val="135"/>
        </w:trPr>
        <w:tc>
          <w:tcPr>
            <w:tcW w:w="5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PERIOD</w:t>
            </w:r>
          </w:p>
        </w:tc>
        <w:tc>
          <w:tcPr>
            <w:tcW w:w="1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May 2007</w:t>
            </w:r>
          </w:p>
        </w:tc>
        <w:tc>
          <w:tcPr>
            <w:tcW w:w="1600" w:type="dxa"/>
            <w:vAlign w:val="bottom"/>
          </w:tcPr>
          <w:p>
            <w:pPr>
              <w:spacing w:after="0"/>
              <w:rPr>
                <w:sz w:val="11"/>
                <w:szCs w:val="11"/>
                <w:color w:val="auto"/>
              </w:rPr>
            </w:pP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1.89</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1.52</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7.51</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6.66</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April 2007</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1.94</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1.67</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7.63</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7.12</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March 2007</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1.80</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1.64</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7.56</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7.00</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February</w:t>
            </w:r>
          </w:p>
        </w:tc>
        <w:tc>
          <w:tcPr>
            <w:tcW w:w="1600" w:type="dxa"/>
            <w:vAlign w:val="bottom"/>
          </w:tcPr>
          <w:p>
            <w:pPr>
              <w:jc w:val="right"/>
              <w:ind w:right="1221"/>
              <w:spacing w:after="0"/>
              <w:rPr>
                <w:sz w:val="20"/>
                <w:szCs w:val="20"/>
                <w:color w:val="auto"/>
              </w:rPr>
            </w:pPr>
            <w:r>
              <w:rPr>
                <w:rFonts w:ascii="Courier New" w:cs="Courier New" w:eastAsia="Courier New" w:hAnsi="Courier New"/>
                <w:sz w:val="12"/>
                <w:szCs w:val="12"/>
                <w:color w:val="auto"/>
              </w:rPr>
              <w:t>2007</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2.08</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2.01</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8.88</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7.35</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January 2007</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1.97</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1.70</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8.37</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7.21</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December</w:t>
            </w:r>
          </w:p>
        </w:tc>
        <w:tc>
          <w:tcPr>
            <w:tcW w:w="1600" w:type="dxa"/>
            <w:vAlign w:val="bottom"/>
          </w:tcPr>
          <w:p>
            <w:pPr>
              <w:jc w:val="right"/>
              <w:ind w:right="1221"/>
              <w:spacing w:after="0"/>
              <w:rPr>
                <w:sz w:val="20"/>
                <w:szCs w:val="20"/>
                <w:color w:val="auto"/>
              </w:rPr>
            </w:pPr>
            <w:r>
              <w:rPr>
                <w:rFonts w:ascii="Courier New" w:cs="Courier New" w:eastAsia="Courier New" w:hAnsi="Courier New"/>
                <w:sz w:val="12"/>
                <w:szCs w:val="12"/>
                <w:color w:val="auto"/>
              </w:rPr>
              <w:t>2006</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1.95</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1.67</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8.12</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7.11</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First quarter 2007</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2.08</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1.64</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8.88</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7.00</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Fourth quarter 2006</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2.18</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1.41</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9.14</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6.16</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Third quarter 2006</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1.51</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1.24</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6.69</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5.11</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Second quarter 2006</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1.75</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1.22</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7.91</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6.00</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First quarter 2006</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1.93</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1.22</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8.54</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6.03</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Fourth quarter 2005</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1.80</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1.02</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8.30</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5.20</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Third quarter 2005</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1.40</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0.92</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6.04</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5.10</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Second quarter 2005</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1.90</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1.08</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8.00</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5.15</w:t>
            </w:r>
          </w:p>
        </w:tc>
      </w:tr>
      <w:tr>
        <w:trPr>
          <w:trHeight w:val="135"/>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rPr>
              <w:t>First quarter 2005</w:t>
            </w: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2.38</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1.36</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10.30</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6.36</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2006</w:t>
            </w:r>
          </w:p>
        </w:tc>
        <w:tc>
          <w:tcPr>
            <w:tcW w:w="1600" w:type="dxa"/>
            <w:vAlign w:val="bottom"/>
          </w:tcPr>
          <w:p>
            <w:pPr>
              <w:spacing w:after="0"/>
              <w:rPr>
                <w:sz w:val="11"/>
                <w:szCs w:val="11"/>
                <w:color w:val="auto"/>
              </w:rPr>
            </w:pP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2.18</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1.22</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9.14</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5.11</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2005</w:t>
            </w:r>
          </w:p>
        </w:tc>
        <w:tc>
          <w:tcPr>
            <w:tcW w:w="1600" w:type="dxa"/>
            <w:vAlign w:val="bottom"/>
          </w:tcPr>
          <w:p>
            <w:pPr>
              <w:spacing w:after="0"/>
              <w:rPr>
                <w:sz w:val="11"/>
                <w:szCs w:val="11"/>
                <w:color w:val="auto"/>
              </w:rPr>
            </w:pP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2.38</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0.92</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10.30</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5.10</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2004</w:t>
            </w:r>
          </w:p>
        </w:tc>
        <w:tc>
          <w:tcPr>
            <w:tcW w:w="1600" w:type="dxa"/>
            <w:vAlign w:val="bottom"/>
          </w:tcPr>
          <w:p>
            <w:pPr>
              <w:spacing w:after="0"/>
              <w:rPr>
                <w:sz w:val="11"/>
                <w:szCs w:val="11"/>
                <w:color w:val="auto"/>
              </w:rPr>
            </w:pP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10.80</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1.62</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46.39</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7.70</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2003</w:t>
            </w:r>
          </w:p>
        </w:tc>
        <w:tc>
          <w:tcPr>
            <w:tcW w:w="1600" w:type="dxa"/>
            <w:vAlign w:val="bottom"/>
          </w:tcPr>
          <w:p>
            <w:pPr>
              <w:spacing w:after="0"/>
              <w:rPr>
                <w:sz w:val="11"/>
                <w:szCs w:val="11"/>
                <w:color w:val="auto"/>
              </w:rPr>
            </w:pP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7.90</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2.16</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35.00</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10.12</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2002</w:t>
            </w:r>
          </w:p>
        </w:tc>
        <w:tc>
          <w:tcPr>
            <w:tcW w:w="1600" w:type="dxa"/>
            <w:vAlign w:val="bottom"/>
          </w:tcPr>
          <w:p>
            <w:pPr>
              <w:spacing w:after="0"/>
              <w:rPr>
                <w:sz w:val="11"/>
                <w:szCs w:val="11"/>
                <w:color w:val="auto"/>
              </w:rPr>
            </w:pPr>
          </w:p>
        </w:tc>
        <w:tc>
          <w:tcPr>
            <w:tcW w:w="8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8.50</w:t>
            </w: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3.11</w:t>
            </w:r>
          </w:p>
        </w:tc>
        <w:tc>
          <w:tcPr>
            <w:tcW w:w="11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37.99</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15.30</w:t>
            </w:r>
          </w:p>
        </w:tc>
      </w:tr>
      <w:tr>
        <w:trPr>
          <w:trHeight w:val="270"/>
        </w:trPr>
        <w:tc>
          <w:tcPr>
            <w:tcW w:w="2180" w:type="dxa"/>
            <w:vAlign w:val="bottom"/>
            <w:gridSpan w:val="2"/>
          </w:tcPr>
          <w:p>
            <w:pPr>
              <w:spacing w:after="0"/>
              <w:rPr>
                <w:sz w:val="20"/>
                <w:szCs w:val="20"/>
                <w:color w:val="auto"/>
              </w:rPr>
            </w:pPr>
            <w:r>
              <w:rPr>
                <w:rFonts w:ascii="Courier New" w:cs="Courier New" w:eastAsia="Courier New" w:hAnsi="Courier New"/>
                <w:sz w:val="12"/>
                <w:szCs w:val="12"/>
                <w:color w:val="auto"/>
                <w:w w:val="96"/>
              </w:rPr>
              <w:t>ITEM 10. ADDITIONAL INFORMATION</w:t>
            </w: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ARTICLES OF ASSOCIATION; ISRAELI COMPANIES LAW</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ARTICLES OF ASSOCIATION</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Our Articles of Association ("Articles") were adopted in November 2000, and as amended most recently on September 26, 2006, provide for an authorized capital of NIS 800 million divided into 800 million ordinary shares. The objective stated in the Articles is to engage in any lawful activity.</w:t>
      </w:r>
    </w:p>
    <w:p>
      <w:pPr>
        <w:spacing w:after="0" w:line="141"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We have currently outstanding only one class of equity securities, our ordinary shares, par value NIS 1.00 per share. Holders of ordinary shares have one vote per share, and are entitled to participate equally in the payment of dividends and share distributions and, in the event of liquidation of the Company, in the distribution of assets after satisfaction of liabilities to creditors. No preferred shares are currently authorized.</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- 66 -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Our Articles require that we hold our annual general meeting of shareholders each year no later than 15 months from the last annual meeting, at a time and place determined by the Board of Directors, upon at least 21 days' prior notice to our shareholders. No business may be commenced until a quorum of two or more shareholders holding at least 33% of the voting rights are present in person or by proxy. Shareholders may vote in person or by proxy, and are required to prove title to their shares as required by the Companies Law pursuant to procedures established by the Board of Directors. Resolutions</w:t>
      </w:r>
    </w:p>
    <w:p>
      <w:pPr>
        <w:sectPr>
          <w:pgSz w:w="11900" w:h="16913" w:orient="portrait"/>
          <w:cols w:equalWidth="0" w:num="1">
            <w:col w:w="10239"/>
          </w:cols>
          <w:pgMar w:left="220" w:top="272" w:right="1440" w:bottom="0" w:gutter="0" w:footer="0" w:header="0"/>
        </w:sectPr>
      </w:pPr>
    </w:p>
    <w:bookmarkStart w:id="38" w:name="page39"/>
    <w:bookmarkEnd w:id="38"/>
    <w:p>
      <w:pPr>
        <w:ind w:right="4619"/>
        <w:spacing w:after="0" w:line="235" w:lineRule="auto"/>
        <w:rPr>
          <w:sz w:val="20"/>
          <w:szCs w:val="20"/>
          <w:color w:val="auto"/>
        </w:rPr>
      </w:pPr>
      <w:r>
        <w:rPr>
          <w:rFonts w:ascii="Courier New" w:cs="Courier New" w:eastAsia="Courier New" w:hAnsi="Courier New"/>
          <w:sz w:val="12"/>
          <w:szCs w:val="12"/>
          <w:color w:val="auto"/>
        </w:rPr>
        <w:t>regarding the following matters shall be passed by an ordinary majority of those voting at the general meeting:</w:t>
      </w:r>
    </w:p>
    <w:p>
      <w:pPr>
        <w:spacing w:after="0" w:line="135" w:lineRule="exact"/>
        <w:rPr>
          <w:sz w:val="20"/>
          <w:szCs w:val="20"/>
          <w:color w:val="auto"/>
        </w:rPr>
      </w:pPr>
    </w:p>
    <w:p>
      <w:pPr>
        <w:ind w:left="700" w:hanging="357"/>
        <w:spacing w:after="0"/>
        <w:tabs>
          <w:tab w:leader="none" w:pos="700"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our Articles;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appointment and termination of our independent auditors;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appointment and dismissal of directors;</w:t>
      </w:r>
    </w:p>
    <w:p>
      <w:pPr>
        <w:spacing w:after="0" w:line="138"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approval of acts and transactions requiring general meeting approval under the Companies Law;</w:t>
      </w:r>
    </w:p>
    <w:p>
      <w:pPr>
        <w:spacing w:after="0" w:line="139" w:lineRule="exact"/>
        <w:rPr>
          <w:rFonts w:ascii="Courier New" w:cs="Courier New" w:eastAsia="Courier New" w:hAnsi="Courier New"/>
          <w:sz w:val="12"/>
          <w:szCs w:val="12"/>
          <w:color w:val="auto"/>
        </w:rPr>
      </w:pPr>
    </w:p>
    <w:p>
      <w:pPr>
        <w:ind w:left="700" w:right="4899" w:hanging="357"/>
        <w:spacing w:after="0" w:line="235" w:lineRule="auto"/>
        <w:tabs>
          <w:tab w:leader="none" w:pos="700"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increase or reduction of authorized share capital or the rights of shareholders or a class of shareholders;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merger as provided in section 320 of the Companies Law; and</w:t>
      </w:r>
    </w:p>
    <w:p>
      <w:pPr>
        <w:spacing w:after="0" w:line="138" w:lineRule="exact"/>
        <w:rPr>
          <w:rFonts w:ascii="Courier New" w:cs="Courier New" w:eastAsia="Courier New" w:hAnsi="Courier New"/>
          <w:sz w:val="12"/>
          <w:szCs w:val="12"/>
          <w:color w:val="auto"/>
        </w:rPr>
      </w:pPr>
    </w:p>
    <w:p>
      <w:pPr>
        <w:ind w:left="700" w:right="4619" w:hanging="357"/>
        <w:spacing w:after="0" w:line="264" w:lineRule="auto"/>
        <w:tabs>
          <w:tab w:leader="none" w:pos="700" w:val="left"/>
        </w:tabs>
        <w:numPr>
          <w:ilvl w:val="0"/>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exercise of the Board of Directors' powers by the general meeting, if the Board of Directors is unable to exercise its powers and the exercise of any of its powers is essential for Tower's proper management, as provided in section 52(a) of the Companies Law.</w:t>
      </w:r>
    </w:p>
    <w:p>
      <w:pPr>
        <w:spacing w:after="0" w:line="127"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 special meeting may be convened by the request of two directors or by written request of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must convene a special meeting and send out notices setting forth the date, time and place of the meeting. Subject to exceptions, such notice must be given at least 21 days but not more than 35 days prior to the special meeting.</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EXEMPTION AND INDEMNIFICATION AGREEMENTS WITH DIRECTORS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December 2001, we entered into exemption and indemnification agreements with the members of our Board of Directors, pursuant to which, subject to the limitations set forth in the Israeli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In September 2005, we entered into amended exemption and indemnification agreements with the members of our Board of Directors to reflect certain amendments to the Companies Law that came into effect in March 2005. Our shareholders approved these amended exemption and indemnification agreements in October 2005.</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- 67 -</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COMPANIES LAW</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We are subject to the provisions of the Companies. The Companies Law codifies the fiduciary duties that "office holders," including directors and executive officers, owe to a company. An office holder, as defined in the Companies Law, is a director, general manager, chief business manager, deputy general manager, vice general manager, executive vice president, vice president, another manager directly subordinate to the managing director or any other person assuming the responsibilities of any of the foregoing positions without regard to such person's title. Each person listed in the table in "Item 6. Directors, Senior Management and Employees" above is an office holder. Under the Companies Law, all arrangements as to compensation of office holders who are not directors require approval of the board of directors. With the exception of compensation of external directors in an amount specified in the regulations adopted under the Companies Law, arrangements regarding the compensation of directors also require audit committee and shareholder approval.</w:t>
      </w:r>
    </w:p>
    <w:p>
      <w:pPr>
        <w:spacing w:after="0" w:line="265"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 Companies Law requires an office holder to promptly disclose any personal interest that he or she may have and all related material information known to him or her, in connection with any existing or proposed transaction by the company. In addition, if the transaction is an extraordinary transaction, the office holder must also disclose any personal interest held by the office holder's spouse, siblings, parents, grandparents, descendants, spouse's descendants and the spouse of any of the foregoing, or any corporation in which the office holder is a 5% or greater shareholder, holder of 5% or more of the voting power, director or general manager or in which he or she has the right to appoint at least one director or the general manager. An extraordinary transaction is defined as a transaction not in the ordinary course of business, not on market terms, or that is likely to have a material impact on the company's profitability, assets or liabilities.</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The Companies Law requires that specific types of transactions, actions and arrangements be approved as provided for in a company's articles of association and in some circumstances by the company's audit committee, board of directors and shareholders. In the case of a transaction that is not an extraordinary transaction, after the office holder complies with the above disclosure requirements, only board approval is required, unless the Articles provide otherwise. If the transaction is an extraordinary transaction, then, in addition to any approval required by the Articles it must be approved first by the audit committee and then by the board of directors, and, in specific circumstances, by a meeting of the shareholders. Subject to exceptions set forth in the Companies Law, an office holder who has a personal interest in a matter that is considered at a meeting of the board of directors or the audit committee may not be present during the relevant discussion at such meeting or vote on such matter.</w:t>
      </w:r>
    </w:p>
    <w:p>
      <w:pPr>
        <w:spacing w:after="0" w:line="130"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The Companies Law applies the same disclosure requirements to a controlling shareholder of a public company, which is defined as a shareholder who has the ability to direct the activities of a company, other than if this power derives solely from the shareholder's position on the board of directors or any other position with the company and includes a shareholder that holds 25% or more of the voting rights if no other shareholder owns more than 50% of the voting rights in the company. Extraordinary transactions with a controlling shareholder or in which a controlling shareholder has a personal interest, and agreements relating to employment and compensation terms of controlling shareholders require the approval of the audit committee, the board of directors and the shareholders of the company. The shareholder approval must either include at least one-third of the shares held by disinterested shareholders who are present, in person or by proxy, at the meeting, or, alternatively, the total shareholdings of the disinterested shareholders who vote against the transaction must not represent more than one percent of the voting rights in the company.</w:t>
      </w:r>
    </w:p>
    <w:p>
      <w:pPr>
        <w:spacing w:after="0" w:line="12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In addition to approval by a company's board of directors, a private placement in a public company requires approval by a company's shareholders in the following cases:</w:t>
      </w:r>
    </w:p>
    <w:p>
      <w:pPr>
        <w:spacing w:after="0" w:line="135" w:lineRule="exact"/>
        <w:rPr>
          <w:sz w:val="20"/>
          <w:szCs w:val="20"/>
          <w:color w:val="auto"/>
        </w:rPr>
      </w:pPr>
    </w:p>
    <w:p>
      <w:pPr>
        <w:ind w:left="700" w:hanging="357"/>
        <w:spacing w:after="0"/>
        <w:tabs>
          <w:tab w:leader="none" w:pos="700"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private placement that meets all of the following conditions:</w:t>
      </w:r>
    </w:p>
    <w:p>
      <w:pPr>
        <w:spacing w:after="0" w:line="138" w:lineRule="exact"/>
        <w:rPr>
          <w:rFonts w:ascii="Courier New" w:cs="Courier New" w:eastAsia="Courier New" w:hAnsi="Courier New"/>
          <w:sz w:val="12"/>
          <w:szCs w:val="12"/>
          <w:color w:val="auto"/>
        </w:rPr>
      </w:pPr>
    </w:p>
    <w:p>
      <w:pPr>
        <w:ind w:left="1040" w:right="4759" w:hanging="351"/>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o20 percent or more of the voting rights in the company prior to such issuance are being offered;</w:t>
      </w:r>
    </w:p>
    <w:p>
      <w:pPr>
        <w:sectPr>
          <w:pgSz w:w="11900" w:h="16838" w:orient="portrait"/>
          <w:cols w:equalWidth="0" w:num="1">
            <w:col w:w="10239"/>
          </w:cols>
          <w:pgMar w:left="220" w:top="141" w:right="1440" w:bottom="0" w:gutter="0" w:footer="0" w:header="0"/>
        </w:sectPr>
      </w:pPr>
    </w:p>
    <w:bookmarkStart w:id="39" w:name="page40"/>
    <w:bookmarkEnd w:id="39"/>
    <w:p>
      <w:pPr>
        <w:ind w:left="2600"/>
        <w:spacing w:after="0"/>
        <w:rPr>
          <w:sz w:val="20"/>
          <w:szCs w:val="20"/>
          <w:color w:val="auto"/>
        </w:rPr>
      </w:pPr>
      <w:r>
        <w:rPr>
          <w:rFonts w:ascii="Courier New" w:cs="Courier New" w:eastAsia="Courier New" w:hAnsi="Courier New"/>
          <w:sz w:val="12"/>
          <w:szCs w:val="12"/>
          <w:color w:val="auto"/>
        </w:rPr>
        <w:t>- 68 -</w:t>
      </w:r>
    </w:p>
    <w:p>
      <w:pPr>
        <w:spacing w:after="0" w:line="200" w:lineRule="exact"/>
        <w:rPr>
          <w:sz w:val="20"/>
          <w:szCs w:val="20"/>
          <w:color w:val="auto"/>
        </w:rPr>
      </w:pPr>
    </w:p>
    <w:p>
      <w:pPr>
        <w:spacing w:after="0" w:line="326" w:lineRule="exact"/>
        <w:rPr>
          <w:sz w:val="20"/>
          <w:szCs w:val="20"/>
          <w:color w:val="auto"/>
        </w:rPr>
      </w:pPr>
    </w:p>
    <w:p>
      <w:pPr>
        <w:ind w:left="1040" w:right="4619" w:hanging="345"/>
        <w:spacing w:after="0" w:line="237" w:lineRule="auto"/>
        <w:tabs>
          <w:tab w:leader="none" w:pos="104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private placement will increase the relative holdings of a shareholder that holds five percent or more of the company's outstanding share capital (assuming the exercise of all of the securities convertible into shares held by that person), or that will cause any person to become, as a result of the issuance, a holder of five percent or more of the company's outstanding share capital; and</w:t>
      </w:r>
    </w:p>
    <w:p>
      <w:pPr>
        <w:spacing w:after="0" w:line="141" w:lineRule="exact"/>
        <w:rPr>
          <w:rFonts w:ascii="Courier New" w:cs="Courier New" w:eastAsia="Courier New" w:hAnsi="Courier New"/>
          <w:sz w:val="12"/>
          <w:szCs w:val="12"/>
          <w:color w:val="auto"/>
        </w:rPr>
      </w:pPr>
    </w:p>
    <w:p>
      <w:pPr>
        <w:ind w:left="1040" w:right="4699" w:hanging="345"/>
        <w:spacing w:after="0" w:line="236" w:lineRule="auto"/>
        <w:tabs>
          <w:tab w:leader="none" w:pos="104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or part of the consideration for the offering is not cash or registered securities, or the private placement is not being offered at market terms.</w:t>
      </w:r>
    </w:p>
    <w:p>
      <w:pPr>
        <w:spacing w:after="0" w:line="139" w:lineRule="exact"/>
        <w:rPr>
          <w:sz w:val="20"/>
          <w:szCs w:val="20"/>
          <w:color w:val="auto"/>
        </w:rPr>
      </w:pPr>
    </w:p>
    <w:p>
      <w:pPr>
        <w:ind w:left="700" w:right="4899" w:hanging="357"/>
        <w:spacing w:after="0" w:line="235" w:lineRule="auto"/>
        <w:tabs>
          <w:tab w:leader="none" w:pos="700"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private placement which results in anyone becoming a controlling shareholder.</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above transactions must not be adverse to the company's interest.</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Under the Companies Law, a shareholder has a duty to act in good faith towards the company and other shareholders and refrain from abusing his power in the company, including, among other things, vote in the general meeting of shareholders on the following matters:</w:t>
      </w:r>
    </w:p>
    <w:p>
      <w:pPr>
        <w:spacing w:after="0" w:line="136" w:lineRule="exact"/>
        <w:rPr>
          <w:sz w:val="20"/>
          <w:szCs w:val="20"/>
          <w:color w:val="auto"/>
        </w:rPr>
      </w:pPr>
    </w:p>
    <w:p>
      <w:pPr>
        <w:ind w:left="700" w:hanging="357"/>
        <w:spacing w:after="0"/>
        <w:tabs>
          <w:tab w:leader="none" w:pos="700"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amendment to the Articles;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increase of the company's authorized share capital;</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merger; or</w:t>
      </w:r>
    </w:p>
    <w:p>
      <w:pPr>
        <w:spacing w:after="0" w:line="138" w:lineRule="exact"/>
        <w:rPr>
          <w:rFonts w:ascii="Courier New" w:cs="Courier New" w:eastAsia="Courier New" w:hAnsi="Courier New"/>
          <w:sz w:val="12"/>
          <w:szCs w:val="12"/>
          <w:color w:val="auto"/>
        </w:rPr>
      </w:pPr>
    </w:p>
    <w:p>
      <w:pPr>
        <w:ind w:left="700" w:right="4899" w:hanging="357"/>
        <w:spacing w:after="0" w:line="235" w:lineRule="auto"/>
        <w:tabs>
          <w:tab w:leader="none" w:pos="700"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approval of interested party transactions that require shareholder approval.</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TENDER OFFER. A person wishing to acquire shares or any class of shares of a publicly traded Israeli company and who would as a result hold over 90% of the company's issued and outstanding share capital or of a class of shares which are listed, is required by the Companies Law to make a tender offer to all of the company's shareholders for the purchase of all of the issued and outstanding shares of the company. If the shareholders who do not respond to the offer hold less than 5% of the issued share capital of the company, all of the shares that the acquirer offered to purchase will be transferred to the acquirer by operation of law. The Companies Law provides for an exception regarding the threshold requirement for a shareholder that prior to and following February 2000 holds over 90% of a company's issued and outstanding share capital. However, the shareholders may petition the court to alter the consideration for the acquisition. If the dissenting shareholders hold more than 5% of the issued and outstanding share capital of the company, the acquirer may not acquire additional shares of the company from shareholders who accepted the tender offer if following such acquisition the acquirer would then own over 90% of the company's issued and outstanding share capital.</w:t>
      </w:r>
    </w:p>
    <w:p>
      <w:pPr>
        <w:spacing w:after="0" w:line="140"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The Companies Law provides that an acquisition of shares of a public company must be made by means of a tender offer if as a result of the acquisition the purchaser would become a 25% or greater shareholder of the company. This rule does not apply if there is already another 25% shareholder of the company. Similarly, the Companies Law provides that an acquisition of shares in a public company must be made by means of a tender offer if as a result of the acquisition the purchaser would become a 45% or greater shareholder of the company, if there is no 45% or greater shareholder of the company.</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- 69 -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MERGER. The Companies Law permits merger transactions if approved by each party's board of directors and the majority of each party's shares voted on the proposed merger at a shareholders' meeting called on at least 21 days' prior notice. 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against the merger by holders of the majority of the shares present and voting, excluding shares held by the other party or by such person, or anyone acting on behalf of either of them, is sufficient to reject the merger transaction.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In addition, a merger may not be executed unless at least 30 days have passed from the receipt of the shareholders' approval and 50 days have passed from the time that a proposal for approval of the merger has been filed with the Israeli Registrar of Companies.</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NASDAQ MARKETPLACE RULES AND HOME COUNTRY PRACTICES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NASDAQ's Marketplace Rule 4350 ("Rule 4350") was amended to permit foreign private issuers to follow certain home country corporate governance practices without the need to seek an individual exemption from NASDAQ. Instead, a foreign private issuer must provide NASDAQ with a letter from outside counsel in its home country certifying that the issuer's corporate governance practices are not prohibited by home country law.</w:t>
      </w:r>
    </w:p>
    <w:p>
      <w:pPr>
        <w:spacing w:after="0" w:line="140"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 July 2005, pursuant to this new exception, we provided a notice to NASDAQ required by Rule 4350, with a letter from our outside Israeli counsel informing it that in keeping with Rule 4350(a)(1) we had elected to follow the practices of our home country in lieu of those set forth in Rule 4350, to the extent permitted thereby, and provided a letter from our outside Israeli counsel certifying that our the practices being followed of amending employee share option plans that do not permit the grant of options to directors upon the approval of our board of directors, and without seeking shareholder approval (which approval is required for NASDAQ-listed companies under Marketplace Rule 4350(i)), is in place thereof were not prohibited by Israeli law.</w:t>
      </w:r>
    </w:p>
    <w:p>
      <w:pPr>
        <w:sectPr>
          <w:pgSz w:w="11900" w:h="16838" w:orient="portrait"/>
          <w:cols w:equalWidth="0" w:num="1">
            <w:col w:w="10239"/>
          </w:cols>
          <w:pgMar w:left="220" w:top="272" w:right="1440" w:bottom="0" w:gutter="0" w:footer="0" w:header="0"/>
        </w:sectPr>
      </w:pPr>
    </w:p>
    <w:bookmarkStart w:id="40" w:name="page41"/>
    <w:bookmarkEnd w:id="40"/>
    <w:p>
      <w:pPr>
        <w:ind w:right="4619" w:firstLine="351"/>
        <w:spacing w:after="0" w:line="236" w:lineRule="auto"/>
        <w:rPr>
          <w:sz w:val="20"/>
          <w:szCs w:val="20"/>
          <w:color w:val="auto"/>
        </w:rPr>
      </w:pPr>
      <w:r>
        <w:rPr>
          <w:rFonts w:ascii="Courier New" w:cs="Courier New" w:eastAsia="Courier New" w:hAnsi="Courier New"/>
          <w:sz w:val="12"/>
          <w:szCs w:val="12"/>
          <w:color w:val="auto"/>
        </w:rPr>
        <w:t>As provided by Rule 4350(a)(1), in lieu of the requirements of Rule 4350 we have chosen to follow the practices of our home country with respect to the following:</w:t>
      </w:r>
    </w:p>
    <w:p>
      <w:pPr>
        <w:spacing w:after="0" w:line="139" w:lineRule="exact"/>
        <w:rPr>
          <w:sz w:val="20"/>
          <w:szCs w:val="20"/>
          <w:color w:val="auto"/>
        </w:rPr>
      </w:pPr>
    </w:p>
    <w:p>
      <w:pPr>
        <w:ind w:left="700" w:right="4759" w:hanging="357"/>
        <w:spacing w:after="0" w:line="236" w:lineRule="auto"/>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do not supply an annual report as required by Rule 4350(b)(1)(A), but makes our audited financial statements available to our shareholders prior to our annual general meeting.</w:t>
      </w:r>
    </w:p>
    <w:p>
      <w:pPr>
        <w:spacing w:after="0" w:line="139" w:lineRule="exact"/>
        <w:rPr>
          <w:rFonts w:ascii="Courier New" w:cs="Courier New" w:eastAsia="Courier New" w:hAnsi="Courier New"/>
          <w:sz w:val="12"/>
          <w:szCs w:val="12"/>
          <w:color w:val="auto"/>
        </w:rPr>
      </w:pPr>
    </w:p>
    <w:p>
      <w:pPr>
        <w:ind w:left="700" w:right="4619" w:hanging="357"/>
        <w:spacing w:after="0" w:line="237" w:lineRule="auto"/>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majority of our Board of Directors is not comprised of directors who meet the definition of independence contained in NASDAQ Marketplace Rule 4200(a)(15), as required by Rule 4350(c)(1). Under the Companies Law a majority of the Board of Directors is not required to be comprised of independent directors. In keeping with the requirements of the Companies Law two of the members of our Board of Directors are external directors, and are independent as defined under Rule 10A-3 of the Securities Act.</w:t>
      </w:r>
    </w:p>
    <w:p>
      <w:pPr>
        <w:spacing w:after="0" w:line="142" w:lineRule="exact"/>
        <w:rPr>
          <w:rFonts w:ascii="Courier New" w:cs="Courier New" w:eastAsia="Courier New" w:hAnsi="Courier New"/>
          <w:sz w:val="12"/>
          <w:szCs w:val="12"/>
          <w:color w:val="auto"/>
        </w:rPr>
      </w:pPr>
    </w:p>
    <w:p>
      <w:pPr>
        <w:ind w:left="700" w:right="4759" w:hanging="357"/>
        <w:spacing w:after="0" w:line="237" w:lineRule="auto"/>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Board has not adopted a policy of conducting regularly scheduled meetings at which only our independent directors are present, as required by Rule 4350(c)(2). The Companies Law does not require our external directors to conduct regularly scheduled meetings at which only they are present.</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70 -</w:t>
      </w:r>
    </w:p>
    <w:p>
      <w:pPr>
        <w:spacing w:after="0" w:line="200" w:lineRule="exact"/>
        <w:rPr>
          <w:rFonts w:ascii="Courier New" w:cs="Courier New" w:eastAsia="Courier New" w:hAnsi="Courier New"/>
          <w:sz w:val="12"/>
          <w:szCs w:val="12"/>
          <w:color w:val="auto"/>
        </w:rPr>
      </w:pPr>
    </w:p>
    <w:p>
      <w:pPr>
        <w:spacing w:after="0" w:line="325" w:lineRule="exact"/>
        <w:rPr>
          <w:rFonts w:ascii="Courier New" w:cs="Courier New" w:eastAsia="Courier New" w:hAnsi="Courier New"/>
          <w:sz w:val="12"/>
          <w:szCs w:val="12"/>
          <w:color w:val="auto"/>
        </w:rPr>
      </w:pPr>
    </w:p>
    <w:p>
      <w:pPr>
        <w:ind w:left="700" w:right="4619" w:hanging="357"/>
        <w:spacing w:after="0" w:line="237" w:lineRule="auto"/>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compensation of our chief executive officer and all other executive officers is not determined, or recommended to the Board for determination, in the manner required by Rule 4350(c)(3). In accord with the Companies Law the compensation of the chief executive officer and all other officers requires the approval of our Board of Directors, however the compensation of our chief executive officer, who also serves as a director, requires also the approval of our shareholders.</w:t>
      </w:r>
    </w:p>
    <w:p>
      <w:pPr>
        <w:spacing w:after="0" w:line="142" w:lineRule="exact"/>
        <w:rPr>
          <w:rFonts w:ascii="Courier New" w:cs="Courier New" w:eastAsia="Courier New" w:hAnsi="Courier New"/>
          <w:sz w:val="12"/>
          <w:szCs w:val="12"/>
          <w:color w:val="auto"/>
        </w:rPr>
      </w:pPr>
    </w:p>
    <w:p>
      <w:pPr>
        <w:ind w:left="700" w:right="4899" w:hanging="357"/>
        <w:spacing w:after="0" w:line="273" w:lineRule="auto"/>
        <w:tabs>
          <w:tab w:leader="none" w:pos="700"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Director nominees are not selected, or recommended for the Board's selection, as required by Rules 4350(c)(4)(A) and 4350(c)(4)(C).</w:t>
      </w:r>
    </w:p>
    <w:p>
      <w:pPr>
        <w:spacing w:after="0" w:line="121" w:lineRule="exact"/>
        <w:rPr>
          <w:rFonts w:ascii="Courier New" w:cs="Courier New" w:eastAsia="Courier New" w:hAnsi="Courier New"/>
          <w:sz w:val="11"/>
          <w:szCs w:val="11"/>
          <w:color w:val="auto"/>
        </w:rPr>
      </w:pPr>
    </w:p>
    <w:p>
      <w:pPr>
        <w:ind w:left="700" w:right="4839" w:hanging="357"/>
        <w:spacing w:after="0" w:line="236" w:lineRule="auto"/>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Board of Directors has not adopted a formal written charter or board resolution addressing the nomination process and such related matters as may be required under United States federal securities laws, as required by Rule 4350(c)(4)(B).</w:t>
      </w:r>
    </w:p>
    <w:p>
      <w:pPr>
        <w:spacing w:after="0" w:line="140" w:lineRule="exact"/>
        <w:rPr>
          <w:rFonts w:ascii="Courier New" w:cs="Courier New" w:eastAsia="Courier New" w:hAnsi="Courier New"/>
          <w:sz w:val="12"/>
          <w:szCs w:val="12"/>
          <w:color w:val="auto"/>
        </w:rPr>
      </w:pPr>
    </w:p>
    <w:p>
      <w:pPr>
        <w:ind w:left="700" w:right="4839" w:hanging="357"/>
        <w:spacing w:after="0" w:line="236" w:lineRule="auto"/>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Although we have adopted a formal written audit committee charter, there is no requirement under the Companies Law to do so and the charter as adopted may not specify all the items enumerated in Rule 4350(d)(1).</w:t>
      </w:r>
    </w:p>
    <w:p>
      <w:pPr>
        <w:spacing w:after="0" w:line="140" w:lineRule="exact"/>
        <w:rPr>
          <w:rFonts w:ascii="Courier New" w:cs="Courier New" w:eastAsia="Courier New" w:hAnsi="Courier New"/>
          <w:sz w:val="12"/>
          <w:szCs w:val="12"/>
          <w:color w:val="auto"/>
        </w:rPr>
      </w:pPr>
    </w:p>
    <w:p>
      <w:pPr>
        <w:ind w:left="700" w:right="4699" w:hanging="357"/>
        <w:spacing w:after="0" w:line="237" w:lineRule="auto"/>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audit committee does not meet with all of the requirements of Rules 4350(d)(2)(A)(i), 4350(d)(2)(A)(iii) and 4350(d)(2)(A)(iv). Though all members are independent as such term is defined under Rule 10A-3 of the Exchange Act, the audit committee does not comply with the foregoing Rule 4350 requirements, as permitted by the Companies Law.</w:t>
      </w:r>
    </w:p>
    <w:p>
      <w:pPr>
        <w:spacing w:after="0" w:line="140" w:lineRule="exact"/>
        <w:rPr>
          <w:rFonts w:ascii="Courier New" w:cs="Courier New" w:eastAsia="Courier New" w:hAnsi="Courier New"/>
          <w:sz w:val="12"/>
          <w:szCs w:val="12"/>
          <w:color w:val="auto"/>
        </w:rPr>
      </w:pPr>
    </w:p>
    <w:p>
      <w:pPr>
        <w:ind w:left="700" w:right="4699" w:hanging="357"/>
        <w:spacing w:after="0" w:line="237" w:lineRule="auto"/>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articles of association do not provide for a quorum of not less than 33 1/3% of the outstanding shares of our voting ordinary shares for meetings of our ordinary shareholders, as required by Rule 4350(f). Our articles of association presently require a quorum consisting of two shareholders holding a combined 33% of our ordinary shares. Under the Companies Law a quorum consisting of two shareholders holding a combined 25% of the company's voting shares is required.</w:t>
      </w:r>
    </w:p>
    <w:p>
      <w:pPr>
        <w:spacing w:after="0" w:line="142" w:lineRule="exact"/>
        <w:rPr>
          <w:rFonts w:ascii="Courier New" w:cs="Courier New" w:eastAsia="Courier New" w:hAnsi="Courier New"/>
          <w:sz w:val="12"/>
          <w:szCs w:val="12"/>
          <w:color w:val="auto"/>
        </w:rPr>
      </w:pPr>
    </w:p>
    <w:p>
      <w:pPr>
        <w:ind w:left="700" w:right="4699" w:hanging="357"/>
        <w:spacing w:after="0" w:line="236" w:lineRule="auto"/>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review and approve all related party transactions in accordance with the requirements and procedures for approval of interested party acts and transactions, set forth in the Companies Law, which do not fully reflect the requirements of Rule 4350(h).</w:t>
      </w:r>
    </w:p>
    <w:p>
      <w:pPr>
        <w:spacing w:after="0" w:line="140" w:lineRule="exact"/>
        <w:rPr>
          <w:rFonts w:ascii="Courier New" w:cs="Courier New" w:eastAsia="Courier New" w:hAnsi="Courier New"/>
          <w:sz w:val="12"/>
          <w:szCs w:val="12"/>
          <w:color w:val="auto"/>
        </w:rPr>
      </w:pPr>
    </w:p>
    <w:p>
      <w:pPr>
        <w:ind w:left="700" w:right="4759" w:hanging="357"/>
        <w:spacing w:after="0" w:line="266" w:lineRule="auto"/>
        <w:tabs>
          <w:tab w:leader="none" w:pos="700"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We seek shareholder approval for all corporate action requiring such approval, in accordance with the requirements of the Companies Law, which does not fully reflect the requirements of Rule 4350(i).</w:t>
      </w:r>
    </w:p>
    <w:p>
      <w:pPr>
        <w:spacing w:after="0" w:line="126"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We may in the future provide NASDAQ with an additional such letter or letters notifying NASDAQ that we are following our own practices, consistent with the Companies Law and practices in Israel in lieu of other requirements of Marketplace Rule 4350.</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MATERIAL CONTRACTS. Discussions of these agreements are incorporated herein by reference to the discussion under the caption "Intellectual Property and Licensing Agreements" in "Item 4".Information on the Company" and under the caption "Fab 2 Agreements" in "Item 5. Operating and Financial Review and Prospects" of this annual report.</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FAB 2 AGREEMENTS. Since 2000, we have entered into several important Fab 2 agreements and arrangements with a key technology partner, wafer and equity financing partners, the Israeli Investment Center and two leading Israeli banks. Discussions of these agreements are incorporated herein by reference to the discussion under the caption "Fab 2 Agreements" in "Item 5. Operating and Financial Review and Prospects" of this annual report and to Note 11A to the consolidated financial statements included in this annual report.</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- 71 -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INTELLECTUAL PROPERTY AND LICENSING AGREEMENTS. Discussions of these agreements are incorporated herein by reference to the discussion under the caption "Intellectual Property and Licensing Agreements" in "Item 4".Information on the Company" of this annual report.</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EXCHANGE CONTROLS</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128"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Under Israeli law and our company's Articles, both residents and non-residents of Israel may freely hold, vote and trade our ordinary shares.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TAXATION</w:t>
      </w:r>
    </w:p>
    <w:p>
      <w:pPr>
        <w:sectPr>
          <w:pgSz w:w="11900" w:h="16838" w:orient="portrait"/>
          <w:cols w:equalWidth="0" w:num="1">
            <w:col w:w="10239"/>
          </w:cols>
          <w:pgMar w:left="220" w:top="141" w:right="1440" w:bottom="0" w:gutter="0" w:footer="0" w:header="0"/>
        </w:sectPr>
      </w:pPr>
    </w:p>
    <w:bookmarkStart w:id="41" w:name="page42"/>
    <w:bookmarkEnd w:id="41"/>
    <w:p>
      <w:pPr>
        <w:ind w:right="4619" w:firstLine="351"/>
        <w:spacing w:after="0" w:line="237" w:lineRule="auto"/>
        <w:rPr>
          <w:sz w:val="20"/>
          <w:szCs w:val="20"/>
          <w:color w:val="auto"/>
        </w:rPr>
      </w:pPr>
      <w:r>
        <w:rPr>
          <w:rFonts w:ascii="Courier New" w:cs="Courier New" w:eastAsia="Courier New" w:hAnsi="Courier New"/>
          <w:sz w:val="12"/>
          <w:szCs w:val="12"/>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ISRAELI CAPITAL GAINS TAX</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30"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On January 1, 2006 an amendment to the Israeli tax regime became effective (the "2006 Tax Reform"). The 2006 Tax Reform significantly changed the tax rates applicable to income derived from shares.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41"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Corporations will be subject to corporate tax rates in respect of total income, including capital gains, with the corporate tax rate reduced gradually from 34% in 2005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- 72 -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44"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In some instances where our shareholders may be liable to Israeli tax on the sale of their ordinary shares, the payment of the consideration may be subject to the withholding of Israeli tax at the source.</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ISRAELI TAX ON INTEREST INCOME AND ON ORIGINAL ISSUANCE DISCOUNT</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49% will apply to the individual. Interest and OID paid to corporations will be subject to corporate tax at the regular rates of 29% in 2007, 27% in 2008, 26% in 2009 and 25% in 2010 and thereafter. As a result of the provisions related to tax withholding, as explained below, foreign resident individuals and corporations will be subject to tax of 25% or less, according to the relevant treaty relating to their domicile country.</w:t>
      </w:r>
    </w:p>
    <w:p>
      <w:pPr>
        <w:spacing w:after="0" w:line="264"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ectPr>
          <w:pgSz w:w="11900" w:h="16838" w:orient="portrait"/>
          <w:cols w:equalWidth="0" w:num="1">
            <w:col w:w="10239"/>
          </w:cols>
          <w:pgMar w:left="220" w:top="141" w:right="1440" w:bottom="0" w:gutter="0" w:footer="0" w:header="0"/>
        </w:sectPr>
      </w:pPr>
    </w:p>
    <w:bookmarkStart w:id="42" w:name="page43"/>
    <w:bookmarkEnd w:id="42"/>
    <w:p>
      <w:pPr>
        <w:ind w:left="2600"/>
        <w:spacing w:after="0"/>
        <w:rPr>
          <w:sz w:val="20"/>
          <w:szCs w:val="20"/>
          <w:color w:val="auto"/>
        </w:rPr>
      </w:pPr>
      <w:r>
        <w:rPr>
          <w:rFonts w:ascii="Courier New" w:cs="Courier New" w:eastAsia="Courier New" w:hAnsi="Courier New"/>
          <w:sz w:val="12"/>
          <w:szCs w:val="12"/>
          <w:color w:val="auto"/>
        </w:rPr>
        <w:t>- 73 -</w:t>
      </w: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ISRAELI TAX ON DIVIDEND INCOME</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37"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PFIC RULES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40"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do not believe that we satisfied either of the tests for PFIC status in 2006 or in any prior year. However, there can be no assurance that we will not be a PFIC in 2007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39"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National Market is a qualifying exchange. US holders are strongly urged to consult their own tax advisers regarding the possible application and consequences of the PFIC rules.</w:t>
      </w:r>
    </w:p>
    <w:p>
      <w:pPr>
        <w:spacing w:after="0" w:line="26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- 74 -</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DOCUMENTS ON DISPLAY</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You may review and copy our filings with the SEC, including any exhibits and schedules, at the SEC's public reference room at 100 F Street N.E., Washington, D.C. 20549. You may call the SEC at 1-800-SEC-0330 for further information on this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45" w:lineRule="exact"/>
        <w:rPr>
          <w:sz w:val="20"/>
          <w:szCs w:val="20"/>
          <w:color w:val="auto"/>
        </w:rPr>
      </w:pPr>
    </w:p>
    <w:p>
      <w:pPr>
        <w:ind w:right="4699" w:firstLine="351"/>
        <w:spacing w:after="0" w:line="263" w:lineRule="auto"/>
        <w:rPr>
          <w:sz w:val="20"/>
          <w:szCs w:val="20"/>
          <w:color w:val="auto"/>
        </w:rPr>
      </w:pPr>
      <w:r>
        <w:rPr>
          <w:rFonts w:ascii="Courier New" w:cs="Courier New" w:eastAsia="Courier New" w:hAnsi="Courier New"/>
          <w:sz w:val="11"/>
          <w:szCs w:val="11"/>
          <w:color w:val="auto"/>
        </w:rPr>
        <w:t>Any statement in this annual report about any of our contracts or other documents is not necessarily complete. If the contract or document is filed as an exhibit to a registration statement, the contract or document is deemed to modify the description contained in this annual report. We urge you to review the exhibits themselves for a complete description of the contract or document.</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11. QUANTITATIVE AND QUALITATIVE DISCLOSURES ABOUT MARKET RISK</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Market risk is the risk of loss related to changes in market prices, including interest rates and foreign exchange rates, of financial instruments and derivatives that may adversely impact our consolidated financial position, results of operations or cash flows.</w:t>
      </w:r>
    </w:p>
    <w:p>
      <w:pPr>
        <w:spacing w:after="0" w:line="141"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Our primary market risk exposures relate to interest rate movements on borrowings, fluctuations of the exchange rate of the US dollar, which is the primary currency in which we conduct our operations, against the NIS, the Japanese Yen and the Euro. To manage those risks and mitigate our exposure to them, we from time to time use financial instruments, primarily, interest rate collar agreements with a knock-out and knock-in features, and foreign currency forward contracts and options (including zero-cost cylinders).</w:t>
      </w:r>
    </w:p>
    <w:p>
      <w:pPr>
        <w:spacing w:after="0" w:line="141" w:lineRule="exact"/>
        <w:rPr>
          <w:sz w:val="20"/>
          <w:szCs w:val="20"/>
          <w:color w:val="auto"/>
        </w:rPr>
      </w:pPr>
    </w:p>
    <w:p>
      <w:pPr>
        <w:ind w:right="4899" w:firstLine="351"/>
        <w:spacing w:after="0" w:line="262" w:lineRule="auto"/>
        <w:rPr>
          <w:sz w:val="20"/>
          <w:szCs w:val="20"/>
          <w:color w:val="auto"/>
        </w:rPr>
      </w:pPr>
      <w:r>
        <w:rPr>
          <w:rFonts w:ascii="Courier New" w:cs="Courier New" w:eastAsia="Courier New" w:hAnsi="Courier New"/>
          <w:sz w:val="11"/>
          <w:szCs w:val="11"/>
          <w:color w:val="auto"/>
        </w:rPr>
        <w:t>All financial instruments are managed and controlled under a program of risk management in accordance with established policies. These policies are reviewed and approved by our board of directors. Our treasury operations are subject to an internal audit on a regular basis. We do not hold derivative financial instruments for speculative purposes, and we do not issue any derivative financial instruments for trading or speculative purposes.</w:t>
      </w:r>
    </w:p>
    <w:p>
      <w:pPr>
        <w:sectPr>
          <w:pgSz w:w="11900" w:h="16838" w:orient="portrait"/>
          <w:cols w:equalWidth="0" w:num="1">
            <w:col w:w="10239"/>
          </w:cols>
          <w:pgMar w:left="220" w:top="272"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2"/>
          <w:szCs w:val="12"/>
          <w:color w:val="auto"/>
        </w:rPr>
        <w:t>RISK OF INTEREST RATE FLUCTUATION</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have market risk exposure to changes in interest rates on our long-term debt obligations with floating interest rates. We have entered into debt obligations to support our capital expenditures and needs. From time to time we enter into interest rate collar agreements with knock-out and knock-in features to modify our exposure to interest rate movements and to reduce our borrowing costs. These agreements limit our exposure to the risks of fluctuating interest rates by allowing us to convert a portion of the interest on our borrowings from a variable rate to a limited variable rate. A knock-out LIBOR-based interest rate collar is a combination of a purchased knock-out cap with a cap level, floor level and a knock out level (and a knock in level for some of the agreements).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- 75 -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are subject to interest rate exposure in connection with $369 million long-term debt outstanding as of December 31, 2006 under the Fab 2 facility agreement, as such debt bears interest at a rate of LIBOR plus 1.1% per annum (as amended in the September 2006 amendment to the Facility Agreement, as described above). The interest rate as of December 31, 2006 on $162 million of the Fab 2 loans, not subject to the results of our collar agreements, was 6.48%. Our remaining loans of $207 million, were covered by the collar agreements as of December 31, 2006, and bore annual interest rate as of such date, including the results of our hedging activities described below, as follows: $127 million - 6.48%, $80 million - 5.1%, Following the September 2006 amendment to the Facility Agreement, the loans are repayable in 12 equal consecutive quarterly installments commencing September 30, 2009.</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As of December 31, 2006, collar agreements in the amount of $207 million were effective and gradually expire in 2007-2009. These agreements provide for combinations as described below. Under the knock-out provision in these agreements, in the event that the LIBOR rate exceeds the knock-out LIBOR rate level during a particular quarter, the protection provided under the interest collar agreements will not apply with respect to that entire quarter. If the LIBOR rate decreases thereafter and remains below the knock-out LIBOR rate level in any successive quarter for the duration of the entire quarter, the protection provided under the interest rate collar will again be effective.</w:t>
      </w:r>
    </w:p>
    <w:p>
      <w:pPr>
        <w:spacing w:after="0" w:line="143" w:lineRule="exact"/>
        <w:rPr>
          <w:sz w:val="20"/>
          <w:szCs w:val="20"/>
          <w:color w:val="auto"/>
        </w:rPr>
      </w:pPr>
    </w:p>
    <w:p>
      <w:pPr>
        <w:ind w:right="4839" w:firstLine="351"/>
        <w:spacing w:after="0" w:line="260" w:lineRule="auto"/>
        <w:rPr>
          <w:sz w:val="20"/>
          <w:szCs w:val="20"/>
          <w:color w:val="auto"/>
        </w:rPr>
      </w:pPr>
      <w:r>
        <w:rPr>
          <w:rFonts w:ascii="Courier New" w:cs="Courier New" w:eastAsia="Courier New" w:hAnsi="Courier New"/>
          <w:sz w:val="11"/>
          <w:szCs w:val="11"/>
          <w:color w:val="auto"/>
        </w:rPr>
        <w:t>With respect to the $87 million of our Fab 2 credit facility debt, under the terms of the collar agreements, if the LIBOR is below the floor rate of</w:t>
      </w:r>
    </w:p>
    <w:p>
      <w:pPr>
        <w:ind w:right="4619"/>
        <w:spacing w:after="0" w:line="237" w:lineRule="auto"/>
        <w:rPr>
          <w:sz w:val="20"/>
          <w:szCs w:val="20"/>
          <w:color w:val="auto"/>
        </w:rPr>
      </w:pPr>
      <w:r>
        <w:rPr>
          <w:rFonts w:ascii="Courier New" w:cs="Courier New" w:eastAsia="Courier New" w:hAnsi="Courier New"/>
          <w:sz w:val="12"/>
          <w:szCs w:val="12"/>
          <w:color w:val="auto"/>
        </w:rPr>
        <w:t>4.30% we will pay total interest at the fixed rate of 5.4% (the 4.30% floor rate plus 1.1%); if the LIBOR is between 4.30% and 5.56%, we will pay total interest at the actual LIBOR plus 1.1%; if the LIBOR is between 5.56% and 7.50% we will pay total interest at a fixed rate of 6.66% (the 5.56% cap rate plus 1.1%); and if the LIBOR is higher than 7.50%, we will pay the actual LIBOR rate plus 1.1%. On December 31, 2006, the LIBOR rate was 5.38%. Accordingly, as of such date the interest rate on these long-term loans was 6.48% (the Libor rate of 5.38% plus 1.1%).</w:t>
      </w:r>
    </w:p>
    <w:p>
      <w:pPr>
        <w:spacing w:after="0" w:line="142" w:lineRule="exact"/>
        <w:rPr>
          <w:sz w:val="20"/>
          <w:szCs w:val="20"/>
          <w:color w:val="auto"/>
        </w:rPr>
      </w:pPr>
    </w:p>
    <w:p>
      <w:pPr>
        <w:ind w:right="4839" w:firstLine="351"/>
        <w:spacing w:after="0" w:line="260" w:lineRule="auto"/>
        <w:rPr>
          <w:sz w:val="20"/>
          <w:szCs w:val="20"/>
          <w:color w:val="auto"/>
        </w:rPr>
      </w:pPr>
      <w:r>
        <w:rPr>
          <w:rFonts w:ascii="Courier New" w:cs="Courier New" w:eastAsia="Courier New" w:hAnsi="Courier New"/>
          <w:sz w:val="11"/>
          <w:szCs w:val="11"/>
          <w:color w:val="auto"/>
        </w:rPr>
        <w:t>With respect to the $40 million of our Fab 2 credit facility debt, under the terms of the collar agreements, if the LIBOR is below the floor rate of</w:t>
      </w:r>
    </w:p>
    <w:p>
      <w:pPr>
        <w:ind w:right="4619"/>
        <w:spacing w:after="0" w:line="237" w:lineRule="auto"/>
        <w:rPr>
          <w:sz w:val="20"/>
          <w:szCs w:val="20"/>
          <w:color w:val="auto"/>
        </w:rPr>
      </w:pPr>
      <w:r>
        <w:rPr>
          <w:rFonts w:ascii="Courier New" w:cs="Courier New" w:eastAsia="Courier New" w:hAnsi="Courier New"/>
          <w:sz w:val="12"/>
          <w:szCs w:val="12"/>
          <w:color w:val="auto"/>
        </w:rPr>
        <w:t>2.80% we will pay total interest at the fixed rate of 3.90% (the 2.80% floor rate plus 1.1%); if the LIBOR is between 2.80% and 5.50%, we will pay total interest at actual LIBOR plus 1.1%; if the LIBOR is between 5.50% and 7.50% we will pay total interest at a fixed rate of 6.60% (the 5.50% cap rate plus 1.1%); and if the LIBOR is higher than 7.50%, we will pay the actual LIBOR rate plus 1.1%. At December 31, 2006, the LIBOR rate was 5.38%. Accordingly, as of such date, the interest rate on these long-term loans was 6.48% (the Libor rate of 5.38% plus 1.1%).</w:t>
      </w:r>
    </w:p>
    <w:p>
      <w:pPr>
        <w:spacing w:after="0" w:line="14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With respect to the $80 million of our Fab 2 credit facility debt, under the terms of the collar agreements, if the LIBOR is below the knock-in of 0.70% we will pay total interest at the fixed rate of 3.85% (the 2.75% floor rate plus 1.1%); if the LIBOR is between 0.70% and 4.00%, we will pay total interest at the actual LIBOR plus 1.1%; if the LIBOR is between 4.00% and 7.00% we will pay total interest at a fixed rate of 5.1% (the 4.00% cap level plus 1.1%); and if the LIBOR is higher than 7.00%, we will pay the actual LIBOR rate plus 1.1%. At December 31, 2006, the LIBOR rate was 5.38Accordingly, as of such date, the interest rate on these long-term loans was 5.1% (the cap level of 4.0% plus 1.1%).</w:t>
      </w:r>
    </w:p>
    <w:p>
      <w:pPr>
        <w:spacing w:after="0" w:line="144"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All our collar agreements resulted in a gain of $0.9million in the year ended December 31, 2006. The fair value of these agreements, as of December 31, 2006 was a $1.8 million gain.</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- 76 -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Assuming a 10% upward shift in the LIBOR rate at December 31, 2006 (from 5.38% to 5.9%), will increase our yearly interest payments. Considering our collar agreements, an 10% increase in the LIBOR rate will increase our interest payments on our $162 million loans not hedged by the collar agreements and will partially increase our interest payments on our $127 million loans hedged by the collar agreements with a CAP of 5.56% since such an increase in the Libor rate will increase our interest payments up to the CAP level + 1.1%. Such an increase in the Libor rate will not affect our interest payments on our $80 million loans hedged by the collar with a CAP level of 4% since the interest payments will remain based on the CAP level + 1.1%. Giving effect to all the above, assuming a 10% upward shift in the LIBOR rate at December 31, 2006 (from 5.38% to 5.9%), will increase our yearly interest payments in 2007 by $1.1 million.</w:t>
      </w:r>
    </w:p>
    <w:p>
      <w:pPr>
        <w:spacing w:after="0" w:line="130"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Our cash equivalents and interest-bearing deposits are exposed to market risk due to fluctuation in interest rates, which may affect our interest income and the fair market value of our investments. We manage this exposure by performing ongoing evaluations of our investments in those deposits. Due to the short maturities of our investments, their carrying value approximates their fair value.</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FOREIGN EXCHANGE RISK</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We are exposed to the risk of fluctuation in the NIS/dollar exchange rate with respect to our 2002 and 2006 convertible debentures. As of December 31, 2006, we were exposed to the risk of fluctuation in the NIS/dollar exchange rate with respect to our exercise price of our Options (Series 4) issued in 2006, which is denominated in NIS and linked to the Consumer Price Index in Israel (CPI). As of December 31, 2006 the adjusted outstanding principal amount of the 2002 and 2006 convertible debentures was $68.7 million and the adjusted exercise price of the options (Series 4) was $7.4. The dollar amount of our finance costs (interest and currency adjustments) related to the 2002 and 2006 convertible debentures will be increased if the rate of inflation in Israel is not offset (or is offset on a lagging basis) by the devaluation of the NIS in relation to the dollar. In addition, the dollar amount of any repayment on account of the principal of the 2002 and 2006 convertible debentures will be increased as well.</w:t>
      </w:r>
    </w:p>
    <w:p>
      <w:pPr>
        <w:sectPr>
          <w:pgSz w:w="11900" w:h="16838" w:orient="portrait"/>
          <w:cols w:equalWidth="0" w:num="1">
            <w:col w:w="10239"/>
          </w:cols>
          <w:pgMar w:left="220" w:top="272" w:right="1440" w:bottom="0" w:gutter="0" w:footer="0" w:header="0"/>
        </w:sectPr>
      </w:pPr>
    </w:p>
    <w:bookmarkStart w:id="44" w:name="page45"/>
    <w:bookmarkEnd w:id="44"/>
    <w:p>
      <w:pPr>
        <w:ind w:right="4619"/>
        <w:spacing w:after="0" w:line="237" w:lineRule="auto"/>
        <w:rPr>
          <w:sz w:val="20"/>
          <w:szCs w:val="20"/>
          <w:color w:val="auto"/>
        </w:rPr>
      </w:pPr>
      <w:r>
        <w:rPr>
          <w:rFonts w:ascii="Courier New" w:cs="Courier New" w:eastAsia="Courier New" w:hAnsi="Courier New"/>
          <w:sz w:val="12"/>
          <w:szCs w:val="12"/>
          <w:color w:val="auto"/>
        </w:rPr>
        <w:t>If the devaluation of the NIS against the dollar is greater than the rate of inflation in Israel, the dollar amounts we may raise on the date of exercising our NIS denominated options linked to the CPI will be decreased. From the date of the issuance of the 2002 convertible debentures in January 2002 until December 31, 2006, the Israel consumer price index increased by 8.2% while the US dollar/NIS exchange rate decreased by 7.8% and from the date of the issuance of the 2006 convertible debentures and Options (Series 4) in June 2006 until December 31, 2006, the Israel consumer price index did not increase while the US dollar/NIS exchange rate decreased by 5.6%.</w:t>
      </w:r>
    </w:p>
    <w:p>
      <w:pPr>
        <w:spacing w:after="0" w:line="143"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 2002 convertible debentures bear annual interest at a fixed rate of 4.7%. The debentures are payable in four annual installments commencing in January 2006. The 2005 convertible debentures are denominated in USD and bear annual interest at the rate of 5%. The principle of the debentures, together with accrued interest, will be payable in one installment on January 12, 2012. The 2006 convertible debentures carry a zero coupon with principal payable at maturity in December 2011, at a premium of 37% over face value. Therefore, we are not subject to exposure to interest rate fluctuations with respect to the debentures. However, in case the actual market interest rates are lower than the interest rate provided on the convertible debentures, our actual finance costs would be higher than in case our convertible debentures bear floating interest rate.</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Our main foreign currency exposures other than convertible debentures and options, are associated with exchange rate movements of the US dollar, our functional and reporting currency, against the Japanese Yen, the Euro and the NIS. To protect against reductions in value and the volatility of future cash flows caused by changes in foreign exchange rates, we utilize foreign currency forward contracts and options (including zero-cost cylinder options) in order to minimize part of the impact of foreign currency fluctuations on our financial position and results of operations. A cylinder option is a combination of a purchased call option and a written put option. The exercise prices of the options may not be identical and this effectively creates a synthetic range forward. The maturity dates of the options coincide with the scheduled payments to suppliers.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- 77 -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Accordingly, we enter, from time to time, into foreign currency agreements to hedge exposure to equipment purchase commitments and other firm commitments. Most of our agreements to hedge equipment purchase commitments are designated to eliminate exposure changes in the Japanese Yen and the Euro vis-a-vis the US dollar. During the year ended December 31, 2006, we did not have any such transactions.</w:t>
      </w:r>
    </w:p>
    <w:p>
      <w:pPr>
        <w:spacing w:after="0" w:line="140"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We enter from time to time into foreign exchange agreements to hedge exposure relating to Value Added Tax (VAT), grants receivables and payroll payments denominated in NIS. During the year ended December 31, 2006, we did not have any such transaction.</w:t>
      </w:r>
    </w:p>
    <w:p>
      <w:pPr>
        <w:spacing w:after="0" w:line="141"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We are exposed to currency risk in the event of default by the other parties of the exchange transaction. We estimate the likelihood of such default to occur is remote, as the other parties are widely recognized and reputable Israeli banks.</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Assuming a 10% revaluation of the NIS against the US dollar on December 31, 2006 (from 4.225 to 3.80), the effective fair value of our liabilities net of assets denominated in NIS (mainly vendors, convertible debentures and liabilities in regard to employees ) would have increased in approximately $6.5 million.</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IMPACT OF INFLATION</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We believe that the rate of inflation in Israel has had a minor effect on our business to date. However, our dollar costs in Israel will increase if inflation in Israel exceeds the devaluation of the NIS against the dollar or if the timing of such devaluation lags behind inflation in Israel.</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12. DESCRIPTION OF SECURITIES OTHER THAN EQUITY SECURITIES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- 78 -</w:t>
      </w:r>
    </w:p>
    <w:p>
      <w:pPr>
        <w:spacing w:after="0" w:line="200" w:lineRule="exact"/>
        <w:rPr>
          <w:sz w:val="20"/>
          <w:szCs w:val="20"/>
          <w:color w:val="auto"/>
        </w:rPr>
      </w:pPr>
    </w:p>
    <w:p>
      <w:pPr>
        <w:spacing w:after="0" w:line="32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PART II</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13. DEFAULTS, DIVIDEND ARREARAGES AND DELINQUENCIES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None.</w:t>
      </w:r>
    </w:p>
    <w:p>
      <w:pPr>
        <w:spacing w:after="0" w:line="139" w:lineRule="exact"/>
        <w:rPr>
          <w:sz w:val="20"/>
          <w:szCs w:val="20"/>
          <w:color w:val="auto"/>
        </w:rPr>
      </w:pPr>
    </w:p>
    <w:p>
      <w:pPr>
        <w:ind w:left="620" w:right="4899" w:hanging="631"/>
        <w:spacing w:after="0" w:line="235" w:lineRule="auto"/>
        <w:rPr>
          <w:sz w:val="20"/>
          <w:szCs w:val="20"/>
          <w:color w:val="auto"/>
        </w:rPr>
      </w:pPr>
      <w:r>
        <w:rPr>
          <w:rFonts w:ascii="Courier New" w:cs="Courier New" w:eastAsia="Courier New" w:hAnsi="Courier New"/>
          <w:sz w:val="12"/>
          <w:szCs w:val="12"/>
          <w:color w:val="auto"/>
        </w:rPr>
        <w:t>ITEM 14. MATERIAL MODIFICATIONS TO THE RIGHTS OF SECURITY HOLDERS AND USE OF PROCEEDS</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15. CONTROLS AND PROCEDURES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carried out an evaluation, under the supervision and with the participation of our management, including the Chief Executive Officer and the acting Chief Financial Officer, of the design and operation of our disclosure controls and procedures. Based on this evaluation, our Chief Executive Officer and acting Chief Financial Officer concluded that as of December 31, 2006, our disclosure controls and procedures were effective to ensure that information required to be disclosed by us in the reports that we file or submit under the Securities Exchange Act of 1934 is recorded, processed, summarized and reported, within the time periods specified in the SEC's rules and forms and to ensure that information required to be disclosed by us in the reports that we file or submit under the Securities Exchange Act of 1934 is accumulated and communicated to our management, including our principal executive and principal financial officers, or persons performing similar functions, as required to allow timely decisions regarding required disclosures.</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There have been no significant changes in our internal controls or in other factors that could significantly affect disclosure controls and procedures subsequent to the date of our most recent evaluation.</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16. [RESERVED]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16A. AUDIT COMMITTEE FINANCIAL EXPERT</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Our board of directors has determined that a member of our audit committee, Ms. Miri Katz, is an audit committee financial expert and is independent as defined by NASDAQ Marketplace Rule 4350.</w:t>
      </w:r>
    </w:p>
    <w:p>
      <w:pPr>
        <w:sectPr>
          <w:pgSz w:w="11900" w:h="16838" w:orient="portrait"/>
          <w:cols w:equalWidth="0" w:num="1">
            <w:col w:w="10239"/>
          </w:cols>
          <w:pgMar w:left="220" w:top="141" w:right="1440" w:bottom="0" w:gutter="0" w:footer="0" w:header="0"/>
        </w:sectPr>
      </w:pPr>
    </w:p>
    <w:bookmarkStart w:id="45" w:name="page46"/>
    <w:bookmarkEnd w:id="45"/>
    <w:p>
      <w:pPr>
        <w:ind w:left="8"/>
        <w:spacing w:after="0"/>
        <w:rPr>
          <w:sz w:val="20"/>
          <w:szCs w:val="20"/>
          <w:color w:val="auto"/>
        </w:rPr>
      </w:pPr>
      <w:r>
        <w:rPr>
          <w:rFonts w:ascii="Courier New" w:cs="Courier New" w:eastAsia="Courier New" w:hAnsi="Courier New"/>
          <w:sz w:val="12"/>
          <w:szCs w:val="12"/>
          <w:color w:val="auto"/>
        </w:rPr>
        <w:t>ITEM 16B. CODE OF ETHICS</w:t>
      </w:r>
    </w:p>
    <w:p>
      <w:pPr>
        <w:spacing w:after="0" w:line="139" w:lineRule="exact"/>
        <w:rPr>
          <w:sz w:val="20"/>
          <w:szCs w:val="20"/>
          <w:color w:val="auto"/>
        </w:rPr>
      </w:pPr>
    </w:p>
    <w:p>
      <w:pPr>
        <w:ind w:left="8" w:right="4699" w:firstLine="351"/>
        <w:spacing w:after="0" w:line="264" w:lineRule="auto"/>
        <w:rPr>
          <w:sz w:val="20"/>
          <w:szCs w:val="20"/>
          <w:color w:val="auto"/>
        </w:rPr>
      </w:pPr>
      <w:r>
        <w:rPr>
          <w:rFonts w:ascii="Courier New" w:cs="Courier New" w:eastAsia="Courier New" w:hAnsi="Courier New"/>
          <w:sz w:val="11"/>
          <w:szCs w:val="11"/>
          <w:color w:val="auto"/>
        </w:rPr>
        <w:t>We adopted a code of ethics that applies to all of our directors, officers and employees, including our Chief Executive Officer, acting Chief Financial Officer, controller, and persons performing similar functions. We have posted our code of ethics on our website, www.towersemi.com under "About Tower".</w:t>
      </w:r>
    </w:p>
    <w:p>
      <w:pPr>
        <w:spacing w:after="0" w:line="258"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- 79 -</w:t>
      </w: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16C. PRINCIPAL ACCOUNTANT FEES AND SERVICES</w:t>
      </w:r>
    </w:p>
    <w:p>
      <w:pPr>
        <w:spacing w:after="0" w:line="139" w:lineRule="exact"/>
        <w:rPr>
          <w:sz w:val="20"/>
          <w:szCs w:val="20"/>
          <w:color w:val="auto"/>
        </w:rPr>
      </w:pPr>
    </w:p>
    <w:p>
      <w:pPr>
        <w:jc w:val="both"/>
        <w:ind w:left="8" w:right="4619" w:firstLine="351"/>
        <w:spacing w:after="0" w:line="236" w:lineRule="auto"/>
        <w:rPr>
          <w:sz w:val="20"/>
          <w:szCs w:val="20"/>
          <w:color w:val="auto"/>
        </w:rPr>
      </w:pPr>
      <w:r>
        <w:rPr>
          <w:rFonts w:ascii="Courier New" w:cs="Courier New" w:eastAsia="Courier New" w:hAnsi="Courier New"/>
          <w:sz w:val="12"/>
          <w:szCs w:val="12"/>
          <w:color w:val="auto"/>
        </w:rPr>
        <w:t>The following table presents fees for professional services rendered by our independent registered public accounting firm for audit services, audit-related services and for tax services in k$:</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780" w:type="dxa"/>
            <w:vAlign w:val="bottom"/>
          </w:tcPr>
          <w:p>
            <w:pPr>
              <w:spacing w:after="0"/>
              <w:rPr>
                <w:sz w:val="11"/>
                <w:szCs w:val="11"/>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2006</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1780" w:type="dxa"/>
            <w:vAlign w:val="bottom"/>
          </w:tcPr>
          <w:p>
            <w:pPr>
              <w:spacing w:after="0"/>
              <w:rPr>
                <w:sz w:val="11"/>
                <w:szCs w:val="11"/>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r>
      <w:tr>
        <w:trPr>
          <w:trHeight w:val="135"/>
        </w:trPr>
        <w:tc>
          <w:tcPr>
            <w:tcW w:w="1780" w:type="dxa"/>
            <w:vAlign w:val="bottom"/>
          </w:tcPr>
          <w:p>
            <w:pPr>
              <w:spacing w:after="0"/>
              <w:rPr>
                <w:sz w:val="11"/>
                <w:szCs w:val="11"/>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(US DOLLARS IN THOUSANDS)</w:t>
            </w:r>
          </w:p>
        </w:tc>
      </w:tr>
      <w:tr>
        <w:trPr>
          <w:trHeight w:val="135"/>
        </w:trPr>
        <w:tc>
          <w:tcPr>
            <w:tcW w:w="1780" w:type="dxa"/>
            <w:vAlign w:val="bottom"/>
          </w:tcPr>
          <w:p>
            <w:pPr>
              <w:spacing w:after="0"/>
              <w:rPr>
                <w:sz w:val="11"/>
                <w:szCs w:val="11"/>
                <w:color w:val="auto"/>
              </w:rPr>
            </w:pPr>
          </w:p>
        </w:tc>
        <w:tc>
          <w:tcPr>
            <w:tcW w:w="200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Audit fees (1)</w:t>
            </w: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235</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325</w:t>
            </w:r>
          </w:p>
        </w:tc>
      </w:tr>
      <w:tr>
        <w:trPr>
          <w:trHeight w:val="135"/>
        </w:trPr>
        <w:tc>
          <w:tcPr>
            <w:tcW w:w="1780" w:type="dxa"/>
            <w:vAlign w:val="bottom"/>
          </w:tcPr>
          <w:p>
            <w:pPr>
              <w:spacing w:after="0"/>
              <w:rPr>
                <w:sz w:val="20"/>
                <w:szCs w:val="20"/>
                <w:color w:val="auto"/>
              </w:rPr>
            </w:pPr>
            <w:r>
              <w:rPr>
                <w:rFonts w:ascii="Courier New" w:cs="Courier New" w:eastAsia="Courier New" w:hAnsi="Courier New"/>
                <w:sz w:val="12"/>
                <w:szCs w:val="12"/>
                <w:color w:val="auto"/>
              </w:rPr>
              <w:t>Audit-related fees (2)</w:t>
            </w: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20</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w:t>
            </w:r>
          </w:p>
        </w:tc>
      </w:tr>
      <w:tr>
        <w:trPr>
          <w:trHeight w:val="135"/>
        </w:trPr>
        <w:tc>
          <w:tcPr>
            <w:tcW w:w="1780" w:type="dxa"/>
            <w:vAlign w:val="bottom"/>
          </w:tcPr>
          <w:p>
            <w:pPr>
              <w:spacing w:after="0"/>
              <w:rPr>
                <w:sz w:val="20"/>
                <w:szCs w:val="20"/>
                <w:color w:val="auto"/>
              </w:rPr>
            </w:pPr>
            <w:r>
              <w:rPr>
                <w:rFonts w:ascii="Courier New" w:cs="Courier New" w:eastAsia="Courier New" w:hAnsi="Courier New"/>
                <w:sz w:val="12"/>
                <w:szCs w:val="12"/>
                <w:color w:val="auto"/>
              </w:rPr>
              <w:t>Tax fees (3)</w:t>
            </w: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9</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9</w:t>
            </w:r>
          </w:p>
        </w:tc>
      </w:tr>
      <w:tr>
        <w:trPr>
          <w:trHeight w:val="135"/>
        </w:trPr>
        <w:tc>
          <w:tcPr>
            <w:tcW w:w="178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r>
      <w:tr>
        <w:trPr>
          <w:trHeight w:val="135"/>
        </w:trPr>
        <w:tc>
          <w:tcPr>
            <w:tcW w:w="1780" w:type="dxa"/>
            <w:vAlign w:val="bottom"/>
          </w:tcPr>
          <w:p>
            <w:pPr>
              <w:spacing w:after="0"/>
              <w:rPr>
                <w:sz w:val="11"/>
                <w:szCs w:val="11"/>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r>
      <w:tr>
        <w:trPr>
          <w:trHeight w:val="135"/>
        </w:trPr>
        <w:tc>
          <w:tcPr>
            <w:tcW w:w="1780" w:type="dxa"/>
            <w:vAlign w:val="bottom"/>
          </w:tcPr>
          <w:p>
            <w:pPr>
              <w:spacing w:after="0"/>
              <w:rPr>
                <w:sz w:val="11"/>
                <w:szCs w:val="11"/>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264</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337</w:t>
            </w:r>
          </w:p>
        </w:tc>
      </w:tr>
      <w:tr>
        <w:trPr>
          <w:trHeight w:val="135"/>
        </w:trPr>
        <w:tc>
          <w:tcPr>
            <w:tcW w:w="1780" w:type="dxa"/>
            <w:vAlign w:val="bottom"/>
          </w:tcPr>
          <w:p>
            <w:pPr>
              <w:spacing w:after="0"/>
              <w:rPr>
                <w:sz w:val="11"/>
                <w:szCs w:val="11"/>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 ----------------</w:t>
      </w:r>
    </w:p>
    <w:p>
      <w:pPr>
        <w:spacing w:after="0" w:line="139" w:lineRule="exact"/>
        <w:rPr>
          <w:sz w:val="20"/>
          <w:szCs w:val="20"/>
          <w:color w:val="auto"/>
        </w:rPr>
      </w:pPr>
    </w:p>
    <w:p>
      <w:pPr>
        <w:ind w:left="348" w:right="4619" w:hanging="348"/>
        <w:spacing w:after="0" w:line="237" w:lineRule="auto"/>
        <w:tabs>
          <w:tab w:leader="none" w:pos="348"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Audit fees consist of fees for professional services rendered for the audit of our consolidated financial statements, services in connection with statutory and regulatory filings and engagements (including review of Forms 20-F, F-1, F-3 and S-8), and reviews of our unaudited interim consolidated financial statements included in our quarterly reports.</w:t>
      </w:r>
    </w:p>
    <w:p>
      <w:pPr>
        <w:spacing w:after="0" w:line="139" w:lineRule="exact"/>
        <w:rPr>
          <w:rFonts w:ascii="Courier New" w:cs="Courier New" w:eastAsia="Courier New" w:hAnsi="Courier New"/>
          <w:sz w:val="12"/>
          <w:szCs w:val="12"/>
          <w:color w:val="auto"/>
        </w:rPr>
      </w:pPr>
    </w:p>
    <w:p>
      <w:pPr>
        <w:ind w:left="348" w:right="4759" w:hanging="348"/>
        <w:spacing w:after="0" w:line="235" w:lineRule="auto"/>
        <w:tabs>
          <w:tab w:leader="none" w:pos="348"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Audit related fees consist of accounting consultation and consultation on financial accounting standards, not arising as part of the audit.</w:t>
      </w:r>
    </w:p>
    <w:p>
      <w:pPr>
        <w:spacing w:after="0" w:line="139" w:lineRule="exact"/>
        <w:rPr>
          <w:rFonts w:ascii="Courier New" w:cs="Courier New" w:eastAsia="Courier New" w:hAnsi="Courier New"/>
          <w:sz w:val="12"/>
          <w:szCs w:val="12"/>
          <w:color w:val="auto"/>
        </w:rPr>
      </w:pPr>
    </w:p>
    <w:p>
      <w:pPr>
        <w:ind w:left="348" w:right="4699" w:hanging="348"/>
        <w:spacing w:after="0" w:line="235" w:lineRule="auto"/>
        <w:tabs>
          <w:tab w:leader="none" w:pos="348"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fees consist of fees for tax compliance services, tax planning and tax advice.</w:t>
      </w:r>
    </w:p>
    <w:p>
      <w:pPr>
        <w:spacing w:after="0" w:line="139" w:lineRule="exact"/>
        <w:rPr>
          <w:sz w:val="20"/>
          <w:szCs w:val="20"/>
          <w:color w:val="auto"/>
        </w:rPr>
      </w:pPr>
    </w:p>
    <w:p>
      <w:pPr>
        <w:ind w:left="8" w:right="4699" w:firstLine="351"/>
        <w:spacing w:after="0" w:line="237" w:lineRule="auto"/>
        <w:rPr>
          <w:sz w:val="20"/>
          <w:szCs w:val="20"/>
          <w:color w:val="auto"/>
        </w:rPr>
      </w:pPr>
      <w:r>
        <w:rPr>
          <w:rFonts w:ascii="Courier New" w:cs="Courier New" w:eastAsia="Courier New" w:hAnsi="Courier New"/>
          <w:sz w:val="12"/>
          <w:szCs w:val="12"/>
          <w:color w:val="auto"/>
        </w:rPr>
        <w:t>Our audit committee's charter states that the audit committee is responsible for receiving specific information on the independent auditor's proposed services and for pre-approving all audit services annually and separately approving any other permitted non-audit related services. All of the non-audit services provided in 2005 and 2006 were pre-approved without reliance on the Waiver Provisions in paragraph (c)(7)(i)(C)of Regulation 6</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16D. EXEMPTIONS FROM THE LISTING STANDARDS FOR AUDIT COMMITTEES.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16E. PURCHASES OF EQUITY SECURITIES BY THE ISSUER AND AFFILIATED</w:t>
      </w:r>
    </w:p>
    <w:p>
      <w:pPr>
        <w:ind w:left="708"/>
        <w:spacing w:after="0"/>
        <w:rPr>
          <w:sz w:val="20"/>
          <w:szCs w:val="20"/>
          <w:color w:val="auto"/>
        </w:rPr>
      </w:pPr>
      <w:r>
        <w:rPr>
          <w:rFonts w:ascii="Courier New" w:cs="Courier New" w:eastAsia="Courier New" w:hAnsi="Courier New"/>
          <w:sz w:val="12"/>
          <w:szCs w:val="12"/>
          <w:color w:val="auto"/>
        </w:rPr>
        <w:t>PURCHASERS.</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ind w:left="2528"/>
        <w:spacing w:after="0"/>
        <w:rPr>
          <w:sz w:val="20"/>
          <w:szCs w:val="20"/>
          <w:color w:val="auto"/>
        </w:rPr>
      </w:pPr>
      <w:r>
        <w:rPr>
          <w:rFonts w:ascii="Courier New" w:cs="Courier New" w:eastAsia="Courier New" w:hAnsi="Courier New"/>
          <w:sz w:val="12"/>
          <w:szCs w:val="12"/>
          <w:color w:val="auto"/>
        </w:rPr>
        <w:t>PART III</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17. FINANCIAL STATEMENTS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18. FINANCIAL STATEMENTS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See Index to Financial Statements following the signature page.</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- 80 -</w:t>
      </w: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19. EXHIBITS</w:t>
      </w:r>
    </w:p>
    <w:p>
      <w:pPr>
        <w:spacing w:after="0" w:line="139"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1.1 Articles of Association of the Registrant, approved by shareholders on November 14, 2000, as amended (incorporated by reference to Exhibit 3.1 of the Registrant's Registration Statement on Form F-1, File No. 333-126909, "Form F-1 No. 333-126909").</w:t>
      </w:r>
    </w:p>
    <w:p>
      <w:pPr>
        <w:spacing w:after="0" w:line="141" w:lineRule="exact"/>
        <w:rPr>
          <w:sz w:val="20"/>
          <w:szCs w:val="20"/>
          <w:color w:val="auto"/>
        </w:rPr>
      </w:pPr>
    </w:p>
    <w:p>
      <w:pPr>
        <w:ind w:left="8" w:right="4619" w:firstLine="351"/>
        <w:spacing w:after="0" w:line="235" w:lineRule="auto"/>
        <w:rPr>
          <w:sz w:val="20"/>
          <w:szCs w:val="20"/>
          <w:color w:val="auto"/>
        </w:rPr>
      </w:pPr>
      <w:r>
        <w:rPr>
          <w:rFonts w:ascii="Courier New" w:cs="Courier New" w:eastAsia="Courier New" w:hAnsi="Courier New"/>
          <w:sz w:val="12"/>
          <w:szCs w:val="12"/>
          <w:color w:val="auto"/>
        </w:rPr>
        <w:t>1.2 Amendment to Articles of Association of the Registrant (incorporated by reference to exhibit 4.2 to the Registration Statement on Form S-8 No.</w:t>
      </w:r>
    </w:p>
    <w:p>
      <w:pPr>
        <w:ind w:left="8"/>
        <w:spacing w:after="0"/>
        <w:rPr>
          <w:sz w:val="20"/>
          <w:szCs w:val="20"/>
          <w:color w:val="auto"/>
        </w:rPr>
      </w:pPr>
      <w:r>
        <w:rPr>
          <w:rFonts w:ascii="Courier New" w:cs="Courier New" w:eastAsia="Courier New" w:hAnsi="Courier New"/>
          <w:sz w:val="12"/>
          <w:szCs w:val="12"/>
          <w:color w:val="auto"/>
        </w:rPr>
        <w:t>333-117565 ("Form S-8 No. 333-117565").</w:t>
      </w:r>
    </w:p>
    <w:p>
      <w:pPr>
        <w:spacing w:after="0" w:line="138"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1.3 Amendment to the Articles of Association of the Registrant (approved by shareholders on September 28, 2006) (incorporated by reference to Exhibit 4.2 of the Registrant's Registration Statement on Form S-8, File No. 333-138837 (the "2006 Form S-8").</w:t>
      </w:r>
    </w:p>
    <w:p>
      <w:pPr>
        <w:spacing w:after="0" w:line="141"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2.1 Bank Warrants, dated January 18, 2001, between the Registrant and Bank Hapoalim B.M. and Bank Leumi Le-Israel B.M. (incorporated by reference to exhibit 2.2 to the Registrant's Annual Report on Form 20-F for the year ended December 31, 2000 (the "2000 Form 20-F")).</w:t>
      </w:r>
    </w:p>
    <w:p>
      <w:pPr>
        <w:spacing w:after="0" w:line="141" w:lineRule="exact"/>
        <w:rPr>
          <w:sz w:val="20"/>
          <w:szCs w:val="20"/>
          <w:color w:val="auto"/>
        </w:rPr>
      </w:pPr>
    </w:p>
    <w:p>
      <w:pPr>
        <w:ind w:left="8" w:right="4759" w:firstLine="351"/>
        <w:spacing w:after="0" w:line="236" w:lineRule="auto"/>
        <w:rPr>
          <w:sz w:val="20"/>
          <w:szCs w:val="20"/>
          <w:color w:val="auto"/>
        </w:rPr>
      </w:pPr>
      <w:r>
        <w:rPr>
          <w:rFonts w:ascii="Courier New" w:cs="Courier New" w:eastAsia="Courier New" w:hAnsi="Courier New"/>
          <w:sz w:val="12"/>
          <w:szCs w:val="12"/>
          <w:color w:val="auto"/>
        </w:rPr>
        <w:t>2.2 Registration Rights Agreement, dated January 18, 2001, by and between SanDisk Corporation, Israel Corporation, Alliance Semiconductor Ltd. and Macronix International Co., Ltd. (incorporated by reference to exhibit 2.2 to the 2000 Form 20-F).</w:t>
      </w:r>
    </w:p>
    <w:p>
      <w:pPr>
        <w:spacing w:after="0" w:line="14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2.3 Terms of the Registrant's Convertible Debentures issued under an Indenture, dated January 22, 2002, (incorporated by reference to the summary of terms included under the caption "Description of the Debentures" in Exhibit C to the Registrant's Report on Form 6-K for January 2002 (No. 2), filed January 16, 2002 ("January 2002 Form 6-K")).</w:t>
      </w:r>
    </w:p>
    <w:p>
      <w:pPr>
        <w:spacing w:after="0" w:line="139" w:lineRule="exact"/>
        <w:rPr>
          <w:sz w:val="20"/>
          <w:szCs w:val="20"/>
          <w:color w:val="auto"/>
        </w:rPr>
      </w:pPr>
    </w:p>
    <w:p>
      <w:pPr>
        <w:jc w:val="both"/>
        <w:ind w:left="8" w:right="4619" w:firstLine="351"/>
        <w:spacing w:after="0" w:line="236" w:lineRule="auto"/>
        <w:rPr>
          <w:sz w:val="20"/>
          <w:szCs w:val="20"/>
          <w:color w:val="auto"/>
        </w:rPr>
      </w:pPr>
      <w:r>
        <w:rPr>
          <w:rFonts w:ascii="Courier New" w:cs="Courier New" w:eastAsia="Courier New" w:hAnsi="Courier New"/>
          <w:sz w:val="12"/>
          <w:szCs w:val="12"/>
          <w:color w:val="auto"/>
        </w:rPr>
        <w:t>2.4 Terms of the Registrant's Options (Series 1) (incorporated by reference to the summary of terms included under the caption "Description of the Options" in Exhibit C to the January 2002 Form 6-K).</w:t>
      </w:r>
    </w:p>
    <w:p>
      <w:pPr>
        <w:spacing w:after="0" w:line="139" w:lineRule="exact"/>
        <w:rPr>
          <w:sz w:val="20"/>
          <w:szCs w:val="20"/>
          <w:color w:val="auto"/>
        </w:rPr>
      </w:pPr>
    </w:p>
    <w:p>
      <w:pPr>
        <w:jc w:val="both"/>
        <w:ind w:left="8" w:right="4899" w:firstLine="351"/>
        <w:spacing w:after="0" w:line="236" w:lineRule="auto"/>
        <w:rPr>
          <w:sz w:val="20"/>
          <w:szCs w:val="20"/>
          <w:color w:val="auto"/>
        </w:rPr>
      </w:pPr>
      <w:r>
        <w:rPr>
          <w:rFonts w:ascii="Courier New" w:cs="Courier New" w:eastAsia="Courier New" w:hAnsi="Courier New"/>
          <w:sz w:val="12"/>
          <w:szCs w:val="12"/>
          <w:color w:val="auto"/>
        </w:rPr>
        <w:t>2.5 Form of Indenture (incorporated by reference to exhibit 4.2 to the Registrant's Amendment No. 6 to the Registration Statement on Form F-1/A No. 333-126909 (the "Form F-1 No. 333-126909").</w:t>
      </w:r>
    </w:p>
    <w:p>
      <w:pPr>
        <w:spacing w:after="0" w:line="139" w:lineRule="exact"/>
        <w:rPr>
          <w:sz w:val="20"/>
          <w:szCs w:val="20"/>
          <w:color w:val="auto"/>
        </w:rPr>
      </w:pPr>
    </w:p>
    <w:p>
      <w:pPr>
        <w:jc w:val="both"/>
        <w:ind w:left="8" w:right="4839" w:firstLine="351"/>
        <w:spacing w:after="0" w:line="273" w:lineRule="auto"/>
        <w:rPr>
          <w:sz w:val="20"/>
          <w:szCs w:val="20"/>
          <w:color w:val="auto"/>
        </w:rPr>
      </w:pPr>
      <w:r>
        <w:rPr>
          <w:rFonts w:ascii="Courier New" w:cs="Courier New" w:eastAsia="Courier New" w:hAnsi="Courier New"/>
          <w:sz w:val="11"/>
          <w:szCs w:val="11"/>
          <w:color w:val="auto"/>
        </w:rPr>
        <w:t>2.6 Form of Note for the Debentures (incorporated herein by reference to Exhibit A to the Indenture filed as exhibit 4.2 to Form F-1 No. 333-126909 ).</w:t>
      </w:r>
    </w:p>
    <w:p>
      <w:pPr>
        <w:spacing w:after="0" w:line="117"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2.7 First Amendment to a Warrant Issued on December 11, 2003 to Tarshish</w:t>
      </w:r>
    </w:p>
    <w:p>
      <w:pPr>
        <w:sectPr>
          <w:pgSz w:w="11900" w:h="16838" w:orient="portrait"/>
          <w:cols w:equalWidth="0" w:num="1">
            <w:col w:w="10247"/>
          </w:cols>
          <w:pgMar w:left="212" w:top="137" w:right="1440" w:bottom="0" w:gutter="0" w:footer="0" w:header="0"/>
        </w:sectPr>
      </w:pPr>
    </w:p>
    <w:bookmarkStart w:id="46" w:name="page47"/>
    <w:bookmarkEnd w:id="46"/>
    <w:p>
      <w:pPr>
        <w:ind w:right="4899"/>
        <w:spacing w:after="0" w:line="235" w:lineRule="auto"/>
        <w:rPr>
          <w:sz w:val="20"/>
          <w:szCs w:val="20"/>
          <w:color w:val="auto"/>
        </w:rPr>
      </w:pPr>
      <w:r>
        <w:rPr>
          <w:rFonts w:ascii="Courier New" w:cs="Courier New" w:eastAsia="Courier New" w:hAnsi="Courier New"/>
          <w:sz w:val="12"/>
          <w:szCs w:val="12"/>
          <w:color w:val="auto"/>
        </w:rPr>
        <w:t>Hahzakot Vehashkaot Hapoalim Ltd., dated September 28, 2006 (incorporated by reference to exhibit 99.14 of the November 2006 Form 6-K).</w:t>
      </w:r>
    </w:p>
    <w:p>
      <w:pPr>
        <w:spacing w:after="0" w:line="139" w:lineRule="exact"/>
        <w:rPr>
          <w:sz w:val="20"/>
          <w:szCs w:val="20"/>
          <w:color w:val="auto"/>
        </w:rPr>
      </w:pPr>
    </w:p>
    <w:p>
      <w:pPr>
        <w:jc w:val="both"/>
        <w:ind w:right="4699" w:firstLine="351"/>
        <w:spacing w:after="0" w:line="236" w:lineRule="auto"/>
        <w:rPr>
          <w:sz w:val="20"/>
          <w:szCs w:val="20"/>
          <w:color w:val="auto"/>
        </w:rPr>
      </w:pPr>
      <w:r>
        <w:rPr>
          <w:rFonts w:ascii="Courier New" w:cs="Courier New" w:eastAsia="Courier New" w:hAnsi="Courier New"/>
          <w:sz w:val="12"/>
          <w:szCs w:val="12"/>
          <w:color w:val="auto"/>
        </w:rPr>
        <w:t>2.8 First Amendment to a Warrant Issued on December 11, 2003 to Bank Leumi Le-Israel, dated September 28, 2006 (incorporated by reference to exhibit 99.15 of the November 2006 Form 6-K).</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2.9 First Amendment to a Warrant Issued on August 4, 2005 to Bank Hapoalim B.M., dated September 28, 2006 (incorporated by reference to exhibit 99.16 of the November 2006 Form 6-K).</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2.10 First Amendment to a Warrant Issued on August 4, 2005 to Bank Leumi Le- Israel B.M., dated September 28, 2006 (incorporated by reference to exhibit 99.17 of the November 2006 Form 6-K).</w:t>
      </w:r>
    </w:p>
    <w:p>
      <w:pPr>
        <w:spacing w:after="0" w:line="139" w:lineRule="exact"/>
        <w:rPr>
          <w:sz w:val="20"/>
          <w:szCs w:val="20"/>
          <w:color w:val="auto"/>
        </w:rPr>
      </w:pPr>
    </w:p>
    <w:p>
      <w:pPr>
        <w:ind w:right="4619" w:firstLine="351"/>
        <w:spacing w:after="0" w:line="235" w:lineRule="auto"/>
        <w:rPr>
          <w:sz w:val="20"/>
          <w:szCs w:val="20"/>
          <w:color w:val="auto"/>
        </w:rPr>
      </w:pPr>
      <w:r>
        <w:rPr>
          <w:rFonts w:ascii="Courier New" w:cs="Courier New" w:eastAsia="Courier New" w:hAnsi="Courier New"/>
          <w:sz w:val="12"/>
          <w:szCs w:val="12"/>
          <w:color w:val="auto"/>
        </w:rPr>
        <w:t>2.11 Form of Series I Warrant (incorporated by reference to exhibit 99.6 of the March 2007 Form 6-K).</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- 81 -</w:t>
      </w:r>
    </w:p>
    <w:p>
      <w:pPr>
        <w:spacing w:after="0" w:line="200" w:lineRule="exact"/>
        <w:rPr>
          <w:sz w:val="20"/>
          <w:szCs w:val="20"/>
          <w:color w:val="auto"/>
        </w:rPr>
      </w:pPr>
    </w:p>
    <w:p>
      <w:pPr>
        <w:spacing w:after="0" w:line="326"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2.12 Form of Series II Warrant (incorporated by reference to exhibit 99.7 of the March 2007 Form 6-K).</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3.1 Consolidated Shareholders Agreement, dated January 18, 2001, by and between SanDisk Corporation, Israel Corporation, Alliance Semiconductor Ltd. and Macronix International Co., Ltd. (incorporated by reference to the correspondingly-numbered exhibit to the 2000 Form 20-F).</w:t>
      </w:r>
    </w:p>
    <w:p>
      <w:pPr>
        <w:spacing w:after="0" w:line="141"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4.1 Share Purchase Agreement, dated July 4, 2000, by and between SanDisk Corporation and the Registrant (incorporated by reference to the correspondingly-numbered exhibit to the 2000 Form 20-F).</w:t>
      </w:r>
    </w:p>
    <w:p>
      <w:pPr>
        <w:spacing w:after="0" w:line="139" w:lineRule="exact"/>
        <w:rPr>
          <w:sz w:val="20"/>
          <w:szCs w:val="20"/>
          <w:color w:val="auto"/>
        </w:rPr>
      </w:pPr>
    </w:p>
    <w:p>
      <w:pPr>
        <w:ind w:right="4839" w:firstLine="351"/>
        <w:spacing w:after="0" w:line="266" w:lineRule="auto"/>
        <w:rPr>
          <w:sz w:val="20"/>
          <w:szCs w:val="20"/>
          <w:color w:val="auto"/>
        </w:rPr>
      </w:pPr>
      <w:r>
        <w:rPr>
          <w:rFonts w:ascii="Courier New" w:cs="Courier New" w:eastAsia="Courier New" w:hAnsi="Courier New"/>
          <w:sz w:val="11"/>
          <w:szCs w:val="11"/>
          <w:color w:val="auto"/>
        </w:rPr>
        <w:t>4.2 Additional Purchase Obligation Agreement, dated July 4, 2000, by and between SanDisk Corporation ("SanDisk") and the Registrant (incorporated by reference to the correspondingly-numbered exhibit to the 2000 Form 20-F).</w:t>
      </w:r>
    </w:p>
    <w:p>
      <w:pPr>
        <w:spacing w:after="0" w:line="126" w:lineRule="exact"/>
        <w:rPr>
          <w:sz w:val="20"/>
          <w:szCs w:val="20"/>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4.3 Share Purchase Agreement, dated August 29, 2000, by and between Alliance Semiconductor Corporation ("Alliance") and the Registrant (incorporated by reference to the correspondingly-numbered exhibit to the 2000 Form 20-F).</w:t>
      </w:r>
    </w:p>
    <w:p>
      <w:pPr>
        <w:spacing w:after="0" w:line="126" w:lineRule="exact"/>
        <w:rPr>
          <w:sz w:val="20"/>
          <w:szCs w:val="20"/>
          <w:color w:val="auto"/>
        </w:rPr>
      </w:pPr>
    </w:p>
    <w:p>
      <w:pPr>
        <w:jc w:val="both"/>
        <w:ind w:right="5039" w:firstLine="351"/>
        <w:spacing w:after="0" w:line="266" w:lineRule="auto"/>
        <w:rPr>
          <w:sz w:val="20"/>
          <w:szCs w:val="20"/>
          <w:color w:val="auto"/>
        </w:rPr>
      </w:pPr>
      <w:r>
        <w:rPr>
          <w:rFonts w:ascii="Courier New" w:cs="Courier New" w:eastAsia="Courier New" w:hAnsi="Courier New"/>
          <w:sz w:val="11"/>
          <w:szCs w:val="11"/>
          <w:color w:val="auto"/>
        </w:rPr>
        <w:t>4.4 Share Purchase Agreement, dated December 11, 2000, by and between QuickLogic Corporation ("QuickLogic") and the Registrant (incorporated by reference to the correspondingly-numbered exhibit to the 2000 Form 20-F).</w:t>
      </w:r>
    </w:p>
    <w:p>
      <w:pPr>
        <w:spacing w:after="0" w:line="126" w:lineRule="exact"/>
        <w:rPr>
          <w:sz w:val="20"/>
          <w:szCs w:val="20"/>
          <w:color w:val="auto"/>
        </w:rPr>
      </w:pPr>
    </w:p>
    <w:p>
      <w:pPr>
        <w:ind w:right="4759" w:firstLine="351"/>
        <w:spacing w:after="0" w:line="266" w:lineRule="auto"/>
        <w:rPr>
          <w:sz w:val="20"/>
          <w:szCs w:val="20"/>
          <w:color w:val="auto"/>
        </w:rPr>
      </w:pPr>
      <w:r>
        <w:rPr>
          <w:rFonts w:ascii="Courier New" w:cs="Courier New" w:eastAsia="Courier New" w:hAnsi="Courier New"/>
          <w:sz w:val="11"/>
          <w:szCs w:val="11"/>
          <w:color w:val="auto"/>
        </w:rPr>
        <w:t>4.5 Share Purchase Agreement, dated December 12, 2000, by and between Macronix International Co., Ltd. ("Macronix") and the Registrant (incorporated by reference to the correspondingly-numbered exhibit to the 2000 Form 20-F).</w:t>
      </w:r>
    </w:p>
    <w:p>
      <w:pPr>
        <w:spacing w:after="0" w:line="126" w:lineRule="exact"/>
        <w:rPr>
          <w:sz w:val="20"/>
          <w:szCs w:val="20"/>
          <w:color w:val="auto"/>
        </w:rPr>
      </w:pPr>
    </w:p>
    <w:p>
      <w:pPr>
        <w:ind w:right="5039" w:firstLine="351"/>
        <w:spacing w:after="0" w:line="236" w:lineRule="auto"/>
        <w:rPr>
          <w:sz w:val="20"/>
          <w:szCs w:val="20"/>
          <w:color w:val="auto"/>
        </w:rPr>
      </w:pPr>
      <w:r>
        <w:rPr>
          <w:rFonts w:ascii="Courier New" w:cs="Courier New" w:eastAsia="Courier New" w:hAnsi="Courier New"/>
          <w:sz w:val="12"/>
          <w:szCs w:val="12"/>
          <w:color w:val="auto"/>
        </w:rPr>
        <w:t>4.6 Share Purchase Agreement, dated December 12, 2000, between Israel Corporation and the Registrant (incorporated by reference to the correspondingly-numbered exhibit to the 2000 Form 20-F).</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4.7 Additional Purchase Obligation Agreement, dated December 12, 2000, between Israel Corporation and the Registrant (incorporated by reference to the correspondingly-numbered exhibit to the 2000 Form 20-F).</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4.8 Share Purchase Agreement, dated February 11, 2001, between The Challenge Fund - Etgar II and the Registrant (incorporated by reference to the correspondingly-numbered exhibit to the 2000 Form 20-F).</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4.9 Facility Agreement, dated January 18, 2001, among the Registrant, Bank Hapoalim B.M. and Bank Leumi Le-Israel B.M. (the "Facility Agreement") (incorporated by reference to the correspondingly-numbered exhibit to the 2000 Form 20-F).</w:t>
      </w:r>
    </w:p>
    <w:p>
      <w:pPr>
        <w:spacing w:after="0" w:line="14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4.10 Design and Construction/Turn-Key Contract, dated August 20, 2000, among the Registrant, M+W Zander Holding GmbH, Meissner-Baran Ltd. and Baran Group Ltd. (incorporated by reference to the correspondingly-numbered exhibit to the 2000 Form 20-F).</w:t>
      </w:r>
    </w:p>
    <w:p>
      <w:pPr>
        <w:spacing w:after="0" w:line="141"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4.11 Approval, dated December 31, 2000, of the Israeli Investment Center (Hebrew language document; a summary of the terms is included in the 2000 Form 20-F under the caption "Fab 2 Agreements" in "Item 5. Operating and Financial Review and Prospects") (incorporated by reference to the correspondingly-numbered exhibit to the 2000 Form 20-F).</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- 82 -</w:t>
      </w:r>
    </w:p>
    <w:p>
      <w:pPr>
        <w:spacing w:after="0" w:line="200" w:lineRule="exact"/>
        <w:rPr>
          <w:sz w:val="20"/>
          <w:szCs w:val="20"/>
          <w:color w:val="auto"/>
        </w:rPr>
      </w:pPr>
    </w:p>
    <w:p>
      <w:pPr>
        <w:spacing w:after="0" w:line="326"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4.12 Agreement between the Registrant and Saifun, dated October 9, 1997 (incorporated by reference to exhibit 1.1 to the Registrant's Annual Report on Form 20-F for the year ended December 31, 1997).</w:t>
      </w:r>
    </w:p>
    <w:p>
      <w:pPr>
        <w:spacing w:after="0" w:line="139" w:lineRule="exact"/>
        <w:rPr>
          <w:sz w:val="20"/>
          <w:szCs w:val="20"/>
          <w:color w:val="auto"/>
        </w:rPr>
      </w:pPr>
    </w:p>
    <w:p>
      <w:pPr>
        <w:ind w:right="5039" w:firstLine="351"/>
        <w:spacing w:after="0" w:line="266" w:lineRule="auto"/>
        <w:rPr>
          <w:sz w:val="20"/>
          <w:szCs w:val="20"/>
          <w:color w:val="auto"/>
        </w:rPr>
      </w:pPr>
      <w:r>
        <w:rPr>
          <w:rFonts w:ascii="Courier New" w:cs="Courier New" w:eastAsia="Courier New" w:hAnsi="Courier New"/>
          <w:sz w:val="11"/>
          <w:szCs w:val="11"/>
          <w:color w:val="auto"/>
        </w:rPr>
        <w:t>4.13 Registrant's Non-Employee Director Share Option Plan 2000/3 (incorporated by reference to exhibit 4.5 to the Registrant's Registration Statement on Form S-8 No. 333-83204 ("Form S-8 No. 333-83204")).</w:t>
      </w:r>
    </w:p>
    <w:p>
      <w:pPr>
        <w:spacing w:after="0" w:line="122"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4.14 Form of Grant Letter for Non-Employee Directors Share Option Plan</w:t>
      </w:r>
    </w:p>
    <w:p>
      <w:pPr>
        <w:spacing w:after="0" w:line="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1"/>
          <w:szCs w:val="11"/>
          <w:color w:val="auto"/>
        </w:rPr>
        <w:t>2001/4 (incorporated by reference to exhibit 4.9 to the Form S-8 No. 333-83204).</w:t>
      </w:r>
    </w:p>
    <w:p>
      <w:pPr>
        <w:spacing w:after="0" w:line="146" w:lineRule="exact"/>
        <w:rPr>
          <w:sz w:val="20"/>
          <w:szCs w:val="20"/>
          <w:color w:val="auto"/>
        </w:rPr>
      </w:pPr>
    </w:p>
    <w:p>
      <w:pPr>
        <w:ind w:right="4979" w:firstLine="351"/>
        <w:spacing w:after="0" w:line="260" w:lineRule="auto"/>
        <w:rPr>
          <w:sz w:val="20"/>
          <w:szCs w:val="20"/>
          <w:color w:val="auto"/>
        </w:rPr>
      </w:pPr>
      <w:r>
        <w:rPr>
          <w:rFonts w:ascii="Courier New" w:cs="Courier New" w:eastAsia="Courier New" w:hAnsi="Courier New"/>
          <w:sz w:val="11"/>
          <w:szCs w:val="11"/>
          <w:color w:val="auto"/>
        </w:rPr>
        <w:t>4.15 Form of Grant Letter for Non-Employee Directors Share Option Plan 2001/5 (incorporated by reference to exhibit 4.10 to the Form S-8 No.</w:t>
      </w:r>
    </w:p>
    <w:p>
      <w:pPr>
        <w:spacing w:after="0" w:line="232" w:lineRule="auto"/>
        <w:rPr>
          <w:sz w:val="20"/>
          <w:szCs w:val="20"/>
          <w:color w:val="auto"/>
        </w:rPr>
      </w:pPr>
      <w:r>
        <w:rPr>
          <w:rFonts w:ascii="Courier New" w:cs="Courier New" w:eastAsia="Courier New" w:hAnsi="Courier New"/>
          <w:sz w:val="12"/>
          <w:szCs w:val="12"/>
          <w:color w:val="auto"/>
        </w:rPr>
        <w:t>333-83204).</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4.16 Wafer Partner Conversion Agreements, dated September 2001, between the Registrant and each of SanDisk, Alliance and Macronix (incorporated by reference to exhibit 4.17 to the Registrant's Annual Report on Form 20-F for the year ended December 31, 2001 (the "2001 Form 20-F)).</w:t>
      </w:r>
    </w:p>
    <w:p>
      <w:pPr>
        <w:spacing w:after="0" w:line="14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4.17 Letter Agreement, dated November 29, 2001, among SanDisk, Alliance, Macronix, QuickLogic and the Registrant regarding the Utilization of Prepayments (incorporated by reference to exhibit 4.18 to the 2001 Form 20-F).</w:t>
      </w:r>
    </w:p>
    <w:p>
      <w:pPr>
        <w:spacing w:after="0" w:line="139"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4.18 Letter Agreements among Alliance, Macronix, QuickLogic, Israel Corp. and the Registrant and between SanDisk and the Registrant regarding Additional Wafer Partner Financing Date (incorporated by reference to exhibit 4.19 to the 2001 Form 20-F).</w:t>
      </w:r>
    </w:p>
    <w:p>
      <w:pPr>
        <w:spacing w:after="0" w:line="141" w:lineRule="exact"/>
        <w:rPr>
          <w:sz w:val="20"/>
          <w:szCs w:val="20"/>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4.19 Letter Agreement, dated November 15, 2001, among SanDisk, Alliance, Macronix, QuickLogic, ICTech and the Registrant regarding Amendment to Financing Plan (incorporated by reference to exhibit 4.20 to the 2001 Form 20-F).</w:t>
      </w:r>
    </w:p>
    <w:p>
      <w:pPr>
        <w:spacing w:after="0" w:line="126" w:lineRule="exact"/>
        <w:rPr>
          <w:sz w:val="20"/>
          <w:szCs w:val="20"/>
          <w:color w:val="auto"/>
        </w:rPr>
      </w:pPr>
    </w:p>
    <w:p>
      <w:pPr>
        <w:ind w:right="4899" w:firstLine="351"/>
        <w:spacing w:after="0" w:line="273" w:lineRule="auto"/>
        <w:rPr>
          <w:sz w:val="20"/>
          <w:szCs w:val="20"/>
          <w:color w:val="auto"/>
        </w:rPr>
      </w:pPr>
      <w:r>
        <w:rPr>
          <w:rFonts w:ascii="Courier New" w:cs="Courier New" w:eastAsia="Courier New" w:hAnsi="Courier New"/>
          <w:sz w:val="11"/>
          <w:szCs w:val="11"/>
          <w:color w:val="auto"/>
        </w:rPr>
        <w:t>4.20 First Amendment, dated January 29, 2001, to the Facility Agreement (incorporated by reference to exhibit 4.21 to the 2001 Form 20-F).</w:t>
      </w:r>
    </w:p>
    <w:p>
      <w:pPr>
        <w:sectPr>
          <w:pgSz w:w="11900" w:h="16838" w:orient="portrait"/>
          <w:cols w:equalWidth="0" w:num="1">
            <w:col w:w="10239"/>
          </w:cols>
          <w:pgMar w:left="220" w:top="141" w:right="1440" w:bottom="0" w:gutter="0" w:footer="0" w:header="0"/>
        </w:sectPr>
      </w:pPr>
    </w:p>
    <w:bookmarkStart w:id="47" w:name="page48"/>
    <w:bookmarkEnd w:id="47"/>
    <w:p>
      <w:pPr>
        <w:ind w:right="5119" w:firstLine="351"/>
        <w:spacing w:after="0" w:line="273" w:lineRule="auto"/>
        <w:rPr>
          <w:sz w:val="20"/>
          <w:szCs w:val="20"/>
          <w:color w:val="auto"/>
        </w:rPr>
      </w:pPr>
      <w:r>
        <w:rPr>
          <w:rFonts w:ascii="Courier New" w:cs="Courier New" w:eastAsia="Courier New" w:hAnsi="Courier New"/>
          <w:sz w:val="11"/>
          <w:szCs w:val="11"/>
          <w:color w:val="auto"/>
        </w:rPr>
        <w:t>4.21 Second Amendment, dated January 10, 2002, to Facility Agreement (incorporated by reference to exhibit 4.22 to the 2001 Form 20-F).</w:t>
      </w:r>
    </w:p>
    <w:p>
      <w:pPr>
        <w:spacing w:after="0" w:line="122" w:lineRule="exact"/>
        <w:rPr>
          <w:sz w:val="20"/>
          <w:szCs w:val="20"/>
          <w:color w:val="auto"/>
        </w:rPr>
      </w:pPr>
    </w:p>
    <w:p>
      <w:pPr>
        <w:ind w:right="5119" w:firstLine="351"/>
        <w:spacing w:after="0" w:line="273" w:lineRule="auto"/>
        <w:rPr>
          <w:sz w:val="20"/>
          <w:szCs w:val="20"/>
          <w:color w:val="auto"/>
        </w:rPr>
      </w:pPr>
      <w:r>
        <w:rPr>
          <w:rFonts w:ascii="Courier New" w:cs="Courier New" w:eastAsia="Courier New" w:hAnsi="Courier New"/>
          <w:sz w:val="11"/>
          <w:szCs w:val="11"/>
          <w:color w:val="auto"/>
        </w:rPr>
        <w:t>4.22 Third Amendment, dated March 7, 2002, to the Facility Agreement (incorporated by reference to exhibit 4.23 to the 2001 Form 20-F).</w:t>
      </w:r>
    </w:p>
    <w:p>
      <w:pPr>
        <w:spacing w:after="0" w:line="122"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4.23 Joint Development and Transfer and Cross License Agreement, dated May 2002, between the Registrant and a Japanese manufacturer (incorporated by reference to exhibit 10.3 to the Registrant's Registration Statement on Form F-2, No. 333-97043).</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4.24 Technology License Agreement, dated April 7, 2000, between the Registrant and Toshiba Corporation (incorporated by reference to exhibit 10.4 to the Registrant's Registration Statement on Form F-2, No. 333-97043). (Portions of this exhibit have been omitted pursuant to a request for confidential treatment.)</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4.25 Technology Transfer License Agreement, dated September 2002, between Registrant and Motorola, Inc. (incorporated by reference to exhibit 10.5 to the Registrant's Registration Statement on Form F-2, No. 333-97043). (Portions of this exhibit have been omitted pursuant to a request for confidential treatment.)</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- 83 -</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4.26 Fourth Amendment, dated April 29, 2002, to the Facility Agreement (incorporated by reference to exhibit 4.27 to the Registrant's Annual Report on Form 20-F for the year ended December 31, 2002 (the "2002 Form 20-F)).</w:t>
      </w:r>
    </w:p>
    <w:p>
      <w:pPr>
        <w:spacing w:after="0" w:line="139" w:lineRule="exact"/>
        <w:rPr>
          <w:sz w:val="20"/>
          <w:szCs w:val="20"/>
          <w:color w:val="auto"/>
        </w:rPr>
      </w:pPr>
    </w:p>
    <w:p>
      <w:pPr>
        <w:ind w:right="4899" w:firstLine="351"/>
        <w:spacing w:after="0" w:line="273" w:lineRule="auto"/>
        <w:rPr>
          <w:sz w:val="20"/>
          <w:szCs w:val="20"/>
          <w:color w:val="auto"/>
        </w:rPr>
      </w:pPr>
      <w:r>
        <w:rPr>
          <w:rFonts w:ascii="Courier New" w:cs="Courier New" w:eastAsia="Courier New" w:hAnsi="Courier New"/>
          <w:sz w:val="11"/>
          <w:szCs w:val="11"/>
          <w:color w:val="auto"/>
        </w:rPr>
        <w:t>4.27 Fifth Amendment dated September 18, 2002 to the Facility Agreement (incorporated by reference to exhibit 4.28 to the 2002 Form 20-F).</w:t>
      </w:r>
    </w:p>
    <w:p>
      <w:pPr>
        <w:spacing w:after="0" w:line="122"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4.28 Amendment to Fifth Amendment to the Facility Agreement, dated October 22, 2002, to the Facility Agreement (incorporated by reference to exhibit 4.29 to the2002 Form 20-F).</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4.29 Letter Agreement, dated March 2002, among SanDisk, Alliance, Macronix, ICTech and Challenge Fund to advance Third and Fourth Milestone Payments (incorporated by reference to exhibit 4.30 to the 2002 Form 20-F).</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4.30 Letter Agreement, dated July 2002, among SanDisk, Alliance, Macronix, and ICTech to exercise rights distributed in rights offering (incorporated by reference to exhibit 4.31 to the 2002 Form 20-F).</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4.31 Letter Agreement, dated March 2003, among SanDisk, Alliance, Macronix, ICTech, and the Registrant (incorporated by reference to exhibit 4.32 to the 2002 Form 20-F).</w:t>
      </w:r>
    </w:p>
    <w:p>
      <w:pPr>
        <w:spacing w:after="0" w:line="139" w:lineRule="exact"/>
        <w:rPr>
          <w:sz w:val="20"/>
          <w:szCs w:val="20"/>
          <w:color w:val="auto"/>
        </w:rPr>
      </w:pPr>
    </w:p>
    <w:p>
      <w:pPr>
        <w:ind w:right="4899" w:firstLine="351"/>
        <w:spacing w:after="0" w:line="236" w:lineRule="auto"/>
        <w:rPr>
          <w:sz w:val="20"/>
          <w:szCs w:val="20"/>
          <w:color w:val="auto"/>
        </w:rPr>
      </w:pPr>
      <w:r>
        <w:rPr>
          <w:rFonts w:ascii="Courier New" w:cs="Courier New" w:eastAsia="Courier New" w:hAnsi="Courier New"/>
          <w:sz w:val="12"/>
          <w:szCs w:val="12"/>
          <w:color w:val="auto"/>
        </w:rPr>
        <w:t>4.32 Form of Rights Agent Agreement between the Registrant and American Stock Transfer &amp; Trust Company (including form of Rights Certificate) (incorporated by reference to exhibit 4.1 to the Registrant's Registration Statement on Form F-2, No. 333-97043).</w:t>
      </w:r>
    </w:p>
    <w:p>
      <w:pPr>
        <w:spacing w:after="0" w:line="141"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4.33 Form of Warrant Agreement between the Registrant and American Stock Transfer &amp; Trust Company (including form of Warrant Certificate) (incorporated by reference to exhibit 4.2 to the Registrant's Registration Statement on Form F-2, No. 333-97043).</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4.34 Reserved.</w:t>
      </w:r>
    </w:p>
    <w:p>
      <w:pPr>
        <w:spacing w:after="0" w:line="139" w:lineRule="exact"/>
        <w:rPr>
          <w:sz w:val="20"/>
          <w:szCs w:val="20"/>
          <w:color w:val="auto"/>
        </w:rPr>
      </w:pPr>
    </w:p>
    <w:p>
      <w:pPr>
        <w:ind w:right="4699" w:firstLine="351"/>
        <w:spacing w:after="0" w:line="266" w:lineRule="auto"/>
        <w:rPr>
          <w:sz w:val="20"/>
          <w:szCs w:val="20"/>
          <w:color w:val="auto"/>
        </w:rPr>
      </w:pPr>
      <w:r>
        <w:rPr>
          <w:rFonts w:ascii="Courier New" w:cs="Courier New" w:eastAsia="Courier New" w:hAnsi="Courier New"/>
          <w:sz w:val="11"/>
          <w:szCs w:val="11"/>
          <w:color w:val="auto"/>
        </w:rPr>
        <w:t>4.35 Investment Center Agreement related to Fab 1, dated November 13, 2001 (English translation of Hebrew original) (incorporated by reference to exhibit 10.2 to the Registrant's Registration Statement on Form F-2, No. 333-97043).</w:t>
      </w:r>
    </w:p>
    <w:p>
      <w:pPr>
        <w:spacing w:after="0" w:line="126"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4.36 Development and License Agreement, dated March 31, 2002, between Virage Logic Corporation and the Registrant (incorporated by reference to exhibit 4.37 to the 2002 Form 20-F). (Portions of this exhibit have been omitted pursuant to a request for confidential treatment.)</w:t>
      </w:r>
    </w:p>
    <w:p>
      <w:pPr>
        <w:spacing w:after="0" w:line="141" w:lineRule="exact"/>
        <w:rPr>
          <w:sz w:val="20"/>
          <w:szCs w:val="20"/>
          <w:color w:val="auto"/>
        </w:rPr>
      </w:pPr>
    </w:p>
    <w:p>
      <w:pPr>
        <w:jc w:val="both"/>
        <w:ind w:right="5119" w:firstLine="351"/>
        <w:spacing w:after="0" w:line="236" w:lineRule="auto"/>
        <w:rPr>
          <w:sz w:val="20"/>
          <w:szCs w:val="20"/>
          <w:color w:val="auto"/>
        </w:rPr>
      </w:pPr>
      <w:r>
        <w:rPr>
          <w:rFonts w:ascii="Courier New" w:cs="Courier New" w:eastAsia="Courier New" w:hAnsi="Courier New"/>
          <w:sz w:val="12"/>
          <w:szCs w:val="12"/>
          <w:color w:val="auto"/>
        </w:rPr>
        <w:t>4.37 Master Services and License Agreement, dated June 2002, between Artisan Components, Inc. and the Registrant (incorporated by reference to exhibit 4.38 to the 2002 Form 20-F).</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4.38 Seventh Amendment to the Facility Agreement, dated November 11, 2003, (incorporated by reference to Exhibit 99.1 of the Registrant's Report on Form 6-K filed on December 17, 2003).</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4.39 Undertaking of the Registrant, dated November 11, 2003 (incorporated by reference to Exhibit 99.3 of the Registrant's Report on Form 6-K filed on December 17, 2003).</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4.40 Letter Agreement, dated November 11, 2003, by and among the Registrant, Israel Corporation Technologies, SanDisk Corporation, Alliance Semiconductor Corporation and Macronix International Co., Ltd. (incorporated by reference to Exhibit 99.4 of the Registrant's Report on Form 6-K filed on December 17, 2003).</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- 84 -</w:t>
      </w:r>
    </w:p>
    <w:p>
      <w:pPr>
        <w:spacing w:after="0" w:line="200" w:lineRule="exact"/>
        <w:rPr>
          <w:sz w:val="20"/>
          <w:szCs w:val="20"/>
          <w:color w:val="auto"/>
        </w:rPr>
      </w:pPr>
    </w:p>
    <w:p>
      <w:pPr>
        <w:spacing w:after="0" w:line="3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4.41 Foundry Agreement, dated May 12, 2004, between the Registrant and Siliconix incorporated (incorporated by reference to exhibit 4.42 to the Registrant's Annual Report on Form 20-F for the year ended December 31, 2004 (the " 2004 Form 20-F)). (Portions of this exhibit have been omitted pursuant to a request for confidential treatment.)</w:t>
      </w:r>
    </w:p>
    <w:p>
      <w:pPr>
        <w:spacing w:after="0" w:line="139" w:lineRule="exact"/>
        <w:rPr>
          <w:sz w:val="20"/>
          <w:szCs w:val="20"/>
          <w:color w:val="auto"/>
        </w:rPr>
      </w:pPr>
    </w:p>
    <w:p>
      <w:pPr>
        <w:ind w:right="5119" w:firstLine="351"/>
        <w:spacing w:after="0" w:line="236" w:lineRule="auto"/>
        <w:rPr>
          <w:sz w:val="20"/>
          <w:szCs w:val="20"/>
          <w:color w:val="auto"/>
        </w:rPr>
      </w:pPr>
      <w:r>
        <w:rPr>
          <w:rFonts w:ascii="Courier New" w:cs="Courier New" w:eastAsia="Courier New" w:hAnsi="Courier New"/>
          <w:sz w:val="12"/>
          <w:szCs w:val="12"/>
          <w:color w:val="auto"/>
        </w:rPr>
        <w:t>4.42 Share Purchase Agreement, dated December 8, 2004, between the Registrant and the Purchasers named therein (incorporated by reference to exhibit 4.43 to the 2004 Form 20-F).</w:t>
      </w:r>
    </w:p>
    <w:p>
      <w:pPr>
        <w:spacing w:after="0" w:line="139"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4.43 Agreement, dated December 31, 2004, by and among the Registrant and the Purchasers named therein (incorporated by reference to exhibit 4.44 to the 2004 Form 20-F).</w:t>
      </w:r>
    </w:p>
    <w:p>
      <w:pPr>
        <w:spacing w:after="0" w:line="139"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4.44 Employee Share Option Plan 2004 (incorporated by reference to Exhibit 4.3 to the Registrant's Registration Statement on Form S-8 No. 333-117565 ("Form S-8 No. 333-117565").</w:t>
      </w:r>
    </w:p>
    <w:p>
      <w:pPr>
        <w:spacing w:after="0" w:line="139"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4.45 Form of Grant Letter to Israeli Employees (incorporated by reference to Exhibit 4.4 to Form S-8 No. 333-117565).</w:t>
      </w:r>
    </w:p>
    <w:p>
      <w:pPr>
        <w:spacing w:after="0" w:line="139"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4.46 Form of Grant Letter to US Employees (incorporated by reference to Exhibit 4.5 to Form S-8 No. 333-117565).</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4.47 Bank Warrants, dated August 2005, between the Registrant and Bank</w:t>
      </w:r>
    </w:p>
    <w:p>
      <w:pPr>
        <w:sectPr>
          <w:pgSz w:w="11900" w:h="16838" w:orient="portrait"/>
          <w:cols w:equalWidth="0" w:num="1">
            <w:col w:w="10239"/>
          </w:cols>
          <w:pgMar w:left="220" w:top="141" w:right="1440" w:bottom="0" w:gutter="0" w:footer="0" w:header="0"/>
        </w:sectPr>
      </w:pPr>
    </w:p>
    <w:bookmarkStart w:id="48" w:name="page49"/>
    <w:bookmarkEnd w:id="48"/>
    <w:p>
      <w:pPr>
        <w:ind w:right="4699"/>
        <w:spacing w:after="0" w:line="236" w:lineRule="auto"/>
        <w:rPr>
          <w:sz w:val="20"/>
          <w:szCs w:val="20"/>
          <w:color w:val="auto"/>
        </w:rPr>
      </w:pPr>
      <w:r>
        <w:rPr>
          <w:rFonts w:ascii="Courier New" w:cs="Courier New" w:eastAsia="Courier New" w:hAnsi="Courier New"/>
          <w:sz w:val="12"/>
          <w:szCs w:val="12"/>
          <w:color w:val="auto"/>
        </w:rPr>
        <w:t>Hapoalim B.M. and Bank Leumi Le-Israel B.M (incorporated by reference to correspondingly-numbered exhibit to the Registrant's Annual Report on Form 20-F for the year ended December 31, 2005 (the "2005 Form 20-F").</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4.48 Ninth Amendment to the Facility Agreement, dated July 2005, dated July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24, 2005 (incorporated by reference to exhibit 4.5 to the Form F-1 No.</w:t>
      </w:r>
    </w:p>
    <w:p>
      <w:pPr>
        <w:spacing w:after="0"/>
        <w:rPr>
          <w:sz w:val="20"/>
          <w:szCs w:val="20"/>
          <w:color w:val="auto"/>
        </w:rPr>
      </w:pPr>
      <w:r>
        <w:rPr>
          <w:rFonts w:ascii="Courier New" w:cs="Courier New" w:eastAsia="Courier New" w:hAnsi="Courier New"/>
          <w:sz w:val="12"/>
          <w:szCs w:val="12"/>
          <w:color w:val="auto"/>
        </w:rPr>
        <w:t>333-126909 ("Form F-1 No. 333-126909").</w:t>
      </w:r>
    </w:p>
    <w:p>
      <w:pPr>
        <w:spacing w:after="0" w:line="138" w:lineRule="exact"/>
        <w:rPr>
          <w:sz w:val="20"/>
          <w:szCs w:val="20"/>
          <w:color w:val="auto"/>
        </w:rPr>
      </w:pPr>
    </w:p>
    <w:p>
      <w:pPr>
        <w:ind w:right="5119" w:firstLine="351"/>
        <w:spacing w:after="0" w:line="273" w:lineRule="auto"/>
        <w:rPr>
          <w:sz w:val="20"/>
          <w:szCs w:val="20"/>
          <w:color w:val="auto"/>
        </w:rPr>
      </w:pPr>
      <w:r>
        <w:rPr>
          <w:rFonts w:ascii="Courier New" w:cs="Courier New" w:eastAsia="Courier New" w:hAnsi="Courier New"/>
          <w:sz w:val="11"/>
          <w:szCs w:val="11"/>
          <w:color w:val="auto"/>
        </w:rPr>
        <w:t>4.49 Tenth Amendment to the Facility Agreement, dated September 2005 (incorporated by reference to Exhibit 4.4 to Form F-1 No. 333-126909).</w:t>
      </w:r>
    </w:p>
    <w:p>
      <w:pPr>
        <w:spacing w:after="0" w:line="122" w:lineRule="exact"/>
        <w:rPr>
          <w:sz w:val="20"/>
          <w:szCs w:val="20"/>
          <w:color w:val="auto"/>
        </w:rPr>
      </w:pPr>
    </w:p>
    <w:p>
      <w:pPr>
        <w:ind w:right="5039" w:firstLine="351"/>
        <w:spacing w:after="0" w:line="273" w:lineRule="auto"/>
        <w:rPr>
          <w:sz w:val="20"/>
          <w:szCs w:val="20"/>
          <w:color w:val="auto"/>
        </w:rPr>
      </w:pPr>
      <w:r>
        <w:rPr>
          <w:rFonts w:ascii="Courier New" w:cs="Courier New" w:eastAsia="Courier New" w:hAnsi="Courier New"/>
          <w:sz w:val="11"/>
          <w:szCs w:val="11"/>
          <w:color w:val="auto"/>
        </w:rPr>
        <w:t>4.50 Eleventh Amendment to the Facility Agreement, dated October 2005 (incorporated by reference to Exhibit 4.3 to Form F-1 No. 333-126909).</w:t>
      </w:r>
    </w:p>
    <w:p>
      <w:pPr>
        <w:spacing w:after="0" w:line="122" w:lineRule="exact"/>
        <w:rPr>
          <w:sz w:val="20"/>
          <w:szCs w:val="20"/>
          <w:color w:val="auto"/>
        </w:rPr>
      </w:pPr>
    </w:p>
    <w:p>
      <w:pPr>
        <w:ind w:right="5039" w:firstLine="351"/>
        <w:spacing w:after="0" w:line="273" w:lineRule="auto"/>
        <w:rPr>
          <w:sz w:val="20"/>
          <w:szCs w:val="20"/>
          <w:color w:val="auto"/>
        </w:rPr>
      </w:pPr>
      <w:r>
        <w:rPr>
          <w:rFonts w:ascii="Courier New" w:cs="Courier New" w:eastAsia="Courier New" w:hAnsi="Courier New"/>
          <w:sz w:val="11"/>
          <w:szCs w:val="11"/>
          <w:color w:val="auto"/>
        </w:rPr>
        <w:t>4.51 Twelfth Amendment to the Facility Agreement, dated November 2005 (incorporated by reference to Exhibit 4.6 to Form F-1 No. 333-126909).</w:t>
      </w:r>
    </w:p>
    <w:p>
      <w:pPr>
        <w:spacing w:after="0" w:line="117"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4.52 Thirteenth Amendment to the Facility Agreement, dated May 2006</w:t>
      </w:r>
    </w:p>
    <w:p>
      <w:pPr>
        <w:spacing w:after="0"/>
        <w:rPr>
          <w:sz w:val="20"/>
          <w:szCs w:val="20"/>
          <w:color w:val="auto"/>
        </w:rPr>
      </w:pPr>
      <w:r>
        <w:rPr>
          <w:rFonts w:ascii="Courier New" w:cs="Courier New" w:eastAsia="Courier New" w:hAnsi="Courier New"/>
          <w:sz w:val="12"/>
          <w:szCs w:val="12"/>
          <w:color w:val="auto"/>
        </w:rPr>
        <w:t>(incorporated by reference to correspondingly-numbered exhibit to the</w:t>
      </w:r>
    </w:p>
    <w:p>
      <w:pPr>
        <w:spacing w:after="0" w:line="237" w:lineRule="auto"/>
        <w:rPr>
          <w:sz w:val="20"/>
          <w:szCs w:val="20"/>
          <w:color w:val="auto"/>
        </w:rPr>
      </w:pPr>
      <w:r>
        <w:rPr>
          <w:rFonts w:ascii="Courier New" w:cs="Courier New" w:eastAsia="Courier New" w:hAnsi="Courier New"/>
          <w:sz w:val="12"/>
          <w:szCs w:val="12"/>
          <w:color w:val="auto"/>
        </w:rPr>
        <w:t>Registrant's Annual Report on Form 20-F for the year ended December 31,</w:t>
      </w:r>
    </w:p>
    <w:p>
      <w:pPr>
        <w:spacing w:after="0"/>
        <w:rPr>
          <w:sz w:val="20"/>
          <w:szCs w:val="20"/>
          <w:color w:val="auto"/>
        </w:rPr>
      </w:pPr>
      <w:r>
        <w:rPr>
          <w:rFonts w:ascii="Courier New" w:cs="Courier New" w:eastAsia="Courier New" w:hAnsi="Courier New"/>
          <w:sz w:val="12"/>
          <w:szCs w:val="12"/>
          <w:color w:val="auto"/>
        </w:rPr>
        <w:t>2006"2006 Form 20-F").</w:t>
      </w:r>
    </w:p>
    <w:p>
      <w:pPr>
        <w:spacing w:after="0" w:line="138"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4.53 Fourteenth Amendment to the Facility Agreement, dated May 2006 (incorporated by reference to correspondingly-numbered exhibit to the 2006 Form 20-F).</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4.54 Fifteenth Amendment to the Facility Agreement, dated June 2006 (incorporated by reference to correspondingly-numbered exhibit to the 2006 Form 20-F).</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4.55 Reserved.</w:t>
      </w:r>
    </w:p>
    <w:p>
      <w:pPr>
        <w:spacing w:after="0" w:line="139" w:lineRule="exact"/>
        <w:rPr>
          <w:sz w:val="20"/>
          <w:szCs w:val="20"/>
          <w:color w:val="auto"/>
        </w:rPr>
      </w:pPr>
    </w:p>
    <w:p>
      <w:pPr>
        <w:ind w:right="5119" w:firstLine="351"/>
        <w:spacing w:after="0" w:line="273" w:lineRule="auto"/>
        <w:rPr>
          <w:sz w:val="20"/>
          <w:szCs w:val="20"/>
          <w:color w:val="auto"/>
        </w:rPr>
      </w:pPr>
      <w:r>
        <w:rPr>
          <w:rFonts w:ascii="Courier New" w:cs="Courier New" w:eastAsia="Courier New" w:hAnsi="Courier New"/>
          <w:sz w:val="11"/>
          <w:szCs w:val="11"/>
          <w:color w:val="auto"/>
        </w:rPr>
        <w:t>4.56 Form of Rights Agent Agreement with Rights Certificate Attached (incorporated by reference to Exhibit 4.1 to Form F-1 No. 333-126909).</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- 85 -</w:t>
      </w:r>
    </w:p>
    <w:p>
      <w:pPr>
        <w:spacing w:after="0" w:line="200" w:lineRule="exact"/>
        <w:rPr>
          <w:sz w:val="20"/>
          <w:szCs w:val="20"/>
          <w:color w:val="auto"/>
        </w:rPr>
      </w:pPr>
    </w:p>
    <w:p>
      <w:pPr>
        <w:spacing w:after="0" w:line="326"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4.57 Development and License Agreement, dated July 2005, between Impinj, Inc. and the Registrant (incorporated by reference to correspondingly-numbered exhibit to the 2005 Form 20-F). (Portions of this exhibit have been omitted pursuant to a request for confidential treatment.)</w:t>
      </w:r>
    </w:p>
    <w:p>
      <w:pPr>
        <w:spacing w:after="0" w:line="141" w:lineRule="exact"/>
        <w:rPr>
          <w:sz w:val="20"/>
          <w:szCs w:val="20"/>
          <w:color w:val="auto"/>
        </w:rPr>
      </w:pPr>
    </w:p>
    <w:p>
      <w:pPr>
        <w:ind w:right="4699" w:firstLine="351"/>
        <w:spacing w:after="0" w:line="264" w:lineRule="auto"/>
        <w:rPr>
          <w:sz w:val="20"/>
          <w:szCs w:val="20"/>
          <w:color w:val="auto"/>
        </w:rPr>
      </w:pPr>
      <w:r>
        <w:rPr>
          <w:rFonts w:ascii="Courier New" w:cs="Courier New" w:eastAsia="Courier New" w:hAnsi="Courier New"/>
          <w:sz w:val="11"/>
          <w:szCs w:val="11"/>
          <w:color w:val="auto"/>
        </w:rPr>
        <w:t>4.58 License and Design Agreement, dated January 10, 2003 between Chipidea Microelectronics S.A. and the Registrant (incorporated by reference to correspondingly-numbered exhibit to the 2005 Form 20-F). (Portions of this exhibit have been omitted pursuant to a request for confidential treatment.)</w:t>
      </w:r>
    </w:p>
    <w:p>
      <w:pPr>
        <w:spacing w:after="0" w:line="127"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4.59 Amendment to Design Agreement of January 2003 between Chipidea Microelectronics S.A. and the Registrant, dated June 2005 (incorporated by reference to correspondingly-numbered exhibit to the 2005 Form 20-F). (Portions of this exhibit have been omitted pursuant to a request for confidential treatment.)</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4.60 License Agreement, dated April 29, 2004, between Synopsys, Inc. and the Registrant (incorporated by reference to correspondingly-numbered exhibit to the 2005 Form 20-F). (Portions of this exhibit have been omitted pursuant to a request for confidential treatment.)</w:t>
      </w:r>
    </w:p>
    <w:p>
      <w:pPr>
        <w:spacing w:after="0" w:line="141"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4.62 Employee Share Option Plan 2005 (incorporated by reference to 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 of the 2006 Form S-8).</w:t>
      </w:r>
    </w:p>
    <w:p>
      <w:pPr>
        <w:spacing w:after="0" w:line="139"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4.63 Form of Grant Letter to Israeli Employees (incorporated by reference to Exhibit 4.4 of the 2006 Form S-8).</w:t>
      </w:r>
    </w:p>
    <w:p>
      <w:pPr>
        <w:spacing w:after="0" w:line="139"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4.64 Form of Grant Letter to US Employees (incorporated by reference to Exhibit 4.5 of the 2006 Form S-8).</w:t>
      </w:r>
    </w:p>
    <w:p>
      <w:pPr>
        <w:spacing w:after="0" w:line="139"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4.65 CEO Share Option Plan 2005 (incorporated by reference to Exhibit 4.6 of the 2006 Form S-8).</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4.66 Option Grant Letter Agreement - CEO Share Option Plan 2005 from the Registrant to Russell Ellwanger, dated July 15, 2005 (incorporated by reference to Exhibit 4.7 of the 2006 Form S-8).</w:t>
      </w:r>
    </w:p>
    <w:p>
      <w:pPr>
        <w:spacing w:after="0" w:line="139"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4.67 Option Grant Letter Agreement - CEO Share Option Plan 2005 from the Registrant to Russell Ellwanger, dated September 28, 2006 (incorporated by reference to Exhibit 4.8 of the 2006 Form S-8).</w:t>
      </w:r>
    </w:p>
    <w:p>
      <w:pPr>
        <w:spacing w:after="0" w:line="139" w:lineRule="exact"/>
        <w:rPr>
          <w:sz w:val="20"/>
          <w:szCs w:val="20"/>
          <w:color w:val="auto"/>
        </w:rPr>
      </w:pPr>
    </w:p>
    <w:p>
      <w:pPr>
        <w:jc w:val="both"/>
        <w:ind w:right="4699" w:firstLine="351"/>
        <w:spacing w:after="0" w:line="236" w:lineRule="auto"/>
        <w:rPr>
          <w:sz w:val="20"/>
          <w:szCs w:val="20"/>
          <w:color w:val="auto"/>
        </w:rPr>
      </w:pPr>
      <w:r>
        <w:rPr>
          <w:rFonts w:ascii="Courier New" w:cs="Courier New" w:eastAsia="Courier New" w:hAnsi="Courier New"/>
          <w:sz w:val="12"/>
          <w:szCs w:val="12"/>
          <w:color w:val="auto"/>
        </w:rPr>
        <w:t>4.68 Option Grant Letter Agreement - CEO Share Option Plan 2005 from Tower Semiconductor USA, Inc. to Russell Ellwanger, dated July 15, 2005 (incorporated by reference to Exhibit 4.9 of the 2006 Form S-8).</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4.69 Equity Convertible Capital Note, dated September 28, 2006, issued to Israel Corporation Ltd. (incorporated by reference to Exhibit 99.4 of the Form 6-K for the month of November 2006 No. 6 filed on November 7, 2006 (the "November 2006 Form 6-K")).</w:t>
      </w:r>
    </w:p>
    <w:p>
      <w:pPr>
        <w:spacing w:after="0" w:line="14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4.70 Registration Rights Agreement, dated September 28, 2006, with Israel Corporation Ltd. (incorporated by reference to Exhibit 99.5 of the November 2006 Form 6-K).</w:t>
      </w:r>
    </w:p>
    <w:p>
      <w:pPr>
        <w:spacing w:after="0" w:line="139"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4.71 Amending Agreement, dated August 24, 2006, with Bank Hapoalim B.M. and Bank Leumi Le-Israel B.M., to the Facility Agreement (incorporated by reference to Exhibit 99.6 of the November 2006 Form 6-K).</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- 86 -</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4.72 Facility Agreement, as amended and restated by the parties through August 24, 2006 (incorporated by reference to Exhibit 99.7 of the November 2006 Form 6-K).</w:t>
      </w:r>
    </w:p>
    <w:p>
      <w:pPr>
        <w:spacing w:after="0" w:line="139" w:lineRule="exact"/>
        <w:rPr>
          <w:sz w:val="20"/>
          <w:szCs w:val="20"/>
          <w:color w:val="auto"/>
        </w:rPr>
      </w:pPr>
    </w:p>
    <w:p>
      <w:pPr>
        <w:ind w:right="4699" w:firstLine="351"/>
        <w:spacing w:after="0" w:line="273" w:lineRule="auto"/>
        <w:rPr>
          <w:sz w:val="20"/>
          <w:szCs w:val="20"/>
          <w:color w:val="auto"/>
        </w:rPr>
      </w:pPr>
      <w:r>
        <w:rPr>
          <w:rFonts w:ascii="Courier New" w:cs="Courier New" w:eastAsia="Courier New" w:hAnsi="Courier New"/>
          <w:sz w:val="11"/>
          <w:szCs w:val="11"/>
          <w:color w:val="auto"/>
        </w:rPr>
        <w:t>4.73 Conversion Agreement, dated September 28, 2006, with Bank Hapoalim B.M. (incorporated by reference to Exhibit 99.8 of the November 2006 Form 6-K).</w:t>
      </w:r>
    </w:p>
    <w:p>
      <w:pPr>
        <w:spacing w:after="0" w:line="122"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4.74 Conversion Agreement, dated September 28, 2006, with Bank Leumi Le-Israel B.M. (incorporated by reference to Exhibit 99.9 of the November 2006 Form 6-K).</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4.75 Registration Rights Agreement, dated September 28, 2006, with Bank Hapoalim B.M. (incorporated by reference to Exhibit 99.10 of the November 2006 Form 6-K).</w:t>
      </w:r>
    </w:p>
    <w:p>
      <w:pPr>
        <w:spacing w:after="0" w:line="139" w:lineRule="exact"/>
        <w:rPr>
          <w:sz w:val="20"/>
          <w:szCs w:val="20"/>
          <w:color w:val="auto"/>
        </w:rPr>
      </w:pPr>
    </w:p>
    <w:p>
      <w:pPr>
        <w:ind w:right="4619" w:firstLine="351"/>
        <w:spacing w:after="0" w:line="273" w:lineRule="auto"/>
        <w:rPr>
          <w:sz w:val="20"/>
          <w:szCs w:val="20"/>
          <w:color w:val="auto"/>
        </w:rPr>
      </w:pPr>
      <w:r>
        <w:rPr>
          <w:rFonts w:ascii="Courier New" w:cs="Courier New" w:eastAsia="Courier New" w:hAnsi="Courier New"/>
          <w:sz w:val="11"/>
          <w:szCs w:val="11"/>
          <w:color w:val="auto"/>
        </w:rPr>
        <w:t>4.76 Registration Rights Agreement, dated September 28, 2006, with Bank Leumi Le-Israel B.M. (incorporated by reference to Exhibit 99.11 of the November</w:t>
      </w:r>
    </w:p>
    <w:p>
      <w:pPr>
        <w:sectPr>
          <w:pgSz w:w="11900" w:h="16838" w:orient="portrait"/>
          <w:cols w:equalWidth="0" w:num="1">
            <w:col w:w="10239"/>
          </w:cols>
          <w:pgMar w:left="220" w:top="141"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2"/>
          <w:szCs w:val="12"/>
          <w:color w:val="auto"/>
        </w:rPr>
        <w:t>2006 Form 6-K).</w:t>
      </w:r>
    </w:p>
    <w:p>
      <w:pPr>
        <w:spacing w:after="0" w:line="139"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4.77 Equity Convertible Capital Note, dated September 28, 2006, issued to Bank Hapoalim B.M. (incorporated by reference to Exhibit 99.12 of the November 2006 Form 6-K).</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4.78 Equity Convertible Capital Note, dated September 28, 2006, issued to Bank Leumi Le-Israel B.M. (incorporated by reference to Exhibit 99.13 of the November 2006 Form 6-K).</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4.79 Form of Securities Purchase Agreement (incorporated by reference to Exhibit 99.2 of the Form 6-K for the month of March 2007 No.1 filed on March 15, 2007 (the "March 2007 Form 6-K")).</w:t>
      </w:r>
    </w:p>
    <w:p>
      <w:pPr>
        <w:spacing w:after="0" w:line="139"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4.80 Form of Registration Rights Agreement (incorporated by reference to Exhibit 99.4 of the March 2007 Form 6-K).</w:t>
      </w:r>
    </w:p>
    <w:p>
      <w:pPr>
        <w:spacing w:after="0" w:line="139"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4.81 Loan Agreement, dated August 2006, between the Registrant and SanDisk Corporation.</w:t>
      </w:r>
    </w:p>
    <w:p>
      <w:pPr>
        <w:spacing w:after="0" w:line="139"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12.1 Certification by Chief Executive Officer pursuant to Section 302 of the Sarbanes-Oxley Act of 2002.</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12.2 Certification by Acting Chief Financial Officer pursuant to Section</w:t>
      </w:r>
    </w:p>
    <w:p>
      <w:pPr>
        <w:spacing w:after="0"/>
        <w:rPr>
          <w:sz w:val="20"/>
          <w:szCs w:val="20"/>
          <w:color w:val="auto"/>
        </w:rPr>
      </w:pPr>
      <w:r>
        <w:rPr>
          <w:rFonts w:ascii="Courier New" w:cs="Courier New" w:eastAsia="Courier New" w:hAnsi="Courier New"/>
          <w:sz w:val="12"/>
          <w:szCs w:val="12"/>
          <w:color w:val="auto"/>
        </w:rPr>
        <w:t>302 of the Sarbanes-Oxley Act of 2002.</w:t>
      </w:r>
    </w:p>
    <w:p>
      <w:pPr>
        <w:spacing w:after="0" w:line="138"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13.1 Certification by Chief Executive Officer pursuant to Section 906 of the Sarbanes-Oxley Act of 2002.</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13.2 Certification by Acting Chief Financial Officer pursuant to Section</w:t>
      </w:r>
    </w:p>
    <w:p>
      <w:pPr>
        <w:spacing w:after="0"/>
        <w:rPr>
          <w:sz w:val="20"/>
          <w:szCs w:val="20"/>
          <w:color w:val="auto"/>
        </w:rPr>
      </w:pPr>
      <w:r>
        <w:rPr>
          <w:rFonts w:ascii="Courier New" w:cs="Courier New" w:eastAsia="Courier New" w:hAnsi="Courier New"/>
          <w:sz w:val="12"/>
          <w:szCs w:val="12"/>
          <w:color w:val="auto"/>
        </w:rPr>
        <w:t>906 of the Sarbanes-Oxley Act of 2002.</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14.1 Consent of Brightman Almagor &amp; Co.</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- 87 -</w:t>
      </w:r>
    </w:p>
    <w:p>
      <w:pPr>
        <w:spacing w:after="0" w:line="200" w:lineRule="exact"/>
        <w:rPr>
          <w:sz w:val="20"/>
          <w:szCs w:val="20"/>
          <w:color w:val="auto"/>
        </w:rPr>
      </w:pPr>
    </w:p>
    <w:p>
      <w:pPr>
        <w:spacing w:after="0" w:line="322"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SIGNATURES</w:t>
      </w:r>
    </w:p>
    <w:p>
      <w:pPr>
        <w:spacing w:after="0" w:line="139" w:lineRule="exact"/>
        <w:rPr>
          <w:sz w:val="20"/>
          <w:szCs w:val="20"/>
          <w:color w:val="auto"/>
        </w:rPr>
      </w:pPr>
    </w:p>
    <w:p>
      <w:pPr>
        <w:ind w:right="4699" w:firstLine="351"/>
        <w:spacing w:after="0" w:line="264" w:lineRule="auto"/>
        <w:rPr>
          <w:sz w:val="20"/>
          <w:szCs w:val="20"/>
          <w:color w:val="auto"/>
        </w:rPr>
      </w:pPr>
      <w:r>
        <w:rPr>
          <w:rFonts w:ascii="Courier New" w:cs="Courier New" w:eastAsia="Courier New" w:hAnsi="Courier New"/>
          <w:sz w:val="11"/>
          <w:szCs w:val="11"/>
          <w:color w:val="auto"/>
        </w:rPr>
        <w:t>Pursuant to the requirements of Section 12 of the Securities Exchange Act of 1934, the registrant certifies that it meets all the requirements for filing on Form 20-F and has duly caused this Annual Report to be signed on its behalf by the undersigned, thereunto duly authorized on this 25th day of June, 2007.</w:t>
      </w:r>
    </w:p>
    <w:p>
      <w:pPr>
        <w:spacing w:after="0" w:line="123" w:lineRule="exact"/>
        <w:rPr>
          <w:sz w:val="20"/>
          <w:szCs w:val="20"/>
          <w:color w:val="auto"/>
        </w:rPr>
      </w:pPr>
    </w:p>
    <w:p>
      <w:pPr>
        <w:ind w:left="3580"/>
        <w:spacing w:after="0"/>
        <w:rPr>
          <w:sz w:val="20"/>
          <w:szCs w:val="20"/>
          <w:color w:val="auto"/>
        </w:rPr>
      </w:pPr>
      <w:r>
        <w:rPr>
          <w:rFonts w:ascii="Courier New" w:cs="Courier New" w:eastAsia="Courier New" w:hAnsi="Courier New"/>
          <w:sz w:val="12"/>
          <w:szCs w:val="12"/>
          <w:color w:val="auto"/>
        </w:rPr>
        <w:t>TOWER SEMICONDUCTOR LTD.</w:t>
      </w:r>
    </w:p>
    <w:p>
      <w:pPr>
        <w:spacing w:after="0" w:line="134" w:lineRule="exact"/>
        <w:rPr>
          <w:sz w:val="20"/>
          <w:szCs w:val="20"/>
          <w:color w:val="auto"/>
        </w:rPr>
      </w:pPr>
    </w:p>
    <w:p>
      <w:pPr>
        <w:ind w:left="3580"/>
        <w:spacing w:after="0"/>
        <w:rPr>
          <w:sz w:val="20"/>
          <w:szCs w:val="20"/>
          <w:color w:val="auto"/>
        </w:rPr>
      </w:pPr>
      <w:r>
        <w:rPr>
          <w:rFonts w:ascii="Courier New" w:cs="Courier New" w:eastAsia="Courier New" w:hAnsi="Courier New"/>
          <w:sz w:val="12"/>
          <w:szCs w:val="12"/>
          <w:color w:val="auto"/>
        </w:rPr>
        <w:t>By: /s/ Russell C. Ellwanger</w:t>
      </w:r>
    </w:p>
    <w:p>
      <w:pPr>
        <w:ind w:left="3580"/>
        <w:spacing w:after="0"/>
        <w:rPr>
          <w:sz w:val="20"/>
          <w:szCs w:val="20"/>
          <w:color w:val="auto"/>
        </w:rPr>
      </w:pPr>
      <w:r>
        <w:rPr>
          <w:rFonts w:ascii="Courier New" w:cs="Courier New" w:eastAsia="Courier New" w:hAnsi="Courier New"/>
          <w:sz w:val="12"/>
          <w:szCs w:val="12"/>
          <w:color w:val="auto"/>
        </w:rPr>
        <w:t>----------------------------</w:t>
      </w:r>
    </w:p>
    <w:tbl>
      <w:tblPr>
        <w:tblLayout w:type="fixed"/>
        <w:tblInd w:w="0" w:type="dxa"/>
        <w:tblCellMar>
          <w:top w:w="0" w:type="dxa"/>
          <w:left w:w="0" w:type="dxa"/>
          <w:bottom w:w="0" w:type="dxa"/>
          <w:right w:w="0" w:type="dxa"/>
        </w:tblCellMar>
      </w:tblPr>
      <w:tr>
        <w:trPr>
          <w:trHeight w:val="134"/>
        </w:trPr>
        <w:tc>
          <w:tcPr>
            <w:tcW w:w="5620" w:type="dxa"/>
            <w:vAlign w:val="bottom"/>
            <w:gridSpan w:val="2"/>
          </w:tcPr>
          <w:p>
            <w:pPr>
              <w:ind w:left="3580"/>
              <w:spacing w:after="0" w:line="135" w:lineRule="exact"/>
              <w:rPr>
                <w:sz w:val="20"/>
                <w:szCs w:val="20"/>
                <w:color w:val="auto"/>
              </w:rPr>
            </w:pPr>
            <w:r>
              <w:rPr>
                <w:rFonts w:ascii="Courier New" w:cs="Courier New" w:eastAsia="Courier New" w:hAnsi="Courier New"/>
                <w:sz w:val="12"/>
                <w:szCs w:val="12"/>
                <w:color w:val="auto"/>
              </w:rPr>
              <w:t>Russell C. Ellwanger</w:t>
            </w:r>
          </w:p>
        </w:tc>
      </w:tr>
      <w:tr>
        <w:trPr>
          <w:trHeight w:val="135"/>
        </w:trPr>
        <w:tc>
          <w:tcPr>
            <w:tcW w:w="5620" w:type="dxa"/>
            <w:vAlign w:val="bottom"/>
            <w:gridSpan w:val="2"/>
          </w:tcPr>
          <w:p>
            <w:pPr>
              <w:ind w:left="3580"/>
              <w:spacing w:after="0"/>
              <w:rPr>
                <w:sz w:val="20"/>
                <w:szCs w:val="20"/>
                <w:color w:val="auto"/>
              </w:rPr>
            </w:pPr>
            <w:r>
              <w:rPr>
                <w:rFonts w:ascii="Courier New" w:cs="Courier New" w:eastAsia="Courier New" w:hAnsi="Courier New"/>
                <w:sz w:val="12"/>
                <w:szCs w:val="12"/>
                <w:color w:val="auto"/>
              </w:rPr>
              <w:t>Chief Executive Officer</w:t>
            </w:r>
          </w:p>
        </w:tc>
      </w:tr>
      <w:tr>
        <w:trPr>
          <w:trHeight w:val="270"/>
        </w:trPr>
        <w:tc>
          <w:tcPr>
            <w:tcW w:w="4880" w:type="dxa"/>
            <w:vAlign w:val="bottom"/>
          </w:tcPr>
          <w:p>
            <w:pPr>
              <w:jc w:val="center"/>
              <w:ind w:left="681"/>
              <w:spacing w:after="0"/>
              <w:rPr>
                <w:sz w:val="20"/>
                <w:szCs w:val="20"/>
                <w:color w:val="auto"/>
              </w:rPr>
            </w:pPr>
            <w:r>
              <w:rPr>
                <w:rFonts w:ascii="Courier New" w:cs="Courier New" w:eastAsia="Courier New" w:hAnsi="Courier New"/>
                <w:sz w:val="12"/>
                <w:szCs w:val="12"/>
                <w:color w:val="auto"/>
                <w:w w:val="97"/>
              </w:rPr>
              <w:t>- 88 -</w:t>
            </w:r>
          </w:p>
        </w:tc>
        <w:tc>
          <w:tcPr>
            <w:tcW w:w="740" w:type="dxa"/>
            <w:vAlign w:val="bottom"/>
          </w:tcPr>
          <w:p>
            <w:pPr>
              <w:spacing w:after="0"/>
              <w:rPr>
                <w:sz w:val="23"/>
                <w:szCs w:val="23"/>
                <w:color w:val="auto"/>
              </w:rPr>
            </w:pPr>
          </w:p>
        </w:tc>
      </w:tr>
      <w:tr>
        <w:trPr>
          <w:trHeight w:val="522"/>
        </w:trPr>
        <w:tc>
          <w:tcPr>
            <w:tcW w:w="4880" w:type="dxa"/>
            <w:vAlign w:val="bottom"/>
          </w:tcPr>
          <w:p>
            <w:pPr>
              <w:jc w:val="center"/>
              <w:ind w:left="661"/>
              <w:spacing w:after="0"/>
              <w:rPr>
                <w:sz w:val="20"/>
                <w:szCs w:val="20"/>
                <w:color w:val="auto"/>
              </w:rPr>
            </w:pPr>
            <w:r>
              <w:rPr>
                <w:rFonts w:ascii="Courier New" w:cs="Courier New" w:eastAsia="Courier New" w:hAnsi="Courier New"/>
                <w:sz w:val="12"/>
                <w:szCs w:val="12"/>
                <w:color w:val="auto"/>
                <w:w w:val="97"/>
              </w:rPr>
              <w:t>TOWER SEMICONDUCTOR LTD.</w:t>
            </w:r>
          </w:p>
        </w:tc>
        <w:tc>
          <w:tcPr>
            <w:tcW w:w="740" w:type="dxa"/>
            <w:vAlign w:val="bottom"/>
          </w:tcPr>
          <w:p>
            <w:pPr>
              <w:spacing w:after="0"/>
              <w:rPr>
                <w:sz w:val="24"/>
                <w:szCs w:val="24"/>
                <w:color w:val="auto"/>
              </w:rPr>
            </w:pPr>
          </w:p>
        </w:tc>
      </w:tr>
      <w:tr>
        <w:trPr>
          <w:trHeight w:val="135"/>
        </w:trPr>
        <w:tc>
          <w:tcPr>
            <w:tcW w:w="4880" w:type="dxa"/>
            <w:vAlign w:val="bottom"/>
          </w:tcPr>
          <w:p>
            <w:pPr>
              <w:jc w:val="center"/>
              <w:ind w:left="681"/>
              <w:spacing w:after="0"/>
              <w:rPr>
                <w:sz w:val="20"/>
                <w:szCs w:val="20"/>
                <w:color w:val="auto"/>
              </w:rPr>
            </w:pPr>
            <w:r>
              <w:rPr>
                <w:rFonts w:ascii="Courier New" w:cs="Courier New" w:eastAsia="Courier New" w:hAnsi="Courier New"/>
                <w:sz w:val="12"/>
                <w:szCs w:val="12"/>
                <w:color w:val="auto"/>
                <w:w w:val="97"/>
              </w:rPr>
              <w:t>AND SUBSIDIARY</w:t>
            </w:r>
          </w:p>
        </w:tc>
        <w:tc>
          <w:tcPr>
            <w:tcW w:w="740" w:type="dxa"/>
            <w:vAlign w:val="bottom"/>
          </w:tcPr>
          <w:p>
            <w:pPr>
              <w:spacing w:after="0"/>
              <w:rPr>
                <w:sz w:val="11"/>
                <w:szCs w:val="11"/>
                <w:color w:val="auto"/>
              </w:rPr>
            </w:pPr>
          </w:p>
        </w:tc>
      </w:tr>
      <w:tr>
        <w:trPr>
          <w:trHeight w:val="135"/>
        </w:trPr>
        <w:tc>
          <w:tcPr>
            <w:tcW w:w="4880" w:type="dxa"/>
            <w:vAlign w:val="bottom"/>
          </w:tcPr>
          <w:p>
            <w:pPr>
              <w:jc w:val="center"/>
              <w:ind w:left="741"/>
              <w:spacing w:after="0"/>
              <w:rPr>
                <w:sz w:val="20"/>
                <w:szCs w:val="20"/>
                <w:color w:val="auto"/>
              </w:rPr>
            </w:pPr>
            <w:r>
              <w:rPr>
                <w:rFonts w:ascii="Courier New" w:cs="Courier New" w:eastAsia="Courier New" w:hAnsi="Courier New"/>
                <w:sz w:val="12"/>
                <w:szCs w:val="12"/>
                <w:color w:val="auto"/>
                <w:w w:val="97"/>
              </w:rPr>
              <w:t>CONSOLIDATED FINANCIAL STATEMENTS</w:t>
            </w:r>
          </w:p>
        </w:tc>
        <w:tc>
          <w:tcPr>
            <w:tcW w:w="740" w:type="dxa"/>
            <w:vAlign w:val="bottom"/>
          </w:tcPr>
          <w:p>
            <w:pPr>
              <w:spacing w:after="0"/>
              <w:rPr>
                <w:sz w:val="11"/>
                <w:szCs w:val="11"/>
                <w:color w:val="auto"/>
              </w:rPr>
            </w:pPr>
          </w:p>
        </w:tc>
      </w:tr>
      <w:tr>
        <w:trPr>
          <w:trHeight w:val="135"/>
        </w:trPr>
        <w:tc>
          <w:tcPr>
            <w:tcW w:w="4880" w:type="dxa"/>
            <w:vAlign w:val="bottom"/>
          </w:tcPr>
          <w:p>
            <w:pPr>
              <w:jc w:val="center"/>
              <w:ind w:left="721"/>
              <w:spacing w:after="0"/>
              <w:rPr>
                <w:sz w:val="20"/>
                <w:szCs w:val="20"/>
                <w:color w:val="auto"/>
              </w:rPr>
            </w:pPr>
            <w:r>
              <w:rPr>
                <w:rFonts w:ascii="Courier New" w:cs="Courier New" w:eastAsia="Courier New" w:hAnsi="Courier New"/>
                <w:sz w:val="12"/>
                <w:szCs w:val="12"/>
                <w:color w:val="auto"/>
                <w:w w:val="97"/>
              </w:rPr>
              <w:t>AS OF DECEMBER 31, 2006</w:t>
            </w:r>
          </w:p>
        </w:tc>
        <w:tc>
          <w:tcPr>
            <w:tcW w:w="740" w:type="dxa"/>
            <w:vAlign w:val="bottom"/>
          </w:tcPr>
          <w:p>
            <w:pPr>
              <w:spacing w:after="0"/>
              <w:rPr>
                <w:sz w:val="11"/>
                <w:szCs w:val="11"/>
                <w:color w:val="auto"/>
              </w:rPr>
            </w:pPr>
          </w:p>
        </w:tc>
      </w:tr>
      <w:tr>
        <w:trPr>
          <w:trHeight w:val="522"/>
        </w:trPr>
        <w:tc>
          <w:tcPr>
            <w:tcW w:w="4880" w:type="dxa"/>
            <w:vAlign w:val="bottom"/>
          </w:tcPr>
          <w:p>
            <w:pPr>
              <w:jc w:val="center"/>
              <w:ind w:left="72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740" w:type="dxa"/>
            <w:vAlign w:val="bottom"/>
          </w:tcPr>
          <w:p>
            <w:pPr>
              <w:spacing w:after="0"/>
              <w:rPr>
                <w:sz w:val="24"/>
                <w:szCs w:val="24"/>
                <w:color w:val="auto"/>
              </w:rPr>
            </w:pPr>
          </w:p>
        </w:tc>
      </w:tr>
      <w:tr>
        <w:trPr>
          <w:trHeight w:val="270"/>
        </w:trPr>
        <w:tc>
          <w:tcPr>
            <w:tcW w:w="4880" w:type="dxa"/>
            <w:vAlign w:val="bottom"/>
          </w:tcPr>
          <w:p>
            <w:pPr>
              <w:jc w:val="center"/>
              <w:ind w:left="661"/>
              <w:spacing w:after="0"/>
              <w:rPr>
                <w:sz w:val="20"/>
                <w:szCs w:val="20"/>
                <w:color w:val="auto"/>
              </w:rPr>
            </w:pPr>
            <w:r>
              <w:rPr>
                <w:rFonts w:ascii="Courier New" w:cs="Courier New" w:eastAsia="Courier New" w:hAnsi="Courier New"/>
                <w:sz w:val="12"/>
                <w:szCs w:val="12"/>
                <w:color w:val="auto"/>
                <w:w w:val="97"/>
              </w:rPr>
              <w:t>INDEX TO CONSOLIDATED FINANCIAL STATEMENTS</w:t>
            </w:r>
          </w:p>
        </w:tc>
        <w:tc>
          <w:tcPr>
            <w:tcW w:w="740" w:type="dxa"/>
            <w:vAlign w:val="bottom"/>
          </w:tcPr>
          <w:p>
            <w:pPr>
              <w:spacing w:after="0"/>
              <w:rPr>
                <w:sz w:val="23"/>
                <w:szCs w:val="23"/>
                <w:color w:val="auto"/>
              </w:rPr>
            </w:pPr>
          </w:p>
        </w:tc>
      </w:tr>
      <w:tr>
        <w:trPr>
          <w:trHeight w:val="270"/>
        </w:trPr>
        <w:tc>
          <w:tcPr>
            <w:tcW w:w="4880" w:type="dxa"/>
            <w:vAlign w:val="bottom"/>
          </w:tcPr>
          <w:p>
            <w:pPr>
              <w:spacing w:after="0"/>
              <w:rPr>
                <w:sz w:val="23"/>
                <w:szCs w:val="23"/>
                <w:color w:val="auto"/>
              </w:rPr>
            </w:pP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PAGE</w:t>
            </w:r>
          </w:p>
        </w:tc>
      </w:tr>
      <w:tr>
        <w:trPr>
          <w:trHeight w:val="270"/>
        </w:trPr>
        <w:tc>
          <w:tcPr>
            <w:tcW w:w="4880" w:type="dxa"/>
            <w:vAlign w:val="bottom"/>
          </w:tcPr>
          <w:p>
            <w:pPr>
              <w:spacing w:after="0"/>
              <w:rPr>
                <w:sz w:val="20"/>
                <w:szCs w:val="20"/>
                <w:color w:val="auto"/>
              </w:rPr>
            </w:pPr>
            <w:r>
              <w:rPr>
                <w:rFonts w:ascii="Courier New" w:cs="Courier New" w:eastAsia="Courier New" w:hAnsi="Courier New"/>
                <w:sz w:val="12"/>
                <w:szCs w:val="12"/>
                <w:color w:val="auto"/>
              </w:rPr>
              <w:t>REPORT OF INDEPENDENT REGISTERED PUBLIC ACCOUNTING FIRM</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F-1</w:t>
            </w:r>
          </w:p>
        </w:tc>
      </w:tr>
      <w:tr>
        <w:trPr>
          <w:trHeight w:val="270"/>
        </w:trPr>
        <w:tc>
          <w:tcPr>
            <w:tcW w:w="4880" w:type="dxa"/>
            <w:vAlign w:val="bottom"/>
          </w:tcPr>
          <w:p>
            <w:pPr>
              <w:spacing w:after="0"/>
              <w:rPr>
                <w:sz w:val="20"/>
                <w:szCs w:val="20"/>
                <w:color w:val="auto"/>
              </w:rPr>
            </w:pPr>
            <w:r>
              <w:rPr>
                <w:rFonts w:ascii="Courier New" w:cs="Courier New" w:eastAsia="Courier New" w:hAnsi="Courier New"/>
                <w:sz w:val="12"/>
                <w:szCs w:val="12"/>
                <w:color w:val="auto"/>
              </w:rPr>
              <w:t>BALANCE SHEETS</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F-2</w:t>
            </w:r>
          </w:p>
        </w:tc>
      </w:tr>
      <w:tr>
        <w:trPr>
          <w:trHeight w:val="270"/>
        </w:trPr>
        <w:tc>
          <w:tcPr>
            <w:tcW w:w="4880" w:type="dxa"/>
            <w:vAlign w:val="bottom"/>
          </w:tcPr>
          <w:p>
            <w:pPr>
              <w:spacing w:after="0"/>
              <w:rPr>
                <w:sz w:val="20"/>
                <w:szCs w:val="20"/>
                <w:color w:val="auto"/>
              </w:rPr>
            </w:pPr>
            <w:r>
              <w:rPr>
                <w:rFonts w:ascii="Courier New" w:cs="Courier New" w:eastAsia="Courier New" w:hAnsi="Courier New"/>
                <w:sz w:val="12"/>
                <w:szCs w:val="12"/>
                <w:color w:val="auto"/>
              </w:rPr>
              <w:t>STATEMENTS OF OPERATIONS</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F-3</w:t>
            </w:r>
          </w:p>
        </w:tc>
      </w:tr>
      <w:tr>
        <w:trPr>
          <w:trHeight w:val="270"/>
        </w:trPr>
        <w:tc>
          <w:tcPr>
            <w:tcW w:w="4880" w:type="dxa"/>
            <w:vAlign w:val="bottom"/>
          </w:tcPr>
          <w:p>
            <w:pPr>
              <w:spacing w:after="0"/>
              <w:rPr>
                <w:sz w:val="20"/>
                <w:szCs w:val="20"/>
                <w:color w:val="auto"/>
              </w:rPr>
            </w:pPr>
            <w:r>
              <w:rPr>
                <w:rFonts w:ascii="Courier New" w:cs="Courier New" w:eastAsia="Courier New" w:hAnsi="Courier New"/>
                <w:sz w:val="12"/>
                <w:szCs w:val="12"/>
                <w:color w:val="auto"/>
              </w:rPr>
              <w:t>STATEMENTS OF CHANGES IN SHAREHOLDERS' EQUITY</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F-4</w:t>
            </w:r>
          </w:p>
        </w:tc>
      </w:tr>
      <w:tr>
        <w:trPr>
          <w:trHeight w:val="270"/>
        </w:trPr>
        <w:tc>
          <w:tcPr>
            <w:tcW w:w="4880" w:type="dxa"/>
            <w:vAlign w:val="bottom"/>
          </w:tcPr>
          <w:p>
            <w:pPr>
              <w:spacing w:after="0"/>
              <w:rPr>
                <w:sz w:val="20"/>
                <w:szCs w:val="20"/>
                <w:color w:val="auto"/>
              </w:rPr>
            </w:pPr>
            <w:r>
              <w:rPr>
                <w:rFonts w:ascii="Courier New" w:cs="Courier New" w:eastAsia="Courier New" w:hAnsi="Courier New"/>
                <w:sz w:val="12"/>
                <w:szCs w:val="12"/>
                <w:color w:val="auto"/>
              </w:rPr>
              <w:t>STATEMENTS OF CASH FLOWS</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F-5</w:t>
            </w:r>
          </w:p>
        </w:tc>
      </w:tr>
      <w:tr>
        <w:trPr>
          <w:trHeight w:val="270"/>
        </w:trPr>
        <w:tc>
          <w:tcPr>
            <w:tcW w:w="4880" w:type="dxa"/>
            <w:vAlign w:val="bottom"/>
          </w:tcPr>
          <w:p>
            <w:pPr>
              <w:spacing w:after="0"/>
              <w:rPr>
                <w:sz w:val="20"/>
                <w:szCs w:val="20"/>
                <w:color w:val="auto"/>
              </w:rPr>
            </w:pPr>
            <w:r>
              <w:rPr>
                <w:rFonts w:ascii="Courier New" w:cs="Courier New" w:eastAsia="Courier New" w:hAnsi="Courier New"/>
                <w:sz w:val="12"/>
                <w:szCs w:val="12"/>
                <w:color w:val="auto"/>
              </w:rPr>
              <w:t>NOTES TO FINANCIAL STATEMENTS</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F-6-F-75</w:t>
            </w:r>
          </w:p>
        </w:tc>
      </w:tr>
      <w:tr>
        <w:trPr>
          <w:trHeight w:val="856"/>
        </w:trPr>
        <w:tc>
          <w:tcPr>
            <w:tcW w:w="4880" w:type="dxa"/>
            <w:vAlign w:val="bottom"/>
          </w:tcPr>
          <w:p>
            <w:pPr>
              <w:ind w:left="3640"/>
              <w:spacing w:after="0"/>
              <w:rPr>
                <w:sz w:val="20"/>
                <w:szCs w:val="20"/>
                <w:color w:val="auto"/>
              </w:rPr>
            </w:pPr>
            <w:r>
              <w:rPr>
                <w:rFonts w:ascii="Courier New" w:cs="Courier New" w:eastAsia="Courier New" w:hAnsi="Courier New"/>
                <w:sz w:val="12"/>
                <w:szCs w:val="12"/>
                <w:color w:val="auto"/>
                <w:w w:val="99"/>
              </w:rPr>
              <w:t>Brightman Almagor</w:t>
            </w:r>
          </w:p>
        </w:tc>
        <w:tc>
          <w:tcPr>
            <w:tcW w:w="740" w:type="dxa"/>
            <w:vAlign w:val="bottom"/>
          </w:tcPr>
          <w:p>
            <w:pPr>
              <w:spacing w:after="0"/>
              <w:rPr>
                <w:sz w:val="24"/>
                <w:szCs w:val="24"/>
                <w:color w:val="auto"/>
              </w:rPr>
            </w:pPr>
          </w:p>
        </w:tc>
      </w:tr>
      <w:tr>
        <w:trPr>
          <w:trHeight w:val="135"/>
        </w:trPr>
        <w:tc>
          <w:tcPr>
            <w:tcW w:w="4880" w:type="dxa"/>
            <w:vAlign w:val="bottom"/>
          </w:tcPr>
          <w:p>
            <w:pPr>
              <w:ind w:left="3640"/>
              <w:spacing w:after="0"/>
              <w:rPr>
                <w:sz w:val="20"/>
                <w:szCs w:val="20"/>
                <w:color w:val="auto"/>
              </w:rPr>
            </w:pPr>
            <w:r>
              <w:rPr>
                <w:rFonts w:ascii="Courier New" w:cs="Courier New" w:eastAsia="Courier New" w:hAnsi="Courier New"/>
                <w:sz w:val="12"/>
                <w:szCs w:val="12"/>
                <w:color w:val="auto"/>
              </w:rPr>
              <w:t>1 Azrieli Center</w:t>
            </w:r>
          </w:p>
        </w:tc>
        <w:tc>
          <w:tcPr>
            <w:tcW w:w="740" w:type="dxa"/>
            <w:vAlign w:val="bottom"/>
          </w:tcPr>
          <w:p>
            <w:pPr>
              <w:spacing w:after="0"/>
              <w:rPr>
                <w:sz w:val="11"/>
                <w:szCs w:val="11"/>
                <w:color w:val="auto"/>
              </w:rPr>
            </w:pPr>
          </w:p>
        </w:tc>
      </w:tr>
      <w:tr>
        <w:trPr>
          <w:trHeight w:val="135"/>
        </w:trPr>
        <w:tc>
          <w:tcPr>
            <w:tcW w:w="4880" w:type="dxa"/>
            <w:vAlign w:val="bottom"/>
          </w:tcPr>
          <w:p>
            <w:pPr>
              <w:ind w:left="3640"/>
              <w:spacing w:after="0"/>
              <w:rPr>
                <w:sz w:val="20"/>
                <w:szCs w:val="20"/>
                <w:color w:val="auto"/>
              </w:rPr>
            </w:pPr>
            <w:r>
              <w:rPr>
                <w:rFonts w:ascii="Courier New" w:cs="Courier New" w:eastAsia="Courier New" w:hAnsi="Courier New"/>
                <w:sz w:val="12"/>
                <w:szCs w:val="12"/>
                <w:color w:val="auto"/>
              </w:rPr>
              <w:t>Tel Aviv 67021</w:t>
            </w:r>
          </w:p>
        </w:tc>
        <w:tc>
          <w:tcPr>
            <w:tcW w:w="740" w:type="dxa"/>
            <w:vAlign w:val="bottom"/>
          </w:tcPr>
          <w:p>
            <w:pPr>
              <w:spacing w:after="0"/>
              <w:rPr>
                <w:sz w:val="11"/>
                <w:szCs w:val="11"/>
                <w:color w:val="auto"/>
              </w:rPr>
            </w:pPr>
          </w:p>
        </w:tc>
      </w:tr>
      <w:tr>
        <w:trPr>
          <w:trHeight w:val="135"/>
        </w:trPr>
        <w:tc>
          <w:tcPr>
            <w:tcW w:w="5620" w:type="dxa"/>
            <w:vAlign w:val="bottom"/>
            <w:gridSpan w:val="2"/>
          </w:tcPr>
          <w:p>
            <w:pPr>
              <w:ind w:left="3640"/>
              <w:spacing w:after="0"/>
              <w:rPr>
                <w:sz w:val="20"/>
                <w:szCs w:val="20"/>
                <w:color w:val="auto"/>
              </w:rPr>
            </w:pPr>
            <w:r>
              <w:rPr>
                <w:rFonts w:ascii="Courier New" w:cs="Courier New" w:eastAsia="Courier New" w:hAnsi="Courier New"/>
                <w:sz w:val="12"/>
                <w:szCs w:val="12"/>
                <w:color w:val="auto"/>
                <w:w w:val="97"/>
              </w:rPr>
              <w:t>P.O.B. 16593, Tel Aviv 61164</w:t>
            </w:r>
          </w:p>
        </w:tc>
      </w:tr>
      <w:tr>
        <w:trPr>
          <w:trHeight w:val="135"/>
        </w:trPr>
        <w:tc>
          <w:tcPr>
            <w:tcW w:w="4880" w:type="dxa"/>
            <w:vAlign w:val="bottom"/>
          </w:tcPr>
          <w:p>
            <w:pPr>
              <w:ind w:left="3640"/>
              <w:spacing w:after="0"/>
              <w:rPr>
                <w:sz w:val="20"/>
                <w:szCs w:val="20"/>
                <w:color w:val="auto"/>
              </w:rPr>
            </w:pPr>
            <w:r>
              <w:rPr>
                <w:rFonts w:ascii="Courier New" w:cs="Courier New" w:eastAsia="Courier New" w:hAnsi="Courier New"/>
                <w:sz w:val="12"/>
                <w:szCs w:val="12"/>
                <w:color w:val="auto"/>
              </w:rPr>
              <w:t>Israel</w:t>
            </w:r>
          </w:p>
        </w:tc>
        <w:tc>
          <w:tcPr>
            <w:tcW w:w="740" w:type="dxa"/>
            <w:vAlign w:val="bottom"/>
          </w:tcPr>
          <w:p>
            <w:pPr>
              <w:spacing w:after="0"/>
              <w:rPr>
                <w:sz w:val="11"/>
                <w:szCs w:val="11"/>
                <w:color w:val="auto"/>
              </w:rPr>
            </w:pPr>
          </w:p>
        </w:tc>
      </w:tr>
    </w:tbl>
    <w:p>
      <w:pPr>
        <w:spacing w:after="0" w:line="134"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Tel: +972 (3) 608 5555</w:t>
      </w:r>
    </w:p>
    <w:p>
      <w:pPr>
        <w:ind w:left="3640"/>
        <w:spacing w:after="0"/>
        <w:rPr>
          <w:sz w:val="20"/>
          <w:szCs w:val="20"/>
          <w:color w:val="auto"/>
        </w:rPr>
      </w:pPr>
      <w:r>
        <w:rPr>
          <w:rFonts w:ascii="Courier New" w:cs="Courier New" w:eastAsia="Courier New" w:hAnsi="Courier New"/>
          <w:sz w:val="12"/>
          <w:szCs w:val="12"/>
          <w:color w:val="auto"/>
        </w:rPr>
        <w:t>Fax: +972 (3) 609 4022</w:t>
      </w:r>
    </w:p>
    <w:p>
      <w:pPr>
        <w:ind w:left="3640"/>
        <w:spacing w:after="0" w:line="237" w:lineRule="auto"/>
        <w:rPr>
          <w:sz w:val="20"/>
          <w:szCs w:val="20"/>
          <w:color w:val="auto"/>
        </w:rPr>
      </w:pPr>
      <w:r>
        <w:rPr>
          <w:rFonts w:ascii="Courier New" w:cs="Courier New" w:eastAsia="Courier New" w:hAnsi="Courier New"/>
          <w:sz w:val="12"/>
          <w:szCs w:val="12"/>
          <w:color w:val="auto"/>
        </w:rPr>
        <w:t>info@deloitte.co.il</w:t>
      </w:r>
    </w:p>
    <w:p>
      <w:pPr>
        <w:ind w:left="3640"/>
        <w:spacing w:after="0"/>
        <w:rPr>
          <w:sz w:val="20"/>
          <w:szCs w:val="20"/>
          <w:color w:val="auto"/>
        </w:rPr>
      </w:pPr>
      <w:r>
        <w:rPr>
          <w:rFonts w:ascii="Courier New" w:cs="Courier New" w:eastAsia="Courier New" w:hAnsi="Courier New"/>
          <w:sz w:val="12"/>
          <w:szCs w:val="12"/>
          <w:color w:val="auto"/>
        </w:rPr>
        <w:t>www.deloitte.com</w:t>
      </w:r>
    </w:p>
    <w:p>
      <w:pPr>
        <w:spacing w:after="0" w:line="133" w:lineRule="exact"/>
        <w:rPr>
          <w:sz w:val="20"/>
          <w:szCs w:val="20"/>
          <w:color w:val="auto"/>
        </w:rPr>
      </w:pPr>
    </w:p>
    <w:p>
      <w:pPr>
        <w:ind w:left="900"/>
        <w:spacing w:after="0"/>
        <w:rPr>
          <w:sz w:val="20"/>
          <w:szCs w:val="20"/>
          <w:color w:val="auto"/>
        </w:rPr>
      </w:pPr>
      <w:r>
        <w:rPr>
          <w:rFonts w:ascii="Courier New" w:cs="Courier New" w:eastAsia="Courier New" w:hAnsi="Courier New"/>
          <w:sz w:val="12"/>
          <w:szCs w:val="12"/>
          <w:color w:val="auto"/>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BOARD OF DIRECTORS AND THE SHAREHOLDERS OF</w:t>
      </w: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138" w:lineRule="exact"/>
        <w:rPr>
          <w:sz w:val="20"/>
          <w:szCs w:val="20"/>
          <w:color w:val="auto"/>
        </w:rPr>
      </w:pPr>
    </w:p>
    <w:p>
      <w:pPr>
        <w:ind w:right="4839"/>
        <w:spacing w:after="0" w:line="262" w:lineRule="auto"/>
        <w:rPr>
          <w:sz w:val="20"/>
          <w:szCs w:val="20"/>
          <w:color w:val="auto"/>
        </w:rPr>
      </w:pPr>
      <w:r>
        <w:rPr>
          <w:rFonts w:ascii="Courier New" w:cs="Courier New" w:eastAsia="Courier New" w:hAnsi="Courier New"/>
          <w:sz w:val="11"/>
          <w:szCs w:val="11"/>
          <w:color w:val="auto"/>
        </w:rPr>
        <w:t>We have audited the accompanying consolidated balance sheets of Tower Semiconductor Ltd. and subsidiary ("the Company") as of December 31, 2006 and 2005, and the related consolidated statements of operations, changes in shareholders' equity and cash flows for each of the three years in the period ended December 31, 2006. These financial statements are the responsibility of the Company's Board of Directors and management. Our responsibility is to express an opinion on these financial statements based on our audits.</w:t>
      </w:r>
    </w:p>
    <w:p>
      <w:pPr>
        <w:spacing w:after="0" w:line="129"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w:t>
      </w:r>
    </w:p>
    <w:p>
      <w:pPr>
        <w:sectPr>
          <w:pgSz w:w="11900" w:h="16838" w:orient="portrait"/>
          <w:cols w:equalWidth="0" w:num="1">
            <w:col w:w="10239"/>
          </w:cols>
          <w:pgMar w:left="220" w:top="137" w:right="1440" w:bottom="0" w:gutter="0" w:footer="0" w:header="0"/>
        </w:sectPr>
      </w:pPr>
    </w:p>
    <w:bookmarkStart w:id="50" w:name="page51"/>
    <w:bookmarkEnd w:id="50"/>
    <w:p>
      <w:pPr>
        <w:ind w:right="4979"/>
        <w:spacing w:after="0" w:line="236" w:lineRule="auto"/>
        <w:rPr>
          <w:sz w:val="20"/>
          <w:szCs w:val="20"/>
          <w:color w:val="auto"/>
        </w:rPr>
      </w:pPr>
      <w:r>
        <w:rPr>
          <w:rFonts w:ascii="Courier New" w:cs="Courier New" w:eastAsia="Courier New" w:hAnsi="Courier New"/>
          <w:sz w:val="12"/>
          <w:szCs w:val="12"/>
          <w:color w:val="auto"/>
        </w:rPr>
        <w:t>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41"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In our opinion, the consolidated financial statements referred to above present fairly, in all material respects, the consolidated financial position of the Company and subsidiary as of December 31, 2006 and 2005, and the consolidated results of their operations and their cash flows for each of the three years in the period ended December 31, 2006, in accordance with accounting principles generally accepted in Israel.</w:t>
      </w:r>
    </w:p>
    <w:p>
      <w:pPr>
        <w:spacing w:after="0" w:line="140"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Accounting principles generally accepted in Israel vary in certain significant respects from accounting principles generally accepted in the United States of America. The effect of the application of the latter on the financial position, results of operations and cash flows as of the dates and for the years presented is summarized in Note 19.</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BRIGHTMAN ALMAGOR &amp; CO.</w:t>
      </w:r>
    </w:p>
    <w:p>
      <w:pPr>
        <w:spacing w:after="0"/>
        <w:rPr>
          <w:sz w:val="20"/>
          <w:szCs w:val="20"/>
          <w:color w:val="auto"/>
        </w:rPr>
      </w:pPr>
      <w:r>
        <w:rPr>
          <w:rFonts w:ascii="Courier New" w:cs="Courier New" w:eastAsia="Courier New" w:hAnsi="Courier New"/>
          <w:sz w:val="12"/>
          <w:szCs w:val="12"/>
          <w:color w:val="auto"/>
        </w:rPr>
        <w:t>BRIGHTMAN ALMAGOR &amp; CO.</w:t>
      </w:r>
    </w:p>
    <w:p>
      <w:pPr>
        <w:spacing w:after="0" w:line="237" w:lineRule="auto"/>
        <w:rPr>
          <w:sz w:val="20"/>
          <w:szCs w:val="20"/>
          <w:color w:val="auto"/>
        </w:rPr>
      </w:pPr>
      <w:r>
        <w:rPr>
          <w:rFonts w:ascii="Courier New" w:cs="Courier New" w:eastAsia="Courier New" w:hAnsi="Courier New"/>
          <w:sz w:val="12"/>
          <w:szCs w:val="12"/>
          <w:color w:val="auto"/>
        </w:rPr>
        <w:t>CERTIFIED PUBLIC ACCOUNTANTS</w:t>
      </w:r>
    </w:p>
    <w:p>
      <w:pPr>
        <w:spacing w:after="0"/>
        <w:rPr>
          <w:sz w:val="20"/>
          <w:szCs w:val="20"/>
          <w:color w:val="auto"/>
        </w:rPr>
      </w:pPr>
      <w:r>
        <w:rPr>
          <w:rFonts w:ascii="Courier New" w:cs="Courier New" w:eastAsia="Courier New" w:hAnsi="Courier New"/>
          <w:sz w:val="12"/>
          <w:szCs w:val="12"/>
          <w:color w:val="auto"/>
        </w:rPr>
        <w:t>A MEMBER FIRM OF DELOITTE TOUCHE TOHMATSU</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rPr>
          <w:sz w:val="20"/>
          <w:szCs w:val="20"/>
          <w:color w:val="auto"/>
        </w:rPr>
      </w:pPr>
      <w:r>
        <w:rPr>
          <w:rFonts w:ascii="Courier New" w:cs="Courier New" w:eastAsia="Courier New" w:hAnsi="Courier New"/>
          <w:sz w:val="12"/>
          <w:szCs w:val="12"/>
          <w:color w:val="auto"/>
        </w:rPr>
        <w:t>February 7, 2007</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40" w:type="dxa"/>
            <w:vAlign w:val="bottom"/>
          </w:tcPr>
          <w:p>
            <w:pPr>
              <w:ind w:left="2600"/>
              <w:spacing w:after="0"/>
              <w:rPr>
                <w:sz w:val="20"/>
                <w:szCs w:val="20"/>
                <w:color w:val="auto"/>
              </w:rPr>
            </w:pPr>
            <w:r>
              <w:rPr>
                <w:rFonts w:ascii="Courier New" w:cs="Courier New" w:eastAsia="Courier New" w:hAnsi="Courier New"/>
                <w:sz w:val="12"/>
                <w:szCs w:val="12"/>
                <w:color w:val="auto"/>
              </w:rPr>
              <w:t>F - 1</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387"/>
        </w:trPr>
        <w:tc>
          <w:tcPr>
            <w:tcW w:w="5540" w:type="dxa"/>
            <w:vAlign w:val="bottom"/>
          </w:tcPr>
          <w:p>
            <w:pPr>
              <w:ind w:left="1460"/>
              <w:spacing w:after="0"/>
              <w:rPr>
                <w:sz w:val="20"/>
                <w:szCs w:val="20"/>
                <w:color w:val="auto"/>
              </w:rPr>
            </w:pPr>
            <w:r>
              <w:rPr>
                <w:rFonts w:ascii="Courier New" w:cs="Courier New" w:eastAsia="Courier New" w:hAnsi="Courier New"/>
                <w:sz w:val="12"/>
                <w:szCs w:val="12"/>
                <w:color w:val="auto"/>
              </w:rPr>
              <w:t>TOWER SEMICONDUCTOR LTD. AND SUBSIDIARY</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5"/>
        </w:trPr>
        <w:tc>
          <w:tcPr>
            <w:tcW w:w="5540" w:type="dxa"/>
            <w:vAlign w:val="bottom"/>
          </w:tcPr>
          <w:p>
            <w:pPr>
              <w:ind w:left="1880"/>
              <w:spacing w:after="0"/>
              <w:rPr>
                <w:sz w:val="20"/>
                <w:szCs w:val="20"/>
                <w:color w:val="auto"/>
              </w:rPr>
            </w:pPr>
            <w:r>
              <w:rPr>
                <w:rFonts w:ascii="Courier New" w:cs="Courier New" w:eastAsia="Courier New" w:hAnsi="Courier New"/>
                <w:sz w:val="12"/>
                <w:szCs w:val="12"/>
                <w:color w:val="auto"/>
              </w:rPr>
              <w:t>CONSOLIDATED BALANCE SHEETS</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5540" w:type="dxa"/>
            <w:vAlign w:val="bottom"/>
          </w:tcPr>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55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8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540" w:type="dxa"/>
            <w:vAlign w:val="bottom"/>
          </w:tcPr>
          <w:p>
            <w:pPr>
              <w:spacing w:after="0"/>
              <w:rPr>
                <w:sz w:val="11"/>
                <w:szCs w:val="11"/>
                <w:color w:val="auto"/>
              </w:rPr>
            </w:pPr>
          </w:p>
        </w:tc>
        <w:tc>
          <w:tcPr>
            <w:tcW w:w="14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NOTE</w:t>
            </w:r>
          </w:p>
        </w:tc>
        <w:tc>
          <w:tcPr>
            <w:tcW w:w="240" w:type="dxa"/>
            <w:vAlign w:val="bottom"/>
          </w:tcPr>
          <w:p>
            <w:pPr>
              <w:spacing w:after="0"/>
              <w:rPr>
                <w:sz w:val="11"/>
                <w:szCs w:val="11"/>
                <w:color w:val="auto"/>
              </w:rPr>
            </w:pPr>
          </w:p>
        </w:tc>
        <w:tc>
          <w:tcPr>
            <w:tcW w:w="8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2006</w:t>
            </w:r>
          </w:p>
        </w:tc>
        <w:tc>
          <w:tcPr>
            <w:tcW w:w="3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5540" w:type="dxa"/>
            <w:vAlign w:val="bottom"/>
          </w:tcPr>
          <w:p>
            <w:pPr>
              <w:spacing w:after="0"/>
              <w:rPr>
                <w:sz w:val="11"/>
                <w:szCs w:val="11"/>
                <w:color w:val="auto"/>
              </w:rPr>
            </w:pPr>
          </w:p>
        </w:tc>
        <w:tc>
          <w:tcPr>
            <w:tcW w:w="14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554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CURRENT ASSETS</w:t>
            </w: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w:t>
            </w:r>
          </w:p>
        </w:tc>
        <w:tc>
          <w:tcPr>
            <w:tcW w:w="14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39,710</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7,337</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SHORT-TERM INTEREST-BEARING DEPOSITS</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1,230</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DESIGNATED CASH AND SHORT-TERM INTEREST-BEARING DEPOSITS</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31,661</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RECEIVABLE:</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5540" w:type="dxa"/>
            <w:vAlign w:val="bottom"/>
          </w:tcPr>
          <w:p>
            <w:pPr>
              <w:ind w:left="700"/>
              <w:spacing w:after="0"/>
              <w:rPr>
                <w:sz w:val="20"/>
                <w:szCs w:val="20"/>
                <w:color w:val="auto"/>
              </w:rPr>
            </w:pPr>
            <w:r>
              <w:rPr>
                <w:rFonts w:ascii="Courier New" w:cs="Courier New" w:eastAsia="Courier New" w:hAnsi="Courier New"/>
                <w:sz w:val="12"/>
                <w:szCs w:val="12"/>
                <w:color w:val="auto"/>
              </w:rPr>
              <w:t>RELATED PARTIES</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13,625</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5,309</w:t>
            </w:r>
          </w:p>
        </w:tc>
      </w:tr>
      <w:tr>
        <w:trPr>
          <w:trHeight w:val="135"/>
        </w:trPr>
        <w:tc>
          <w:tcPr>
            <w:tcW w:w="5540" w:type="dxa"/>
            <w:vAlign w:val="bottom"/>
          </w:tcPr>
          <w:p>
            <w:pPr>
              <w:ind w:left="700"/>
              <w:spacing w:after="0"/>
              <w:rPr>
                <w:sz w:val="20"/>
                <w:szCs w:val="20"/>
                <w:color w:val="auto"/>
              </w:rPr>
            </w:pPr>
            <w:r>
              <w:rPr>
                <w:rFonts w:ascii="Courier New" w:cs="Courier New" w:eastAsia="Courier New" w:hAnsi="Courier New"/>
                <w:sz w:val="12"/>
                <w:szCs w:val="12"/>
                <w:color w:val="auto"/>
              </w:rPr>
              <w:t>OTHERS</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17,873</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11,467</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OTHER RECEIVABLES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w:t>
            </w: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5,425</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9,043</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INVENTORIES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w:t>
            </w: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41,101</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24,376</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OTHER CURRENT ASSETS</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1,473</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1,048</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540" w:type="dxa"/>
            <w:vAlign w:val="bottom"/>
          </w:tcPr>
          <w:p>
            <w:pPr>
              <w:ind w:left="900"/>
              <w:spacing w:after="0"/>
              <w:rPr>
                <w:sz w:val="20"/>
                <w:szCs w:val="20"/>
                <w:color w:val="auto"/>
              </w:rPr>
            </w:pPr>
            <w:r>
              <w:rPr>
                <w:rFonts w:ascii="Courier New" w:cs="Courier New" w:eastAsia="Courier New" w:hAnsi="Courier New"/>
                <w:sz w:val="12"/>
                <w:szCs w:val="12"/>
                <w:color w:val="auto"/>
              </w:rPr>
              <w:t>TOTAL CURRENT ASSETS</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120,437</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90,241</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PROPERTY AND EQUIPMENT, NET</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w:t>
            </w:r>
          </w:p>
        </w:tc>
        <w:tc>
          <w:tcPr>
            <w:tcW w:w="240" w:type="dxa"/>
            <w:vAlign w:val="bottom"/>
          </w:tcPr>
          <w:p>
            <w:pPr>
              <w:spacing w:after="0"/>
              <w:rPr>
                <w:sz w:val="23"/>
                <w:szCs w:val="23"/>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532,954</w:t>
            </w:r>
          </w:p>
        </w:tc>
        <w:tc>
          <w:tcPr>
            <w:tcW w:w="3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510,645</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INTANGIBLE ASSETS, NET</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w:t>
            </w:r>
          </w:p>
        </w:tc>
        <w:tc>
          <w:tcPr>
            <w:tcW w:w="240" w:type="dxa"/>
            <w:vAlign w:val="bottom"/>
          </w:tcPr>
          <w:p>
            <w:pPr>
              <w:spacing w:after="0"/>
              <w:rPr>
                <w:sz w:val="23"/>
                <w:szCs w:val="23"/>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44,981</w:t>
            </w:r>
          </w:p>
        </w:tc>
        <w:tc>
          <w:tcPr>
            <w:tcW w:w="3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61,441</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OTHER ASSETS , NET</w:t>
            </w: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1,346</w:t>
            </w:r>
          </w:p>
        </w:tc>
        <w:tc>
          <w:tcPr>
            <w:tcW w:w="3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16,359</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5540" w:type="dxa"/>
            <w:vAlign w:val="bottom"/>
          </w:tcPr>
          <w:p>
            <w:pPr>
              <w:ind w:left="900"/>
              <w:spacing w:after="0"/>
              <w:rPr>
                <w:sz w:val="20"/>
                <w:szCs w:val="20"/>
                <w:color w:val="auto"/>
              </w:rPr>
            </w:pPr>
            <w:r>
              <w:rPr>
                <w:rFonts w:ascii="Courier New" w:cs="Courier New" w:eastAsia="Courier New" w:hAnsi="Courier New"/>
                <w:sz w:val="12"/>
                <w:szCs w:val="12"/>
                <w:color w:val="auto"/>
              </w:rPr>
              <w:t>TOTAL ASSETS</w:t>
            </w:r>
          </w:p>
        </w:tc>
        <w:tc>
          <w:tcPr>
            <w:tcW w:w="1440" w:type="dxa"/>
            <w:vAlign w:val="bottom"/>
          </w:tcPr>
          <w:p>
            <w:pPr>
              <w:spacing w:after="0"/>
              <w:rPr>
                <w:sz w:val="23"/>
                <w:szCs w:val="23"/>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$ 699,718</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$ 678,686</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554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CURRENT LIABILITIES</w:t>
            </w: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CURRENT MATURITIES OF LONG-TERM DEBT</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21,103</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w:t>
            </w: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6,632</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6,453</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PAYABLE</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55,128</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59,741</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OTHER CURRENT LIABILITIES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7</w:t>
            </w: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22,096</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8,972</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540" w:type="dxa"/>
            <w:vAlign w:val="bottom"/>
          </w:tcPr>
          <w:p>
            <w:pPr>
              <w:ind w:left="900"/>
              <w:spacing w:after="0"/>
              <w:rPr>
                <w:sz w:val="20"/>
                <w:szCs w:val="20"/>
                <w:color w:val="auto"/>
              </w:rPr>
            </w:pPr>
            <w:r>
              <w:rPr>
                <w:rFonts w:ascii="Courier New" w:cs="Courier New" w:eastAsia="Courier New" w:hAnsi="Courier New"/>
                <w:sz w:val="12"/>
                <w:szCs w:val="12"/>
                <w:color w:val="auto"/>
              </w:rPr>
              <w:t>TOTAL CURRENT LIABILITIES</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83,856</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96,269</w:t>
            </w: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LONG-TERM DEBT FROM BANKS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w:t>
            </w:r>
          </w:p>
        </w:tc>
        <w:tc>
          <w:tcPr>
            <w:tcW w:w="240" w:type="dxa"/>
            <w:vAlign w:val="bottom"/>
          </w:tcPr>
          <w:p>
            <w:pPr>
              <w:spacing w:after="0"/>
              <w:rPr>
                <w:sz w:val="23"/>
                <w:szCs w:val="23"/>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356,947</w:t>
            </w:r>
          </w:p>
        </w:tc>
        <w:tc>
          <w:tcPr>
            <w:tcW w:w="3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497,000</w:t>
            </w: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CONVERTIBLE DEBENTURES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w:t>
            </w:r>
          </w:p>
        </w:tc>
        <w:tc>
          <w:tcPr>
            <w:tcW w:w="240" w:type="dxa"/>
            <w:vAlign w:val="bottom"/>
          </w:tcPr>
          <w:p>
            <w:pPr>
              <w:spacing w:after="0"/>
              <w:rPr>
                <w:sz w:val="23"/>
                <w:szCs w:val="23"/>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62,175</w:t>
            </w:r>
          </w:p>
        </w:tc>
        <w:tc>
          <w:tcPr>
            <w:tcW w:w="3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19,358</w:t>
            </w: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LONG-TERM CUSTOMERS' ADVANCES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11A</w:t>
            </w:r>
          </w:p>
        </w:tc>
        <w:tc>
          <w:tcPr>
            <w:tcW w:w="240" w:type="dxa"/>
            <w:vAlign w:val="bottom"/>
          </w:tcPr>
          <w:p>
            <w:pPr>
              <w:spacing w:after="0"/>
              <w:rPr>
                <w:sz w:val="23"/>
                <w:szCs w:val="23"/>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46,042</w:t>
            </w:r>
          </w:p>
        </w:tc>
        <w:tc>
          <w:tcPr>
            <w:tcW w:w="3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59,621</w:t>
            </w: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OTHER LONG-TERM LIABILITIES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w:t>
            </w:r>
          </w:p>
        </w:tc>
        <w:tc>
          <w:tcPr>
            <w:tcW w:w="240" w:type="dxa"/>
            <w:vAlign w:val="bottom"/>
          </w:tcPr>
          <w:p>
            <w:pPr>
              <w:spacing w:after="0"/>
              <w:rPr>
                <w:sz w:val="23"/>
                <w:szCs w:val="23"/>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17,708</w:t>
            </w:r>
          </w:p>
        </w:tc>
        <w:tc>
          <w:tcPr>
            <w:tcW w:w="3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11,012</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540" w:type="dxa"/>
            <w:vAlign w:val="bottom"/>
          </w:tcPr>
          <w:p>
            <w:pPr>
              <w:ind w:left="900"/>
              <w:spacing w:after="0"/>
              <w:rPr>
                <w:sz w:val="20"/>
                <w:szCs w:val="20"/>
                <w:color w:val="auto"/>
              </w:rPr>
            </w:pPr>
            <w:r>
              <w:rPr>
                <w:rFonts w:ascii="Courier New" w:cs="Courier New" w:eastAsia="Courier New" w:hAnsi="Courier New"/>
                <w:sz w:val="12"/>
                <w:szCs w:val="12"/>
                <w:color w:val="auto"/>
              </w:rPr>
              <w:t>TOTAL LIABILITIES</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566,728</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683,260</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CONVERTIBLE DEBENTURES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w:t>
            </w:r>
          </w:p>
        </w:tc>
        <w:tc>
          <w:tcPr>
            <w:tcW w:w="240" w:type="dxa"/>
            <w:vAlign w:val="bottom"/>
          </w:tcPr>
          <w:p>
            <w:pPr>
              <w:spacing w:after="0"/>
              <w:rPr>
                <w:sz w:val="23"/>
                <w:szCs w:val="23"/>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25,493</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5540" w:type="dxa"/>
            <w:vAlign w:val="bottom"/>
          </w:tcPr>
          <w:p>
            <w:pPr>
              <w:ind w:left="280"/>
              <w:spacing w:after="0"/>
              <w:rPr>
                <w:sz w:val="20"/>
                <w:szCs w:val="20"/>
                <w:color w:val="auto"/>
              </w:rPr>
            </w:pPr>
            <w:r>
              <w:rPr>
                <w:rFonts w:ascii="Courier New" w:cs="Courier New" w:eastAsia="Courier New" w:hAnsi="Courier New"/>
                <w:sz w:val="12"/>
                <w:szCs w:val="12"/>
                <w:color w:val="auto"/>
              </w:rPr>
              <w:t>SHAREHOLDERS' EQUITY (DEFICIT)</w:t>
            </w: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ORDINARY SHARES, NIS 1.00 PAR VALUE - AUTHORIZED</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5540" w:type="dxa"/>
            <w:vAlign w:val="bottom"/>
          </w:tcPr>
          <w:p>
            <w:pPr>
              <w:ind w:left="700"/>
              <w:spacing w:after="0"/>
              <w:rPr>
                <w:sz w:val="20"/>
                <w:szCs w:val="20"/>
                <w:color w:val="auto"/>
              </w:rPr>
            </w:pPr>
            <w:r>
              <w:rPr>
                <w:rFonts w:ascii="Courier New" w:cs="Courier New" w:eastAsia="Courier New" w:hAnsi="Courier New"/>
                <w:sz w:val="12"/>
                <w:szCs w:val="12"/>
                <w:color w:val="auto"/>
              </w:rPr>
              <w:t>800,000,000 AND 500,000,000 SHARES, RESPECTIVELY;</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5540" w:type="dxa"/>
            <w:vAlign w:val="bottom"/>
          </w:tcPr>
          <w:p>
            <w:pPr>
              <w:ind w:left="700"/>
              <w:spacing w:after="0"/>
              <w:rPr>
                <w:sz w:val="20"/>
                <w:szCs w:val="20"/>
                <w:color w:val="auto"/>
              </w:rPr>
            </w:pPr>
            <w:r>
              <w:rPr>
                <w:rFonts w:ascii="Courier New" w:cs="Courier New" w:eastAsia="Courier New" w:hAnsi="Courier New"/>
                <w:sz w:val="12"/>
                <w:szCs w:val="12"/>
                <w:color w:val="auto"/>
              </w:rPr>
              <w:t>ISSUED 102,052,767 AND 68,232,056 SHARES, RESPECTIVELY</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11A, 12</w:t>
            </w: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24,187</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16,548</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ADDITIONAL PAID-IN CAPITAL</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11A, 12</w:t>
            </w: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564,580</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522,237</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CAPITAL NOTES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12C</w:t>
            </w: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176,401</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EQUITY COMPONENT OF CONVERTIBLE DEBENTURES AND CUMULATIVE</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5540" w:type="dxa"/>
            <w:vAlign w:val="bottom"/>
          </w:tcPr>
          <w:p>
            <w:pPr>
              <w:ind w:left="700"/>
              <w:spacing w:after="0"/>
              <w:rPr>
                <w:sz w:val="20"/>
                <w:szCs w:val="20"/>
                <w:color w:val="auto"/>
              </w:rPr>
            </w:pPr>
            <w:r>
              <w:rPr>
                <w:rFonts w:ascii="Courier New" w:cs="Courier New" w:eastAsia="Courier New" w:hAnsi="Courier New"/>
                <w:sz w:val="12"/>
                <w:szCs w:val="12"/>
                <w:color w:val="auto"/>
              </w:rPr>
              <w:t>STOCK BASED COMPENSATION</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w:t>
            </w: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23,576</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(26)</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ACCUMULATED DEFICIT</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(646,682)</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(559,754)</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142,062</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(20,995)</w:t>
            </w:r>
          </w:p>
        </w:tc>
      </w:tr>
      <w:tr>
        <w:trPr>
          <w:trHeight w:val="135"/>
        </w:trPr>
        <w:tc>
          <w:tcPr>
            <w:tcW w:w="5540" w:type="dxa"/>
            <w:vAlign w:val="bottom"/>
          </w:tcPr>
          <w:p>
            <w:pPr>
              <w:ind w:left="480"/>
              <w:spacing w:after="0"/>
              <w:rPr>
                <w:sz w:val="20"/>
                <w:szCs w:val="20"/>
                <w:color w:val="auto"/>
              </w:rPr>
            </w:pPr>
            <w:r>
              <w:rPr>
                <w:rFonts w:ascii="Courier New" w:cs="Courier New" w:eastAsia="Courier New" w:hAnsi="Courier New"/>
                <w:sz w:val="12"/>
                <w:szCs w:val="12"/>
                <w:color w:val="auto"/>
              </w:rPr>
              <w:t>TREASURY STOCK, AT COST - 1,300,000 SHARES</w:t>
            </w:r>
          </w:p>
        </w:tc>
        <w:tc>
          <w:tcPr>
            <w:tcW w:w="14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12D</w:t>
            </w:r>
          </w:p>
        </w:tc>
        <w:tc>
          <w:tcPr>
            <w:tcW w:w="2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(9,072)</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540" w:type="dxa"/>
            <w:vAlign w:val="bottom"/>
          </w:tcPr>
          <w:p>
            <w:pPr>
              <w:ind w:left="900"/>
              <w:spacing w:after="0"/>
              <w:rPr>
                <w:sz w:val="20"/>
                <w:szCs w:val="20"/>
                <w:color w:val="auto"/>
              </w:rPr>
            </w:pPr>
            <w:r>
              <w:rPr>
                <w:rFonts w:ascii="Courier New" w:cs="Courier New" w:eastAsia="Courier New" w:hAnsi="Courier New"/>
                <w:sz w:val="12"/>
                <w:szCs w:val="12"/>
                <w:color w:val="auto"/>
              </w:rPr>
              <w:t>TOTAL SHAREHOLDERS' EQUITY (DEFICIT)</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132,990</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(30,067)</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5540" w:type="dxa"/>
            <w:vAlign w:val="bottom"/>
          </w:tcPr>
          <w:p>
            <w:pPr>
              <w:ind w:left="90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1440" w:type="dxa"/>
            <w:vAlign w:val="bottom"/>
          </w:tcPr>
          <w:p>
            <w:pPr>
              <w:spacing w:after="0"/>
              <w:rPr>
                <w:sz w:val="23"/>
                <w:szCs w:val="23"/>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$ 699,718</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$ 678,686</w:t>
            </w:r>
          </w:p>
        </w:tc>
      </w:tr>
      <w:tr>
        <w:trPr>
          <w:trHeight w:val="135"/>
        </w:trPr>
        <w:tc>
          <w:tcPr>
            <w:tcW w:w="5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w:t>
      </w:r>
    </w:p>
    <w:p>
      <w:pPr>
        <w:spacing w:after="0" w:line="25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CONSOLIDATED STATEMENTS OF OPERATIONS</w:t>
      </w:r>
    </w:p>
    <w:p>
      <w:pPr>
        <w:jc w:val="center"/>
        <w:ind w:right="4619"/>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jc w:val="center"/>
        <w:ind w:left="2360"/>
        <w:spacing w:after="0"/>
        <w:rPr>
          <w:sz w:val="20"/>
          <w:szCs w:val="20"/>
          <w:color w:val="auto"/>
        </w:rPr>
      </w:pPr>
      <w:r>
        <w:rPr>
          <w:rFonts w:ascii="Courier New" w:cs="Courier New" w:eastAsia="Courier New" w:hAnsi="Courier New"/>
          <w:sz w:val="12"/>
          <w:szCs w:val="12"/>
          <w:color w:val="auto"/>
        </w:rPr>
        <w:t>YEAR ENDED DECEMBER 31,</w:t>
      </w:r>
    </w:p>
    <w:p>
      <w:pPr>
        <w:ind w:left="5340"/>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39"/>
          </w:cols>
          <w:pgMar w:left="220" w:top="141" w:right="1440"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36"/>
        </w:trPr>
        <w:tc>
          <w:tcPr>
            <w:tcW w:w="3780" w:type="dxa"/>
            <w:vAlign w:val="bottom"/>
          </w:tcPr>
          <w:p>
            <w:pPr>
              <w:spacing w:after="0"/>
              <w:rPr>
                <w:sz w:val="11"/>
                <w:szCs w:val="11"/>
                <w:color w:val="auto"/>
              </w:rPr>
            </w:pPr>
          </w:p>
        </w:tc>
        <w:tc>
          <w:tcPr>
            <w:tcW w:w="11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Note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2006</w:t>
            </w:r>
          </w:p>
        </w:tc>
        <w:tc>
          <w:tcPr>
            <w:tcW w:w="280" w:type="dxa"/>
            <w:vAlign w:val="bottom"/>
          </w:tcPr>
          <w:p>
            <w:pPr>
              <w:spacing w:after="0"/>
              <w:rPr>
                <w:sz w:val="11"/>
                <w:szCs w:val="11"/>
                <w:color w:val="auto"/>
              </w:rPr>
            </w:pPr>
          </w:p>
        </w:tc>
        <w:tc>
          <w:tcPr>
            <w:tcW w:w="1320" w:type="dxa"/>
            <w:vAlign w:val="bottom"/>
            <w:gridSpan w:val="2"/>
          </w:tcPr>
          <w:p>
            <w:pPr>
              <w:jc w:val="right"/>
              <w:ind w:right="641"/>
              <w:spacing w:after="0"/>
              <w:rPr>
                <w:sz w:val="20"/>
                <w:szCs w:val="20"/>
                <w:color w:val="auto"/>
              </w:rPr>
            </w:pPr>
            <w:r>
              <w:rPr>
                <w:rFonts w:ascii="Courier New" w:cs="Courier New" w:eastAsia="Courier New" w:hAnsi="Courier New"/>
                <w:sz w:val="12"/>
                <w:szCs w:val="12"/>
                <w:color w:val="auto"/>
              </w:rPr>
              <w:t>2005</w:t>
            </w:r>
          </w:p>
        </w:tc>
        <w:tc>
          <w:tcPr>
            <w:tcW w:w="80" w:type="dxa"/>
            <w:vAlign w:val="bottom"/>
          </w:tcPr>
          <w:p>
            <w:pPr>
              <w:spacing w:after="0"/>
              <w:rPr>
                <w:sz w:val="11"/>
                <w:szCs w:val="11"/>
                <w:color w:val="auto"/>
              </w:rPr>
            </w:pP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4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11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SALES</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$ 187,438</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  93,991</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$ 124,111</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w w:val="96"/>
              </w:rPr>
              <w:t>REVENUES RELATED TO A JOINT DEVELOPMENT AGREEMENT</w:t>
            </w: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11B(2)</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jc w:val="right"/>
              <w:ind w:right="421"/>
              <w:spacing w:after="0"/>
              <w:rPr>
                <w:sz w:val="20"/>
                <w:szCs w:val="20"/>
                <w:color w:val="auto"/>
              </w:rPr>
            </w:pPr>
            <w:r>
              <w:rPr>
                <w:rFonts w:ascii="Courier New" w:cs="Courier New" w:eastAsia="Courier New" w:hAnsi="Courier New"/>
                <w:sz w:val="12"/>
                <w:szCs w:val="12"/>
                <w:color w:val="auto"/>
                <w:w w:val="94"/>
              </w:rPr>
              <w:t>8,000</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1,944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187,438</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101,991</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126,055</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267,390</w:t>
            </w:r>
          </w:p>
        </w:tc>
        <w:tc>
          <w:tcPr>
            <w:tcW w:w="280" w:type="dxa"/>
            <w:vAlign w:val="bottom"/>
          </w:tcPr>
          <w:p>
            <w:pPr>
              <w:spacing w:after="0"/>
              <w:rPr>
                <w:sz w:val="23"/>
                <w:szCs w:val="23"/>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238,358</w:t>
            </w:r>
          </w:p>
        </w:tc>
        <w:tc>
          <w:tcPr>
            <w:tcW w:w="80" w:type="dxa"/>
            <w:vAlign w:val="bottom"/>
          </w:tcPr>
          <w:p>
            <w:pPr>
              <w:spacing w:after="0"/>
              <w:rPr>
                <w:sz w:val="23"/>
                <w:szCs w:val="23"/>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228,410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ind w:left="560"/>
              <w:spacing w:after="0"/>
              <w:rPr>
                <w:sz w:val="20"/>
                <w:szCs w:val="20"/>
                <w:color w:val="auto"/>
              </w:rPr>
            </w:pPr>
            <w:r>
              <w:rPr>
                <w:rFonts w:ascii="Courier New" w:cs="Courier New" w:eastAsia="Courier New" w:hAnsi="Courier New"/>
                <w:sz w:val="12"/>
                <w:szCs w:val="12"/>
                <w:color w:val="auto"/>
              </w:rPr>
              <w:t>GROSS LOSS</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(79,952)</w:t>
            </w:r>
          </w:p>
        </w:tc>
        <w:tc>
          <w:tcPr>
            <w:tcW w:w="280" w:type="dxa"/>
            <w:vAlign w:val="bottom"/>
          </w:tcPr>
          <w:p>
            <w:pPr>
              <w:spacing w:after="0"/>
              <w:rPr>
                <w:sz w:val="23"/>
                <w:szCs w:val="23"/>
                <w:color w:val="auto"/>
              </w:rPr>
            </w:pPr>
          </w:p>
        </w:tc>
        <w:tc>
          <w:tcPr>
            <w:tcW w:w="132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(136,367)</w:t>
            </w:r>
          </w:p>
        </w:tc>
        <w:tc>
          <w:tcPr>
            <w:tcW w:w="8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(102,355)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RESEARCH AND DEVELOPMENT</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14,984</w:t>
            </w:r>
          </w:p>
        </w:tc>
        <w:tc>
          <w:tcPr>
            <w:tcW w:w="280" w:type="dxa"/>
            <w:vAlign w:val="bottom"/>
          </w:tcPr>
          <w:p>
            <w:pPr>
              <w:spacing w:after="0"/>
              <w:rPr>
                <w:sz w:val="23"/>
                <w:szCs w:val="23"/>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16,029</w:t>
            </w:r>
          </w:p>
        </w:tc>
        <w:tc>
          <w:tcPr>
            <w:tcW w:w="80" w:type="dxa"/>
            <w:vAlign w:val="bottom"/>
          </w:tcPr>
          <w:p>
            <w:pPr>
              <w:spacing w:after="0"/>
              <w:rPr>
                <w:sz w:val="23"/>
                <w:szCs w:val="23"/>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17,053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MARKETING, GENERAL AND ADMINISTRATIVE</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24,512</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17,418</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21,297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39,496</w:t>
            </w:r>
          </w:p>
        </w:tc>
        <w:tc>
          <w:tcPr>
            <w:tcW w:w="280" w:type="dxa"/>
            <w:vAlign w:val="bottom"/>
          </w:tcPr>
          <w:p>
            <w:pPr>
              <w:spacing w:after="0"/>
              <w:rPr>
                <w:sz w:val="23"/>
                <w:szCs w:val="23"/>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33,447</w:t>
            </w:r>
          </w:p>
        </w:tc>
        <w:tc>
          <w:tcPr>
            <w:tcW w:w="80" w:type="dxa"/>
            <w:vAlign w:val="bottom"/>
          </w:tcPr>
          <w:p>
            <w:pPr>
              <w:spacing w:after="0"/>
              <w:rPr>
                <w:sz w:val="23"/>
                <w:szCs w:val="23"/>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38,350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ind w:left="560"/>
              <w:spacing w:after="0"/>
              <w:rPr>
                <w:sz w:val="20"/>
                <w:szCs w:val="20"/>
                <w:color w:val="auto"/>
              </w:rPr>
            </w:pPr>
            <w:r>
              <w:rPr>
                <w:rFonts w:ascii="Courier New" w:cs="Courier New" w:eastAsia="Courier New" w:hAnsi="Courier New"/>
                <w:sz w:val="12"/>
                <w:szCs w:val="12"/>
                <w:color w:val="auto"/>
              </w:rPr>
              <w:t>OPERATING LOSS</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(119,448)</w:t>
            </w:r>
          </w:p>
        </w:tc>
        <w:tc>
          <w:tcPr>
            <w:tcW w:w="280" w:type="dxa"/>
            <w:vAlign w:val="bottom"/>
          </w:tcPr>
          <w:p>
            <w:pPr>
              <w:spacing w:after="0"/>
              <w:rPr>
                <w:sz w:val="23"/>
                <w:szCs w:val="23"/>
                <w:color w:val="auto"/>
              </w:rPr>
            </w:pPr>
          </w:p>
        </w:tc>
        <w:tc>
          <w:tcPr>
            <w:tcW w:w="132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(169,814)</w:t>
            </w:r>
          </w:p>
        </w:tc>
        <w:tc>
          <w:tcPr>
            <w:tcW w:w="8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(140,705)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14</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(48,148)</w:t>
            </w:r>
          </w:p>
        </w:tc>
        <w:tc>
          <w:tcPr>
            <w:tcW w:w="280" w:type="dxa"/>
            <w:vAlign w:val="bottom"/>
          </w:tcPr>
          <w:p>
            <w:pPr>
              <w:spacing w:after="0"/>
              <w:rPr>
                <w:sz w:val="23"/>
                <w:szCs w:val="23"/>
                <w:color w:val="auto"/>
              </w:rPr>
            </w:pPr>
          </w:p>
        </w:tc>
        <w:tc>
          <w:tcPr>
            <w:tcW w:w="132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(35,651)</w:t>
            </w:r>
          </w:p>
        </w:tc>
        <w:tc>
          <w:tcPr>
            <w:tcW w:w="8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(29,745)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11A(6)</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80,071</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23"/>
                <w:szCs w:val="23"/>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597</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ind w:right="421"/>
              <w:spacing w:after="0"/>
              <w:rPr>
                <w:sz w:val="20"/>
                <w:szCs w:val="20"/>
                <w:color w:val="auto"/>
              </w:rPr>
            </w:pPr>
            <w:r>
              <w:rPr>
                <w:rFonts w:ascii="Courier New" w:cs="Courier New" w:eastAsia="Courier New" w:hAnsi="Courier New"/>
                <w:sz w:val="12"/>
                <w:szCs w:val="12"/>
                <w:color w:val="auto"/>
                <w:w w:val="94"/>
              </w:rPr>
              <w:t>2,383</w:t>
            </w:r>
          </w:p>
        </w:tc>
        <w:tc>
          <w:tcPr>
            <w:tcW w:w="80" w:type="dxa"/>
            <w:vAlign w:val="bottom"/>
          </w:tcPr>
          <w:p>
            <w:pPr>
              <w:spacing w:after="0"/>
              <w:rPr>
                <w:sz w:val="23"/>
                <w:szCs w:val="23"/>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32,682</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ind w:left="980"/>
              <w:spacing w:after="0"/>
              <w:rPr>
                <w:sz w:val="20"/>
                <w:szCs w:val="20"/>
                <w:color w:val="auto"/>
              </w:rPr>
            </w:pPr>
            <w:r>
              <w:rPr>
                <w:rFonts w:ascii="Courier New" w:cs="Courier New" w:eastAsia="Courier New" w:hAnsi="Courier New"/>
                <w:sz w:val="12"/>
                <w:szCs w:val="12"/>
                <w:color w:val="auto"/>
              </w:rPr>
              <w:t>LOSS FOR THE YEAR</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(86,928)</w:t>
            </w:r>
          </w:p>
        </w:tc>
        <w:tc>
          <w:tcPr>
            <w:tcW w:w="280" w:type="dxa"/>
            <w:vAlign w:val="bottom"/>
          </w:tcPr>
          <w:p>
            <w:pPr>
              <w:spacing w:after="0"/>
              <w:rPr>
                <w:sz w:val="23"/>
                <w:szCs w:val="23"/>
                <w:color w:val="auto"/>
              </w:rPr>
            </w:pPr>
          </w:p>
        </w:tc>
        <w:tc>
          <w:tcPr>
            <w:tcW w:w="132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$(203,082)</w:t>
            </w:r>
          </w:p>
        </w:tc>
        <w:tc>
          <w:tcPr>
            <w:tcW w:w="8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4"/>
              </w:rPr>
              <w:t>$(137,768)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BASIC LOSS PER ORDINARY SHARE</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LOSS PER SHARE</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(1.05)</w:t>
            </w:r>
          </w:p>
        </w:tc>
        <w:tc>
          <w:tcPr>
            <w:tcW w:w="280" w:type="dxa"/>
            <w:vAlign w:val="bottom"/>
          </w:tcPr>
          <w:p>
            <w:pPr>
              <w:spacing w:after="0"/>
              <w:rPr>
                <w:sz w:val="23"/>
                <w:szCs w:val="23"/>
                <w:color w:val="auto"/>
              </w:rPr>
            </w:pPr>
          </w:p>
        </w:tc>
        <w:tc>
          <w:tcPr>
            <w:tcW w:w="4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w w:val="92"/>
              </w:rPr>
              <w:t>(3.06)</w:t>
            </w:r>
          </w:p>
        </w:tc>
        <w:tc>
          <w:tcPr>
            <w:tcW w:w="8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4"/>
              </w:rPr>
              <w:t>$   (2.13)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WEIGHTED AVERAGE NUMBER OF ORDINARY</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ind w:left="560"/>
              <w:spacing w:after="0"/>
              <w:rPr>
                <w:sz w:val="20"/>
                <w:szCs w:val="20"/>
                <w:color w:val="auto"/>
              </w:rPr>
            </w:pPr>
            <w:r>
              <w:rPr>
                <w:rFonts w:ascii="Courier New" w:cs="Courier New" w:eastAsia="Courier New" w:hAnsi="Courier New"/>
                <w:sz w:val="12"/>
                <w:szCs w:val="12"/>
                <w:color w:val="auto"/>
              </w:rPr>
              <w:t>SHARES OUTSTANDING - IN THOUSANDS</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82,581</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66,371</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64,717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320" w:type="dxa"/>
            <w:vAlign w:val="bottom"/>
            <w:gridSpan w:val="2"/>
          </w:tcPr>
          <w:p>
            <w:pPr>
              <w:jc w:val="right"/>
              <w:ind w:right="4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SEE NOTES TO CONSOLIDATED FINANCIAL STATEMENTS.</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3780" w:type="dxa"/>
            <w:vAlign w:val="bottom"/>
          </w:tcPr>
          <w:p>
            <w:pPr>
              <w:ind w:left="2600"/>
              <w:spacing w:after="0"/>
              <w:rPr>
                <w:sz w:val="20"/>
                <w:szCs w:val="20"/>
                <w:color w:val="auto"/>
              </w:rPr>
            </w:pPr>
            <w:r>
              <w:rPr>
                <w:rFonts w:ascii="Courier New" w:cs="Courier New" w:eastAsia="Courier New" w:hAnsi="Courier New"/>
                <w:sz w:val="12"/>
                <w:szCs w:val="12"/>
                <w:color w:val="auto"/>
              </w:rPr>
              <w:t>F - 3</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522"/>
        </w:trPr>
        <w:tc>
          <w:tcPr>
            <w:tcW w:w="3780" w:type="dxa"/>
            <w:vAlign w:val="bottom"/>
          </w:tcPr>
          <w:p>
            <w:pPr>
              <w:jc w:val="center"/>
              <w:ind w:left="1761"/>
              <w:spacing w:after="0"/>
              <w:rPr>
                <w:sz w:val="20"/>
                <w:szCs w:val="20"/>
                <w:color w:val="auto"/>
              </w:rPr>
            </w:pPr>
            <w:r>
              <w:rPr>
                <w:rFonts w:ascii="Courier New" w:cs="Courier New" w:eastAsia="Courier New" w:hAnsi="Courier New"/>
                <w:sz w:val="12"/>
                <w:szCs w:val="12"/>
                <w:color w:val="auto"/>
                <w:w w:val="97"/>
              </w:rPr>
              <w:t>TOWER SEMICONDUCTOR LTD.</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35"/>
        </w:trPr>
        <w:tc>
          <w:tcPr>
            <w:tcW w:w="49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STATEMENTS OF CHANGES IN SHAREHOLDERS' EQUITY (DEFICIT)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4900" w:type="dxa"/>
            <w:vAlign w:val="bottom"/>
            <w:gridSpan w:val="2"/>
          </w:tcPr>
          <w:p>
            <w:pPr>
              <w:jc w:val="center"/>
              <w:ind w:left="641"/>
              <w:spacing w:after="0"/>
              <w:rPr>
                <w:sz w:val="20"/>
                <w:szCs w:val="20"/>
                <w:color w:val="auto"/>
              </w:rPr>
            </w:pPr>
            <w:r>
              <w:rPr>
                <w:rFonts w:ascii="Courier New" w:cs="Courier New" w:eastAsia="Courier New" w:hAnsi="Courier New"/>
                <w:sz w:val="12"/>
                <w:szCs w:val="12"/>
                <w:color w:val="auto"/>
                <w:w w:val="97"/>
              </w:rPr>
              <w:t>(dollars in thousands, except share data and per share data)</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EQUITY</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COMPONENT</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CONVERTIBLE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PROCEEDS</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DEBENTURES</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ON</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AND</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ORDINARY SHARES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4"/>
              </w:rPr>
              <w:t>ADDITIONAL</w:t>
            </w:r>
          </w:p>
        </w:tc>
        <w:tc>
          <w:tcPr>
            <w:tcW w:w="1760" w:type="dxa"/>
            <w:vAlign w:val="bottom"/>
            <w:gridSpan w:val="3"/>
          </w:tcPr>
          <w:p>
            <w:pPr>
              <w:jc w:val="right"/>
              <w:ind w:right="641"/>
              <w:spacing w:after="0"/>
              <w:rPr>
                <w:sz w:val="20"/>
                <w:szCs w:val="20"/>
                <w:color w:val="auto"/>
              </w:rPr>
            </w:pPr>
            <w:r>
              <w:rPr>
                <w:rFonts w:ascii="Courier New" w:cs="Courier New" w:eastAsia="Courier New" w:hAnsi="Courier New"/>
                <w:sz w:val="12"/>
                <w:szCs w:val="12"/>
                <w:color w:val="auto"/>
              </w:rPr>
              <w:t>ACCOUNT OF</w:t>
            </w:r>
          </w:p>
        </w:tc>
        <w:tc>
          <w:tcPr>
            <w:tcW w:w="14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CUMULATIVE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2260" w:type="dxa"/>
            <w:vAlign w:val="bottom"/>
            <w:gridSpan w:val="4"/>
          </w:tcPr>
          <w:p>
            <w:pPr>
              <w:jc w:val="right"/>
              <w:ind w:right="301"/>
              <w:spacing w:after="0"/>
              <w:rPr>
                <w:sz w:val="20"/>
                <w:szCs w:val="20"/>
                <w:color w:val="auto"/>
              </w:rPr>
            </w:pPr>
            <w:r>
              <w:rPr>
                <w:rFonts w:ascii="Courier New" w:cs="Courier New" w:eastAsia="Courier New" w:hAnsi="Courier New"/>
                <w:sz w:val="12"/>
                <w:szCs w:val="12"/>
                <w:color w:val="auto"/>
                <w:w w:val="96"/>
              </w:rPr>
              <w:t>---------------------------</w:t>
            </w:r>
          </w:p>
        </w:tc>
        <w:tc>
          <w:tcPr>
            <w:tcW w:w="76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PAID-IN</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SHARE</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CAPITAL</w:t>
            </w:r>
          </w:p>
        </w:tc>
        <w:tc>
          <w:tcPr>
            <w:tcW w:w="14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STOCK BASED</w:t>
            </w:r>
          </w:p>
        </w:tc>
        <w:tc>
          <w:tcPr>
            <w:tcW w:w="120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ACCUMULATED</w:t>
            </w:r>
          </w:p>
        </w:tc>
        <w:tc>
          <w:tcPr>
            <w:tcW w:w="2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TREAS</w:t>
            </w:r>
          </w:p>
        </w:tc>
      </w:tr>
      <w:tr>
        <w:trPr>
          <w:trHeight w:val="135"/>
        </w:trPr>
        <w:tc>
          <w:tcPr>
            <w:tcW w:w="3780" w:type="dxa"/>
            <w:vAlign w:val="bottom"/>
          </w:tcPr>
          <w:p>
            <w:pPr>
              <w:spacing w:after="0"/>
              <w:rPr>
                <w:sz w:val="11"/>
                <w:szCs w:val="11"/>
                <w:color w:val="auto"/>
              </w:rPr>
            </w:pPr>
          </w:p>
        </w:tc>
        <w:tc>
          <w:tcPr>
            <w:tcW w:w="11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SHARES</w:t>
            </w:r>
          </w:p>
        </w:tc>
        <w:tc>
          <w:tcPr>
            <w:tcW w:w="1140" w:type="dxa"/>
            <w:vAlign w:val="bottom"/>
            <w:gridSpan w:val="3"/>
          </w:tcPr>
          <w:p>
            <w:pPr>
              <w:jc w:val="right"/>
              <w:ind w:right="501"/>
              <w:spacing w:after="0"/>
              <w:rPr>
                <w:sz w:val="20"/>
                <w:szCs w:val="20"/>
                <w:color w:val="auto"/>
              </w:rPr>
            </w:pPr>
            <w:r>
              <w:rPr>
                <w:rFonts w:ascii="Courier New" w:cs="Courier New" w:eastAsia="Courier New" w:hAnsi="Courier New"/>
                <w:sz w:val="12"/>
                <w:szCs w:val="12"/>
                <w:color w:val="auto"/>
              </w:rPr>
              <w:t>AMOUNT</w:t>
            </w:r>
          </w:p>
        </w:tc>
        <w:tc>
          <w:tcPr>
            <w:tcW w:w="76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CAPITAL</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CAPITAL</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NOTES</w:t>
            </w:r>
          </w:p>
        </w:tc>
        <w:tc>
          <w:tcPr>
            <w:tcW w:w="14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COMPENSATION</w:t>
            </w:r>
          </w:p>
        </w:tc>
        <w:tc>
          <w:tcPr>
            <w:tcW w:w="220" w:type="dxa"/>
            <w:vAlign w:val="bottom"/>
          </w:tcPr>
          <w:p>
            <w:pPr>
              <w:spacing w:after="0"/>
              <w:rPr>
                <w:sz w:val="11"/>
                <w:szCs w:val="11"/>
                <w:color w:val="auto"/>
              </w:rPr>
            </w:pPr>
          </w:p>
        </w:tc>
        <w:tc>
          <w:tcPr>
            <w:tcW w:w="98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9"/>
              </w:rPr>
              <w:t>DEFICIT</w:t>
            </w:r>
          </w:p>
        </w:tc>
        <w:tc>
          <w:tcPr>
            <w:tcW w:w="2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STO</w:t>
            </w:r>
          </w:p>
        </w:tc>
      </w:tr>
      <w:tr>
        <w:trPr>
          <w:trHeight w:val="135"/>
        </w:trPr>
        <w:tc>
          <w:tcPr>
            <w:tcW w:w="3780" w:type="dxa"/>
            <w:vAlign w:val="bottom"/>
          </w:tcPr>
          <w:p>
            <w:pPr>
              <w:spacing w:after="0"/>
              <w:rPr>
                <w:sz w:val="11"/>
                <w:szCs w:val="11"/>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5"/>
              </w:rPr>
              <w:t>-----------</w:t>
            </w:r>
          </w:p>
        </w:tc>
        <w:tc>
          <w:tcPr>
            <w:tcW w:w="114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3"/>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BALANCE - JANUARY 1, 2004</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52,996,097</w:t>
            </w:r>
          </w:p>
        </w:tc>
        <w:tc>
          <w:tcPr>
            <w:tcW w:w="3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82"/>
              </w:rPr>
              <w:t>$</w:t>
            </w:r>
          </w:p>
        </w:tc>
        <w:tc>
          <w:tcPr>
            <w:tcW w:w="82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13,150</w:t>
            </w:r>
          </w:p>
        </w:tc>
        <w:tc>
          <w:tcPr>
            <w:tcW w:w="28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427,881</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$ 16,428</w:t>
            </w: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2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(218,904)</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2,463,949</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553</w:t>
            </w:r>
          </w:p>
        </w:tc>
        <w:tc>
          <w:tcPr>
            <w:tcW w:w="2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16,414</w:t>
            </w:r>
          </w:p>
        </w:tc>
        <w:tc>
          <w:tcPr>
            <w:tcW w:w="1760" w:type="dxa"/>
            <w:vAlign w:val="bottom"/>
            <w:gridSpan w:val="3"/>
          </w:tcPr>
          <w:p>
            <w:pPr>
              <w:jc w:val="right"/>
              <w:ind w:right="701"/>
              <w:spacing w:after="0"/>
              <w:rPr>
                <w:sz w:val="20"/>
                <w:szCs w:val="20"/>
                <w:color w:val="auto"/>
              </w:rPr>
            </w:pPr>
            <w:r>
              <w:rPr>
                <w:rFonts w:ascii="Courier New" w:cs="Courier New" w:eastAsia="Courier New" w:hAnsi="Courier New"/>
                <w:sz w:val="12"/>
                <w:szCs w:val="12"/>
                <w:color w:val="auto"/>
              </w:rPr>
              <w:t>(16,428)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ISSUANCE OF SHARES, NET OF RELATED COSTS -</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PUBLIC OFFERING</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11,444,500</w:t>
            </w:r>
          </w:p>
        </w:tc>
        <w:tc>
          <w:tcPr>
            <w:tcW w:w="320" w:type="dxa"/>
            <w:vAlign w:val="bottom"/>
          </w:tcPr>
          <w:p>
            <w:pPr>
              <w:spacing w:after="0"/>
              <w:rPr>
                <w:sz w:val="11"/>
                <w:szCs w:val="11"/>
                <w:color w:val="auto"/>
              </w:rPr>
            </w:pPr>
          </w:p>
        </w:tc>
        <w:tc>
          <w:tcPr>
            <w:tcW w:w="82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2,550</w:t>
            </w: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72,536</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EXERCISE OF SHARE OPTIONS</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95,250</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21</w:t>
            </w: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645</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(137,768)</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5"/>
              </w:rPr>
              <w:t>-----------</w:t>
            </w:r>
          </w:p>
        </w:tc>
        <w:tc>
          <w:tcPr>
            <w:tcW w:w="114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3"/>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BALANCE - DECEMBER 31, 2004</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66,999,796</w:t>
            </w:r>
          </w:p>
        </w:tc>
        <w:tc>
          <w:tcPr>
            <w:tcW w:w="3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82"/>
              </w:rPr>
              <w:t>$</w:t>
            </w:r>
          </w:p>
        </w:tc>
        <w:tc>
          <w:tcPr>
            <w:tcW w:w="82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16,274</w:t>
            </w:r>
          </w:p>
        </w:tc>
        <w:tc>
          <w:tcPr>
            <w:tcW w:w="28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517,476</w:t>
            </w: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2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(356,672)</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1,232,260</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274</w:t>
            </w:r>
          </w:p>
        </w:tc>
        <w:tc>
          <w:tcPr>
            <w:tcW w:w="2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1,520</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THE</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FACILITY AGREEMENT WITH THE BANKS, NOTE 12B(5)</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2,793</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RIGHTS OFFERED</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TO EMPLOYEES, NOTE 12I</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448</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5"/>
              </w:rPr>
              <w:t>-----------</w:t>
            </w:r>
          </w:p>
        </w:tc>
        <w:tc>
          <w:tcPr>
            <w:tcW w:w="114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3"/>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BALANCE - DECEMBER 31, 2005</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68,232,056</w:t>
            </w:r>
          </w:p>
        </w:tc>
        <w:tc>
          <w:tcPr>
            <w:tcW w:w="3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82"/>
              </w:rPr>
              <w:t>$</w:t>
            </w:r>
          </w:p>
        </w:tc>
        <w:tc>
          <w:tcPr>
            <w:tcW w:w="82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16,548</w:t>
            </w:r>
          </w:p>
        </w:tc>
        <w:tc>
          <w:tcPr>
            <w:tcW w:w="28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522,237</w:t>
            </w: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2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(559,754)</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16,729,145</w:t>
            </w:r>
          </w:p>
        </w:tc>
        <w:tc>
          <w:tcPr>
            <w:tcW w:w="320" w:type="dxa"/>
            <w:vAlign w:val="bottom"/>
          </w:tcPr>
          <w:p>
            <w:pPr>
              <w:spacing w:after="0"/>
              <w:rPr>
                <w:sz w:val="23"/>
                <w:szCs w:val="23"/>
                <w:color w:val="auto"/>
              </w:rPr>
            </w:pPr>
          </w:p>
        </w:tc>
        <w:tc>
          <w:tcPr>
            <w:tcW w:w="82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3,860</w:t>
            </w:r>
          </w:p>
        </w:tc>
        <w:tc>
          <w:tcPr>
            <w:tcW w:w="2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21,235</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27,997</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TO SHARES</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16,734,316</w:t>
            </w:r>
          </w:p>
        </w:tc>
        <w:tc>
          <w:tcPr>
            <w:tcW w:w="320" w:type="dxa"/>
            <w:vAlign w:val="bottom"/>
          </w:tcPr>
          <w:p>
            <w:pPr>
              <w:spacing w:after="0"/>
              <w:rPr>
                <w:sz w:val="11"/>
                <w:szCs w:val="11"/>
                <w:color w:val="auto"/>
              </w:rPr>
            </w:pPr>
          </w:p>
        </w:tc>
        <w:tc>
          <w:tcPr>
            <w:tcW w:w="82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3,696</w:t>
            </w: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14,681</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9"/>
              </w:rPr>
              <w:t>(7,758)</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ISSUANCE OF WARRANTS</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1,803</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3,363</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7,250</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w:t>
            </w: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350,000</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81</w:t>
            </w: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469</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THE FACILITY AGREEMENT WITH THE BANKS</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4,146</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176,401</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(86,928)</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5"/>
              </w:rPr>
              <w:t>-----------</w:t>
            </w:r>
          </w:p>
        </w:tc>
        <w:tc>
          <w:tcPr>
            <w:tcW w:w="114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3"/>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BALANCE - DECEMBER 31, 2006</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5"/>
              </w:rPr>
              <w:t>102,052,767</w:t>
            </w:r>
          </w:p>
        </w:tc>
        <w:tc>
          <w:tcPr>
            <w:tcW w:w="3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82"/>
              </w:rPr>
              <w:t>$</w:t>
            </w:r>
          </w:p>
        </w:tc>
        <w:tc>
          <w:tcPr>
            <w:tcW w:w="82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24,187</w:t>
            </w:r>
          </w:p>
        </w:tc>
        <w:tc>
          <w:tcPr>
            <w:tcW w:w="28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564,580</w:t>
            </w: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$176,401</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$ 23,576</w:t>
            </w:r>
          </w:p>
        </w:tc>
        <w:tc>
          <w:tcPr>
            <w:tcW w:w="2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(646,682)</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r>
      <w:tr>
        <w:trPr>
          <w:trHeight w:val="135"/>
        </w:trPr>
        <w:tc>
          <w:tcPr>
            <w:tcW w:w="3780" w:type="dxa"/>
            <w:vAlign w:val="bottom"/>
          </w:tcPr>
          <w:p>
            <w:pPr>
              <w:spacing w:after="0"/>
              <w:rPr>
                <w:sz w:val="11"/>
                <w:szCs w:val="11"/>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5"/>
              </w:rPr>
              <w:t>===========</w:t>
            </w:r>
          </w:p>
        </w:tc>
        <w:tc>
          <w:tcPr>
            <w:tcW w:w="114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3"/>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SEE NOTES TO CONSOLIDATED FINANCIAL STATEMENTS.</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05"/>
        </w:trPr>
        <w:tc>
          <w:tcPr>
            <w:tcW w:w="3780" w:type="dxa"/>
            <w:vAlign w:val="bottom"/>
          </w:tcPr>
          <w:p>
            <w:pPr>
              <w:ind w:left="2600"/>
              <w:spacing w:after="0"/>
              <w:rPr>
                <w:sz w:val="20"/>
                <w:szCs w:val="20"/>
                <w:color w:val="auto"/>
              </w:rPr>
            </w:pPr>
            <w:r>
              <w:rPr>
                <w:rFonts w:ascii="Courier New" w:cs="Courier New" w:eastAsia="Courier New" w:hAnsi="Courier New"/>
                <w:sz w:val="12"/>
                <w:szCs w:val="12"/>
                <w:color w:val="auto"/>
              </w:rPr>
              <w:t>F - 4</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7"/>
        </w:trPr>
        <w:tc>
          <w:tcPr>
            <w:tcW w:w="4900" w:type="dxa"/>
            <w:vAlign w:val="bottom"/>
            <w:gridSpan w:val="2"/>
          </w:tcPr>
          <w:p>
            <w:pPr>
              <w:ind w:left="1680"/>
              <w:spacing w:after="0"/>
              <w:rPr>
                <w:sz w:val="20"/>
                <w:szCs w:val="20"/>
                <w:color w:val="auto"/>
              </w:rPr>
            </w:pPr>
            <w:r>
              <w:rPr>
                <w:rFonts w:ascii="Courier New" w:cs="Courier New" w:eastAsia="Courier New" w:hAnsi="Courier New"/>
                <w:sz w:val="12"/>
                <w:szCs w:val="12"/>
                <w:color w:val="auto"/>
              </w:rPr>
              <w:t>TOWER SEMICONDUCTOR LTD. AND SUBSIDIARY</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35"/>
        </w:trPr>
        <w:tc>
          <w:tcPr>
            <w:tcW w:w="490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CONSOLIDATED STATEMENTS OF CASH FLOWS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5220" w:type="dxa"/>
            <w:vAlign w:val="bottom"/>
            <w:gridSpan w:val="3"/>
          </w:tcPr>
          <w:p>
            <w:pPr>
              <w:ind w:left="900"/>
              <w:spacing w:after="0"/>
              <w:rPr>
                <w:sz w:val="20"/>
                <w:szCs w:val="20"/>
                <w:color w:val="auto"/>
              </w:rPr>
            </w:pPr>
            <w:r>
              <w:rPr>
                <w:rFonts w:ascii="Courier New" w:cs="Courier New" w:eastAsia="Courier New" w:hAnsi="Courier New"/>
                <w:sz w:val="12"/>
                <w:szCs w:val="12"/>
                <w:color w:val="auto"/>
                <w:w w:val="99"/>
              </w:rPr>
              <w:t>(dollars in thousands, except share data and per share data)</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20" w:type="dxa"/>
            <w:vAlign w:val="bottom"/>
            <w:gridSpan w:val="5"/>
          </w:tcPr>
          <w:p>
            <w:pPr>
              <w:jc w:val="right"/>
              <w:ind w:right="701"/>
              <w:spacing w:after="0"/>
              <w:rPr>
                <w:sz w:val="20"/>
                <w:szCs w:val="20"/>
                <w:color w:val="auto"/>
              </w:rPr>
            </w:pPr>
            <w:r>
              <w:rPr>
                <w:rFonts w:ascii="Courier New" w:cs="Courier New" w:eastAsia="Courier New" w:hAnsi="Courier New"/>
                <w:sz w:val="12"/>
                <w:szCs w:val="12"/>
                <w:color w:val="auto"/>
              </w:rPr>
              <w:t>YEAR ENDED DECEMBER 31,</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60" w:type="dxa"/>
            <w:vAlign w:val="bottom"/>
            <w:gridSpan w:val="6"/>
          </w:tcPr>
          <w:p>
            <w:pPr>
              <w:ind w:left="220"/>
              <w:spacing w:after="0"/>
              <w:rPr>
                <w:sz w:val="20"/>
                <w:szCs w:val="20"/>
                <w:color w:val="auto"/>
              </w:rPr>
            </w:pPr>
            <w:r>
              <w:rPr>
                <w:rFonts w:ascii="Courier New" w:cs="Courier New" w:eastAsia="Courier New" w:hAnsi="Courier New"/>
                <w:sz w:val="12"/>
                <w:szCs w:val="12"/>
                <w:color w:val="auto"/>
                <w:w w:val="96"/>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360"/>
              <w:spacing w:after="0"/>
              <w:rPr>
                <w:sz w:val="20"/>
                <w:szCs w:val="20"/>
                <w:color w:val="auto"/>
              </w:rPr>
            </w:pPr>
            <w:r>
              <w:rPr>
                <w:rFonts w:ascii="Courier New" w:cs="Courier New" w:eastAsia="Courier New" w:hAnsi="Courier New"/>
                <w:sz w:val="12"/>
                <w:szCs w:val="12"/>
                <w:color w:val="auto"/>
                <w:w w:val="90"/>
              </w:rPr>
              <w:t>2006</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2005</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CASH FLOWS - OPERATING ACTIVITIES</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LOSS FOR THE YEAR</w:t>
            </w: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94"/>
              </w:rPr>
              <w:t>$ (86,928)</w:t>
            </w:r>
          </w:p>
        </w:tc>
        <w:tc>
          <w:tcPr>
            <w:tcW w:w="13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$(203,082)</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$(137,768)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Adjustments to reconcile loss for the year</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TO NET CASH USED IN OPERATING ACTIVITIES:</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490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INCOME AND EXPENSE ITEMS NOT INVOLVING CASH FLOWS: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620"/>
              <w:spacing w:after="0"/>
              <w:rPr>
                <w:sz w:val="20"/>
                <w:szCs w:val="20"/>
                <w:color w:val="auto"/>
              </w:rPr>
            </w:pPr>
            <w:r>
              <w:rPr>
                <w:rFonts w:ascii="Courier New" w:cs="Courier New" w:eastAsia="Courier New" w:hAnsi="Courier New"/>
                <w:sz w:val="12"/>
                <w:szCs w:val="12"/>
                <w:color w:val="auto"/>
              </w:rPr>
              <w:t>DEPRECIATION AND AMORTIZATION</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154,794</w:t>
            </w:r>
          </w:p>
        </w:tc>
        <w:tc>
          <w:tcPr>
            <w:tcW w:w="4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144,852</w:t>
            </w:r>
          </w:p>
        </w:tc>
        <w:tc>
          <w:tcPr>
            <w:tcW w:w="8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121,067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5220" w:type="dxa"/>
            <w:vAlign w:val="bottom"/>
            <w:gridSpan w:val="3"/>
          </w:tcPr>
          <w:p>
            <w:pPr>
              <w:jc w:val="center"/>
              <w:ind w:left="321"/>
              <w:spacing w:after="0"/>
              <w:rPr>
                <w:sz w:val="20"/>
                <w:szCs w:val="20"/>
                <w:color w:val="auto"/>
              </w:rPr>
            </w:pPr>
            <w:r>
              <w:rPr>
                <w:rFonts w:ascii="Courier New" w:cs="Courier New" w:eastAsia="Courier New" w:hAnsi="Courier New"/>
                <w:sz w:val="12"/>
                <w:szCs w:val="12"/>
                <w:color w:val="auto"/>
                <w:w w:val="97"/>
              </w:rPr>
              <w:t>EFFECT OF INDEXATION AND TRANSLATION ON CONVERTIBLE DEBENTURES</w:t>
            </w:r>
          </w:p>
        </w:tc>
        <w:tc>
          <w:tcPr>
            <w:tcW w:w="180" w:type="dxa"/>
            <w:vAlign w:val="bottom"/>
          </w:tcPr>
          <w:p>
            <w:pPr>
              <w:spacing w:after="0"/>
              <w:rPr>
                <w:sz w:val="11"/>
                <w:szCs w:val="11"/>
                <w:color w:val="auto"/>
              </w:rPr>
            </w:pPr>
          </w:p>
        </w:tc>
        <w:tc>
          <w:tcPr>
            <w:tcW w:w="920" w:type="dxa"/>
            <w:vAlign w:val="bottom"/>
            <w:gridSpan w:val="2"/>
          </w:tcPr>
          <w:p>
            <w:pPr>
              <w:jc w:val="center"/>
              <w:ind w:left="361"/>
              <w:spacing w:after="0"/>
              <w:rPr>
                <w:sz w:val="20"/>
                <w:szCs w:val="20"/>
                <w:color w:val="auto"/>
              </w:rPr>
            </w:pPr>
            <w:r>
              <w:rPr>
                <w:rFonts w:ascii="Courier New" w:cs="Courier New" w:eastAsia="Courier New" w:hAnsi="Courier New"/>
                <w:sz w:val="12"/>
                <w:szCs w:val="12"/>
                <w:color w:val="auto"/>
                <w:w w:val="94"/>
              </w:rPr>
              <w:t>2,569</w:t>
            </w:r>
          </w:p>
        </w:tc>
        <w:tc>
          <w:tcPr>
            <w:tcW w:w="4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(1,031)</w:t>
            </w:r>
          </w:p>
        </w:tc>
        <w:tc>
          <w:tcPr>
            <w:tcW w:w="8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676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bl>
    <w:p>
      <w:pPr>
        <w:sectPr>
          <w:pgSz w:w="11900" w:h="16838" w:orient="portrait"/>
          <w:cols w:equalWidth="0" w:num="1">
            <w:col w:w="11520"/>
          </w:cols>
          <w:pgMar w:left="220" w:top="137" w:right="15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400" w:type="dxa"/>
            <w:vAlign w:val="bottom"/>
          </w:tcPr>
          <w:p>
            <w:pPr>
              <w:ind w:left="620"/>
              <w:spacing w:after="0"/>
              <w:rPr>
                <w:sz w:val="20"/>
                <w:szCs w:val="20"/>
                <w:color w:val="auto"/>
              </w:rPr>
            </w:pPr>
            <w:r>
              <w:rPr>
                <w:rFonts w:ascii="Courier New" w:cs="Courier New" w:eastAsia="Courier New" w:hAnsi="Courier New"/>
                <w:sz w:val="12"/>
                <w:szCs w:val="12"/>
                <w:color w:val="auto"/>
              </w:rPr>
              <w:t>OTHER INCOME, NET</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(597)</w:t>
            </w:r>
          </w:p>
        </w:tc>
        <w:tc>
          <w:tcPr>
            <w:tcW w:w="3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(2,383)</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(32,682)</w:t>
            </w:r>
          </w:p>
        </w:tc>
      </w:tr>
      <w:tr>
        <w:trPr>
          <w:trHeight w:val="135"/>
        </w:trPr>
        <w:tc>
          <w:tcPr>
            <w:tcW w:w="5400" w:type="dxa"/>
            <w:vAlign w:val="bottom"/>
          </w:tcPr>
          <w:p>
            <w:pPr>
              <w:ind w:left="480"/>
              <w:spacing w:after="0"/>
              <w:rPr>
                <w:sz w:val="20"/>
                <w:szCs w:val="20"/>
                <w:color w:val="auto"/>
              </w:rPr>
            </w:pPr>
            <w:r>
              <w:rPr>
                <w:rFonts w:ascii="Courier New" w:cs="Courier New" w:eastAsia="Courier New" w:hAnsi="Courier New"/>
                <w:sz w:val="12"/>
                <w:szCs w:val="12"/>
                <w:color w:val="auto"/>
              </w:rPr>
              <w:t>CHANGES IN ASSETS AND LIABILITIES: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5400" w:type="dxa"/>
            <w:vAlign w:val="bottom"/>
          </w:tcPr>
          <w:p>
            <w:pPr>
              <w:ind w:left="620"/>
              <w:spacing w:after="0"/>
              <w:rPr>
                <w:sz w:val="20"/>
                <w:szCs w:val="20"/>
                <w:color w:val="auto"/>
              </w:rPr>
            </w:pPr>
            <w:r>
              <w:rPr>
                <w:rFonts w:ascii="Courier New" w:cs="Courier New" w:eastAsia="Courier New" w:hAnsi="Courier New"/>
                <w:sz w:val="12"/>
                <w:szCs w:val="12"/>
                <w:color w:val="auto"/>
              </w:rPr>
              <w:t>DECREASE (INCREASE) IN TRADE ACCOUNTS RECEIVABLE</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(14,722)</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2,510</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(7,655)</w:t>
            </w:r>
          </w:p>
        </w:tc>
      </w:tr>
      <w:tr>
        <w:trPr>
          <w:trHeight w:val="135"/>
        </w:trPr>
        <w:tc>
          <w:tcPr>
            <w:tcW w:w="5400" w:type="dxa"/>
            <w:vAlign w:val="bottom"/>
          </w:tcPr>
          <w:p>
            <w:pPr>
              <w:ind w:left="620"/>
              <w:spacing w:after="0"/>
              <w:rPr>
                <w:sz w:val="20"/>
                <w:szCs w:val="20"/>
                <w:color w:val="auto"/>
              </w:rPr>
            </w:pPr>
            <w:r>
              <w:rPr>
                <w:rFonts w:ascii="Courier New" w:cs="Courier New" w:eastAsia="Courier New" w:hAnsi="Courier New"/>
                <w:sz w:val="12"/>
                <w:szCs w:val="12"/>
                <w:color w:val="auto"/>
              </w:rPr>
              <w:t>DECREASE (INCREASE) IN OTHER RECEIVABLES AND OTHER CURRENT ASSETS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(2,662)</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1,988</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(413)</w:t>
            </w:r>
          </w:p>
        </w:tc>
      </w:tr>
      <w:tr>
        <w:trPr>
          <w:trHeight w:val="135"/>
        </w:trPr>
        <w:tc>
          <w:tcPr>
            <w:tcW w:w="5400" w:type="dxa"/>
            <w:vAlign w:val="bottom"/>
          </w:tcPr>
          <w:p>
            <w:pPr>
              <w:ind w:left="620"/>
              <w:spacing w:after="0"/>
              <w:rPr>
                <w:sz w:val="20"/>
                <w:szCs w:val="20"/>
                <w:color w:val="auto"/>
              </w:rPr>
            </w:pPr>
            <w:r>
              <w:rPr>
                <w:rFonts w:ascii="Courier New" w:cs="Courier New" w:eastAsia="Courier New" w:hAnsi="Courier New"/>
                <w:sz w:val="12"/>
                <w:szCs w:val="12"/>
                <w:color w:val="auto"/>
              </w:rPr>
              <w:t>DECREASE (INCREASE) IN INVENTORIES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(16,725)</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1,293</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(6,287)</w:t>
            </w:r>
          </w:p>
        </w:tc>
      </w:tr>
      <w:tr>
        <w:trPr>
          <w:trHeight w:val="135"/>
        </w:trPr>
        <w:tc>
          <w:tcPr>
            <w:tcW w:w="5400" w:type="dxa"/>
            <w:vAlign w:val="bottom"/>
          </w:tcPr>
          <w:p>
            <w:pPr>
              <w:ind w:left="620"/>
              <w:spacing w:after="0"/>
              <w:rPr>
                <w:sz w:val="20"/>
                <w:szCs w:val="20"/>
                <w:color w:val="auto"/>
              </w:rPr>
            </w:pPr>
            <w:r>
              <w:rPr>
                <w:rFonts w:ascii="Courier New" w:cs="Courier New" w:eastAsia="Courier New" w:hAnsi="Courier New"/>
                <w:sz w:val="12"/>
                <w:szCs w:val="12"/>
                <w:color w:val="auto"/>
              </w:rPr>
              <w:t>INCREASE (DECREASE) IN TRADE ACCOUNTS PAYABLE</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(2,073)</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3,082</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404</w:t>
            </w:r>
          </w:p>
        </w:tc>
      </w:tr>
      <w:tr>
        <w:trPr>
          <w:trHeight w:val="135"/>
        </w:trPr>
        <w:tc>
          <w:tcPr>
            <w:tcW w:w="5400" w:type="dxa"/>
            <w:vAlign w:val="bottom"/>
          </w:tcPr>
          <w:p>
            <w:pPr>
              <w:ind w:left="620"/>
              <w:spacing w:after="0"/>
              <w:rPr>
                <w:sz w:val="20"/>
                <w:szCs w:val="20"/>
                <w:color w:val="auto"/>
              </w:rPr>
            </w:pPr>
            <w:r>
              <w:rPr>
                <w:rFonts w:ascii="Courier New" w:cs="Courier New" w:eastAsia="Courier New" w:hAnsi="Courier New"/>
                <w:sz w:val="12"/>
                <w:szCs w:val="12"/>
                <w:color w:val="auto"/>
              </w:rPr>
              <w:t>GAIN ON DEBT RESTRUCTURING</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(80,071)</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620"/>
              <w:spacing w:after="0"/>
              <w:rPr>
                <w:sz w:val="20"/>
                <w:szCs w:val="20"/>
                <w:color w:val="auto"/>
              </w:rPr>
            </w:pPr>
            <w:r>
              <w:rPr>
                <w:rFonts w:ascii="Courier New" w:cs="Courier New" w:eastAsia="Courier New" w:hAnsi="Courier New"/>
                <w:sz w:val="12"/>
                <w:szCs w:val="12"/>
                <w:color w:val="auto"/>
              </w:rPr>
              <w:t>INCREASE (DECREASE) IN OTHER CURRENT LIABILITIES</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6,551</w:t>
            </w:r>
          </w:p>
        </w:tc>
        <w:tc>
          <w:tcPr>
            <w:tcW w:w="3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(1,839)</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(970)</w:t>
            </w:r>
          </w:p>
        </w:tc>
      </w:tr>
      <w:tr>
        <w:trPr>
          <w:trHeight w:val="135"/>
        </w:trPr>
        <w:tc>
          <w:tcPr>
            <w:tcW w:w="5400" w:type="dxa"/>
            <w:vAlign w:val="bottom"/>
          </w:tcPr>
          <w:p>
            <w:pPr>
              <w:ind w:left="620"/>
              <w:spacing w:after="0"/>
              <w:rPr>
                <w:sz w:val="20"/>
                <w:szCs w:val="20"/>
                <w:color w:val="auto"/>
              </w:rPr>
            </w:pPr>
            <w:r>
              <w:rPr>
                <w:rFonts w:ascii="Courier New" w:cs="Courier New" w:eastAsia="Courier New" w:hAnsi="Courier New"/>
                <w:sz w:val="12"/>
                <w:szCs w:val="12"/>
                <w:color w:val="auto"/>
              </w:rPr>
              <w:t>INCREASE (DECREASE) IN OTHER LONG-TERM LIABILITIES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(3,285)</w:t>
            </w:r>
          </w:p>
        </w:tc>
        <w:tc>
          <w:tcPr>
            <w:tcW w:w="3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(5,368)</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9,344</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(43,149)</w:t>
            </w:r>
          </w:p>
        </w:tc>
        <w:tc>
          <w:tcPr>
            <w:tcW w:w="3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(59,978)</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(54,284)</w:t>
            </w:r>
          </w:p>
        </w:tc>
      </w:tr>
      <w:tr>
        <w:trPr>
          <w:trHeight w:val="135"/>
        </w:trPr>
        <w:tc>
          <w:tcPr>
            <w:tcW w:w="5400" w:type="dxa"/>
            <w:vAlign w:val="bottom"/>
          </w:tcPr>
          <w:p>
            <w:pPr>
              <w:ind w:left="620"/>
              <w:spacing w:after="0"/>
              <w:rPr>
                <w:sz w:val="20"/>
                <w:szCs w:val="20"/>
                <w:color w:val="auto"/>
              </w:rPr>
            </w:pPr>
            <w:r>
              <w:rPr>
                <w:rFonts w:ascii="Courier New" w:cs="Courier New" w:eastAsia="Courier New" w:hAnsi="Courier New"/>
                <w:sz w:val="12"/>
                <w:szCs w:val="12"/>
                <w:color w:val="auto"/>
              </w:rPr>
              <w:t>INCREASE (DECREASE) IN LONG-TERM CUSTOMERS' ADVANCES, NET</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(2,306)</w:t>
            </w:r>
          </w:p>
        </w:tc>
        <w:tc>
          <w:tcPr>
            <w:tcW w:w="3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(760)</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19,384</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760"/>
              <w:spacing w:after="0"/>
              <w:rPr>
                <w:sz w:val="20"/>
                <w:szCs w:val="20"/>
                <w:color w:val="auto"/>
              </w:rPr>
            </w:pPr>
            <w:r>
              <w:rPr>
                <w:rFonts w:ascii="Courier New" w:cs="Courier New" w:eastAsia="Courier New" w:hAnsi="Courier New"/>
                <w:sz w:val="12"/>
                <w:szCs w:val="12"/>
                <w:color w:val="auto"/>
              </w:rPr>
              <w:t>NET CASH USED IN OPERATING ACTIVITIES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(45,455)</w:t>
            </w:r>
          </w:p>
        </w:tc>
        <w:tc>
          <w:tcPr>
            <w:tcW w:w="3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(60,738)</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(34,900)</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20"/>
                <w:szCs w:val="20"/>
                <w:color w:val="auto"/>
              </w:rPr>
            </w:pPr>
            <w:r>
              <w:rPr>
                <w:rFonts w:ascii="Courier New" w:cs="Courier New" w:eastAsia="Courier New" w:hAnsi="Courier New"/>
                <w:sz w:val="12"/>
                <w:szCs w:val="12"/>
                <w:color w:val="auto"/>
              </w:rPr>
              <w:t>CASH FLOWS - INVESTING ACTIVITIES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70"/>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DECREASE (INCREASE) IN DESIGNATED CASH, SHORT-TERM AND LONG-TERM</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5400" w:type="dxa"/>
            <w:vAlign w:val="bottom"/>
          </w:tcPr>
          <w:p>
            <w:pPr>
              <w:ind w:left="420"/>
              <w:spacing w:after="0"/>
              <w:rPr>
                <w:sz w:val="20"/>
                <w:szCs w:val="20"/>
                <w:color w:val="auto"/>
              </w:rPr>
            </w:pPr>
            <w:r>
              <w:rPr>
                <w:rFonts w:ascii="Courier New" w:cs="Courier New" w:eastAsia="Courier New" w:hAnsi="Courier New"/>
                <w:sz w:val="12"/>
                <w:szCs w:val="12"/>
                <w:color w:val="auto"/>
              </w:rPr>
              <w:t>INTEREST-BEARING DEPOSITS, NET</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31,661</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27,266</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(10,037)</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(145,165)</w:t>
            </w:r>
          </w:p>
        </w:tc>
        <w:tc>
          <w:tcPr>
            <w:tcW w:w="3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(38,878)</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2"/>
              </w:rPr>
              <w:t>(154,975)</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INVESTMENT GRANTS RECEIVED</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5,219</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7,496</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32,636</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PROCEEDS RELATED TO SALE AND DISPOSAL OF PROPERTY AND EQUIPMENT</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600</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2,179</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2,626</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(5,074)</w:t>
            </w:r>
          </w:p>
        </w:tc>
        <w:tc>
          <w:tcPr>
            <w:tcW w:w="3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(3,841)</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(702)</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INCREASE IN SHORT-TERM INTEREST-BEARING DEPOSITS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(1,230)</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PROCEEDS FROM SALE OF LONG-TERM INVESTMENT</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38,677</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760"/>
              <w:spacing w:after="0"/>
              <w:rPr>
                <w:sz w:val="20"/>
                <w:szCs w:val="20"/>
                <w:color w:val="auto"/>
              </w:rPr>
            </w:pPr>
            <w:r>
              <w:rPr>
                <w:rFonts w:ascii="Courier New" w:cs="Courier New" w:eastAsia="Courier New" w:hAnsi="Courier New"/>
                <w:sz w:val="12"/>
                <w:szCs w:val="12"/>
                <w:color w:val="auto"/>
              </w:rPr>
              <w:t>NET CASH USED IN INVESTING ACTIVITIES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(113,989)</w:t>
            </w:r>
          </w:p>
        </w:tc>
        <w:tc>
          <w:tcPr>
            <w:tcW w:w="3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(5,778)</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(91,775)</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400" w:type="dxa"/>
            <w:vAlign w:val="bottom"/>
          </w:tcPr>
          <w:p>
            <w:pPr>
              <w:spacing w:after="0"/>
              <w:rPr>
                <w:sz w:val="20"/>
                <w:szCs w:val="20"/>
                <w:color w:val="auto"/>
              </w:rPr>
            </w:pPr>
            <w:r>
              <w:rPr>
                <w:rFonts w:ascii="Courier New" w:cs="Courier New" w:eastAsia="Courier New" w:hAnsi="Courier New"/>
                <w:sz w:val="12"/>
                <w:szCs w:val="12"/>
                <w:color w:val="auto"/>
              </w:rPr>
              <w:t>CASH FLOWS - FINANCING ACTIVITIES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PROCEEDS FROM ISSUANCE OF CONVERTIBLE DEBENTURES, NET</w:t>
            </w:r>
          </w:p>
        </w:tc>
        <w:tc>
          <w:tcPr>
            <w:tcW w:w="280" w:type="dxa"/>
            <w:vAlign w:val="bottom"/>
          </w:tcPr>
          <w:p>
            <w:pPr>
              <w:spacing w:after="0"/>
              <w:rPr>
                <w:sz w:val="23"/>
                <w:szCs w:val="23"/>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58,766</w:t>
            </w:r>
          </w:p>
        </w:tc>
        <w:tc>
          <w:tcPr>
            <w:tcW w:w="320" w:type="dxa"/>
            <w:vAlign w:val="bottom"/>
          </w:tcPr>
          <w:p>
            <w:pPr>
              <w:spacing w:after="0"/>
              <w:rPr>
                <w:sz w:val="23"/>
                <w:szCs w:val="23"/>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25,086</w:t>
            </w:r>
          </w:p>
        </w:tc>
        <w:tc>
          <w:tcPr>
            <w:tcW w:w="300" w:type="dxa"/>
            <w:vAlign w:val="bottom"/>
          </w:tcPr>
          <w:p>
            <w:pPr>
              <w:spacing w:after="0"/>
              <w:rPr>
                <w:sz w:val="23"/>
                <w:szCs w:val="23"/>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PROCEEDS FROM LONG-TERM DEBT</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18,295</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21,103</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66,000</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PROCEEDS FROM ISSUANCE OF ORDINARY SHARES, NET</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17,483</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75,225</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A WARRANT</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550</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PROCEEDS FROM ISSUANCE OF WARRANTS</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3,190</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SHARE CAPITAL</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100,000</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REPAYMENT OF CONVERTIBLE DEBEBNTURE</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(6,476)</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PROCEEDS FROM EXERCISE OF SHARE OPTIONS</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9</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666</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760"/>
              <w:spacing w:after="0"/>
              <w:rPr>
                <w:sz w:val="20"/>
                <w:szCs w:val="20"/>
                <w:color w:val="auto"/>
              </w:rPr>
            </w:pPr>
            <w:r>
              <w:rPr>
                <w:rFonts w:ascii="Courier New" w:cs="Courier New" w:eastAsia="Courier New" w:hAnsi="Courier New"/>
                <w:sz w:val="12"/>
                <w:szCs w:val="12"/>
                <w:color w:val="auto"/>
              </w:rPr>
              <w:t>NET CASH PROVIDED BY FINANCING ACTIVITIES</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191,817</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46,189</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141,891</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400" w:type="dxa"/>
            <w:vAlign w:val="bottom"/>
          </w:tcPr>
          <w:p>
            <w:pPr>
              <w:ind w:left="480"/>
              <w:spacing w:after="0"/>
              <w:rPr>
                <w:sz w:val="20"/>
                <w:szCs w:val="20"/>
                <w:color w:val="auto"/>
              </w:rPr>
            </w:pPr>
            <w:r>
              <w:rPr>
                <w:rFonts w:ascii="Courier New" w:cs="Courier New" w:eastAsia="Courier New" w:hAnsi="Courier New"/>
                <w:sz w:val="12"/>
                <w:szCs w:val="12"/>
                <w:color w:val="auto"/>
              </w:rPr>
              <w:t>INCREASE (DECREASE) IN CASH AND CASH EQUIVALENTS</w:t>
            </w:r>
          </w:p>
        </w:tc>
        <w:tc>
          <w:tcPr>
            <w:tcW w:w="280" w:type="dxa"/>
            <w:vAlign w:val="bottom"/>
          </w:tcPr>
          <w:p>
            <w:pPr>
              <w:spacing w:after="0"/>
              <w:rPr>
                <w:sz w:val="23"/>
                <w:szCs w:val="23"/>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32,373</w:t>
            </w:r>
          </w:p>
        </w:tc>
        <w:tc>
          <w:tcPr>
            <w:tcW w:w="320" w:type="dxa"/>
            <w:vAlign w:val="bottom"/>
          </w:tcPr>
          <w:p>
            <w:pPr>
              <w:spacing w:after="0"/>
              <w:rPr>
                <w:sz w:val="23"/>
                <w:szCs w:val="23"/>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(20,327)</w:t>
            </w:r>
          </w:p>
        </w:tc>
        <w:tc>
          <w:tcPr>
            <w:tcW w:w="300" w:type="dxa"/>
            <w:vAlign w:val="bottom"/>
          </w:tcPr>
          <w:p>
            <w:pPr>
              <w:spacing w:after="0"/>
              <w:rPr>
                <w:sz w:val="23"/>
                <w:szCs w:val="23"/>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15,216</w:t>
            </w:r>
          </w:p>
        </w:tc>
      </w:tr>
      <w:tr>
        <w:trPr>
          <w:trHeight w:val="135"/>
        </w:trPr>
        <w:tc>
          <w:tcPr>
            <w:tcW w:w="5400" w:type="dxa"/>
            <w:vAlign w:val="bottom"/>
          </w:tcPr>
          <w:p>
            <w:pPr>
              <w:spacing w:after="0"/>
              <w:rPr>
                <w:sz w:val="20"/>
                <w:szCs w:val="20"/>
                <w:color w:val="auto"/>
              </w:rPr>
            </w:pPr>
            <w:r>
              <w:rPr>
                <w:rFonts w:ascii="Courier New" w:cs="Courier New" w:eastAsia="Courier New" w:hAnsi="Courier New"/>
                <w:sz w:val="12"/>
                <w:szCs w:val="12"/>
                <w:color w:val="auto"/>
              </w:rPr>
              <w:t>CASH AND CASH EQUIVALENTS - BEGINNING OF YEAR</w:t>
            </w:r>
          </w:p>
        </w:tc>
        <w:tc>
          <w:tcPr>
            <w:tcW w:w="2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7,337</w:t>
            </w:r>
          </w:p>
        </w:tc>
        <w:tc>
          <w:tcPr>
            <w:tcW w:w="3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27,664</w:t>
            </w:r>
          </w:p>
        </w:tc>
        <w:tc>
          <w:tcPr>
            <w:tcW w:w="3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12,448</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40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 - END OF YEAR</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39,710</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7,337</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27,664</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400" w:type="dxa"/>
            <w:vAlign w:val="bottom"/>
          </w:tcPr>
          <w:p>
            <w:pPr>
              <w:spacing w:after="0"/>
              <w:rPr>
                <w:sz w:val="20"/>
                <w:szCs w:val="20"/>
                <w:color w:val="auto"/>
              </w:rPr>
            </w:pPr>
            <w:r>
              <w:rPr>
                <w:rFonts w:ascii="Courier New" w:cs="Courier New" w:eastAsia="Courier New" w:hAnsi="Courier New"/>
                <w:sz w:val="12"/>
                <w:szCs w:val="12"/>
                <w:color w:val="auto"/>
              </w:rPr>
              <w:t>NON-CASH ACTIVITIES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39,913</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12,999</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47,675</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5400" w:type="dxa"/>
            <w:vAlign w:val="bottom"/>
          </w:tcPr>
          <w:p>
            <w:pPr>
              <w:ind w:left="340"/>
              <w:spacing w:after="0"/>
              <w:rPr>
                <w:sz w:val="20"/>
                <w:szCs w:val="20"/>
                <w:color w:val="auto"/>
              </w:rPr>
            </w:pPr>
            <w:r>
              <w:rPr>
                <w:rFonts w:ascii="Courier New" w:cs="Courier New" w:eastAsia="Courier New" w:hAnsi="Courier New"/>
                <w:sz w:val="12"/>
                <w:szCs w:val="12"/>
                <w:color w:val="auto"/>
              </w:rPr>
              <w:t>THE FACILITY AGREEMENT WITH THE BANKS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4,146</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2,793</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 RIGHTS OFFERED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5400" w:type="dxa"/>
            <w:vAlign w:val="bottom"/>
          </w:tcPr>
          <w:p>
            <w:pPr>
              <w:ind w:left="340"/>
              <w:spacing w:after="0"/>
              <w:rPr>
                <w:sz w:val="20"/>
                <w:szCs w:val="20"/>
                <w:color w:val="auto"/>
              </w:rPr>
            </w:pPr>
            <w:r>
              <w:rPr>
                <w:rFonts w:ascii="Courier New" w:cs="Courier New" w:eastAsia="Courier New" w:hAnsi="Courier New"/>
                <w:sz w:val="12"/>
                <w:szCs w:val="12"/>
                <w:color w:val="auto"/>
              </w:rPr>
              <w:t>TO EMPLOYEES, NOTE 12I</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448</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433</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442</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LONG-TERM CUSTOMERS' ADVANCES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5400" w:type="dxa"/>
            <w:vAlign w:val="bottom"/>
          </w:tcPr>
          <w:p>
            <w:pPr>
              <w:ind w:left="340"/>
              <w:spacing w:after="0"/>
              <w:rPr>
                <w:sz w:val="20"/>
                <w:szCs w:val="20"/>
                <w:color w:val="auto"/>
              </w:rPr>
            </w:pPr>
            <w:r>
              <w:rPr>
                <w:rFonts w:ascii="Courier New" w:cs="Courier New" w:eastAsia="Courier New" w:hAnsi="Courier New"/>
                <w:sz w:val="12"/>
                <w:szCs w:val="12"/>
                <w:color w:val="auto"/>
              </w:rPr>
              <w:t>TO SHARE CAPITAL</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7,621</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1,794</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539</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CONVERSION OF CONVERTIBLE DEBENTURES TO SHARES CAPITAL</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10,619</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 TERM DEBT TO CAPITAL NOTES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76,401</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400" w:type="dxa"/>
            <w:vAlign w:val="bottom"/>
          </w:tcPr>
          <w:p>
            <w:pPr>
              <w:spacing w:after="0"/>
              <w:rPr>
                <w:sz w:val="20"/>
                <w:szCs w:val="20"/>
                <w:color w:val="auto"/>
              </w:rPr>
            </w:pPr>
            <w:r>
              <w:rPr>
                <w:rFonts w:ascii="Courier New" w:cs="Courier New" w:eastAsia="Courier New" w:hAnsi="Courier New"/>
                <w:sz w:val="12"/>
                <w:szCs w:val="12"/>
                <w:color w:val="auto"/>
              </w:rPr>
              <w:t>SUPPLEMENTAL DISCLOSURE OF CASH FLOW INFORMATION</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YEAR FOR INTEREST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35,008</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32,805</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25,205</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40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YEAR FOR INCOME TAXES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134</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86</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130</w:t>
            </w:r>
          </w:p>
        </w:tc>
      </w:tr>
      <w:tr>
        <w:trPr>
          <w:trHeight w:val="135"/>
        </w:trPr>
        <w:tc>
          <w:tcPr>
            <w:tcW w:w="5400" w:type="dxa"/>
            <w:vAlign w:val="bottom"/>
          </w:tcPr>
          <w:p>
            <w:pPr>
              <w:spacing w:after="0"/>
              <w:rPr>
                <w:sz w:val="11"/>
                <w:szCs w:val="11"/>
                <w:color w:val="auto"/>
              </w:rPr>
            </w:pP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13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w:t>
      </w:r>
    </w:p>
    <w:p>
      <w:pPr>
        <w:spacing w:after="0" w:line="134" w:lineRule="exact"/>
        <w:rPr>
          <w:sz w:val="20"/>
          <w:szCs w:val="20"/>
          <w:color w:val="auto"/>
        </w:rPr>
      </w:pPr>
    </w:p>
    <w:p>
      <w:pPr>
        <w:ind w:left="700" w:hanging="357"/>
        <w:spacing w:after="0"/>
        <w:tabs>
          <w:tab w:leader="none" w:pos="700"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DESCRIPTION OF BUSINESS</w:t>
      </w:r>
    </w:p>
    <w:p>
      <w:pPr>
        <w:spacing w:after="0" w:line="138" w:lineRule="exact"/>
        <w:rPr>
          <w:rFonts w:ascii="Courier New" w:cs="Courier New" w:eastAsia="Courier New" w:hAnsi="Courier New"/>
          <w:sz w:val="12"/>
          <w:szCs w:val="12"/>
          <w:color w:val="auto"/>
        </w:rPr>
      </w:pPr>
    </w:p>
    <w:p>
      <w:pPr>
        <w:ind w:left="700" w:right="475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("the Company"), incorporated in Israel, commenced operations in 1993. The Company is an independent wafer foundry dedicated to the manufacture of semiconductor integrated circuits on silicon wafers, strategically focused on complementary metal oxide semiconductor (CMOS) image sensor, embedded non-volatile memory, mixed signal and radio frequency CMOS (RFCMOS) technologies. The Company manufactures integrated circuits in geometries ranging between 1.0 and 0.35 microns at its 150-millimeter fabrication facility ("Fab 1"), and in geometries ranging between 0.18 and 0.13 microns at its 200-millimeter fabrication facility ("Fab 2"). As a foundry, the Company manufactures wafers using its advanced technological capabilities and the proprietary integrated circuit designs of its customers.</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139" w:lineRule="exact"/>
        <w:rPr>
          <w:rFonts w:ascii="Courier New" w:cs="Courier New" w:eastAsia="Courier New" w:hAnsi="Courier New"/>
          <w:sz w:val="12"/>
          <w:szCs w:val="12"/>
          <w:color w:val="auto"/>
        </w:rPr>
      </w:pPr>
    </w:p>
    <w:p>
      <w:pPr>
        <w:ind w:left="70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Ordinary Shares are traded on the NASDAQ Global Market and on the Tel-Aviv Stock Exchange.</w:t>
      </w:r>
    </w:p>
    <w:p>
      <w:pPr>
        <w:spacing w:after="0" w:line="139" w:lineRule="exact"/>
        <w:rPr>
          <w:rFonts w:ascii="Courier New" w:cs="Courier New" w:eastAsia="Courier New" w:hAnsi="Courier New"/>
          <w:sz w:val="12"/>
          <w:szCs w:val="12"/>
          <w:color w:val="auto"/>
        </w:rPr>
      </w:pPr>
    </w:p>
    <w:p>
      <w:pPr>
        <w:ind w:left="700" w:right="5039" w:hanging="357"/>
        <w:spacing w:after="0" w:line="235" w:lineRule="auto"/>
        <w:tabs>
          <w:tab w:leader="none" w:pos="700"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ESTABLISHMENT AND OPERATIONS OF THE COMPANY'S SECOND FABRICATION FACILITY (FAB 2)</w:t>
      </w:r>
    </w:p>
    <w:p>
      <w:pPr>
        <w:spacing w:after="0" w:line="139" w:lineRule="exact"/>
        <w:rPr>
          <w:rFonts w:ascii="Courier New" w:cs="Courier New" w:eastAsia="Courier New" w:hAnsi="Courier New"/>
          <w:sz w:val="12"/>
          <w:szCs w:val="12"/>
          <w:color w:val="auto"/>
        </w:rPr>
      </w:pPr>
    </w:p>
    <w:p>
      <w:pPr>
        <w:ind w:left="70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2001, the Company's Board of Directors approved the establishment of the Company's second wafer fabrication facility in Israel ("Fab 2"). In Fab 2, the Company manufactures semiconductor integrated circuits on silicon wafers in geometries of 0.18 micron and below on 200-millimeter wafers. In connection with the establishment, equipping</w:t>
      </w:r>
    </w:p>
    <w:p>
      <w:pPr>
        <w:sectPr>
          <w:pgSz w:w="11900" w:h="16838" w:orient="portrait"/>
          <w:cols w:equalWidth="0" w:num="1">
            <w:col w:w="10239"/>
          </w:cols>
          <w:pgMar w:left="220" w:top="137" w:right="1440" w:bottom="0" w:gutter="0" w:footer="0" w:header="0"/>
        </w:sectPr>
      </w:pPr>
    </w:p>
    <w:bookmarkStart w:id="53" w:name="page54"/>
    <w:bookmarkEnd w:id="53"/>
    <w:p>
      <w:pPr>
        <w:ind w:left="700"/>
        <w:spacing w:after="0"/>
        <w:rPr>
          <w:sz w:val="20"/>
          <w:szCs w:val="20"/>
          <w:color w:val="auto"/>
        </w:rPr>
      </w:pPr>
      <w:r>
        <w:rPr>
          <w:rFonts w:ascii="Courier New" w:cs="Courier New" w:eastAsia="Courier New" w:hAnsi="Courier New"/>
          <w:sz w:val="12"/>
          <w:szCs w:val="12"/>
          <w:color w:val="auto"/>
        </w:rPr>
        <w:t>and financing of Fab 2, the Company has entered into several related</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agreements and other arrangements and since 2001 has completed public</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private financing deals, see Note 11A.</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Fab 2 project is a complex undertaking, which entails substantial</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risks and uncertainties. For further details concerning the Fab 2</w:t>
      </w:r>
    </w:p>
    <w:p>
      <w:pPr>
        <w:ind w:left="700"/>
        <w:spacing w:after="0"/>
        <w:rPr>
          <w:sz w:val="20"/>
          <w:szCs w:val="20"/>
          <w:color w:val="auto"/>
        </w:rPr>
      </w:pPr>
      <w:r>
        <w:rPr>
          <w:rFonts w:ascii="Courier New" w:cs="Courier New" w:eastAsia="Courier New" w:hAnsi="Courier New"/>
          <w:sz w:val="12"/>
          <w:szCs w:val="12"/>
          <w:color w:val="auto"/>
        </w:rPr>
        <w:t>project and related agreements, some of which were amended several</w:t>
      </w:r>
    </w:p>
    <w:p>
      <w:pPr>
        <w:ind w:left="700"/>
        <w:spacing w:after="0" w:line="237" w:lineRule="auto"/>
        <w:rPr>
          <w:sz w:val="20"/>
          <w:szCs w:val="20"/>
          <w:color w:val="auto"/>
        </w:rPr>
      </w:pPr>
      <w:r>
        <w:rPr>
          <w:rFonts w:ascii="Courier New" w:cs="Courier New" w:eastAsia="Courier New" w:hAnsi="Courier New"/>
          <w:sz w:val="12"/>
          <w:szCs w:val="12"/>
          <w:color w:val="auto"/>
        </w:rPr>
        <w:t>times, see Note 11A.</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 (cont.)</w:t>
      </w:r>
    </w:p>
    <w:p>
      <w:pPr>
        <w:spacing w:after="0" w:line="134" w:lineRule="exact"/>
        <w:rPr>
          <w:sz w:val="20"/>
          <w:szCs w:val="20"/>
          <w:color w:val="auto"/>
        </w:rPr>
      </w:pPr>
    </w:p>
    <w:p>
      <w:pPr>
        <w:ind w:left="700" w:hanging="357"/>
        <w:spacing w:after="0"/>
        <w:tabs>
          <w:tab w:leader="none" w:pos="700" w:val="left"/>
        </w:tabs>
        <w:numPr>
          <w:ilvl w:val="0"/>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FINANCING OF THE COMPANY'S ONGOING OPERATIONS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recent years, the Company has experienced significant recurring losses, recurring negative cash flows from operating activities and an increasing accumulated deficit. The Company is working in various ways to mitigate its financial difficulties and among them are the following:</w:t>
      </w:r>
    </w:p>
    <w:p>
      <w:pPr>
        <w:spacing w:after="0" w:line="139" w:lineRule="exact"/>
        <w:rPr>
          <w:rFonts w:ascii="Courier New" w:cs="Courier New" w:eastAsia="Courier New" w:hAnsi="Courier New"/>
          <w:sz w:val="12"/>
          <w:szCs w:val="12"/>
          <w:color w:val="auto"/>
        </w:rPr>
      </w:pPr>
    </w:p>
    <w:p>
      <w:pPr>
        <w:ind w:left="7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the second half of 2005 and during 2006, the Company increased its customer base, mainly in Fab 2, modified its organizational structure to better address its customers and its market positioning, improved its sales and its EBITDA, reduced its losses, increased its capacity level and utilization rates, raised funds totaling approximately $209,000 in gross proceeds (see Notes 12C(2); 12I; 12J; and 12K) and restructured its bank debt (see below).</w:t>
      </w:r>
    </w:p>
    <w:p>
      <w:pPr>
        <w:spacing w:after="0" w:line="12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March 2006, the board of directors of the Company approved a plan to ramp-up Fab 2 in order to meet customer needs and product qualification needs, based on its customer pipeline and reinforced by forecasted market conditions.</w:t>
      </w:r>
    </w:p>
    <w:p>
      <w:pPr>
        <w:spacing w:after="0" w:line="140"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part of the financing efforts for the ramp-up plan, in September 2006, the Company closed a definitive amendment (the "September 2006 amendment") to its facility agreement (the "Facility Agreement") with two leading Israeli banks ("Banks"), for the restructuring of approximately $527,000 in debt. Pursuant to the September 2006 amendment, among other things: (i) $158,000, representing approximately 30% of the outstanding debt under the Facility Agreement, was converted into capital notes of the Company; (ii) the interest rate applicable for the quarterly actual interest payments on the loans was decreased by 1.4%, from LIBOR plus 2.5% per annum to LIBOR plus 1.1% per annum, effective from May 17, 2006; and (iii) the repayment schedule of the outstanding loans was revised such that the loans shall be repaid in 12 equal quarterly installments between September 2009 and June 2012. For additional information, see Note 11A(6).</w:t>
      </w:r>
    </w:p>
    <w:p>
      <w:pPr>
        <w:spacing w:after="0" w:line="139"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the Company's financing efforts for the ramp-up plan and in connection with the September 2006 amendment to the Facility Agreement, the Company entered into a securities purchase agreement with The Israel Corporation Ltd ("TIC"), according to which TIC invested $100,000 in the Company, see Note 11A(4).</w:t>
      </w:r>
    </w:p>
    <w:p>
      <w:pPr>
        <w:spacing w:after="0" w:line="139" w:lineRule="exact"/>
        <w:rPr>
          <w:rFonts w:ascii="Courier New" w:cs="Courier New" w:eastAsia="Courier New" w:hAnsi="Courier New"/>
          <w:sz w:val="12"/>
          <w:szCs w:val="12"/>
          <w:color w:val="auto"/>
        </w:rPr>
      </w:pPr>
    </w:p>
    <w:p>
      <w:pPr>
        <w:jc w:val="both"/>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 currently examining alternatives for additional funding sources in order to further ramp-up the equipping of Fab 2 and to fund its short-term activities and liabilities.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 (cont.)</w:t>
      </w:r>
    </w:p>
    <w:p>
      <w:pPr>
        <w:spacing w:after="0" w:line="134" w:lineRule="exact"/>
        <w:rPr>
          <w:sz w:val="20"/>
          <w:szCs w:val="20"/>
          <w:color w:val="auto"/>
        </w:rPr>
      </w:pPr>
    </w:p>
    <w:p>
      <w:pPr>
        <w:ind w:left="700" w:hanging="357"/>
        <w:spacing w:after="0"/>
        <w:tabs>
          <w:tab w:leader="none" w:pos="700"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USE OF ESTIMATES IN PREPARATION OF FINANCIAL STATEMENTS</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Company's consolidated financial statements are presented in</w:t>
      </w:r>
    </w:p>
    <w:p>
      <w:pPr>
        <w:ind w:left="700"/>
        <w:spacing w:after="0"/>
        <w:rPr>
          <w:sz w:val="20"/>
          <w:szCs w:val="20"/>
          <w:color w:val="auto"/>
        </w:rPr>
      </w:pPr>
      <w:r>
        <w:rPr>
          <w:rFonts w:ascii="Courier New" w:cs="Courier New" w:eastAsia="Courier New" w:hAnsi="Courier New"/>
          <w:sz w:val="12"/>
          <w:szCs w:val="12"/>
          <w:color w:val="auto"/>
        </w:rPr>
        <w:t>accordance with generally accepted accounting principles ("GAAP") in</w:t>
      </w:r>
    </w:p>
    <w:p>
      <w:pPr>
        <w:ind w:left="700"/>
        <w:spacing w:after="0" w:line="237" w:lineRule="auto"/>
        <w:rPr>
          <w:sz w:val="20"/>
          <w:szCs w:val="20"/>
          <w:color w:val="auto"/>
        </w:rPr>
      </w:pPr>
      <w:r>
        <w:rPr>
          <w:rFonts w:ascii="Courier New" w:cs="Courier New" w:eastAsia="Courier New" w:hAnsi="Courier New"/>
          <w:sz w:val="12"/>
          <w:szCs w:val="12"/>
          <w:color w:val="auto"/>
        </w:rPr>
        <w:t>Israel. See Note 19 for the reconciliation of material differences</w:t>
      </w:r>
    </w:p>
    <w:p>
      <w:pPr>
        <w:ind w:left="700"/>
        <w:spacing w:after="0"/>
        <w:rPr>
          <w:sz w:val="20"/>
          <w:szCs w:val="20"/>
          <w:color w:val="auto"/>
        </w:rPr>
      </w:pPr>
      <w:r>
        <w:rPr>
          <w:rFonts w:ascii="Courier New" w:cs="Courier New" w:eastAsia="Courier New" w:hAnsi="Courier New"/>
          <w:sz w:val="12"/>
          <w:szCs w:val="12"/>
          <w:color w:val="auto"/>
        </w:rPr>
        <w:t>between GAAP in Israel and in the United States of America.</w:t>
      </w:r>
    </w:p>
    <w:p>
      <w:pPr>
        <w:spacing w:after="0" w:line="133" w:lineRule="exact"/>
        <w:rPr>
          <w:sz w:val="20"/>
          <w:szCs w:val="20"/>
          <w:color w:val="auto"/>
        </w:rPr>
      </w:pPr>
    </w:p>
    <w:p>
      <w:pPr>
        <w:ind w:left="700" w:hanging="357"/>
        <w:spacing w:after="0"/>
        <w:tabs>
          <w:tab w:leader="none" w:pos="700"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PRINCIPLES OF CONSOLIDATION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consolidated financial statements include the financial statements of the Company and its wholly-owned marketing subsidiary in the United States, after elimination of material inter-company transactions and balances. The effect of the subsidiary's operations on the Company's revenues, net loss and total assets was immaterial for the dates and periods presented.</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CASH AND CASH EQUIVALENTS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Cash and cash equivalents consist of banks deposits and short-term investments (primarily time deposits and certificates of deposit) with original maturities of three months or less.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ALLOWANCE FOR DOUBTFUL ACCOUNTS</w:t>
      </w:r>
    </w:p>
    <w:p>
      <w:pPr>
        <w:spacing w:after="0" w:line="138" w:lineRule="exact"/>
        <w:rPr>
          <w:rFonts w:ascii="Courier New" w:cs="Courier New" w:eastAsia="Courier New" w:hAnsi="Courier New"/>
          <w:sz w:val="12"/>
          <w:szCs w:val="12"/>
          <w:color w:val="auto"/>
        </w:rPr>
      </w:pPr>
    </w:p>
    <w:p>
      <w:pPr>
        <w:ind w:left="700" w:right="51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allowance for doubtful accounts is computed on the specific identification basis for accounts whose collectibility, in management's estimation, is uncertain.</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INVENTORIES</w:t>
      </w:r>
    </w:p>
    <w:p>
      <w:pPr>
        <w:spacing w:after="0" w:line="138" w:lineRule="exact"/>
        <w:rPr>
          <w:rFonts w:ascii="Courier New" w:cs="Courier New" w:eastAsia="Courier New" w:hAnsi="Courier New"/>
          <w:sz w:val="12"/>
          <w:szCs w:val="12"/>
          <w:color w:val="auto"/>
        </w:rPr>
      </w:pPr>
    </w:p>
    <w:p>
      <w:pPr>
        <w:ind w:left="700" w:right="461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Inventories are stated at the lower of cost or market. Cost is determined for raw materials, spare parts and supplies on the basis of the weighted moving average cost per unit. Cost is determined for work in process and finished goods on the basis of actual production costs.</w:t>
      </w:r>
    </w:p>
    <w:p>
      <w:pPr>
        <w:sectPr>
          <w:pgSz w:w="11900" w:h="16838" w:orient="portrait"/>
          <w:cols w:equalWidth="0" w:num="1">
            <w:col w:w="10239"/>
          </w:cols>
          <w:pgMar w:left="220" w:top="137" w:right="1440" w:bottom="0" w:gutter="0" w:footer="0" w:header="0"/>
        </w:sectPr>
      </w:pPr>
    </w:p>
    <w:bookmarkStart w:id="54" w:name="page55"/>
    <w:bookmarkEnd w:id="54"/>
    <w:p>
      <w:pPr>
        <w:ind w:left="2600"/>
        <w:spacing w:after="0"/>
        <w:rPr>
          <w:sz w:val="20"/>
          <w:szCs w:val="20"/>
          <w:color w:val="auto"/>
        </w:rPr>
      </w:pPr>
      <w:r>
        <w:rPr>
          <w:rFonts w:ascii="Courier New" w:cs="Courier New" w:eastAsia="Courier New" w:hAnsi="Courier New"/>
          <w:sz w:val="12"/>
          <w:szCs w:val="12"/>
          <w:color w:val="auto"/>
        </w:rPr>
        <w:t>F - 8</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AND EQUIPMENT</w:t>
      </w:r>
    </w:p>
    <w:p>
      <w:pPr>
        <w:spacing w:after="0" w:line="138" w:lineRule="exact"/>
        <w:rPr>
          <w:rFonts w:ascii="Courier New" w:cs="Courier New" w:eastAsia="Courier New" w:hAnsi="Courier New"/>
          <w:sz w:val="12"/>
          <w:szCs w:val="12"/>
          <w:color w:val="auto"/>
        </w:rPr>
      </w:pPr>
    </w:p>
    <w:p>
      <w:pPr>
        <w:ind w:left="1040" w:right="4619" w:hanging="345"/>
        <w:spacing w:after="0" w:line="261" w:lineRule="auto"/>
        <w:tabs>
          <w:tab w:leader="none" w:pos="1040" w:val="left"/>
        </w:tabs>
        <w:numPr>
          <w:ilvl w:val="1"/>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Identifiable incremental direct costs include costs associated with acquiring, constructing, establishing and installing property and equipment (whether performed by others or by the Company), and costs directly related to preproduction test runs of property and equipment that are necessary to get it ready for its intended use. Those costs include payroll and payroll-related costs of employees who devote time and are dedicated solely to the acquiring, constructing, establishing and installing of property and equipment. Allocation, when appropriate, of capitalizable incremental direct costs is based on management's estimates and methodologies including time sheet inputs.</w:t>
      </w:r>
    </w:p>
    <w:p>
      <w:pPr>
        <w:spacing w:after="0" w:line="264" w:lineRule="exact"/>
        <w:rPr>
          <w:rFonts w:ascii="Courier New" w:cs="Courier New" w:eastAsia="Courier New" w:hAnsi="Courier New"/>
          <w:sz w:val="11"/>
          <w:szCs w:val="11"/>
          <w:color w:val="auto"/>
        </w:rPr>
      </w:pPr>
    </w:p>
    <w:p>
      <w:pPr>
        <w:ind w:left="1040" w:right="4699"/>
        <w:spacing w:after="0" w:line="263"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Cost is presented net of investment grants received or receivable, and less accumulated depreciation and amortization. The accrual for grants receivable is determined based on qualified investments made during the reporting period, provided that the primary criteria for entitlement have been met.</w:t>
      </w:r>
    </w:p>
    <w:p>
      <w:pPr>
        <w:spacing w:after="0" w:line="127" w:lineRule="exact"/>
        <w:rPr>
          <w:rFonts w:ascii="Courier New" w:cs="Courier New" w:eastAsia="Courier New" w:hAnsi="Courier New"/>
          <w:sz w:val="11"/>
          <w:szCs w:val="11"/>
          <w:color w:val="auto"/>
        </w:rPr>
      </w:pPr>
    </w:p>
    <w:p>
      <w:pPr>
        <w:jc w:val="both"/>
        <w:ind w:left="1040" w:right="461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Depreciation is calculated based on the straight-line method over the estimated economic lives commonly used in the industry of the assets or terms of the related leases, as follows:</w:t>
      </w:r>
    </w:p>
    <w:p>
      <w:pPr>
        <w:spacing w:after="0" w:line="135" w:lineRule="exact"/>
        <w:rPr>
          <w:sz w:val="20"/>
          <w:szCs w:val="20"/>
          <w:color w:val="auto"/>
        </w:rPr>
      </w:pPr>
    </w:p>
    <w:tbl>
      <w:tblPr>
        <w:tblLayout w:type="fixed"/>
        <w:tblInd w:w="1040" w:type="dxa"/>
        <w:tblCellMar>
          <w:top w:w="0" w:type="dxa"/>
          <w:left w:w="0" w:type="dxa"/>
          <w:bottom w:w="0" w:type="dxa"/>
          <w:right w:w="0" w:type="dxa"/>
        </w:tblCellMar>
      </w:tblPr>
      <w:tr>
        <w:trPr>
          <w:trHeight w:val="136"/>
        </w:trPr>
        <w:tc>
          <w:tcPr>
            <w:tcW w:w="3300" w:type="dxa"/>
            <w:vAlign w:val="bottom"/>
          </w:tcPr>
          <w:p>
            <w:pPr>
              <w:spacing w:after="0"/>
              <w:rPr>
                <w:sz w:val="20"/>
                <w:szCs w:val="20"/>
                <w:color w:val="auto"/>
              </w:rPr>
            </w:pPr>
            <w:r>
              <w:rPr>
                <w:rFonts w:ascii="Courier New" w:cs="Courier New" w:eastAsia="Courier New" w:hAnsi="Courier New"/>
                <w:sz w:val="12"/>
                <w:szCs w:val="12"/>
                <w:color w:val="auto"/>
              </w:rPr>
              <w:t>Prepaid long-term land lease and buildings</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(including facility infrastructure)</w:t>
            </w:r>
          </w:p>
        </w:tc>
        <w:tc>
          <w:tcPr>
            <w:tcW w:w="114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95"/>
              </w:rPr>
              <w:t>14-25 years</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Machinery and equipment</w:t>
            </w:r>
          </w:p>
        </w:tc>
        <w:tc>
          <w:tcPr>
            <w:tcW w:w="460" w:type="dxa"/>
            <w:vAlign w:val="bottom"/>
          </w:tcPr>
          <w:p>
            <w:pPr>
              <w:ind w:left="360"/>
              <w:spacing w:after="0"/>
              <w:rPr>
                <w:sz w:val="20"/>
                <w:szCs w:val="20"/>
                <w:color w:val="auto"/>
              </w:rPr>
            </w:pPr>
            <w:r>
              <w:rPr>
                <w:rFonts w:ascii="Courier New" w:cs="Courier New" w:eastAsia="Courier New" w:hAnsi="Courier New"/>
                <w:sz w:val="12"/>
                <w:szCs w:val="12"/>
                <w:color w:val="auto"/>
              </w:rPr>
              <w:t>5</w:t>
            </w: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rPr>
              <w:t>years</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Transportation vehicles</w:t>
            </w:r>
          </w:p>
        </w:tc>
        <w:tc>
          <w:tcPr>
            <w:tcW w:w="460" w:type="dxa"/>
            <w:vAlign w:val="bottom"/>
          </w:tcPr>
          <w:p>
            <w:pPr>
              <w:ind w:left="360"/>
              <w:spacing w:after="0"/>
              <w:rPr>
                <w:sz w:val="20"/>
                <w:szCs w:val="20"/>
                <w:color w:val="auto"/>
              </w:rPr>
            </w:pPr>
            <w:r>
              <w:rPr>
                <w:rFonts w:ascii="Courier New" w:cs="Courier New" w:eastAsia="Courier New" w:hAnsi="Courier New"/>
                <w:sz w:val="12"/>
                <w:szCs w:val="12"/>
                <w:color w:val="auto"/>
              </w:rPr>
              <w:t>7</w:t>
            </w: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rPr>
              <w:t>years</w:t>
            </w:r>
          </w:p>
        </w:tc>
      </w:tr>
    </w:tbl>
    <w:p>
      <w:pPr>
        <w:spacing w:after="0" w:line="139" w:lineRule="exact"/>
        <w:rPr>
          <w:sz w:val="20"/>
          <w:szCs w:val="20"/>
          <w:color w:val="auto"/>
        </w:rPr>
      </w:pPr>
    </w:p>
    <w:p>
      <w:pPr>
        <w:ind w:left="1040" w:right="4839" w:hanging="345"/>
        <w:spacing w:after="0" w:line="273" w:lineRule="auto"/>
        <w:tabs>
          <w:tab w:leader="none" w:pos="1040" w:val="left"/>
        </w:tabs>
        <w:numPr>
          <w:ilvl w:val="0"/>
          <w:numId w:val="54"/>
        </w:numPr>
        <w:rPr>
          <w:rFonts w:ascii="Courier New" w:cs="Courier New" w:eastAsia="Courier New" w:hAnsi="Courier New"/>
          <w:sz w:val="11"/>
          <w:szCs w:val="11"/>
          <w:color w:val="auto"/>
        </w:rPr>
      </w:pPr>
      <w:r>
        <w:rPr>
          <w:rFonts w:ascii="Courier New" w:cs="Courier New" w:eastAsia="Courier New" w:hAnsi="Courier New"/>
          <w:sz w:val="11"/>
          <w:szCs w:val="11"/>
          <w:color w:val="auto"/>
        </w:rPr>
        <w:t>Impairment examinations and recognition are performed and determined based on the accounting policy outlined in P below.</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- 9</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INTANGIBLE ASSETS</w:t>
      </w:r>
    </w:p>
    <w:p>
      <w:pPr>
        <w:spacing w:after="0" w:line="138" w:lineRule="exact"/>
        <w:rPr>
          <w:rFonts w:ascii="Courier New" w:cs="Courier New" w:eastAsia="Courier New" w:hAnsi="Courier New"/>
          <w:sz w:val="12"/>
          <w:szCs w:val="12"/>
          <w:color w:val="auto"/>
        </w:rPr>
      </w:pPr>
    </w:p>
    <w:p>
      <w:pPr>
        <w:ind w:left="70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TECHNOLOGY - The cost of Fab 2 technologies includes the technology process cost, internal incremental direct costs, mainly payroll-related costs of employees designated for integrating the technologies in Fab 2, and incremental direct costs associated with implementing the technologies until the technologies are ready for their intended use. The costs in relation to Fab 2 technologies are amortized over the expected estimated economic life of the technologies, commonly used in the industry. Amortization phases commence on the dates on which each of the Fab 2 manufacturing lines is ready for its intended use.</w:t>
      </w:r>
    </w:p>
    <w:p>
      <w:pPr>
        <w:spacing w:after="0" w:line="143" w:lineRule="exact"/>
        <w:rPr>
          <w:rFonts w:ascii="Courier New" w:cs="Courier New" w:eastAsia="Courier New" w:hAnsi="Courier New"/>
          <w:sz w:val="12"/>
          <w:szCs w:val="12"/>
          <w:color w:val="auto"/>
        </w:rPr>
      </w:pPr>
    </w:p>
    <w:p>
      <w:pPr>
        <w:ind w:left="70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Impairment examinations and recognition are performed and determined based on the accounting policy outlined in P below.</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ASSETS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DEFERRED FINANCING CHARGES - Deferred financing charges in relation to funding the establishment of Fab 2 were included, through December 31, 2005, in other assets, as was the practice prior to the effectiveness of Accounting Standard No. 22 "FINANCIAL INSTRUMENTS: DISCLOSURE AND PRESENTATION", and since January 1, 2006, following the effectiveness of the Standard, were offset from the related borrowings. The deferred financing charges were amortized over the lives of the borrowings based on the repayment schedule of such funding. During the establishment period of Fab 2, amortized deferred financing charges were capitalized to property and equipment. During 2003, in which the building and infrastructures of Fab 2 were substantially completed and became ready for their intended use, and in which the initial ramp-up commenced, the deferred financing charges were amortized to financing expenses, net. Pursuant to the September 2006 amendment to the Facility Agreement described in Note 11A(6) the deferred financing charges, as part of the outstanding loans, were considered to be substantially modified and thus treated as debt extinguishment of the outstanding debt and the incurrence of a new debt, and were fully amortized to financing expenses.</w:t>
      </w:r>
    </w:p>
    <w:p>
      <w:pPr>
        <w:spacing w:after="0" w:line="25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 DEBENTURES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2006, the company adopted Accounting Standard No. 22 "FINANCIAL INSTRUMENTS: DISCLOSURE AND PRESENTATION" (the "Standard"), which supersedes Opinion No.53 "ACCOUNTING FOR CONVERTIBLE LIABILITIES" and Opinion No.48 "ACCOUNTING FOR OPTIONS".</w:t>
      </w:r>
    </w:p>
    <w:p>
      <w:pPr>
        <w:spacing w:after="0" w:line="140"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issued three series of convertible debentures that are considered compound instruments under the Standard. According to the Standard, a compound instrument has to be separated to its components, the equity component and the liability component. The equity component is classified as shareholders' equity and is determined as the excess of the proceeds over the fair value of the liability component.</w:t>
      </w:r>
    </w:p>
    <w:p>
      <w:pPr>
        <w:spacing w:after="0" w:line="129" w:lineRule="exact"/>
        <w:rPr>
          <w:rFonts w:ascii="Courier New" w:cs="Courier New" w:eastAsia="Courier New" w:hAnsi="Courier New"/>
          <w:sz w:val="12"/>
          <w:szCs w:val="12"/>
          <w:color w:val="auto"/>
        </w:rPr>
      </w:pPr>
    </w:p>
    <w:p>
      <w:pPr>
        <w:ind w:left="700" w:right="51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19F for the presentation of convertible debentures in accordance with U.S. GAAP.</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ectPr>
          <w:pgSz w:w="11900" w:h="16838" w:orient="portrait"/>
          <w:cols w:equalWidth="0" w:num="1">
            <w:col w:w="10239"/>
          </w:cols>
          <w:pgMar w:left="220" w:top="272" w:right="1440" w:bottom="0" w:gutter="0" w:footer="0" w:header="0"/>
        </w:sectPr>
      </w:pPr>
    </w:p>
    <w:bookmarkStart w:id="55" w:name="page56"/>
    <w:bookmarkEnd w:id="55"/>
    <w:p>
      <w:pPr>
        <w:ind w:left="700" w:hanging="357"/>
        <w:spacing w:after="0"/>
        <w:tabs>
          <w:tab w:leader="none" w:pos="700"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INCOME TAXES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records deferred income taxes in accordance with Standard No. 19 "INCOME TAXES" of the Israeli Accounting Standards Board, to reflect the net tax effects of temporary differences between the carrying amounts of assets and liabilities for financial reporting purposes and for tax purposes. Deferred taxes are computed based on the tax rates anticipated (under applicable law as of the balance sheet date) to be in effect when the deferred taxes are expected to be paid or realized.</w:t>
      </w:r>
    </w:p>
    <w:p>
      <w:pPr>
        <w:spacing w:after="0" w:line="142"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are recognized for temporary differences that will result in taxable amounts in future years. Deferred tax assets are recognized, if it is probable that such assets would be realized, for temporary differences, which will result in deductible amounts in future years and for carryforwards. An allowance against such deferred tax asset is recognized if it is probable that some portion or all of the deferred tax assets will not be realized. Due to the material loss carryforward of the Company as of December 31, 2006 and uncertainties with regard to its utilization in the future, no deferred taxes were recorded in the Company's results of operations.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 RECOGNITION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14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RESEARCH AND DEVELOPMENT</w:t>
      </w:r>
    </w:p>
    <w:p>
      <w:pPr>
        <w:spacing w:after="0" w:line="138" w:lineRule="exact"/>
        <w:rPr>
          <w:rFonts w:ascii="Courier New" w:cs="Courier New" w:eastAsia="Courier New" w:hAnsi="Courier New"/>
          <w:sz w:val="12"/>
          <w:szCs w:val="12"/>
          <w:color w:val="auto"/>
        </w:rPr>
      </w:pPr>
    </w:p>
    <w:p>
      <w:pPr>
        <w:ind w:left="7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ORDINARY SHARE</w:t>
      </w:r>
    </w:p>
    <w:p>
      <w:pPr>
        <w:spacing w:after="0" w:line="138" w:lineRule="exact"/>
        <w:rPr>
          <w:rFonts w:ascii="Courier New" w:cs="Courier New" w:eastAsia="Courier New" w:hAnsi="Courier New"/>
          <w:sz w:val="12"/>
          <w:szCs w:val="12"/>
          <w:color w:val="auto"/>
        </w:rPr>
      </w:pPr>
    </w:p>
    <w:p>
      <w:pPr>
        <w:ind w:left="700" w:right="50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2006, the company adopted Accounting Standard No. 21, "Earnings Per Share" (the "Standard").</w:t>
      </w:r>
    </w:p>
    <w:p>
      <w:pPr>
        <w:spacing w:after="0" w:line="139" w:lineRule="exact"/>
        <w:rPr>
          <w:rFonts w:ascii="Courier New" w:cs="Courier New" w:eastAsia="Courier New" w:hAnsi="Courier New"/>
          <w:sz w:val="12"/>
          <w:szCs w:val="12"/>
          <w:color w:val="auto"/>
        </w:rPr>
      </w:pPr>
    </w:p>
    <w:p>
      <w:pPr>
        <w:ind w:left="700" w:right="4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With the initial adoption of the Standard, Opinion No. 55 of the Institute of Certified Public Accountants in Israel - Earnings per share was cancelled.</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Basic earnings per share is calculated by dividing profit or loss attributable to ordinary equity holders of the entity (the numerator) by the weighted average number of Ordinary Shares outstanding (the denominator) during the reported period. Diluted earnings per share is calculated by adjusting profit or loss attributable to ordinary equity holders of the entity, and the weighted average number of shares outstanding, for the effects of all dilutive potential Ordinary Shares.</w:t>
      </w:r>
    </w:p>
    <w:p>
      <w:pPr>
        <w:spacing w:after="0" w:line="142"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19E for disclosure of loss per share data in accordance with U.S. GAAP.</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DERIVATIVE FINANCIAL INSTRUMENTS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from time to time, enters into foreign exchange agreements (primarily forward contracts and options) to hedge non-dollar equipment purchases and other firm commitments. Gains and losses on such agreements through the date that the equipment is received or the commitment is realized are deferred and capitalized to the cost of equipment or the commitment, while gains and losses subsequent thereto, through the date of expiration of the foreign exchange agreement, are included in financing expense, net.</w:t>
      </w:r>
    </w:p>
    <w:p>
      <w:pPr>
        <w:spacing w:after="0" w:line="142"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the Company, from time to time, enters into agreements to hedge interest rate exposure on long-term loans. Gains and losses on such agreements are recognized as adjustment to the original interest expenses, and expensed or capitalized in the same manner as the corresponding interest costs.</w:t>
      </w:r>
    </w:p>
    <w:p>
      <w:pPr>
        <w:spacing w:after="0" w:line="139" w:lineRule="exact"/>
        <w:rPr>
          <w:rFonts w:ascii="Courier New" w:cs="Courier New" w:eastAsia="Courier New" w:hAnsi="Courier New"/>
          <w:sz w:val="12"/>
          <w:szCs w:val="12"/>
          <w:color w:val="auto"/>
        </w:rPr>
      </w:pPr>
    </w:p>
    <w:p>
      <w:pPr>
        <w:ind w:left="700" w:right="461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19D for disclosure of the derivative financial instruments in accordance with U.S. GAAP.</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FUNCTIONAL CURRENCY AND TRANSACTION GAINS AND LOSSES</w:t>
      </w:r>
    </w:p>
    <w:p>
      <w:pPr>
        <w:spacing w:after="0" w:line="138" w:lineRule="exact"/>
        <w:rPr>
          <w:rFonts w:ascii="Courier New" w:cs="Courier New" w:eastAsia="Courier New" w:hAnsi="Courier New"/>
          <w:sz w:val="12"/>
          <w:szCs w:val="12"/>
          <w:color w:val="auto"/>
        </w:rPr>
      </w:pPr>
    </w:p>
    <w:p>
      <w:pPr>
        <w:ind w:left="7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currency of the primary economic environment in which the Company conducts its operations is the U.S. dollar ("dollar"). Accordingly, the Company uses the dollar as its functional and reporting currency. Financing expenses, net in 2006 include net foreign currency transaction losses of $3,659. Financing expenses, net in 2005 include net foreign currency transaction gains of $1,398 and in 2004 include net foreign currency transaction losses of $760.</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- 12</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ectPr>
          <w:pgSz w:w="11900" w:h="16838" w:orient="portrait"/>
          <w:cols w:equalWidth="0" w:num="1">
            <w:col w:w="10239"/>
          </w:cols>
          <w:pgMar w:left="220" w:top="137" w:right="1440" w:bottom="0" w:gutter="0" w:footer="0" w:header="0"/>
        </w:sectPr>
      </w:pPr>
    </w:p>
    <w:bookmarkStart w:id="56" w:name="page57"/>
    <w:bookmarkEnd w:id="56"/>
    <w:p>
      <w:pPr>
        <w:ind w:left="700" w:hanging="357"/>
        <w:spacing w:after="0"/>
        <w:tabs>
          <w:tab w:leader="none" w:pos="700" w:val="left"/>
        </w:tabs>
        <w:numPr>
          <w:ilvl w:val="0"/>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STOCK-BASED COMPENSATION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2006, the company adopted Accounting Standard No. 24 "SHARE-BASED COMPENSATION" (the "Standard"), for the recognition in the financial statements of share-based payments for employees and directors. Costs associated with grants of shares and options to employees and directors are expensed over the vesting period of each grant. Said costs are determined based on the fair value of the grants at each grant date.</w:t>
      </w:r>
    </w:p>
    <w:p>
      <w:pPr>
        <w:spacing w:after="0" w:line="141" w:lineRule="exact"/>
        <w:rPr>
          <w:rFonts w:ascii="Courier New" w:cs="Courier New" w:eastAsia="Courier New" w:hAnsi="Courier New"/>
          <w:sz w:val="12"/>
          <w:szCs w:val="12"/>
          <w:color w:val="auto"/>
        </w:rPr>
      </w:pPr>
    </w:p>
    <w:p>
      <w:pPr>
        <w:ind w:left="700" w:right="469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for the periods before the adoption of the Standard, the Company accounted for employee and director stock-based compensation in accordance with Accounting Principles Board Opinion No. 25, "ACCOUNTING FOR STOCK ISSUED TO EMPLOYEES" ("APB 25") and authoritative interpretations thereof. Accordingly, the Company accounted for share options granted to employees and directors based on the intrinsic value of the options on the measurement date. The compensation cost of options without "fixed terms" was remeasured at each balance sheet date. Deferred compensation in respect of awards with graded vesting terms was amortized to compensation expense over the relevant vesting periods. In a manner consistent with FIN 28, the vesting period over which compensation was expensed, was determined based on the straight-line method, separately for each portion of the award as if the grant were a series of awards.</w:t>
      </w:r>
    </w:p>
    <w:p>
      <w:pPr>
        <w:spacing w:after="0" w:line="264"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2006, the Company accounted for stock-based compensation of non-employees using the fair value method in accordance with the Standard and in previous years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warrants granted in connection with bank financing was amortized as deferred financing charges over the terms of the loans, in a manner described in G above. The award cost of warrants granted in connection with the construction of Fab 2, is recorded as a depreciation expense over the life of the prepaid perpetual land lease and buildings. The award cost of warrants granted to consultants and a related party in connection with equity transactions is offset against paid-in-capital.</w:t>
      </w:r>
    </w:p>
    <w:p>
      <w:pPr>
        <w:spacing w:after="0" w:line="129" w:lineRule="exact"/>
        <w:rPr>
          <w:rFonts w:ascii="Courier New" w:cs="Courier New" w:eastAsia="Courier New" w:hAnsi="Courier New"/>
          <w:sz w:val="12"/>
          <w:szCs w:val="12"/>
          <w:color w:val="auto"/>
        </w:rPr>
      </w:pPr>
    </w:p>
    <w:p>
      <w:pPr>
        <w:ind w:left="700" w:right="48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12B(6) for pro forma disclosures required by SFAS 123 and SFAS 148.</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IMPAIRMENT OF LONG-LIVED ASSETS</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Standard No.15, of the Israeli Accounting Standards Board "IMPAIRMENT OF ASSETS" (the "Standard"), an asset's recoverable value is the higher of the asset's net selling price and the asset's value in use, the latter being equal to the asset's discounted expected cash flows. Management reviews long-lived assets on a periodic basis, as well as when such a review is required based upon relevant circumstances, to determine whether events or changes in circumstances indicate that the carrying amount of such assets may not be recoverable. Management's review of possible impairment charges for the periods presented, was performed based on management's business plan and approved by the board of directors of the Company. The business plan is based, among other things, on the future completion of the construction and equipping of Fab 2 to reach full capacity. Application of Standard 15 resulted in no impairment charges for the periods presented.</w:t>
      </w:r>
    </w:p>
    <w:p>
      <w:pPr>
        <w:spacing w:after="0" w:line="139"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w:t>
      </w:r>
    </w:p>
    <w:p>
      <w:pPr>
        <w:spacing w:after="0" w:line="139" w:lineRule="exact"/>
        <w:rPr>
          <w:rFonts w:ascii="Courier New" w:cs="Courier New" w:eastAsia="Courier New" w:hAnsi="Courier New"/>
          <w:sz w:val="12"/>
          <w:szCs w:val="12"/>
          <w:color w:val="auto"/>
        </w:rPr>
      </w:pPr>
    </w:p>
    <w:p>
      <w:pPr>
        <w:ind w:left="1040" w:right="4759" w:hanging="345"/>
        <w:spacing w:after="0" w:line="235" w:lineRule="auto"/>
        <w:tabs>
          <w:tab w:leader="none" w:pos="1040" w:val="left"/>
        </w:tabs>
        <w:numPr>
          <w:ilvl w:val="1"/>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29 "ADOPTION OF INTERNATIONAL FINANCIAL REPORTING STANDARDS"</w:t>
      </w:r>
    </w:p>
    <w:p>
      <w:pPr>
        <w:spacing w:after="0" w:line="139"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July 2006, the Israeli Accounting Standards Board published Accounting Standard No. 29 - "Adoption of International Financial Reporting Standards" - IFRS ("the Standard"). According to the Standard, an entity subject to the Israeli Securities Law and authoritative Regulations thereunder (including dual listed companies), excluding foreign corporations, that do not prepare their financial statements in accordance with Israeli GAAP, as defined by this Law, will be required to prepare financial statements in accordance with the IFRS and related interpretations published by the International Accounting Standards Board, for the reporting periods commencing January 1, 2008, including interim periods.</w:t>
      </w:r>
    </w:p>
    <w:p>
      <w:pPr>
        <w:spacing w:after="0" w:line="138" w:lineRule="exact"/>
        <w:rPr>
          <w:rFonts w:ascii="Courier New" w:cs="Courier New" w:eastAsia="Courier New" w:hAnsi="Courier New"/>
          <w:sz w:val="12"/>
          <w:szCs w:val="12"/>
          <w:color w:val="auto"/>
        </w:rPr>
      </w:pPr>
    </w:p>
    <w:p>
      <w:pPr>
        <w:ind w:left="1040" w:right="475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 entity adopting IFRS as of January 1, 2008 and electing to report comparative figures in accordance with the IFRS for only 2007, will be required to prepare opening balance-sheet amounts as of January 1, 2007 based on the IFRS.</w:t>
      </w:r>
    </w:p>
    <w:p>
      <w:pPr>
        <w:spacing w:after="0" w:line="140" w:lineRule="exact"/>
        <w:rPr>
          <w:rFonts w:ascii="Courier New" w:cs="Courier New" w:eastAsia="Courier New" w:hAnsi="Courier New"/>
          <w:sz w:val="12"/>
          <w:szCs w:val="12"/>
          <w:color w:val="auto"/>
        </w:rPr>
      </w:pPr>
    </w:p>
    <w:p>
      <w:pPr>
        <w:ind w:left="104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Reporting in accordance with the IFRS will be carried out based on the provisions of IFRS No. 1, "First-time Adoption of IFRS Standards", which establishes guidance on implementing and transitioning from financial reporting based on domestic national accounting standards to reporting in accordance with IFRS.</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- 14</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9" w:lineRule="exact"/>
        <w:rPr>
          <w:sz w:val="20"/>
          <w:szCs w:val="20"/>
          <w:color w:val="auto"/>
        </w:rPr>
      </w:pPr>
    </w:p>
    <w:p>
      <w:pPr>
        <w:ind w:left="700" w:right="4759" w:hanging="357"/>
        <w:spacing w:after="0" w:line="235" w:lineRule="auto"/>
        <w:tabs>
          <w:tab w:leader="none" w:pos="700"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040" w:right="4759" w:hanging="345"/>
        <w:spacing w:after="0" w:line="235" w:lineRule="auto"/>
        <w:tabs>
          <w:tab w:leader="none" w:pos="1040" w:val="left"/>
        </w:tabs>
        <w:numPr>
          <w:ilvl w:val="1"/>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29 "ADOPTION OF INTERNATIONAL FINANCIAL REPORTING STANDARDS" (cont.)</w:t>
      </w:r>
    </w:p>
    <w:p>
      <w:pPr>
        <w:spacing w:after="0" w:line="139" w:lineRule="exact"/>
        <w:rPr>
          <w:rFonts w:ascii="Courier New" w:cs="Courier New" w:eastAsia="Courier New" w:hAnsi="Courier New"/>
          <w:sz w:val="12"/>
          <w:szCs w:val="12"/>
          <w:color w:val="auto"/>
        </w:rPr>
      </w:pPr>
    </w:p>
    <w:p>
      <w:pPr>
        <w:ind w:left="1040" w:right="469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IFRS No. 1 supersedes the transitional provisions established in other IFRSs (including those established in former domestic national accounting standards), stating that all IFRSs should be adopted retroactively for the opening balance-sheet amounts.</w:t>
      </w:r>
    </w:p>
    <w:p>
      <w:pPr>
        <w:sectPr>
          <w:pgSz w:w="11900" w:h="16838" w:orient="portrait"/>
          <w:cols w:equalWidth="0" w:num="1">
            <w:col w:w="10239"/>
          </w:cols>
          <w:pgMar w:left="220" w:top="137" w:right="1440" w:bottom="0" w:gutter="0" w:footer="0" w:header="0"/>
        </w:sectPr>
      </w:pPr>
    </w:p>
    <w:bookmarkStart w:id="57" w:name="page58"/>
    <w:bookmarkEnd w:id="57"/>
    <w:p>
      <w:pPr>
        <w:ind w:left="1040"/>
        <w:spacing w:after="0"/>
        <w:rPr>
          <w:sz w:val="20"/>
          <w:szCs w:val="20"/>
          <w:color w:val="auto"/>
        </w:rPr>
      </w:pPr>
      <w:r>
        <w:rPr>
          <w:rFonts w:ascii="Courier New" w:cs="Courier New" w:eastAsia="Courier New" w:hAnsi="Courier New"/>
          <w:sz w:val="12"/>
          <w:szCs w:val="12"/>
          <w:color w:val="auto"/>
        </w:rPr>
        <w:t>Nevertheless, IFRS No. 1 grants exemptions on certain issues by</w:t>
      </w:r>
    </w:p>
    <w:p>
      <w:pPr>
        <w:ind w:left="1040"/>
        <w:spacing w:after="0"/>
        <w:rPr>
          <w:sz w:val="20"/>
          <w:szCs w:val="20"/>
          <w:color w:val="auto"/>
        </w:rPr>
      </w:pPr>
      <w:r>
        <w:rPr>
          <w:rFonts w:ascii="Courier New" w:cs="Courier New" w:eastAsia="Courier New" w:hAnsi="Courier New"/>
          <w:sz w:val="12"/>
          <w:szCs w:val="12"/>
          <w:color w:val="auto"/>
        </w:rPr>
        <w:t>allowing the alternative of not applying the retroactive</w:t>
      </w:r>
    </w:p>
    <w:p>
      <w:pPr>
        <w:ind w:left="1040"/>
        <w:spacing w:after="0" w:line="237" w:lineRule="auto"/>
        <w:rPr>
          <w:sz w:val="20"/>
          <w:szCs w:val="20"/>
          <w:color w:val="auto"/>
        </w:rPr>
      </w:pPr>
      <w:r>
        <w:rPr>
          <w:rFonts w:ascii="Courier New" w:cs="Courier New" w:eastAsia="Courier New" w:hAnsi="Courier New"/>
          <w:sz w:val="12"/>
          <w:szCs w:val="12"/>
          <w:color w:val="auto"/>
        </w:rPr>
        <w:t>application in respect thereof.</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Management intends to examine the effect of the transition to</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IFRS, yet at this stage, is unable to estimate the effect of such</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conversion on the Company's financial position and results of</w:t>
      </w:r>
    </w:p>
    <w:p>
      <w:pPr>
        <w:ind w:left="1040"/>
        <w:spacing w:after="0"/>
        <w:rPr>
          <w:sz w:val="20"/>
          <w:szCs w:val="20"/>
          <w:color w:val="auto"/>
        </w:rPr>
      </w:pPr>
      <w:r>
        <w:rPr>
          <w:rFonts w:ascii="Courier New" w:cs="Courier New" w:eastAsia="Courier New" w:hAnsi="Courier New"/>
          <w:sz w:val="12"/>
          <w:szCs w:val="12"/>
          <w:color w:val="auto"/>
        </w:rPr>
        <w:t>operations.</w:t>
      </w:r>
    </w:p>
    <w:p>
      <w:pPr>
        <w:spacing w:after="0" w:line="138"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Standard allows for earlier application in a manner by which</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applicable entities may convert their financial statements</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published subsequent to July 31, 2006 to the IFRS. Management has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not yet decided whether to early-adopt the IFRS.</w:t>
      </w:r>
    </w:p>
    <w:p>
      <w:pPr>
        <w:spacing w:after="0" w:line="134" w:lineRule="exact"/>
        <w:rPr>
          <w:sz w:val="20"/>
          <w:szCs w:val="20"/>
          <w:color w:val="auto"/>
        </w:rPr>
      </w:pPr>
    </w:p>
    <w:p>
      <w:pPr>
        <w:ind w:left="1040" w:hanging="345"/>
        <w:spacing w:after="0"/>
        <w:tabs>
          <w:tab w:leader="none" w:pos="1040"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26 "INVENTORY"</w:t>
      </w:r>
    </w:p>
    <w:p>
      <w:pPr>
        <w:spacing w:after="0" w:line="138" w:lineRule="exact"/>
        <w:rPr>
          <w:rFonts w:ascii="Courier New" w:cs="Courier New" w:eastAsia="Courier New" w:hAnsi="Courier New"/>
          <w:sz w:val="12"/>
          <w:szCs w:val="12"/>
          <w:color w:val="auto"/>
        </w:rPr>
      </w:pPr>
    </w:p>
    <w:p>
      <w:pPr>
        <w:ind w:left="1040" w:right="469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August 2006 the Israeli Accounting Standards Board published Accounting Standard No. 26 - "Inventory" ("the Standard"), which outlines the accounting treatment for inventory.</w:t>
      </w:r>
    </w:p>
    <w:p>
      <w:pPr>
        <w:spacing w:after="0" w:line="126" w:lineRule="exact"/>
        <w:rPr>
          <w:rFonts w:ascii="Courier New" w:cs="Courier New" w:eastAsia="Courier New" w:hAnsi="Courier New"/>
          <w:sz w:val="12"/>
          <w:szCs w:val="12"/>
          <w:color w:val="auto"/>
        </w:rPr>
      </w:pPr>
    </w:p>
    <w:p>
      <w:pPr>
        <w:ind w:left="104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applies to all types of inventory, other than building earmarked for sale and addressed by Accounting Standard No.2 ("Construction of Buildings for Sale"), inventory of work in progress stemming from performance contracts, addressed by Accounting Standard No.4 ("Work Based on Performance Contract"), financial instruments and biological assets relating to agricultural activity and agricultural production during harvest.</w:t>
      </w:r>
    </w:p>
    <w:p>
      <w:pPr>
        <w:spacing w:after="0" w:line="12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establishes, among other things, that inventory should be stated at the lower of cost and net realizable value. Cost is determined by the first in, first out (FIFO) method or by average weighted cost used consistently for all types of inventory of similar nature and uses. In certain circumstances the standard requires cost determination by a specific identification of cost, which includes all purchase and production costs, as well as any other costs incurred in reaching the inventory's present stage.</w:t>
      </w:r>
    </w:p>
    <w:p>
      <w:pPr>
        <w:spacing w:after="0" w:line="142" w:lineRule="exact"/>
        <w:rPr>
          <w:rFonts w:ascii="Courier New" w:cs="Courier New" w:eastAsia="Courier New" w:hAnsi="Courier New"/>
          <w:sz w:val="12"/>
          <w:szCs w:val="12"/>
          <w:color w:val="auto"/>
        </w:rPr>
      </w:pPr>
    </w:p>
    <w:p>
      <w:pPr>
        <w:ind w:left="1040" w:right="483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When inventory is acquired on credit incorporating a financing component, the inventory should then be presented at cost equaling the purchase cost in cash. The financing component is recognized as a financing expense over the term of the credit period.</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- 15</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9" w:lineRule="exact"/>
        <w:rPr>
          <w:sz w:val="20"/>
          <w:szCs w:val="20"/>
          <w:color w:val="auto"/>
        </w:rPr>
      </w:pPr>
    </w:p>
    <w:p>
      <w:pPr>
        <w:ind w:left="700" w:right="4759" w:hanging="357"/>
        <w:spacing w:after="0" w:line="235" w:lineRule="auto"/>
        <w:tabs>
          <w:tab w:leader="none" w:pos="700"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26 "INVENTORY" (cont.)</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Any reduction of inventory to net realizable value following impairment as well as any other inventory loss should be expensed during the current period. Subsequent reversal of an impairment write-down that stems from an increase in net realizable value will be allocated to operations during the period in which the reversal took place.</w:t>
      </w:r>
    </w:p>
    <w:p>
      <w:pPr>
        <w:spacing w:after="0" w:line="140" w:lineRule="exact"/>
        <w:rPr>
          <w:rFonts w:ascii="Courier New" w:cs="Courier New" w:eastAsia="Courier New" w:hAnsi="Courier New"/>
          <w:sz w:val="12"/>
          <w:szCs w:val="12"/>
          <w:color w:val="auto"/>
        </w:rPr>
      </w:pPr>
    </w:p>
    <w:p>
      <w:pPr>
        <w:ind w:left="104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will apply to financial statements covering periods beginning January 1, 2007 and onwards and should be implemented retroactively.</w:t>
      </w:r>
    </w:p>
    <w:p>
      <w:pPr>
        <w:spacing w:after="0" w:line="139" w:lineRule="exact"/>
        <w:rPr>
          <w:rFonts w:ascii="Courier New" w:cs="Courier New" w:eastAsia="Courier New" w:hAnsi="Courier New"/>
          <w:sz w:val="12"/>
          <w:szCs w:val="12"/>
          <w:color w:val="auto"/>
        </w:rPr>
      </w:pPr>
    </w:p>
    <w:p>
      <w:pPr>
        <w:ind w:left="1040" w:right="497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Management believes that the Standard will not affect the Company's financial position, results of operations and cash flows.</w:t>
      </w:r>
    </w:p>
    <w:p>
      <w:pPr>
        <w:spacing w:after="0" w:line="135"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27 "FIXED ASSETS"</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September 2006 the Israeli Accounting Standards Board published Accounting Standard No. 27 (the "standard"), which establishes the accounting treatment for fixed assets, including recognition of assets, determination of their book value, related depreciation, as well as the disclosure required in the financial statements.</w:t>
      </w:r>
    </w:p>
    <w:p>
      <w:pPr>
        <w:spacing w:after="0" w:line="140"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states that a fixed-asset item will be measured at the initial recognition date at cost which includes, in addition to the purchase price, all the related costs incurred for bringing the item to the position enabling it to operate in the manner contemplated by management. The cost also includes the initial estimate of costs required to dismantle and remove the item, along with the expenses for restoration of the site on which the item had been placed and in respect of which the entity incurred that obligation when the item had been acquired or following its use over a given period of time not in the production of inventory during that period.</w:t>
      </w:r>
    </w:p>
    <w:p>
      <w:pPr>
        <w:spacing w:after="0" w:line="144" w:lineRule="exact"/>
        <w:rPr>
          <w:rFonts w:ascii="Courier New" w:cs="Courier New" w:eastAsia="Courier New" w:hAnsi="Courier New"/>
          <w:sz w:val="12"/>
          <w:szCs w:val="12"/>
          <w:color w:val="auto"/>
        </w:rPr>
      </w:pPr>
    </w:p>
    <w:p>
      <w:pPr>
        <w:ind w:left="1040" w:right="469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also states that when acquiring assets in exchange for a non-monetary asset or a combination of monetary as well as non-monetary assets, the cost will be determined at fair value unless (a) the barter transaction has no commercial substance or</w:t>
      </w:r>
    </w:p>
    <w:p>
      <w:pPr>
        <w:ind w:left="1040" w:right="4699" w:firstLine="6"/>
        <w:spacing w:after="0" w:line="236" w:lineRule="auto"/>
        <w:tabs>
          <w:tab w:leader="none" w:pos="1321" w:val="left"/>
        </w:tabs>
        <w:numPr>
          <w:ilvl w:val="2"/>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it is impossible to reliably measure the fair value of the asset received and the asset provided. Should the provided asset not be measured at fair value, its cost would equal the book value of the asset provided/transferred.</w:t>
      </w:r>
    </w:p>
    <w:p>
      <w:pPr>
        <w:spacing w:after="0" w:line="13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Following the initial recognition, the Standard permits the</w:t>
      </w:r>
    </w:p>
    <w:p>
      <w:pPr>
        <w:ind w:left="1040"/>
        <w:spacing w:after="0"/>
        <w:rPr>
          <w:sz w:val="20"/>
          <w:szCs w:val="20"/>
          <w:color w:val="auto"/>
        </w:rPr>
      </w:pPr>
      <w:r>
        <w:rPr>
          <w:rFonts w:ascii="Courier New" w:cs="Courier New" w:eastAsia="Courier New" w:hAnsi="Courier New"/>
          <w:sz w:val="12"/>
          <w:szCs w:val="12"/>
          <w:color w:val="auto"/>
        </w:rPr>
        <w:t>entity to implement in its accounting policy the measurement of</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fixed assets by the cost method or by revaluation so long as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this policy is implemented in regard to all the items in that</w:t>
      </w:r>
    </w:p>
    <w:p>
      <w:pPr>
        <w:ind w:left="1040"/>
        <w:spacing w:after="0"/>
        <w:rPr>
          <w:sz w:val="20"/>
          <w:szCs w:val="20"/>
          <w:color w:val="auto"/>
        </w:rPr>
      </w:pPr>
      <w:r>
        <w:rPr>
          <w:rFonts w:ascii="Courier New" w:cs="Courier New" w:eastAsia="Courier New" w:hAnsi="Courier New"/>
          <w:sz w:val="12"/>
          <w:szCs w:val="12"/>
          <w:color w:val="auto"/>
        </w:rPr>
        <w:t>group.</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- 16</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9" w:lineRule="exact"/>
        <w:rPr>
          <w:sz w:val="20"/>
          <w:szCs w:val="20"/>
          <w:color w:val="auto"/>
        </w:rPr>
      </w:pPr>
    </w:p>
    <w:p>
      <w:pPr>
        <w:ind w:left="700" w:right="4759" w:hanging="357"/>
        <w:spacing w:after="0" w:line="235" w:lineRule="auto"/>
        <w:tabs>
          <w:tab w:leader="none" w:pos="700"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ectPr>
          <w:pgSz w:w="11900" w:h="16838" w:orient="portrait"/>
          <w:cols w:equalWidth="0" w:num="1">
            <w:col w:w="10239"/>
          </w:cols>
          <w:pgMar w:left="220" w:top="137" w:right="1440" w:bottom="0" w:gutter="0" w:footer="0" w:header="0"/>
        </w:sectPr>
      </w:pPr>
    </w:p>
    <w:bookmarkStart w:id="58" w:name="page59"/>
    <w:bookmarkEnd w:id="58"/>
    <w:p>
      <w:pPr>
        <w:ind w:left="1040" w:hanging="345"/>
        <w:spacing w:after="0"/>
        <w:tabs>
          <w:tab w:leader="none" w:pos="1040"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27 "FIXED ASSETS" (cont.)</w:t>
      </w:r>
    </w:p>
    <w:p>
      <w:pPr>
        <w:spacing w:after="0" w:line="138" w:lineRule="exact"/>
        <w:rPr>
          <w:rFonts w:ascii="Courier New" w:cs="Courier New" w:eastAsia="Courier New" w:hAnsi="Courier New"/>
          <w:sz w:val="12"/>
          <w:szCs w:val="12"/>
          <w:color w:val="auto"/>
        </w:rPr>
      </w:pPr>
    </w:p>
    <w:p>
      <w:pPr>
        <w:ind w:left="104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Cost method - an item will be presented at cost less accumulated depreciation, less accumulated impairment losses.</w:t>
      </w:r>
    </w:p>
    <w:p>
      <w:pPr>
        <w:spacing w:after="0" w:line="139"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Revaluation method - an item whose fair value can be measured reliably will be presented at its estimated amount, which equals its fair value at the revaluation date, net of depreciation accumulated subsequently and less accumulated impairment losses. Revaluations should take place on a current basis in order to ensure that book value does not materially differ from the fair value that would have been determined on the balance-sheet date. The revaluation of a single item calls for the revaluation of the entire group and if the asset's book value rises following this revaluation, this increase should be allocated directly to shareholders' equity ("revaluation reserve"). Nevertheless, this increase will be recognized as an operating item up to the amount offsetting the decrease from that asset's revaluation recognized previously as income or loss. Should book value decline following revaluation, this decline will be recognized as an operating item yet allocated directly to shareholders' equity ("revaluation reserve") up to the amount leaving any credit balance in that reserve in respect of that asset.</w:t>
      </w:r>
    </w:p>
    <w:p>
      <w:pPr>
        <w:spacing w:after="0" w:line="263"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Any fixed assets with a significant cost in relation to the item's total cost should be depreciated separately. Moreover, the depreciation method used will be reviewed at least once at yearend and, if any meaningful change had taken place in the estimated consumption of future economic benefits inherent in the asset, the method should be modified to reflect such changes. This change will be treated as a change in an accounting estimate.</w:t>
      </w:r>
    </w:p>
    <w:p>
      <w:pPr>
        <w:spacing w:after="0" w:line="142" w:lineRule="exact"/>
        <w:rPr>
          <w:rFonts w:ascii="Courier New" w:cs="Courier New" w:eastAsia="Courier New" w:hAnsi="Courier New"/>
          <w:sz w:val="12"/>
          <w:szCs w:val="12"/>
          <w:color w:val="auto"/>
        </w:rPr>
      </w:pPr>
    </w:p>
    <w:p>
      <w:pPr>
        <w:jc w:val="both"/>
        <w:ind w:left="1040" w:right="4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new standard will apply to financial statements covering periods beginning January 1, 2007 and onwards and implemented retroactively.</w:t>
      </w:r>
    </w:p>
    <w:p>
      <w:pPr>
        <w:spacing w:after="0" w:line="139"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 currently examining this new standard; however, at this stage, it is unable to estimate the standard's effect, if any, on its financial position and results of operations. In January 2007 the Israeli Accounting Standard Board published a proposal for accounting standard no. 28 that amends standard no.27 to allow, at transition, the alternatives allowed under IFRS 1 regarding fixed assets.</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- 17</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9" w:lineRule="exact"/>
        <w:rPr>
          <w:sz w:val="20"/>
          <w:szCs w:val="20"/>
          <w:color w:val="auto"/>
        </w:rPr>
      </w:pPr>
    </w:p>
    <w:p>
      <w:pPr>
        <w:ind w:left="700" w:right="4759" w:hanging="357"/>
        <w:spacing w:after="0" w:line="235" w:lineRule="auto"/>
        <w:tabs>
          <w:tab w:leader="none" w:pos="700"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040" w:right="4759" w:hanging="345"/>
        <w:spacing w:after="0" w:line="235" w:lineRule="auto"/>
        <w:tabs>
          <w:tab w:leader="none" w:pos="1040" w:val="left"/>
        </w:tabs>
        <w:numPr>
          <w:ilvl w:val="1"/>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STANDARD NO. 23, "ACCOUNTING FOR TRANSACTIONS BETWEEN AN ENTITY AND A CONTROLLING PARTY" (cont.)</w:t>
      </w:r>
    </w:p>
    <w:p>
      <w:pPr>
        <w:spacing w:after="0" w:line="139" w:lineRule="exact"/>
        <w:rPr>
          <w:rFonts w:ascii="Courier New" w:cs="Courier New" w:eastAsia="Courier New" w:hAnsi="Courier New"/>
          <w:sz w:val="12"/>
          <w:szCs w:val="12"/>
          <w:color w:val="auto"/>
        </w:rPr>
      </w:pPr>
    </w:p>
    <w:p>
      <w:pPr>
        <w:ind w:left="104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December 2006 the Israeli Accounting Standards Board published Accounting Standard No. 23, "Accounting for Transactions between an Entity and a controlling party (hereinafter - the Standard).</w:t>
      </w:r>
    </w:p>
    <w:p>
      <w:pPr>
        <w:ind w:left="1040" w:right="53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applies to entities subject to the Israeli Securities Law-1968.</w:t>
      </w:r>
    </w:p>
    <w:p>
      <w:pPr>
        <w:spacing w:after="0" w:line="139"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establishes the requirements for accounting for transactions between an entity and its controlling party which involve the transposition of an asset, the taking on of a liability, reimbursement or debt concession, and the receiving of loans. The Standard does not apply to business combinations under common control.</w:t>
      </w:r>
    </w:p>
    <w:p>
      <w:pPr>
        <w:spacing w:after="0" w:line="140"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stipulates that transactions between an entity and a controlling party will be measured based on fair value; transactions which in nature are owner investment should be reported directly in equity and not be recognized in the controlled entity's profit and loss; the differences between the consideration set in transactions between an entity and a controlling party and their fair value will be allocated directly to the equity; and current and deferred taxes pertaining to the items allocated to equity due to transactions with controlling parties will be allocated directly to equity as well.</w:t>
      </w:r>
    </w:p>
    <w:p>
      <w:pPr>
        <w:spacing w:after="0" w:line="266"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is effective for transactions between an entity and a controlling party taking place subsequent to January 1, 2007 and for loans granted from or given to a controlling party prior to the Standard's coming into effect, starting on the Standard's effective date.</w:t>
      </w:r>
    </w:p>
    <w:p>
      <w:pPr>
        <w:spacing w:after="0" w:line="139" w:lineRule="exact"/>
        <w:rPr>
          <w:rFonts w:ascii="Courier New" w:cs="Courier New" w:eastAsia="Courier New" w:hAnsi="Courier New"/>
          <w:sz w:val="12"/>
          <w:szCs w:val="12"/>
          <w:color w:val="auto"/>
        </w:rPr>
      </w:pPr>
    </w:p>
    <w:p>
      <w:pPr>
        <w:ind w:left="1040" w:right="489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Company's management believes that the effect of this new standard on the Company's financial position, results of operations and cash flows is not expected to be material.</w:t>
      </w:r>
    </w:p>
    <w:p>
      <w:pPr>
        <w:spacing w:after="0" w:line="121"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RECLASSIFICATION</w:t>
      </w:r>
    </w:p>
    <w:p>
      <w:pPr>
        <w:spacing w:after="0" w:line="138" w:lineRule="exact"/>
        <w:rPr>
          <w:rFonts w:ascii="Courier New" w:cs="Courier New" w:eastAsia="Courier New" w:hAnsi="Courier New"/>
          <w:sz w:val="12"/>
          <w:szCs w:val="12"/>
          <w:color w:val="auto"/>
        </w:rPr>
      </w:pPr>
    </w:p>
    <w:p>
      <w:pPr>
        <w:ind w:left="700" w:right="517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Certain amounts in prior years' financial statements have been reclassified in order to conform to the 2006 presentation.</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- 18</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780" w:type="dxa"/>
            <w:vAlign w:val="bottom"/>
          </w:tcPr>
          <w:p>
            <w:pPr>
              <w:spacing w:after="0"/>
              <w:rPr>
                <w:sz w:val="20"/>
                <w:szCs w:val="20"/>
                <w:color w:val="auto"/>
              </w:rPr>
            </w:pPr>
            <w:r>
              <w:rPr>
                <w:rFonts w:ascii="Courier New" w:cs="Courier New" w:eastAsia="Courier New" w:hAnsi="Courier New"/>
                <w:sz w:val="12"/>
                <w:szCs w:val="12"/>
                <w:color w:val="auto"/>
              </w:rPr>
              <w:t>NOTE 3 - OTHER RECEIVABLES</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70"/>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Other receivables consist of the following:</w:t>
            </w:r>
          </w:p>
        </w:tc>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78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3780" w:type="dxa"/>
            <w:vAlign w:val="bottom"/>
          </w:tcPr>
          <w:p>
            <w:pPr>
              <w:spacing w:after="0"/>
              <w:rPr>
                <w:sz w:val="11"/>
                <w:szCs w:val="11"/>
                <w:color w:val="auto"/>
              </w:rPr>
            </w:pP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8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37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Government of Israel - investment grants receivable</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$1,530</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$7,276</w:t>
            </w: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Other government agencies</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3,847</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1,706</w:t>
            </w: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Others</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48</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61</w:t>
            </w:r>
          </w:p>
        </w:tc>
      </w:tr>
      <w:tr>
        <w:trPr>
          <w:trHeight w:val="135"/>
        </w:trPr>
        <w:tc>
          <w:tcPr>
            <w:tcW w:w="37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0239"/>
          </w:cols>
          <w:pgMar w:left="220" w:top="272" w:right="1440" w:bottom="0" w:gutter="0" w:footer="0" w:header="0"/>
        </w:sectPr>
      </w:pPr>
    </w:p>
    <w:bookmarkStart w:id="59" w:name="page60"/>
    <w:bookmarkEnd w:id="59"/>
    <w:p>
      <w:pPr>
        <w:ind w:left="4000"/>
        <w:spacing w:after="0"/>
        <w:tabs>
          <w:tab w:leader="none" w:pos="4820" w:val="left"/>
        </w:tabs>
        <w:rPr>
          <w:sz w:val="20"/>
          <w:szCs w:val="20"/>
          <w:color w:val="auto"/>
        </w:rPr>
      </w:pPr>
      <w:r>
        <w:rPr>
          <w:rFonts w:ascii="Courier New" w:cs="Courier New" w:eastAsia="Courier New" w:hAnsi="Courier New"/>
          <w:sz w:val="12"/>
          <w:szCs w:val="12"/>
          <w:color w:val="auto"/>
        </w:rPr>
        <w:t>$5,425</w:t>
      </w:r>
      <w:r>
        <w:rPr>
          <w:sz w:val="20"/>
          <w:szCs w:val="20"/>
          <w:color w:val="auto"/>
        </w:rPr>
        <w:tab/>
      </w:r>
      <w:r>
        <w:rPr>
          <w:rFonts w:ascii="Courier New" w:cs="Courier New" w:eastAsia="Courier New" w:hAnsi="Courier New"/>
          <w:sz w:val="11"/>
          <w:szCs w:val="11"/>
          <w:color w:val="auto"/>
        </w:rPr>
        <w:t>$9,043</w:t>
      </w:r>
    </w:p>
    <w:p>
      <w:pPr>
        <w:ind w:left="4000"/>
        <w:spacing w:after="0"/>
        <w:tabs>
          <w:tab w:leader="none" w:pos="482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60" w:type="dxa"/>
            <w:vAlign w:val="bottom"/>
          </w:tcPr>
          <w:p>
            <w:pPr>
              <w:spacing w:after="0"/>
              <w:rPr>
                <w:sz w:val="20"/>
                <w:szCs w:val="20"/>
                <w:color w:val="auto"/>
              </w:rPr>
            </w:pPr>
            <w:r>
              <w:rPr>
                <w:rFonts w:ascii="Courier New" w:cs="Courier New" w:eastAsia="Courier New" w:hAnsi="Courier New"/>
                <w:sz w:val="12"/>
                <w:szCs w:val="12"/>
                <w:color w:val="auto"/>
              </w:rPr>
              <w:t>NOTE 4 - INVENTORIES</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32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Inventories consist of the following (*):</w:t>
            </w:r>
          </w:p>
        </w:tc>
        <w:tc>
          <w:tcPr>
            <w:tcW w:w="52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8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1960" w:type="dxa"/>
            <w:vAlign w:val="bottom"/>
          </w:tcPr>
          <w:p>
            <w:pPr>
              <w:spacing w:after="0"/>
              <w:rPr>
                <w:sz w:val="11"/>
                <w:szCs w:val="11"/>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960" w:type="dxa"/>
            <w:vAlign w:val="bottom"/>
          </w:tcPr>
          <w:p>
            <w:pPr>
              <w:spacing w:after="0"/>
              <w:rPr>
                <w:sz w:val="11"/>
                <w:szCs w:val="11"/>
                <w:color w:val="auto"/>
              </w:rPr>
            </w:pPr>
          </w:p>
        </w:tc>
        <w:tc>
          <w:tcPr>
            <w:tcW w:w="1300" w:type="dxa"/>
            <w:vAlign w:val="bottom"/>
          </w:tcPr>
          <w:p>
            <w:pPr>
              <w:jc w:val="right"/>
              <w:ind w:right="601"/>
              <w:spacing w:after="0"/>
              <w:rPr>
                <w:sz w:val="20"/>
                <w:szCs w:val="20"/>
                <w:color w:val="auto"/>
              </w:rPr>
            </w:pPr>
            <w:r>
              <w:rPr>
                <w:rFonts w:ascii="Courier New" w:cs="Courier New" w:eastAsia="Courier New" w:hAnsi="Courier New"/>
                <w:sz w:val="12"/>
                <w:szCs w:val="12"/>
                <w:color w:val="auto"/>
              </w:rPr>
              <w:t>2006</w:t>
            </w:r>
          </w:p>
        </w:tc>
        <w:tc>
          <w:tcPr>
            <w:tcW w:w="5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1960" w:type="dxa"/>
            <w:vAlign w:val="bottom"/>
          </w:tcPr>
          <w:p>
            <w:pPr>
              <w:spacing w:after="0"/>
              <w:rPr>
                <w:sz w:val="11"/>
                <w:szCs w:val="11"/>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$11,170</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$ 6,777</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Spare parts and supplies</w:t>
            </w: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6,402</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3,738</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22,884</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11,502</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645</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2,359</w:t>
            </w:r>
          </w:p>
        </w:tc>
      </w:tr>
      <w:tr>
        <w:trPr>
          <w:trHeight w:val="135"/>
        </w:trPr>
        <w:tc>
          <w:tcPr>
            <w:tcW w:w="1960" w:type="dxa"/>
            <w:vAlign w:val="bottom"/>
          </w:tcPr>
          <w:p>
            <w:pPr>
              <w:spacing w:after="0"/>
              <w:rPr>
                <w:sz w:val="11"/>
                <w:szCs w:val="11"/>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1960" w:type="dxa"/>
            <w:vAlign w:val="bottom"/>
          </w:tcPr>
          <w:p>
            <w:pPr>
              <w:spacing w:after="0"/>
              <w:rPr>
                <w:sz w:val="11"/>
                <w:szCs w:val="11"/>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$41,101</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$24,376</w:t>
            </w:r>
          </w:p>
        </w:tc>
      </w:tr>
      <w:tr>
        <w:trPr>
          <w:trHeight w:val="135"/>
        </w:trPr>
        <w:tc>
          <w:tcPr>
            <w:tcW w:w="1960" w:type="dxa"/>
            <w:vAlign w:val="bottom"/>
          </w:tcPr>
          <w:p>
            <w:pPr>
              <w:spacing w:after="0"/>
              <w:rPr>
                <w:sz w:val="11"/>
                <w:szCs w:val="11"/>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bl>
    <w:p>
      <w:pPr>
        <w:spacing w:after="0" w:line="139" w:lineRule="exact"/>
        <w:rPr>
          <w:sz w:val="20"/>
          <w:szCs w:val="20"/>
          <w:color w:val="auto"/>
        </w:rPr>
      </w:pPr>
    </w:p>
    <w:p>
      <w:pPr>
        <w:ind w:left="700" w:right="4899" w:hanging="357"/>
        <w:spacing w:after="0" w:line="235" w:lineRule="auto"/>
        <w:tabs>
          <w:tab w:leader="none" w:pos="700"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aggregate write-downs to net realizable value of $6,707 and $3,259 as of December 31, 2006 and 2005, respectively.</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PROPERTY AND EQUIPMENT,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2680" w:type="dxa"/>
            <w:vAlign w:val="bottom"/>
          </w:tcPr>
          <w:p>
            <w:pPr>
              <w:ind w:left="120"/>
              <w:spacing w:after="0"/>
              <w:rPr>
                <w:sz w:val="20"/>
                <w:szCs w:val="20"/>
                <w:color w:val="auto"/>
              </w:rPr>
            </w:pPr>
            <w:r>
              <w:rPr>
                <w:rFonts w:ascii="Courier New" w:cs="Courier New" w:eastAsia="Courier New" w:hAnsi="Courier New"/>
                <w:sz w:val="12"/>
                <w:szCs w:val="12"/>
                <w:color w:val="auto"/>
              </w:rPr>
              <w:t>COMPOSITION:</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70"/>
        </w:trPr>
        <w:tc>
          <w:tcPr>
            <w:tcW w:w="5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2006</w:t>
            </w:r>
          </w:p>
        </w:tc>
        <w:tc>
          <w:tcPr>
            <w:tcW w:w="420" w:type="dxa"/>
            <w:vAlign w:val="bottom"/>
          </w:tcPr>
          <w:p>
            <w:pPr>
              <w:spacing w:after="0"/>
              <w:rPr>
                <w:sz w:val="11"/>
                <w:szCs w:val="11"/>
                <w:color w:val="auto"/>
              </w:rPr>
            </w:pPr>
          </w:p>
        </w:tc>
        <w:tc>
          <w:tcPr>
            <w:tcW w:w="5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COST:</w:t>
            </w:r>
          </w:p>
        </w:tc>
        <w:tc>
          <w:tcPr>
            <w:tcW w:w="2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Prepaid perpetual land lease and buildings</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(including facility infrastructure)</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239,267</w:t>
            </w: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237,401</w:t>
            </w: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Machinery and equipment</w:t>
            </w: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851,700</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709,862</w:t>
            </w: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Transportation vehicles</w:t>
            </w: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307</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425</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2"/>
              </w:rPr>
              <w:t>1,091,274</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947,688</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ACCUMULATED DEPRECIATION AND AMORTIZATION:</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Prepaid perpetual land lease and buildings</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(including facility infrastructure)</w:t>
            </w: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61,937</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47,841</w:t>
            </w: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Machinery and equipment</w:t>
            </w: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496,116</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388,867</w:t>
            </w: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Transportation vehicles</w:t>
            </w: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267</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335</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558,320</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437,043</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5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532,954</w:t>
            </w: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510,645</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580" w:type="dxa"/>
            <w:vAlign w:val="bottom"/>
          </w:tcPr>
          <w:p>
            <w:pPr>
              <w:spacing w:after="0"/>
              <w:rPr>
                <w:sz w:val="24"/>
                <w:szCs w:val="24"/>
                <w:color w:val="auto"/>
              </w:rPr>
            </w:pPr>
          </w:p>
        </w:tc>
        <w:tc>
          <w:tcPr>
            <w:tcW w:w="2680" w:type="dxa"/>
            <w:vAlign w:val="bottom"/>
          </w:tcPr>
          <w:p>
            <w:pPr>
              <w:ind w:left="2020"/>
              <w:spacing w:after="0"/>
              <w:rPr>
                <w:sz w:val="20"/>
                <w:szCs w:val="20"/>
                <w:color w:val="auto"/>
              </w:rPr>
            </w:pPr>
            <w:r>
              <w:rPr>
                <w:rFonts w:ascii="Courier New" w:cs="Courier New" w:eastAsia="Courier New" w:hAnsi="Courier New"/>
                <w:sz w:val="12"/>
                <w:szCs w:val="12"/>
                <w:color w:val="auto"/>
              </w:rPr>
              <w:t>F - 19</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PROPERTY AND EQUIPMENT, NET (cont.)</w:t>
      </w:r>
    </w:p>
    <w:p>
      <w:pPr>
        <w:spacing w:after="0" w:line="134" w:lineRule="exact"/>
        <w:rPr>
          <w:sz w:val="20"/>
          <w:szCs w:val="20"/>
          <w:color w:val="auto"/>
        </w:rPr>
      </w:pPr>
    </w:p>
    <w:p>
      <w:pPr>
        <w:ind w:left="700" w:hanging="357"/>
        <w:spacing w:after="0"/>
        <w:tabs>
          <w:tab w:leader="none" w:pos="700"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COMPOSITION (cont.)</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Supplemental disclosure relating to cost of property and equipment:</w:t>
      </w:r>
    </w:p>
    <w:p>
      <w:pPr>
        <w:spacing w:after="0" w:line="139" w:lineRule="exact"/>
        <w:rPr>
          <w:sz w:val="20"/>
          <w:szCs w:val="20"/>
          <w:color w:val="auto"/>
        </w:rPr>
      </w:pPr>
    </w:p>
    <w:p>
      <w:pPr>
        <w:ind w:left="1040" w:right="4979" w:hanging="345"/>
        <w:spacing w:after="0" w:line="264" w:lineRule="auto"/>
        <w:tabs>
          <w:tab w:leader="none" w:pos="1040" w:val="left"/>
        </w:tabs>
        <w:numPr>
          <w:ilvl w:val="1"/>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 of December 31, 2006 and 2005, the cost of property and equipment included costs relating to Fab 2 in the amount of $857,461 and $713,837, respectively. Said amounts are net of investment grants of $164,587 and $165,222, respectively.</w:t>
      </w:r>
    </w:p>
    <w:p>
      <w:pPr>
        <w:spacing w:after="0" w:line="127" w:lineRule="exact"/>
        <w:rPr>
          <w:rFonts w:ascii="Courier New" w:cs="Courier New" w:eastAsia="Courier New" w:hAnsi="Courier New"/>
          <w:sz w:val="11"/>
          <w:szCs w:val="11"/>
          <w:color w:val="auto"/>
        </w:rPr>
      </w:pPr>
    </w:p>
    <w:p>
      <w:pPr>
        <w:ind w:left="1040" w:right="4619" w:hanging="345"/>
        <w:spacing w:after="0" w:line="236" w:lineRule="auto"/>
        <w:tabs>
          <w:tab w:leader="none" w:pos="1040" w:val="left"/>
        </w:tabs>
        <w:numPr>
          <w:ilvl w:val="1"/>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2006, the cost of buildings, machinery and equipment was reflected net of investment grants in the aggregate of $267,866 (as of December 31, 2005 - $268,688).</w:t>
      </w:r>
    </w:p>
    <w:p>
      <w:pPr>
        <w:spacing w:after="0" w:line="139" w:lineRule="exact"/>
        <w:rPr>
          <w:rFonts w:ascii="Courier New" w:cs="Courier New" w:eastAsia="Courier New" w:hAnsi="Courier New"/>
          <w:sz w:val="12"/>
          <w:szCs w:val="12"/>
          <w:color w:val="auto"/>
        </w:rPr>
      </w:pPr>
    </w:p>
    <w:p>
      <w:pPr>
        <w:ind w:left="1040" w:right="4699" w:hanging="345"/>
        <w:spacing w:after="0" w:line="273" w:lineRule="auto"/>
        <w:tabs>
          <w:tab w:leader="none" w:pos="1040" w:val="left"/>
        </w:tabs>
        <w:numPr>
          <w:ilvl w:val="1"/>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Cost of property and equipment as of December 31, 2006 and 2005 includes capitalized interest costs in the aggregate of $18,480.</w:t>
      </w:r>
    </w:p>
    <w:p>
      <w:pPr>
        <w:spacing w:after="0" w:line="121" w:lineRule="exact"/>
        <w:rPr>
          <w:rFonts w:ascii="Courier New" w:cs="Courier New" w:eastAsia="Courier New" w:hAnsi="Courier New"/>
          <w:sz w:val="11"/>
          <w:szCs w:val="11"/>
          <w:color w:val="auto"/>
        </w:rPr>
      </w:pPr>
    </w:p>
    <w:p>
      <w:pPr>
        <w:ind w:left="1040" w:right="4699" w:hanging="345"/>
        <w:spacing w:after="0" w:line="237" w:lineRule="auto"/>
        <w:tabs>
          <w:tab w:leader="none" w:pos="1040" w:val="left"/>
        </w:tabs>
        <w:numPr>
          <w:ilvl w:val="1"/>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commencement of Fab 2 operations in 2003, in which the building and infrastructures of Fab 2 were substantially completed and became ready for their intended use, the Company began to depreciate Fab 2 property and equipment, resulting in depreciation expenses of $111,984, $109,283 and $93,457 in 2006, 2005 and 2004, respectively.</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 GRANTS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Fab 1 in the aggregate amount (as amended) of approximately $96,850. The Company completed its investments under this program, and received final approval from the Investment Center in November 1997.</w:t>
      </w:r>
    </w:p>
    <w:p>
      <w:pPr>
        <w:spacing w:after="0" w:line="142"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1996, an investment program ("1996 program") for expansion of Fab 1 in the aggregate amount (as amended in December 1999 and 2001) of $228,680, entitling the Company to investment grants, was approved by the Investment Center. The Company completed its investments under the 1996 program in December 2001 and invested through such date approximately $207,000. In May 2002, the Company submitted the final report in relation to the 1996 program. As of December 31, 2006, the report has not yet received final approval from the Investment Center.</w:t>
      </w:r>
    </w:p>
    <w:p>
      <w:pPr>
        <w:spacing w:after="0" w:line="142" w:lineRule="exact"/>
        <w:rPr>
          <w:rFonts w:ascii="Courier New" w:cs="Courier New" w:eastAsia="Courier New" w:hAnsi="Courier New"/>
          <w:sz w:val="12"/>
          <w:szCs w:val="12"/>
          <w:color w:val="auto"/>
        </w:rPr>
      </w:pPr>
    </w:p>
    <w:p>
      <w:pPr>
        <w:ind w:left="700" w:right="49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11A(8) with respect to the Fab 2 program approved by the Investment Center in December 2000.</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- 20</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PROPERTY AND EQUIPMENT, NET (cont.)</w:t>
      </w:r>
    </w:p>
    <w:p>
      <w:pPr>
        <w:spacing w:after="0" w:line="134" w:lineRule="exact"/>
        <w:rPr>
          <w:sz w:val="20"/>
          <w:szCs w:val="20"/>
          <w:color w:val="auto"/>
        </w:rPr>
      </w:pPr>
    </w:p>
    <w:p>
      <w:pPr>
        <w:ind w:left="700" w:hanging="357"/>
        <w:spacing w:after="0"/>
        <w:tabs>
          <w:tab w:leader="none" w:pos="700"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 GRANTS (cont.)</w:t>
      </w:r>
    </w:p>
    <w:p>
      <w:pPr>
        <w:spacing w:after="0" w:line="138" w:lineRule="exact"/>
        <w:rPr>
          <w:rFonts w:ascii="Courier New" w:cs="Courier New" w:eastAsia="Courier New" w:hAnsi="Courier New"/>
          <w:sz w:val="12"/>
          <w:szCs w:val="12"/>
          <w:color w:val="auto"/>
        </w:rPr>
      </w:pPr>
    </w:p>
    <w:p>
      <w:pPr>
        <w:ind w:left="700" w:right="46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Entitlement to the above grants and other tax benefits is subject to various conditions stipulated by the Israeli Law for the Encouragement</w:t>
      </w:r>
    </w:p>
    <w:p>
      <w:pPr>
        <w:sectPr>
          <w:pgSz w:w="11900" w:h="16838" w:orient="portrait"/>
          <w:cols w:equalWidth="0" w:num="1">
            <w:col w:w="10239"/>
          </w:cols>
          <w:pgMar w:left="220" w:top="137" w:right="1440" w:bottom="0" w:gutter="0" w:footer="0" w:header="0"/>
        </w:sectPr>
      </w:pPr>
    </w:p>
    <w:bookmarkStart w:id="60" w:name="page61"/>
    <w:bookmarkEnd w:id="60"/>
    <w:p>
      <w:pPr>
        <w:ind w:left="700"/>
        <w:spacing w:after="0"/>
        <w:rPr>
          <w:sz w:val="20"/>
          <w:szCs w:val="20"/>
          <w:color w:val="auto"/>
        </w:rPr>
      </w:pPr>
      <w:r>
        <w:rPr>
          <w:rFonts w:ascii="Courier New" w:cs="Courier New" w:eastAsia="Courier New" w:hAnsi="Courier New"/>
          <w:sz w:val="11"/>
          <w:szCs w:val="11"/>
          <w:color w:val="auto"/>
        </w:rPr>
        <w:t>of Capital Investments - 1959 ("Investments Law") and the regulations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promulgated thereunder, as well as the criteria set forth in the</w:t>
      </w:r>
    </w:p>
    <w:p>
      <w:pPr>
        <w:ind w:left="700"/>
        <w:spacing w:after="0"/>
        <w:rPr>
          <w:sz w:val="20"/>
          <w:szCs w:val="20"/>
          <w:color w:val="auto"/>
        </w:rPr>
      </w:pPr>
      <w:r>
        <w:rPr>
          <w:rFonts w:ascii="Courier New" w:cs="Courier New" w:eastAsia="Courier New" w:hAnsi="Courier New"/>
          <w:sz w:val="12"/>
          <w:szCs w:val="12"/>
          <w:color w:val="auto"/>
        </w:rPr>
        <w:t>certificates of approval. In the event the Company fails to comply</w:t>
      </w:r>
    </w:p>
    <w:p>
      <w:pPr>
        <w:ind w:left="700"/>
        <w:spacing w:after="0" w:line="237" w:lineRule="auto"/>
        <w:rPr>
          <w:sz w:val="20"/>
          <w:szCs w:val="20"/>
          <w:color w:val="auto"/>
        </w:rPr>
      </w:pPr>
      <w:r>
        <w:rPr>
          <w:rFonts w:ascii="Courier New" w:cs="Courier New" w:eastAsia="Courier New" w:hAnsi="Courier New"/>
          <w:sz w:val="12"/>
          <w:szCs w:val="12"/>
          <w:color w:val="auto"/>
        </w:rPr>
        <w:t>with such conditions, the Company may be required to repay all or a</w:t>
      </w:r>
    </w:p>
    <w:p>
      <w:pPr>
        <w:ind w:left="700"/>
        <w:spacing w:after="0"/>
        <w:rPr>
          <w:sz w:val="20"/>
          <w:szCs w:val="20"/>
          <w:color w:val="auto"/>
        </w:rPr>
      </w:pPr>
      <w:r>
        <w:rPr>
          <w:rFonts w:ascii="Courier New" w:cs="Courier New" w:eastAsia="Courier New" w:hAnsi="Courier New"/>
          <w:sz w:val="12"/>
          <w:szCs w:val="12"/>
          <w:color w:val="auto"/>
        </w:rPr>
        <w:t>portion of the grants received plus interest and certain inflation</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adjustments. In order to secure fulfillment of the conditions related</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to the receipt of investment grants, floating liens were registered in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favor of the State of Israel on substantially all of the Company's</w:t>
      </w:r>
    </w:p>
    <w:p>
      <w:pPr>
        <w:ind w:left="700"/>
        <w:spacing w:after="0"/>
        <w:rPr>
          <w:sz w:val="20"/>
          <w:szCs w:val="20"/>
          <w:color w:val="auto"/>
        </w:rPr>
      </w:pPr>
      <w:r>
        <w:rPr>
          <w:rFonts w:ascii="Courier New" w:cs="Courier New" w:eastAsia="Courier New" w:hAnsi="Courier New"/>
          <w:sz w:val="12"/>
          <w:szCs w:val="12"/>
          <w:color w:val="auto"/>
        </w:rPr>
        <w:t>assets. See also Note 16A.</w:t>
      </w:r>
    </w:p>
    <w:p>
      <w:pPr>
        <w:spacing w:after="0" w:line="133" w:lineRule="exact"/>
        <w:rPr>
          <w:sz w:val="20"/>
          <w:szCs w:val="20"/>
          <w:color w:val="auto"/>
        </w:rPr>
      </w:pPr>
    </w:p>
    <w:p>
      <w:pPr>
        <w:ind w:left="700" w:hanging="357"/>
        <w:spacing w:after="0"/>
        <w:tabs>
          <w:tab w:leader="none" w:pos="700"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liens, see Note 11A(6) Notes 11D(2) and (3) and 8F.</w:t>
      </w:r>
    </w:p>
    <w:p>
      <w:pPr>
        <w:spacing w:after="0" w:line="134" w:lineRule="exact"/>
        <w:rPr>
          <w:rFonts w:ascii="Courier New" w:cs="Courier New" w:eastAsia="Courier New" w:hAnsi="Courier New"/>
          <w:sz w:val="12"/>
          <w:szCs w:val="12"/>
          <w:color w:val="auto"/>
        </w:rPr>
      </w:pPr>
    </w:p>
    <w:p>
      <w:pPr>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NOTE 6 - INTANGIBLE ASSETS, NET</w:t>
      </w:r>
    </w:p>
    <w:p>
      <w:pPr>
        <w:spacing w:after="0" w:line="139" w:lineRule="exact"/>
        <w:rPr>
          <w:sz w:val="20"/>
          <w:szCs w:val="20"/>
          <w:color w:val="auto"/>
        </w:rPr>
      </w:pPr>
    </w:p>
    <w:p>
      <w:pPr>
        <w:ind w:left="340" w:right="4619"/>
        <w:spacing w:after="0" w:line="236" w:lineRule="auto"/>
        <w:rPr>
          <w:sz w:val="20"/>
          <w:szCs w:val="20"/>
          <w:color w:val="auto"/>
        </w:rPr>
      </w:pPr>
      <w:r>
        <w:rPr>
          <w:rFonts w:ascii="Courier New" w:cs="Courier New" w:eastAsia="Courier New" w:hAnsi="Courier New"/>
          <w:sz w:val="12"/>
          <w:szCs w:val="12"/>
          <w:color w:val="auto"/>
        </w:rPr>
        <w:t>Intangible assets consist mainly of technologies in relation to Fab 2, see Note 11A(2). The technologies are presented net of accumulated amortization as of December 31, 2006 and 2005 in the amounts of $53,741 and $32,806, respectively. For amortization policy, see Note 2G.</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7 - OTHER CURRENT LIABILITIES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Other current liabilities consist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20" w:type="dxa"/>
            <w:vAlign w:val="bottom"/>
          </w:tcPr>
          <w:p>
            <w:pPr>
              <w:spacing w:after="0"/>
              <w:rPr>
                <w:sz w:val="11"/>
                <w:szCs w:val="11"/>
                <w:color w:val="auto"/>
              </w:rPr>
            </w:pPr>
          </w:p>
        </w:tc>
        <w:tc>
          <w:tcPr>
            <w:tcW w:w="184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3220" w:type="dxa"/>
            <w:vAlign w:val="bottom"/>
          </w:tcPr>
          <w:p>
            <w:pPr>
              <w:spacing w:after="0"/>
              <w:rPr>
                <w:sz w:val="11"/>
                <w:szCs w:val="11"/>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20" w:type="dxa"/>
            <w:vAlign w:val="bottom"/>
          </w:tcPr>
          <w:p>
            <w:pPr>
              <w:spacing w:after="0"/>
              <w:rPr>
                <w:sz w:val="11"/>
                <w:szCs w:val="11"/>
                <w:color w:val="auto"/>
              </w:rPr>
            </w:pPr>
          </w:p>
        </w:tc>
        <w:tc>
          <w:tcPr>
            <w:tcW w:w="10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2006</w:t>
            </w:r>
          </w:p>
        </w:tc>
        <w:tc>
          <w:tcPr>
            <w:tcW w:w="7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3220" w:type="dxa"/>
            <w:vAlign w:val="bottom"/>
          </w:tcPr>
          <w:p>
            <w:pPr>
              <w:spacing w:after="0"/>
              <w:rPr>
                <w:sz w:val="11"/>
                <w:szCs w:val="11"/>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Accrued salaries</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$ 8,730</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$ 3,162</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Vacation accrual</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3,385</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2,322</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Interest payable (primarily in relation to</w:t>
            </w: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220" w:type="dxa"/>
            <w:vAlign w:val="bottom"/>
          </w:tcPr>
          <w:p>
            <w:pPr>
              <w:ind w:left="60"/>
              <w:spacing w:after="0"/>
              <w:rPr>
                <w:sz w:val="20"/>
                <w:szCs w:val="20"/>
                <w:color w:val="auto"/>
              </w:rPr>
            </w:pPr>
            <w:r>
              <w:rPr>
                <w:rFonts w:ascii="Courier New" w:cs="Courier New" w:eastAsia="Courier New" w:hAnsi="Courier New"/>
                <w:sz w:val="12"/>
                <w:szCs w:val="12"/>
                <w:color w:val="auto"/>
              </w:rPr>
              <w:t>convertible debentures)</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1,089</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1,263</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Due to related parties</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5,895</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188</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2,997</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2,037</w:t>
            </w:r>
          </w:p>
        </w:tc>
      </w:tr>
      <w:tr>
        <w:trPr>
          <w:trHeight w:val="135"/>
        </w:trPr>
        <w:tc>
          <w:tcPr>
            <w:tcW w:w="3220" w:type="dxa"/>
            <w:vAlign w:val="bottom"/>
          </w:tcPr>
          <w:p>
            <w:pPr>
              <w:spacing w:after="0"/>
              <w:rPr>
                <w:sz w:val="11"/>
                <w:szCs w:val="11"/>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20" w:type="dxa"/>
            <w:vAlign w:val="bottom"/>
          </w:tcPr>
          <w:p>
            <w:pPr>
              <w:spacing w:after="0"/>
              <w:rPr>
                <w:sz w:val="11"/>
                <w:szCs w:val="11"/>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$22,096</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$ 8,972</w:t>
            </w:r>
          </w:p>
        </w:tc>
      </w:tr>
      <w:tr>
        <w:trPr>
          <w:trHeight w:val="135"/>
        </w:trPr>
        <w:tc>
          <w:tcPr>
            <w:tcW w:w="3220" w:type="dxa"/>
            <w:vAlign w:val="bottom"/>
          </w:tcPr>
          <w:p>
            <w:pPr>
              <w:spacing w:after="0"/>
              <w:rPr>
                <w:sz w:val="11"/>
                <w:szCs w:val="11"/>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- 21</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8 - LONG-TERM DEBT FROM BANKS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1440" w:type="dxa"/>
            <w:vAlign w:val="bottom"/>
          </w:tcPr>
          <w:p>
            <w:pPr>
              <w:ind w:left="120"/>
              <w:spacing w:after="0"/>
              <w:rPr>
                <w:sz w:val="20"/>
                <w:szCs w:val="20"/>
                <w:color w:val="auto"/>
              </w:rPr>
            </w:pPr>
            <w:r>
              <w:rPr>
                <w:rFonts w:ascii="Courier New" w:cs="Courier New" w:eastAsia="Courier New" w:hAnsi="Courier New"/>
                <w:sz w:val="12"/>
                <w:szCs w:val="12"/>
                <w:color w:val="auto"/>
              </w:rPr>
              <w:t>COMPOSITION:</w:t>
            </w:r>
          </w:p>
        </w:tc>
        <w:tc>
          <w:tcPr>
            <w:tcW w:w="1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5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7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580" w:type="dxa"/>
            <w:vAlign w:val="bottom"/>
          </w:tcPr>
          <w:p>
            <w:pPr>
              <w:spacing w:after="0"/>
              <w:rPr>
                <w:sz w:val="11"/>
                <w:szCs w:val="11"/>
                <w:color w:val="auto"/>
              </w:rPr>
            </w:pPr>
          </w:p>
        </w:tc>
        <w:tc>
          <w:tcPr>
            <w:tcW w:w="3240" w:type="dxa"/>
            <w:vAlign w:val="bottom"/>
            <w:gridSpan w:val="2"/>
          </w:tcPr>
          <w:p>
            <w:pPr>
              <w:jc w:val="center"/>
              <w:ind w:left="781"/>
              <w:spacing w:after="0"/>
              <w:rPr>
                <w:sz w:val="20"/>
                <w:szCs w:val="20"/>
                <w:color w:val="auto"/>
              </w:rPr>
            </w:pPr>
            <w:r>
              <w:rPr>
                <w:rFonts w:ascii="Courier New" w:cs="Courier New" w:eastAsia="Courier New" w:hAnsi="Courier New"/>
                <w:sz w:val="12"/>
                <w:szCs w:val="12"/>
                <w:color w:val="auto"/>
                <w:w w:val="97"/>
              </w:rPr>
              <w:t>Effective interest rate as of</w:t>
            </w:r>
          </w:p>
        </w:tc>
        <w:tc>
          <w:tcPr>
            <w:tcW w:w="17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0" w:type="dxa"/>
            <w:vAlign w:val="bottom"/>
          </w:tcPr>
          <w:p>
            <w:pPr>
              <w:jc w:val="center"/>
              <w:ind w:right="541"/>
              <w:spacing w:after="0"/>
              <w:rPr>
                <w:sz w:val="20"/>
                <w:szCs w:val="20"/>
                <w:color w:val="auto"/>
              </w:rPr>
            </w:pPr>
            <w:r>
              <w:rPr>
                <w:rFonts w:ascii="Courier New" w:cs="Courier New" w:eastAsia="Courier New" w:hAnsi="Courier New"/>
                <w:sz w:val="12"/>
                <w:szCs w:val="12"/>
                <w:color w:val="auto"/>
                <w:w w:val="97"/>
              </w:rPr>
              <w:t>December 31, 2006</w:t>
            </w:r>
          </w:p>
        </w:tc>
        <w:tc>
          <w:tcPr>
            <w:tcW w:w="116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2006</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580" w:type="dxa"/>
            <w:vAlign w:val="bottom"/>
          </w:tcPr>
          <w:p>
            <w:pPr>
              <w:spacing w:after="0"/>
              <w:rPr>
                <w:sz w:val="11"/>
                <w:szCs w:val="11"/>
                <w:color w:val="auto"/>
              </w:rPr>
            </w:pPr>
          </w:p>
        </w:tc>
        <w:tc>
          <w:tcPr>
            <w:tcW w:w="3240" w:type="dxa"/>
            <w:vAlign w:val="bottom"/>
            <w:gridSpan w:val="2"/>
          </w:tcPr>
          <w:p>
            <w:pPr>
              <w:jc w:val="center"/>
              <w:ind w:left="781"/>
              <w:spacing w:after="0"/>
              <w:rPr>
                <w:sz w:val="20"/>
                <w:szCs w:val="20"/>
                <w:color w:val="auto"/>
              </w:rPr>
            </w:pPr>
            <w:r>
              <w:rPr>
                <w:rFonts w:ascii="Courier New" w:cs="Courier New" w:eastAsia="Courier New" w:hAnsi="Courier New"/>
                <w:sz w:val="12"/>
                <w:szCs w:val="12"/>
                <w:color w:val="auto"/>
                <w:w w:val="97"/>
              </w:rPr>
              <w:t>-----------------------------</w:t>
            </w: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r>
        <w:trPr>
          <w:trHeight w:val="270"/>
        </w:trPr>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800" w:type="dxa"/>
            <w:vAlign w:val="bottom"/>
          </w:tcPr>
          <w:p>
            <w:pPr>
              <w:jc w:val="center"/>
              <w:ind w:right="521"/>
              <w:spacing w:after="0"/>
              <w:rPr>
                <w:sz w:val="20"/>
                <w:szCs w:val="20"/>
                <w:color w:val="auto"/>
              </w:rPr>
            </w:pPr>
            <w:r>
              <w:rPr>
                <w:rFonts w:ascii="Courier New" w:cs="Courier New" w:eastAsia="Courier New" w:hAnsi="Courier New"/>
                <w:sz w:val="12"/>
                <w:szCs w:val="12"/>
                <w:color w:val="auto"/>
                <w:w w:val="94"/>
              </w:rPr>
              <w:t>6.48%</w:t>
            </w: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$288,693</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$438,103</w:t>
            </w:r>
          </w:p>
        </w:tc>
      </w:tr>
      <w:tr>
        <w:trPr>
          <w:trHeight w:val="135"/>
        </w:trPr>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800" w:type="dxa"/>
            <w:vAlign w:val="bottom"/>
          </w:tcPr>
          <w:p>
            <w:pPr>
              <w:jc w:val="center"/>
              <w:ind w:right="521"/>
              <w:spacing w:after="0"/>
              <w:rPr>
                <w:sz w:val="20"/>
                <w:szCs w:val="20"/>
                <w:color w:val="auto"/>
              </w:rPr>
            </w:pPr>
            <w:r>
              <w:rPr>
                <w:rFonts w:ascii="Courier New" w:cs="Courier New" w:eastAsia="Courier New" w:hAnsi="Courier New"/>
                <w:sz w:val="12"/>
                <w:szCs w:val="12"/>
                <w:color w:val="auto"/>
                <w:w w:val="94"/>
              </w:rPr>
              <w:t>5.10%</w:t>
            </w: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80,000</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80,000</w:t>
            </w:r>
          </w:p>
        </w:tc>
      </w:tr>
      <w:tr>
        <w:trPr>
          <w:trHeight w:val="135"/>
        </w:trPr>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r>
        <w:trPr>
          <w:trHeight w:val="135"/>
        </w:trPr>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rPr>
              <w:t>Total long-term debt from</w:t>
            </w:r>
          </w:p>
        </w:tc>
        <w:tc>
          <w:tcPr>
            <w:tcW w:w="1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Banks</w:t>
            </w:r>
          </w:p>
        </w:tc>
        <w:tc>
          <w:tcPr>
            <w:tcW w:w="1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368,693</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518,103</w:t>
            </w:r>
          </w:p>
        </w:tc>
      </w:tr>
      <w:tr>
        <w:trPr>
          <w:trHeight w:val="135"/>
        </w:trPr>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rPr>
              <w:t>Less - current maturities</w:t>
            </w:r>
          </w:p>
        </w:tc>
        <w:tc>
          <w:tcPr>
            <w:tcW w:w="1800" w:type="dxa"/>
            <w:vAlign w:val="bottom"/>
          </w:tcPr>
          <w:p>
            <w:pPr>
              <w:spacing w:after="0"/>
              <w:rPr>
                <w:sz w:val="11"/>
                <w:szCs w:val="11"/>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21,103</w:t>
            </w:r>
          </w:p>
        </w:tc>
      </w:tr>
      <w:tr>
        <w:trPr>
          <w:trHeight w:val="135"/>
        </w:trPr>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r>
        <w:trPr>
          <w:trHeight w:val="135"/>
        </w:trPr>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368,693</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497,000</w:t>
            </w:r>
          </w:p>
        </w:tc>
      </w:tr>
      <w:tr>
        <w:trPr>
          <w:trHeight w:val="270"/>
        </w:trPr>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rPr>
              <w:t>Discount (see C below)</w:t>
            </w:r>
          </w:p>
        </w:tc>
        <w:tc>
          <w:tcPr>
            <w:tcW w:w="1800" w:type="dxa"/>
            <w:vAlign w:val="bottom"/>
          </w:tcPr>
          <w:p>
            <w:pPr>
              <w:spacing w:after="0"/>
              <w:rPr>
                <w:sz w:val="23"/>
                <w:szCs w:val="23"/>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11,746</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r>
        <w:trPr>
          <w:trHeight w:val="135"/>
        </w:trPr>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$356,947</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$497,000</w:t>
            </w:r>
          </w:p>
        </w:tc>
      </w:tr>
      <w:tr>
        <w:trPr>
          <w:trHeight w:val="135"/>
        </w:trPr>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bl>
    <w:p>
      <w:pPr>
        <w:spacing w:after="0" w:line="139" w:lineRule="exact"/>
        <w:rPr>
          <w:sz w:val="20"/>
          <w:szCs w:val="20"/>
          <w:color w:val="auto"/>
        </w:rPr>
      </w:pPr>
    </w:p>
    <w:p>
      <w:pPr>
        <w:ind w:left="700" w:right="4619" w:hanging="357"/>
        <w:spacing w:after="0" w:line="238" w:lineRule="auto"/>
        <w:tabs>
          <w:tab w:leader="none" w:pos="70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loans received under the Facility Agreement bear interest based on the three-month USD LIBOR rate plus 1.1%, effective from May 17, 2006, as revised under the September 2006 amendment to the Facility Agreement (see details in Note 11A(6)). Prior to the closing of the September 2006 amendment, in accordance with the November 2003 amendment to the Facility Agreement, the loans bore interest based on the three-month USD LIBOR rate plus 2.5%, (described in Note 11A(6)), and prior to the November 2003 amendment the loans bore interest based on the three-month USD LIBOR rate plus 1.55%. The effective interest rate as of December 31, 2006 of loans, the amount of which as of such date was $207,000, including the terms of collar agreements with knock-out and knock-in features described in Note 17A. Interest is payable at the end of each quarter.</w:t>
      </w:r>
    </w:p>
    <w:p>
      <w:pPr>
        <w:spacing w:after="0" w:line="139" w:lineRule="exact"/>
        <w:rPr>
          <w:rFonts w:ascii="Courier New" w:cs="Courier New" w:eastAsia="Courier New" w:hAnsi="Courier New"/>
          <w:sz w:val="12"/>
          <w:szCs w:val="12"/>
          <w:color w:val="auto"/>
        </w:rPr>
      </w:pPr>
    </w:p>
    <w:p>
      <w:pPr>
        <w:ind w:left="700" w:right="4699" w:hanging="357"/>
        <w:spacing w:after="0" w:line="263" w:lineRule="auto"/>
        <w:tabs>
          <w:tab w:leader="none" w:pos="700" w:val="left"/>
        </w:tabs>
        <w:numPr>
          <w:ilvl w:val="0"/>
          <w:numId w:val="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Following the September 2006 amendment to the Facility Agreement, the long term debt is presented based on fair value on the refinancing date, in accordance with IAS 39, described in Note 11A(6). The discount resulting from adjustment of the debt to fair value is amortized to financing expenses during the new repayment schedule.</w:t>
      </w:r>
    </w:p>
    <w:p>
      <w:pPr>
        <w:spacing w:after="0" w:line="127" w:lineRule="exact"/>
        <w:rPr>
          <w:rFonts w:ascii="Courier New" w:cs="Courier New" w:eastAsia="Courier New" w:hAnsi="Courier New"/>
          <w:sz w:val="11"/>
          <w:szCs w:val="11"/>
          <w:color w:val="auto"/>
        </w:rPr>
      </w:pPr>
    </w:p>
    <w:p>
      <w:pPr>
        <w:ind w:left="700" w:right="4619" w:hanging="357"/>
        <w:spacing w:after="0" w:line="237" w:lineRule="auto"/>
        <w:tabs>
          <w:tab w:leader="none" w:pos="70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additional information regarding the Facility Agreement, as amended, between the Company and the Banks for financing the construction and equipping of Fab 2 including the refinancing of the loans under the September 2006 amendment to the Facility Agreement see Note 11A(6).</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 SCHEDULE</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balance of the long-term debt as of December 31, 2006 is repayable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follows:</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36"/>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2009</w:t>
            </w:r>
          </w:p>
        </w:tc>
        <w:tc>
          <w:tcPr>
            <w:tcW w:w="2280" w:type="dxa"/>
            <w:vAlign w:val="bottom"/>
          </w:tcPr>
          <w:p>
            <w:pPr>
              <w:spacing w:after="0"/>
              <w:rPr>
                <w:sz w:val="11"/>
                <w:szCs w:val="11"/>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2"/>
                <w:szCs w:val="12"/>
                <w:color w:val="auto"/>
              </w:rPr>
              <w:t>61,449</w:t>
            </w:r>
          </w:p>
        </w:tc>
      </w:tr>
      <w:tr>
        <w:trPr>
          <w:trHeight w:val="135"/>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2010</w:t>
            </w:r>
          </w:p>
        </w:tc>
        <w:tc>
          <w:tcPr>
            <w:tcW w:w="2280" w:type="dxa"/>
            <w:vAlign w:val="bottom"/>
          </w:tcPr>
          <w:p>
            <w:pPr>
              <w:spacing w:after="0"/>
              <w:rPr>
                <w:sz w:val="11"/>
                <w:szCs w:val="11"/>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2"/>
                <w:szCs w:val="12"/>
                <w:color w:val="auto"/>
              </w:rPr>
              <w:t>122,898</w:t>
            </w:r>
          </w:p>
        </w:tc>
      </w:tr>
      <w:tr>
        <w:trPr>
          <w:trHeight w:val="135"/>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2011</w:t>
            </w:r>
          </w:p>
        </w:tc>
        <w:tc>
          <w:tcPr>
            <w:tcW w:w="2280" w:type="dxa"/>
            <w:vAlign w:val="bottom"/>
          </w:tcPr>
          <w:p>
            <w:pPr>
              <w:ind w:left="20"/>
              <w:spacing w:after="0"/>
              <w:rPr>
                <w:sz w:val="20"/>
                <w:szCs w:val="20"/>
                <w:color w:val="auto"/>
              </w:rPr>
            </w:pPr>
            <w:r>
              <w:rPr>
                <w:rFonts w:ascii="Courier New" w:cs="Courier New" w:eastAsia="Courier New" w:hAnsi="Courier New"/>
                <w:sz w:val="12"/>
                <w:szCs w:val="12"/>
                <w:color w:val="auto"/>
              </w:rPr>
              <w:t>and thereafter</w:t>
            </w:r>
          </w:p>
        </w:tc>
        <w:tc>
          <w:tcPr>
            <w:tcW w:w="1760" w:type="dxa"/>
            <w:vAlign w:val="bottom"/>
          </w:tcPr>
          <w:p>
            <w:pPr>
              <w:jc w:val="right"/>
              <w:spacing w:after="0"/>
              <w:rPr>
                <w:sz w:val="20"/>
                <w:szCs w:val="20"/>
                <w:color w:val="auto"/>
              </w:rPr>
            </w:pPr>
            <w:r>
              <w:rPr>
                <w:rFonts w:ascii="Courier New" w:cs="Courier New" w:eastAsia="Courier New" w:hAnsi="Courier New"/>
                <w:sz w:val="12"/>
                <w:szCs w:val="12"/>
                <w:color w:val="auto"/>
              </w:rPr>
              <w:t>184,346</w:t>
            </w:r>
          </w:p>
        </w:tc>
      </w:tr>
    </w:tbl>
    <w:p>
      <w:pPr>
        <w:ind w:left="4420"/>
        <w:spacing w:after="0"/>
        <w:rPr>
          <w:sz w:val="20"/>
          <w:szCs w:val="20"/>
          <w:color w:val="auto"/>
        </w:rPr>
      </w:pPr>
      <w:r>
        <w:rPr>
          <w:rFonts w:ascii="Courier New" w:cs="Courier New" w:eastAsia="Courier New" w:hAnsi="Courier New"/>
          <w:sz w:val="12"/>
          <w:szCs w:val="12"/>
          <w:color w:val="auto"/>
        </w:rPr>
        <w:t>---------</w:t>
      </w:r>
    </w:p>
    <w:p>
      <w:pPr>
        <w:ind w:left="4420"/>
        <w:spacing w:after="0" w:line="237" w:lineRule="auto"/>
        <w:rPr>
          <w:sz w:val="20"/>
          <w:szCs w:val="20"/>
          <w:color w:val="auto"/>
        </w:rPr>
      </w:pPr>
      <w:r>
        <w:rPr>
          <w:rFonts w:ascii="Courier New" w:cs="Courier New" w:eastAsia="Courier New" w:hAnsi="Courier New"/>
          <w:sz w:val="12"/>
          <w:szCs w:val="12"/>
          <w:color w:val="auto"/>
        </w:rPr>
        <w:t>$ 368,693</w:t>
      </w:r>
    </w:p>
    <w:p>
      <w:pPr>
        <w:ind w:left="4420"/>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8 - LONG-TERM DEBT FROM BANKS (Cont.)</w:t>
      </w:r>
    </w:p>
    <w:p>
      <w:pPr>
        <w:spacing w:after="0" w:line="139" w:lineRule="exact"/>
        <w:rPr>
          <w:sz w:val="20"/>
          <w:szCs w:val="20"/>
          <w:color w:val="auto"/>
        </w:rPr>
      </w:pPr>
    </w:p>
    <w:p>
      <w:pPr>
        <w:ind w:left="700" w:right="4619" w:hanging="357"/>
        <w:spacing w:after="0" w:line="266" w:lineRule="auto"/>
        <w:tabs>
          <w:tab w:leader="none" w:pos="700" w:val="left"/>
        </w:tabs>
        <w:numPr>
          <w:ilvl w:val="0"/>
          <w:numId w:val="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agreement with the Company's Banks restricts the Company's ability to place liens on its assets (other than to the State of Israel in respect of investment grants - see Note 11A(8), to Siliconix - see</w:t>
      </w:r>
    </w:p>
    <w:p>
      <w:pPr>
        <w:sectPr>
          <w:pgSz w:w="11900" w:h="16838" w:orient="portrait"/>
          <w:cols w:equalWidth="0" w:num="1">
            <w:col w:w="10239"/>
          </w:cols>
          <w:pgMar w:left="220" w:top="141" w:right="1440" w:bottom="0" w:gutter="0" w:footer="0" w:header="0"/>
        </w:sectPr>
      </w:pPr>
    </w:p>
    <w:bookmarkStart w:id="61" w:name="page62"/>
    <w:bookmarkEnd w:id="61"/>
    <w:p>
      <w:pPr>
        <w:ind w:left="700"/>
        <w:spacing w:after="0"/>
        <w:rPr>
          <w:sz w:val="20"/>
          <w:szCs w:val="20"/>
          <w:color w:val="auto"/>
        </w:rPr>
      </w:pPr>
      <w:r>
        <w:rPr>
          <w:rFonts w:ascii="Courier New" w:cs="Courier New" w:eastAsia="Courier New" w:hAnsi="Courier New"/>
          <w:sz w:val="12"/>
          <w:szCs w:val="12"/>
          <w:color w:val="auto"/>
        </w:rPr>
        <w:t>Note 11D(2) and to SanDisk see Note 11D(3)), without the prior consent</w:t>
      </w:r>
    </w:p>
    <w:p>
      <w:pPr>
        <w:ind w:left="700"/>
        <w:spacing w:after="0"/>
        <w:rPr>
          <w:sz w:val="20"/>
          <w:szCs w:val="20"/>
          <w:color w:val="auto"/>
        </w:rPr>
      </w:pPr>
      <w:r>
        <w:rPr>
          <w:rFonts w:ascii="Courier New" w:cs="Courier New" w:eastAsia="Courier New" w:hAnsi="Courier New"/>
          <w:sz w:val="12"/>
          <w:szCs w:val="12"/>
          <w:color w:val="auto"/>
        </w:rPr>
        <w:t>of the Banks. Furthermore, the agreements contain certain restrictive</w:t>
      </w:r>
    </w:p>
    <w:p>
      <w:pPr>
        <w:ind w:left="700"/>
        <w:spacing w:after="0" w:line="237" w:lineRule="auto"/>
        <w:rPr>
          <w:sz w:val="20"/>
          <w:szCs w:val="20"/>
          <w:color w:val="auto"/>
        </w:rPr>
      </w:pPr>
      <w:r>
        <w:rPr>
          <w:rFonts w:ascii="Courier New" w:cs="Courier New" w:eastAsia="Courier New" w:hAnsi="Courier New"/>
          <w:sz w:val="12"/>
          <w:szCs w:val="12"/>
          <w:color w:val="auto"/>
        </w:rPr>
        <w:t>financial ratios and covenants. For further details concerning the</w:t>
      </w:r>
    </w:p>
    <w:p>
      <w:pPr>
        <w:ind w:left="700"/>
        <w:spacing w:after="0"/>
        <w:rPr>
          <w:sz w:val="20"/>
          <w:szCs w:val="20"/>
          <w:color w:val="auto"/>
        </w:rPr>
      </w:pPr>
      <w:r>
        <w:rPr>
          <w:rFonts w:ascii="Courier New" w:cs="Courier New" w:eastAsia="Courier New" w:hAnsi="Courier New"/>
          <w:sz w:val="12"/>
          <w:szCs w:val="12"/>
          <w:color w:val="auto"/>
        </w:rPr>
        <w:t>Facility Agreement and its amendments, see Note 11A(6).</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CONVERTIBLE DEBENTURES</w:t>
      </w:r>
    </w:p>
    <w:p>
      <w:pPr>
        <w:spacing w:after="0" w:line="134" w:lineRule="exact"/>
        <w:rPr>
          <w:sz w:val="20"/>
          <w:szCs w:val="20"/>
          <w:color w:val="auto"/>
        </w:rPr>
      </w:pPr>
    </w:p>
    <w:p>
      <w:pPr>
        <w:ind w:left="700" w:hanging="357"/>
        <w:spacing w:after="0"/>
        <w:tabs>
          <w:tab w:leader="none" w:pos="700"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COMPOSITION: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7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jc w:val="center"/>
              <w:ind w:right="41"/>
              <w:spacing w:after="0"/>
              <w:rPr>
                <w:sz w:val="20"/>
                <w:szCs w:val="20"/>
                <w:color w:val="auto"/>
              </w:rPr>
            </w:pPr>
            <w:r>
              <w:rPr>
                <w:rFonts w:ascii="Courier New" w:cs="Courier New" w:eastAsia="Courier New" w:hAnsi="Courier New"/>
                <w:sz w:val="12"/>
                <w:szCs w:val="12"/>
                <w:color w:val="auto"/>
                <w:w w:val="97"/>
              </w:rPr>
              <w:t>Interest rate as of</w:t>
            </w:r>
          </w:p>
        </w:tc>
        <w:tc>
          <w:tcPr>
            <w:tcW w:w="17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jc w:val="center"/>
              <w:ind w:right="41"/>
              <w:spacing w:after="0"/>
              <w:rPr>
                <w:sz w:val="20"/>
                <w:szCs w:val="20"/>
                <w:color w:val="auto"/>
              </w:rPr>
            </w:pPr>
            <w:r>
              <w:rPr>
                <w:rFonts w:ascii="Courier New" w:cs="Courier New" w:eastAsia="Courier New" w:hAnsi="Courier New"/>
                <w:sz w:val="12"/>
                <w:szCs w:val="12"/>
                <w:color w:val="auto"/>
                <w:w w:val="96"/>
              </w:rPr>
              <w:t>December 31, 2006</w:t>
            </w:r>
          </w:p>
        </w:tc>
        <w:tc>
          <w:tcPr>
            <w:tcW w:w="12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2006</w:t>
            </w:r>
          </w:p>
        </w:tc>
        <w:tc>
          <w:tcPr>
            <w:tcW w:w="4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jc w:val="center"/>
              <w:ind w:right="41"/>
              <w:spacing w:after="0"/>
              <w:rPr>
                <w:sz w:val="20"/>
                <w:szCs w:val="20"/>
                <w:color w:val="auto"/>
              </w:rPr>
            </w:pPr>
            <w:r>
              <w:rPr>
                <w:rFonts w:ascii="Courier New" w:cs="Courier New" w:eastAsia="Courier New" w:hAnsi="Courier New"/>
                <w:sz w:val="12"/>
                <w:szCs w:val="12"/>
                <w:color w:val="auto"/>
                <w:w w:val="97"/>
              </w:rPr>
              <w:t>-----------------------</w:t>
            </w: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2002</w:t>
            </w:r>
          </w:p>
        </w:tc>
        <w:tc>
          <w:tcPr>
            <w:tcW w:w="2220" w:type="dxa"/>
            <w:vAlign w:val="bottom"/>
          </w:tcPr>
          <w:p>
            <w:pPr>
              <w:ind w:left="40"/>
              <w:spacing w:after="0"/>
              <w:rPr>
                <w:sz w:val="20"/>
                <w:szCs w:val="20"/>
                <w:color w:val="auto"/>
              </w:rPr>
            </w:pPr>
            <w:r>
              <w:rPr>
                <w:rFonts w:ascii="Courier New" w:cs="Courier New" w:eastAsia="Courier New" w:hAnsi="Courier New"/>
                <w:sz w:val="12"/>
                <w:szCs w:val="12"/>
                <w:color w:val="auto"/>
                <w:w w:val="96"/>
              </w:rPr>
              <w:t>Convertible debentures series A</w:t>
            </w:r>
          </w:p>
        </w:tc>
        <w:tc>
          <w:tcPr>
            <w:tcW w:w="172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4.7%</w:t>
            </w: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$19,894</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$25,811</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2005</w:t>
            </w:r>
          </w:p>
        </w:tc>
        <w:tc>
          <w:tcPr>
            <w:tcW w:w="2220" w:type="dxa"/>
            <w:vAlign w:val="bottom"/>
          </w:tcPr>
          <w:p>
            <w:pPr>
              <w:ind w:left="40"/>
              <w:spacing w:after="0"/>
              <w:rPr>
                <w:sz w:val="20"/>
                <w:szCs w:val="20"/>
                <w:color w:val="auto"/>
              </w:rPr>
            </w:pPr>
            <w:r>
              <w:rPr>
                <w:rFonts w:ascii="Courier New" w:cs="Courier New" w:eastAsia="Courier New" w:hAnsi="Courier New"/>
                <w:sz w:val="12"/>
                <w:szCs w:val="12"/>
                <w:color w:val="auto"/>
                <w:w w:val="96"/>
              </w:rPr>
              <w:t>Convertible debentures series B</w:t>
            </w:r>
          </w:p>
        </w:tc>
        <w:tc>
          <w:tcPr>
            <w:tcW w:w="1720" w:type="dxa"/>
            <w:vAlign w:val="bottom"/>
          </w:tcPr>
          <w:p>
            <w:pPr>
              <w:jc w:val="right"/>
              <w:ind w:right="881"/>
              <w:spacing w:after="0"/>
              <w:rPr>
                <w:sz w:val="20"/>
                <w:szCs w:val="20"/>
                <w:color w:val="auto"/>
              </w:rPr>
            </w:pPr>
            <w:r>
              <w:rPr>
                <w:rFonts w:ascii="Courier New" w:cs="Courier New" w:eastAsia="Courier New" w:hAnsi="Courier New"/>
                <w:sz w:val="12"/>
                <w:szCs w:val="12"/>
                <w:color w:val="auto"/>
              </w:rPr>
              <w:t>5%</w:t>
            </w: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17,321</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2006</w:t>
            </w:r>
          </w:p>
        </w:tc>
        <w:tc>
          <w:tcPr>
            <w:tcW w:w="2220" w:type="dxa"/>
            <w:vAlign w:val="bottom"/>
          </w:tcPr>
          <w:p>
            <w:pPr>
              <w:ind w:left="40"/>
              <w:spacing w:after="0"/>
              <w:rPr>
                <w:sz w:val="20"/>
                <w:szCs w:val="20"/>
                <w:color w:val="auto"/>
              </w:rPr>
            </w:pPr>
            <w:r>
              <w:rPr>
                <w:rFonts w:ascii="Courier New" w:cs="Courier New" w:eastAsia="Courier New" w:hAnsi="Courier New"/>
                <w:sz w:val="12"/>
                <w:szCs w:val="12"/>
                <w:color w:val="auto"/>
                <w:w w:val="96"/>
              </w:rPr>
              <w:t>Convertible debentures series C</w:t>
            </w:r>
          </w:p>
        </w:tc>
        <w:tc>
          <w:tcPr>
            <w:tcW w:w="1720" w:type="dxa"/>
            <w:vAlign w:val="bottom"/>
          </w:tcPr>
          <w:p>
            <w:pPr>
              <w:jc w:val="right"/>
              <w:ind w:right="88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31,592</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68,807</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25,811</w:t>
            </w:r>
          </w:p>
        </w:tc>
      </w:tr>
      <w:tr>
        <w:trPr>
          <w:trHeight w:val="135"/>
        </w:trPr>
        <w:tc>
          <w:tcPr>
            <w:tcW w:w="2520" w:type="dxa"/>
            <w:vAlign w:val="bottom"/>
            <w:gridSpan w:val="2"/>
          </w:tcPr>
          <w:p>
            <w:pPr>
              <w:spacing w:after="0"/>
              <w:rPr>
                <w:sz w:val="20"/>
                <w:szCs w:val="20"/>
                <w:color w:val="auto"/>
              </w:rPr>
            </w:pPr>
            <w:r>
              <w:rPr>
                <w:rFonts w:ascii="Courier New" w:cs="Courier New" w:eastAsia="Courier New" w:hAnsi="Courier New"/>
                <w:sz w:val="12"/>
                <w:szCs w:val="12"/>
                <w:color w:val="auto"/>
              </w:rPr>
              <w:t>Less - current maturities</w:t>
            </w: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6,632</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6,453</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$62,175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$19,358</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w:t>
            </w:r>
          </w:p>
        </w:tc>
      </w:tr>
    </w:tbl>
    <w:p>
      <w:pPr>
        <w:spacing w:after="0" w:line="134" w:lineRule="exact"/>
        <w:rPr>
          <w:sz w:val="20"/>
          <w:szCs w:val="20"/>
          <w:color w:val="auto"/>
        </w:rPr>
      </w:pPr>
    </w:p>
    <w:p>
      <w:pPr>
        <w:ind w:left="1040" w:hanging="345"/>
        <w:spacing w:after="0"/>
        <w:tabs>
          <w:tab w:leader="none" w:pos="1040" w:val="left"/>
        </w:tabs>
        <w:numPr>
          <w:ilvl w:val="1"/>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See D below</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2002 CONVERTIBLE DEBENTURES SERIES A</w:t>
      </w:r>
    </w:p>
    <w:p>
      <w:pPr>
        <w:spacing w:after="0" w:line="138" w:lineRule="exact"/>
        <w:rPr>
          <w:rFonts w:ascii="Courier New" w:cs="Courier New" w:eastAsia="Courier New" w:hAnsi="Courier New"/>
          <w:sz w:val="12"/>
          <w:szCs w:val="12"/>
          <w:color w:val="auto"/>
        </w:rPr>
      </w:pPr>
    </w:p>
    <w:p>
      <w:pPr>
        <w:ind w:left="700" w:right="469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connection with the sale of securities described in Note 12F, in January 2002, the Company issued on the Tel-Aviv Stock Exchange, NIS 110,579,800 principal amount of convertible debentures, linked to the Israeli Consumer Price Index ("CPI"). The debentures were issued at</w:t>
      </w: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96% of their par value, and bear annual interest at the rate of 4.7%, payable in January of each year commencing in January 2003, see also Note 12F. The principal amount is payable in four equal installments in January of each year between 2006 and 2009. The outstanding principal amount of convertible debentures as of December 31, 2006, adjusted to the CPI was NIS 89,708,778, $21,233. The debentures may be converted until December 31, 2008 into Ordinary Shares, at a conversion rate of one Ordinary Share per each NIS 41.00 principal amount of the debentures, linked to the CPI (subject to customary adjustments) (adjusted to the CPI as of December 31, 2006 - NIS 44.35, $10.50). The effective rate of interest on the convertible debentures, taking into account the initial proceeds, net of the discount and the related costs of issuance, is 7.26%.</w:t>
      </w:r>
    </w:p>
    <w:p>
      <w:pPr>
        <w:spacing w:after="0" w:line="265"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U.S. GAAP purposes, which require taking into account, in addition to the discount and the related issuance costs, amounts attributed to the options described in Note 19F, the effective rate of interest on the convertible debentures is 9.88%. Subject to certain conditions and the Company's Facility Agreement, the Company may announce the early redemption of the debentures or part thereof, provided that the sum of the last payment on account of the principal shall be no less than approximately $700.</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CONVERTIBLE DEBENTURES (cont.)</w:t>
      </w:r>
    </w:p>
    <w:p>
      <w:pPr>
        <w:spacing w:after="0" w:line="134" w:lineRule="exact"/>
        <w:rPr>
          <w:sz w:val="20"/>
          <w:szCs w:val="20"/>
          <w:color w:val="auto"/>
        </w:rPr>
      </w:pPr>
    </w:p>
    <w:p>
      <w:pPr>
        <w:ind w:left="700" w:hanging="357"/>
        <w:spacing w:after="0"/>
        <w:tabs>
          <w:tab w:leader="none" w:pos="70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2002 CONVERTIBLE DEBENTURES SERIES A (cont.)</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140" w:lineRule="exact"/>
        <w:rPr>
          <w:rFonts w:ascii="Courier New" w:cs="Courier New" w:eastAsia="Courier New" w:hAnsi="Courier New"/>
          <w:sz w:val="12"/>
          <w:szCs w:val="12"/>
          <w:color w:val="auto"/>
        </w:rPr>
      </w:pPr>
    </w:p>
    <w:p>
      <w:pPr>
        <w:ind w:left="700" w:right="469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debentures and interest thereon are unsecured and rank behind the Company's existing and future secured indebtedness, including indebtedness to the Banks under the Facility Agreement, to the government of Israel in connection with grants the Company received under its approved enterprise programs, and to Siliconix and SanDisk.</w:t>
      </w:r>
    </w:p>
    <w:p>
      <w:pPr>
        <w:spacing w:after="0" w:line="127" w:lineRule="exact"/>
        <w:rPr>
          <w:rFonts w:ascii="Courier New" w:cs="Courier New" w:eastAsia="Courier New" w:hAnsi="Courier New"/>
          <w:sz w:val="12"/>
          <w:szCs w:val="12"/>
          <w:color w:val="auto"/>
        </w:rPr>
      </w:pPr>
    </w:p>
    <w:p>
      <w:pPr>
        <w:ind w:left="700" w:right="51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19F for disclosure of the accounting treatment of the convertible debentures in accordance with U.S. GAAP.</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2005 CONVERTIBLE DEBENTURES SERIES B</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connection with the rights offering described in Note 12I, the Company issued $48,169 principal amount of convertible debentures. The debentures are listed for trade on the Tel-Aviv Stock Exchange and on the NASDAQ Capital Market. The debentures bear annual interest at the rate of 5%. The principal of the debentures, together with accrued interest, will be payable in one installment on January 12, 2012. The effective interest rate on the convertible debentures, taking into account the proceeds and related costs of issuance is 5.6%.</w:t>
      </w:r>
    </w:p>
    <w:p>
      <w:pPr>
        <w:spacing w:after="0" w:line="127"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debentures are convertible into the Company's Ordinary Shares at a conversion price of $1.10 per share. The conversion price was subject to downward adjustment under certain circumstances if the Company had sold securities in future financings at a price per share which was lower than the conversion price, provided that such financings closed, or agreements for such financings were signed, through December 2006. As of the balance sheet date, no such adjustment was or will be required and the downward adjustment mechanism has expired.</w:t>
      </w:r>
    </w:p>
    <w:p>
      <w:pPr>
        <w:spacing w:after="0" w:line="127"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year ended December 31, 2006, $18,408 in aggregate principal amount of debentures was converted into 16,734,316 Ordinary Shares of the Company.</w:t>
      </w:r>
    </w:p>
    <w:p>
      <w:pPr>
        <w:spacing w:after="0" w:line="139"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terms of the Facility Agreement, the Company may, at its option, announce the early redemption of the debentures, provided that the outstanding aggregate balance of principal on account of the debentures is equal to or less than $500.</w:t>
      </w:r>
    </w:p>
    <w:p>
      <w:pPr>
        <w:spacing w:after="0" w:line="140"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Certain of the Company's Equity Investors and Wafer Partners invested $27,811 in the framework of the rights offering.</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- 24</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sectPr>
          <w:pgSz w:w="11900" w:h="16838" w:orient="portrait"/>
          <w:cols w:equalWidth="0" w:num="1">
            <w:col w:w="10239"/>
          </w:cols>
          <w:pgMar w:left="220" w:top="137" w:right="1440" w:bottom="0" w:gutter="0" w:footer="0" w:header="0"/>
        </w:sectPr>
      </w:pPr>
    </w:p>
    <w:bookmarkStart w:id="62" w:name="page63"/>
    <w:bookmarkEnd w:id="62"/>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CONVERTIBLE DEBENTURES (cont.)</w:t>
      </w:r>
    </w:p>
    <w:p>
      <w:pPr>
        <w:spacing w:after="0" w:line="134" w:lineRule="exact"/>
        <w:rPr>
          <w:sz w:val="20"/>
          <w:szCs w:val="20"/>
          <w:color w:val="auto"/>
        </w:rPr>
      </w:pPr>
    </w:p>
    <w:p>
      <w:pPr>
        <w:ind w:left="700" w:hanging="357"/>
        <w:spacing w:after="0"/>
        <w:tabs>
          <w:tab w:leader="none" w:pos="700"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2005 CONVERTIBLE DEBENTURES SERIES B (cont.)</w:t>
      </w:r>
    </w:p>
    <w:p>
      <w:pPr>
        <w:spacing w:after="0" w:line="138" w:lineRule="exact"/>
        <w:rPr>
          <w:rFonts w:ascii="Courier New" w:cs="Courier New" w:eastAsia="Courier New" w:hAnsi="Courier New"/>
          <w:sz w:val="12"/>
          <w:szCs w:val="12"/>
          <w:color w:val="auto"/>
        </w:rPr>
      </w:pPr>
    </w:p>
    <w:p>
      <w:pPr>
        <w:ind w:left="700" w:right="469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debentures and interest thereon are unsecured and rank behind the Company's existing and future secured indebtedness, including indebtedness to the Banks under the Facility Agreement, to the government of Israel in connection with grants the Company received under its approved enterprise programs and to Siliconix and SanDisk.</w:t>
      </w:r>
    </w:p>
    <w:p>
      <w:pPr>
        <w:spacing w:after="0" w:line="127"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on the payment date of the principal and interest on the debentures, there exists an infringement of the covenants and conditions under the Facility Agreement, the date for payment of the interest and principal on the debentures may be postponed, depending on various scenarios under the Facility Agreement until such covenant or condition is settled.</w:t>
      </w:r>
    </w:p>
    <w:p>
      <w:pPr>
        <w:spacing w:after="0" w:line="140"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19F for the accounting for the rights offering in accordance with U.S. GAAP.</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CONVERTIBLE DEBENTURES SERIES C</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connection with the public offering described in Note 12J the Company issued NIS 164,430,000 principal amount of convertible debentures linked to the Israeli Consumer Price Index ("CPI"), for gross proceeds of NIS 139,765,500 (approximately $31,219), and 391,500 options each exercisable for three months ending on September 27, 2006 for NIS 100 principal amount of convertible debentures at an exercise price equal to 85% of their face amount, linked to the CPI. The convertible debentures are convertible into the Company's Ordinary Shares at a conversion rate of one ordinary share per NIS 8.40 (approximately $ 0.00199) principal amount of convertible debentures. The convertible debentures carry a zero coupon with principal payable at maturity in December 2011, at a premium of 37% over principal value, linked to the CPI. The conversion price is subject to reduction in certain limited circumstances.</w:t>
      </w:r>
    </w:p>
    <w:p>
      <w:pPr>
        <w:spacing w:after="0" w:line="264" w:lineRule="exact"/>
        <w:rPr>
          <w:rFonts w:ascii="Courier New" w:cs="Courier New" w:eastAsia="Courier New" w:hAnsi="Courier New"/>
          <w:sz w:val="12"/>
          <w:szCs w:val="12"/>
          <w:color w:val="auto"/>
        </w:rPr>
      </w:pPr>
    </w:p>
    <w:p>
      <w:pPr>
        <w:ind w:left="700" w:right="475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proceeds were allocated in accordance with Standard No. 22 based on relative fair values in the first 2 days of trading. After allocation, each of the components is classified as either equity or liability based on the criteria prescribed in Standard No. 22.</w:t>
      </w:r>
    </w:p>
    <w:p>
      <w:pPr>
        <w:spacing w:after="0" w:line="127" w:lineRule="exact"/>
        <w:rPr>
          <w:rFonts w:ascii="Courier New" w:cs="Courier New" w:eastAsia="Courier New" w:hAnsi="Courier New"/>
          <w:sz w:val="12"/>
          <w:szCs w:val="12"/>
          <w:color w:val="auto"/>
        </w:rPr>
      </w:pPr>
    </w:p>
    <w:p>
      <w:pPr>
        <w:jc w:val="both"/>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September 2006, 391,500 options to purchase convertible debentures described above were exercised resulting in proceeds of approximately $7,700.</w:t>
      </w:r>
    </w:p>
    <w:p>
      <w:pPr>
        <w:spacing w:after="0" w:line="139"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19F for the accounting for the public offering in accordance with U.S. GAAP.</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- 25</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NOTE 10 - OTHER LONG-TERM LIABILITIES</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70"/>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3980" w:type="dxa"/>
            <w:vAlign w:val="bottom"/>
          </w:tcPr>
          <w:p>
            <w:pPr>
              <w:ind w:left="120"/>
              <w:spacing w:after="0"/>
              <w:rPr>
                <w:sz w:val="20"/>
                <w:szCs w:val="20"/>
                <w:color w:val="auto"/>
              </w:rPr>
            </w:pPr>
            <w:r>
              <w:rPr>
                <w:rFonts w:ascii="Courier New" w:cs="Courier New" w:eastAsia="Courier New" w:hAnsi="Courier New"/>
                <w:sz w:val="12"/>
                <w:szCs w:val="12"/>
                <w:color w:val="auto"/>
              </w:rPr>
              <w:t>COMPOSITION:</w:t>
            </w:r>
          </w:p>
        </w:tc>
        <w:tc>
          <w:tcPr>
            <w:tcW w:w="1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405"/>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10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1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2006</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Net liability for employee</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termination benefits (see B below):</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Gross obligation</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$ 16,816</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$ 18,445</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Amounts</w:t>
            </w:r>
          </w:p>
        </w:tc>
        <w:tc>
          <w:tcPr>
            <w:tcW w:w="3980" w:type="dxa"/>
            <w:vAlign w:val="bottom"/>
          </w:tcPr>
          <w:p>
            <w:pPr>
              <w:ind w:left="40"/>
              <w:spacing w:after="0"/>
              <w:rPr>
                <w:sz w:val="20"/>
                <w:szCs w:val="20"/>
                <w:color w:val="auto"/>
              </w:rPr>
            </w:pPr>
            <w:r>
              <w:rPr>
                <w:rFonts w:ascii="Courier New" w:cs="Courier New" w:eastAsia="Courier New" w:hAnsi="Courier New"/>
                <w:sz w:val="12"/>
                <w:szCs w:val="12"/>
                <w:color w:val="auto"/>
              </w:rPr>
              <w:t>funded  through  deposits to severance pay funds and</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purchase of insurance policies</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(13,535)</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(13,658)</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3,281</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4,787</w:t>
            </w:r>
          </w:p>
        </w:tc>
      </w:tr>
      <w:tr>
        <w:trPr>
          <w:trHeight w:val="270"/>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Long-term liabilities in respect of license agreements</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1,804</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5,123</w:t>
            </w: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Long-term loans from related  parties,  net of current</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maturity</w:t>
            </w: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8,096</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1,102</w:t>
            </w: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Series 5 Warrants</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3,088</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Other, including $1,183 in respect of related parties</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1,439</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$ 17,708</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$ 11,012</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TERMINATION BENEFITS</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generally based upon length of service and the employee's monthly salary. This liability is primarily covered by regular deposits made each month by the Company into recognized severance and pension funds and by insurance policies purchased by the Company, based on the employee's salary for the relevant month. The amounts so funded are not reflected separately on the balance sheets, since they are controlled by the fund trustees and insurance companies and are not under the control and management of the Company. For presentation of employee termination benefits in accordance with U.S. GAAP, see Note 19C.</w:t>
      </w:r>
    </w:p>
    <w:p>
      <w:pPr>
        <w:spacing w:after="0" w:line="139" w:lineRule="exact"/>
        <w:rPr>
          <w:rFonts w:ascii="Courier New" w:cs="Courier New" w:eastAsia="Courier New" w:hAnsi="Courier New"/>
          <w:sz w:val="12"/>
          <w:szCs w:val="12"/>
          <w:color w:val="auto"/>
        </w:rPr>
      </w:pPr>
    </w:p>
    <w:p>
      <w:pPr>
        <w:ind w:left="700" w:right="489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Costs relating to employee termination benefits were approximately $2,807, $2,631 and $3,836 for 2006, 2005 and 2004, respectively.</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- 26</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w:t>
      </w:r>
    </w:p>
    <w:p>
      <w:pPr>
        <w:spacing w:after="0" w:line="134" w:lineRule="exact"/>
        <w:rPr>
          <w:sz w:val="20"/>
          <w:szCs w:val="20"/>
          <w:color w:val="auto"/>
        </w:rPr>
      </w:pPr>
    </w:p>
    <w:p>
      <w:pPr>
        <w:ind w:left="700" w:hanging="357"/>
        <w:spacing w:after="0"/>
        <w:tabs>
          <w:tab w:leader="none" w:pos="700"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OVERVIEW</w:t>
      </w:r>
    </w:p>
    <w:p>
      <w:pPr>
        <w:spacing w:after="0" w:line="138" w:lineRule="exact"/>
        <w:rPr>
          <w:rFonts w:ascii="Courier New" w:cs="Courier New" w:eastAsia="Courier New" w:hAnsi="Courier New"/>
          <w:sz w:val="12"/>
          <w:szCs w:val="12"/>
          <w:color w:val="auto"/>
        </w:rPr>
      </w:pPr>
    </w:p>
    <w:p>
      <w:pPr>
        <w:ind w:left="1040" w:right="469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2001, the Company's Board of Directors approved the establishment of the Company's second wafer fabrication facility in Israel ("Fab 2"). In Fab 2, the Company manufactures</w:t>
      </w:r>
    </w:p>
    <w:p>
      <w:pPr>
        <w:sectPr>
          <w:pgSz w:w="11900" w:h="16838" w:orient="portrait"/>
          <w:cols w:equalWidth="0" w:num="1">
            <w:col w:w="10239"/>
          </w:cols>
          <w:pgMar w:left="220" w:top="137" w:right="1440" w:bottom="0" w:gutter="0" w:footer="0" w:header="0"/>
        </w:sectPr>
      </w:pPr>
    </w:p>
    <w:bookmarkStart w:id="63" w:name="page64"/>
    <w:bookmarkEnd w:id="63"/>
    <w:p>
      <w:pPr>
        <w:ind w:left="1040"/>
        <w:spacing w:after="0"/>
        <w:rPr>
          <w:sz w:val="20"/>
          <w:szCs w:val="20"/>
          <w:color w:val="auto"/>
        </w:rPr>
      </w:pPr>
      <w:r>
        <w:rPr>
          <w:rFonts w:ascii="Courier New" w:cs="Courier New" w:eastAsia="Courier New" w:hAnsi="Courier New"/>
          <w:sz w:val="11"/>
          <w:szCs w:val="11"/>
          <w:color w:val="auto"/>
        </w:rPr>
        <w:t>semiconductor integrated circuits on silicon wafers in geometries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of 0.18 micron and below on 200-millimeter wafers. In connection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with the establishment, equipping and financing of Fab 2, the</w:t>
      </w:r>
    </w:p>
    <w:p>
      <w:pPr>
        <w:ind w:left="1040"/>
        <w:spacing w:after="0"/>
        <w:rPr>
          <w:sz w:val="20"/>
          <w:szCs w:val="20"/>
          <w:color w:val="auto"/>
        </w:rPr>
      </w:pPr>
      <w:r>
        <w:rPr>
          <w:rFonts w:ascii="Courier New" w:cs="Courier New" w:eastAsia="Courier New" w:hAnsi="Courier New"/>
          <w:sz w:val="12"/>
          <w:szCs w:val="12"/>
          <w:color w:val="auto"/>
        </w:rPr>
        <w:t>Company has entered into several related agreements and other</w:t>
      </w:r>
    </w:p>
    <w:p>
      <w:pPr>
        <w:ind w:left="1040"/>
        <w:spacing w:after="0" w:line="237" w:lineRule="auto"/>
        <w:rPr>
          <w:sz w:val="20"/>
          <w:szCs w:val="20"/>
          <w:color w:val="auto"/>
        </w:rPr>
      </w:pPr>
      <w:r>
        <w:rPr>
          <w:rFonts w:ascii="Courier New" w:cs="Courier New" w:eastAsia="Courier New" w:hAnsi="Courier New"/>
          <w:sz w:val="12"/>
          <w:szCs w:val="12"/>
          <w:color w:val="auto"/>
        </w:rPr>
        <w:t>arrangements and has completed public and private financing</w:t>
      </w:r>
    </w:p>
    <w:p>
      <w:pPr>
        <w:ind w:left="1040"/>
        <w:spacing w:after="0"/>
        <w:rPr>
          <w:sz w:val="20"/>
          <w:szCs w:val="20"/>
          <w:color w:val="auto"/>
        </w:rPr>
      </w:pPr>
      <w:r>
        <w:rPr>
          <w:rFonts w:ascii="Courier New" w:cs="Courier New" w:eastAsia="Courier New" w:hAnsi="Courier New"/>
          <w:sz w:val="12"/>
          <w:szCs w:val="12"/>
          <w:color w:val="auto"/>
        </w:rPr>
        <w:t>deals. The agreements and arrangements include those with</w:t>
      </w:r>
    </w:p>
    <w:p>
      <w:pPr>
        <w:ind w:left="1040"/>
        <w:spacing w:after="0" w:line="237" w:lineRule="auto"/>
        <w:rPr>
          <w:sz w:val="20"/>
          <w:szCs w:val="20"/>
          <w:color w:val="auto"/>
        </w:rPr>
      </w:pPr>
      <w:r>
        <w:rPr>
          <w:rFonts w:ascii="Courier New" w:cs="Courier New" w:eastAsia="Courier New" w:hAnsi="Courier New"/>
          <w:sz w:val="12"/>
          <w:szCs w:val="12"/>
          <w:color w:val="auto"/>
        </w:rPr>
        <w:t>technology partners, Wafer Partners, Equity Investors, the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Company's Banks, the Government of Israel through the Investment</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Center and others. The agreements with the Banks and the</w:t>
      </w:r>
    </w:p>
    <w:p>
      <w:pPr>
        <w:ind w:left="1040"/>
        <w:spacing w:after="0"/>
        <w:rPr>
          <w:sz w:val="20"/>
          <w:szCs w:val="20"/>
          <w:color w:val="auto"/>
        </w:rPr>
      </w:pPr>
      <w:r>
        <w:rPr>
          <w:rFonts w:ascii="Courier New" w:cs="Courier New" w:eastAsia="Courier New" w:hAnsi="Courier New"/>
          <w:sz w:val="12"/>
          <w:szCs w:val="12"/>
          <w:color w:val="auto"/>
        </w:rPr>
        <w:t>Investment Center are subject to certain conditions, including</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achievement of performance and financing milestones, and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securing of additional required financing. The Company has also</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entered into agreements for the design and construction of Fab 2,</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for equipping Fab 2 and for the transfer to the Company of</w:t>
      </w:r>
    </w:p>
    <w:p>
      <w:pPr>
        <w:ind w:left="1040"/>
        <w:spacing w:after="0"/>
        <w:rPr>
          <w:sz w:val="20"/>
          <w:szCs w:val="20"/>
          <w:color w:val="auto"/>
        </w:rPr>
      </w:pPr>
      <w:r>
        <w:rPr>
          <w:rFonts w:ascii="Courier New" w:cs="Courier New" w:eastAsia="Courier New" w:hAnsi="Courier New"/>
          <w:sz w:val="12"/>
          <w:szCs w:val="12"/>
          <w:color w:val="auto"/>
        </w:rPr>
        <w:t>process technologies to produce wafers in Fab 2.</w:t>
      </w:r>
    </w:p>
    <w:p>
      <w:pPr>
        <w:spacing w:after="0" w:line="133"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During 2003, in which Fab 2's construction was substantially</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completed, the Company began commercial shipment of wafers to its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customers utilizing 0.18 micron process technology.</w:t>
      </w:r>
    </w:p>
    <w:p>
      <w:pPr>
        <w:spacing w:after="0" w:line="139"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construction and equipping of Fab 2 is a substantial project,</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which requires extensive management involvement as well as timely</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coordination of the activities of many participants. In addition,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this project is a complex undertaking which entails substantial</w:t>
      </w:r>
    </w:p>
    <w:p>
      <w:pPr>
        <w:ind w:left="1040"/>
        <w:spacing w:after="0"/>
        <w:rPr>
          <w:sz w:val="20"/>
          <w:szCs w:val="20"/>
          <w:color w:val="auto"/>
        </w:rPr>
      </w:pPr>
      <w:r>
        <w:rPr>
          <w:rFonts w:ascii="Courier New" w:cs="Courier New" w:eastAsia="Courier New" w:hAnsi="Courier New"/>
          <w:sz w:val="12"/>
          <w:szCs w:val="12"/>
          <w:color w:val="auto"/>
        </w:rPr>
        <w:t>risks and uncertainties, including but not limited to those</w:t>
      </w:r>
    </w:p>
    <w:p>
      <w:pPr>
        <w:ind w:left="1040"/>
        <w:spacing w:after="0" w:line="237" w:lineRule="auto"/>
        <w:rPr>
          <w:sz w:val="20"/>
          <w:szCs w:val="20"/>
          <w:color w:val="auto"/>
        </w:rPr>
      </w:pPr>
      <w:r>
        <w:rPr>
          <w:rFonts w:ascii="Courier New" w:cs="Courier New" w:eastAsia="Courier New" w:hAnsi="Courier New"/>
          <w:sz w:val="12"/>
          <w:szCs w:val="12"/>
          <w:color w:val="auto"/>
        </w:rPr>
        <w:t>associated with the following: obtaining additional commitments</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to finance the equipping of Fab 2 and its ongoing operations (see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also Note 1C); achieving certain operational milestones and</w:t>
      </w:r>
    </w:p>
    <w:p>
      <w:pPr>
        <w:ind w:left="1040"/>
        <w:spacing w:after="0"/>
        <w:rPr>
          <w:sz w:val="20"/>
          <w:szCs w:val="20"/>
          <w:color w:val="auto"/>
        </w:rPr>
      </w:pPr>
      <w:r>
        <w:rPr>
          <w:rFonts w:ascii="Courier New" w:cs="Courier New" w:eastAsia="Courier New" w:hAnsi="Courier New"/>
          <w:sz w:val="12"/>
          <w:szCs w:val="12"/>
          <w:color w:val="auto"/>
        </w:rPr>
        <w:t>complying with various significant conditions and financial</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ratios and covenants provided by the Facility Agreement with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Banks; compliance with the conditions under the Approval</w:t>
      </w:r>
    </w:p>
    <w:p>
      <w:pPr>
        <w:ind w:left="1040"/>
        <w:spacing w:after="0"/>
        <w:rPr>
          <w:sz w:val="20"/>
          <w:szCs w:val="20"/>
          <w:color w:val="auto"/>
        </w:rPr>
      </w:pPr>
      <w:r>
        <w:rPr>
          <w:rFonts w:ascii="Courier New" w:cs="Courier New" w:eastAsia="Courier New" w:hAnsi="Courier New"/>
          <w:sz w:val="12"/>
          <w:szCs w:val="12"/>
          <w:color w:val="auto"/>
        </w:rPr>
        <w:t>Certificate for Fab 2 provided by the Investment Center;</w:t>
      </w:r>
    </w:p>
    <w:p>
      <w:pPr>
        <w:ind w:left="1040"/>
        <w:spacing w:after="0" w:line="237" w:lineRule="auto"/>
        <w:rPr>
          <w:sz w:val="20"/>
          <w:szCs w:val="20"/>
          <w:color w:val="auto"/>
        </w:rPr>
      </w:pPr>
      <w:r>
        <w:rPr>
          <w:rFonts w:ascii="Courier New" w:cs="Courier New" w:eastAsia="Courier New" w:hAnsi="Courier New"/>
          <w:sz w:val="12"/>
          <w:szCs w:val="12"/>
          <w:color w:val="auto"/>
        </w:rPr>
        <w:t>obtaining approval of the Investment Center for a new expansion</w:t>
      </w:r>
    </w:p>
    <w:p>
      <w:pPr>
        <w:ind w:left="1040"/>
        <w:spacing w:after="0"/>
        <w:rPr>
          <w:sz w:val="20"/>
          <w:szCs w:val="20"/>
          <w:color w:val="auto"/>
        </w:rPr>
      </w:pPr>
      <w:r>
        <w:rPr>
          <w:rFonts w:ascii="Courier New" w:cs="Courier New" w:eastAsia="Courier New" w:hAnsi="Courier New"/>
          <w:sz w:val="12"/>
          <w:szCs w:val="12"/>
          <w:color w:val="auto"/>
        </w:rPr>
        <w:t>program and the development and purchase of new technologies.</w:t>
      </w:r>
    </w:p>
    <w:p>
      <w:pPr>
        <w:spacing w:after="0" w:line="138"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According to the Facility Agreement with the Banks complying with</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all the conditions and financial ratios and covenants stipulated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in that agreement and in the Approval Certificate from the</w:t>
      </w:r>
    </w:p>
    <w:p>
      <w:pPr>
        <w:ind w:left="1040"/>
        <w:spacing w:after="0"/>
        <w:rPr>
          <w:sz w:val="20"/>
          <w:szCs w:val="20"/>
          <w:color w:val="auto"/>
        </w:rPr>
      </w:pPr>
      <w:r>
        <w:rPr>
          <w:rFonts w:ascii="Courier New" w:cs="Courier New" w:eastAsia="Courier New" w:hAnsi="Courier New"/>
          <w:sz w:val="12"/>
          <w:szCs w:val="12"/>
          <w:color w:val="auto"/>
        </w:rPr>
        <w:t>Investment Center, are material provisions for the financing</w:t>
      </w:r>
    </w:p>
    <w:p>
      <w:pPr>
        <w:ind w:left="1040"/>
        <w:spacing w:after="0" w:line="237" w:lineRule="auto"/>
        <w:rPr>
          <w:sz w:val="20"/>
          <w:szCs w:val="20"/>
          <w:color w:val="auto"/>
        </w:rPr>
      </w:pPr>
      <w:r>
        <w:rPr>
          <w:rFonts w:ascii="Courier New" w:cs="Courier New" w:eastAsia="Courier New" w:hAnsi="Courier New"/>
          <w:sz w:val="12"/>
          <w:szCs w:val="12"/>
          <w:color w:val="auto"/>
        </w:rPr>
        <w:t>provided.</w:t>
      </w:r>
    </w:p>
    <w:p>
      <w:pPr>
        <w:spacing w:after="0" w:line="200" w:lineRule="exact"/>
        <w:rPr>
          <w:sz w:val="20"/>
          <w:szCs w:val="20"/>
          <w:color w:val="auto"/>
        </w:rPr>
      </w:pPr>
    </w:p>
    <w:p>
      <w:pPr>
        <w:spacing w:after="0" w:line="20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TECHNOLOGY TRANSFER AGREEMENTS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TOSHIBA - In 2000, the Company entered into a technology transfer agreement with Toshiba Corporation ("Toshiba"), a Japanese corporation. This agreement provided for the transfer by Toshiba to the Company of advanced semiconductor manufacturing process technologies to be installed in Fab 2 including related technology transfer assistance in exchange for certain fees for patent licenses, technology transfer and technical assistance. The transfer of the technology was substantially completed during 2003. The Company's commitment under the Toshiba agreement to reserve for Toshiba a certain portion of Fab 2 wafer manufacturing capacity expired in December 2005.</w:t>
      </w:r>
    </w:p>
    <w:p>
      <w:pPr>
        <w:spacing w:after="0" w:line="130"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FREESCALE - In 2002, the Company entered into a non-exclusive technology transfer, development and licensing agreement with Freescale. This agreement provides for the transfer by Freescale to the Company of existing and newly developed versions of advanced semiconductor manufacturing process technologies to be installed in Fab 2, and for the provision by Freescale of related technology transfer assistance, in exchange for certain fees for patent and other licenses, technology transfer and development, and technical assistance. Subject to prior termination for cause by Freescale, the licenses under the agreement are perpetual.</w:t>
      </w:r>
    </w:p>
    <w:p>
      <w:pPr>
        <w:spacing w:after="0" w:line="126"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WAFER PARTNER AGREEMENTS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2000, the Company entered into various share purchase agreements ("Wafer Partner Agreements") with SanDisk Corporation, Alliance Semiconductor Corporation, Macronix International Co., Ltd. and QuickLogic Corporation (collectively, the "Wafer Partners"; excluding QuickLogic, the "primary Wafer Partners") to partially finance the construction and equipping of Fab 2. Pursuant to the Wafer Partner Agreements, the Wafer Partners agreed to invest an aggregate of $250,000 to purchase Ordinary Shares of the Company. According to the Wafer Partner Agreements, the Company agreed, subject to certain conditions, to reserve for each Wafer Partner a certain portion, and collectively approximately 50%, of Fab 2 wafer manufacturing capacity for a period of 10 years ending January 2011.</w:t>
      </w:r>
    </w:p>
    <w:p>
      <w:pPr>
        <w:spacing w:after="0" w:line="200" w:lineRule="exact"/>
        <w:rPr>
          <w:sz w:val="20"/>
          <w:szCs w:val="20"/>
          <w:color w:val="auto"/>
        </w:rPr>
      </w:pPr>
    </w:p>
    <w:p>
      <w:pPr>
        <w:spacing w:after="0" w:line="33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- 28</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WAFER PARTNER AGREEMENTS (cont.)</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December 31, 2004, the Wafer Partners completed their commitment to invest under the Wafer Partner Agreements an aggregate of $246,823. Of such amount, $201,059, was credited as paid in capital and $45,764, was established as long-term customers' advances which may be, subject to the terms and conditions stipulated in the Wafer Partner Agreements, as amended, utilized as credit against purchases to be made by the Wafer Partners, or converted into paid-in-capital. Through December 31, 2006, the Wafer Partners were issued an aggregate of 32,589,280 Ordinary Shares at an average price per share of $7.57, which was determined based on the average closing sale</w:t>
      </w:r>
    </w:p>
    <w:p>
      <w:pPr>
        <w:sectPr>
          <w:pgSz w:w="11900" w:h="16838" w:orient="portrait"/>
          <w:cols w:equalWidth="0" w:num="1">
            <w:col w:w="10239"/>
          </w:cols>
          <w:pgMar w:left="220" w:top="141" w:right="1440" w:bottom="0" w:gutter="0" w:footer="0" w:header="0"/>
        </w:sectPr>
      </w:pPr>
    </w:p>
    <w:bookmarkStart w:id="64" w:name="page65"/>
    <w:bookmarkEnd w:id="64"/>
    <w:p>
      <w:pPr>
        <w:ind w:left="1040"/>
        <w:spacing w:after="0"/>
        <w:rPr>
          <w:sz w:val="20"/>
          <w:szCs w:val="20"/>
          <w:color w:val="auto"/>
        </w:rPr>
      </w:pPr>
      <w:r>
        <w:rPr>
          <w:rFonts w:ascii="Courier New" w:cs="Courier New" w:eastAsia="Courier New" w:hAnsi="Courier New"/>
          <w:sz w:val="11"/>
          <w:szCs w:val="11"/>
          <w:color w:val="auto"/>
        </w:rPr>
        <w:t>price of the Company's Ordinary Shares for the 15-30 trading days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prior to making any capital investment: see also (5) below.</w:t>
      </w:r>
    </w:p>
    <w:p>
      <w:pPr>
        <w:spacing w:after="0" w:line="139"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For additional investments made by the primary Wafer Partners in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aggregate amount of $19,089 in connection with the 2002 and</w:t>
      </w:r>
    </w:p>
    <w:p>
      <w:pPr>
        <w:ind w:left="1040"/>
        <w:spacing w:after="0"/>
        <w:rPr>
          <w:sz w:val="20"/>
          <w:szCs w:val="20"/>
          <w:color w:val="auto"/>
        </w:rPr>
      </w:pPr>
      <w:r>
        <w:rPr>
          <w:rFonts w:ascii="Courier New" w:cs="Courier New" w:eastAsia="Courier New" w:hAnsi="Courier New"/>
          <w:sz w:val="12"/>
          <w:szCs w:val="12"/>
          <w:color w:val="auto"/>
        </w:rPr>
        <w:t>2005 rights offerings, see Notes 12G and 12I, respectively, and</w:t>
      </w:r>
    </w:p>
    <w:p>
      <w:pPr>
        <w:ind w:left="1320" w:hanging="274"/>
        <w:spacing w:after="0" w:line="237" w:lineRule="auto"/>
        <w:tabs>
          <w:tab w:leader="none" w:pos="1320" w:val="left"/>
        </w:tabs>
        <w:numPr>
          <w:ilvl w:val="1"/>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below.</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EQUITY INVESTOR AGREEMENTS</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TIC, the principal shareholder of the Company, invested in the Company, $50,000 for the purchase of an aggregate of 6,749,669 Ordinary Shares of the Company at an average price per share of $7.41, which was determined based on the average closing sale price of the Company's Ordinary Shares for the 15-30 trading days prior to making any investment. The investment of TIC was made in accordance with share purchase agreement the Company entered into in December 2000.</w:t>
      </w:r>
    </w:p>
    <w:p>
      <w:pPr>
        <w:spacing w:after="0" w:line="142" w:lineRule="exact"/>
        <w:rPr>
          <w:rFonts w:ascii="Courier New" w:cs="Courier New" w:eastAsia="Courier New" w:hAnsi="Courier New"/>
          <w:sz w:val="12"/>
          <w:szCs w:val="12"/>
          <w:color w:val="auto"/>
        </w:rPr>
      </w:pPr>
    </w:p>
    <w:p>
      <w:pPr>
        <w:ind w:left="104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a description of an undertaking and additional investments made by TIC in the aggregate amount of $29,152 in connection with the 2002 and 2005 rights offerings, see Notes 12G and 12I, respectively, and (6) below.</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EQUITY INVESTOR AGREEMENTS (cont.)</w:t>
      </w:r>
    </w:p>
    <w:p>
      <w:pPr>
        <w:spacing w:after="0" w:line="138" w:lineRule="exact"/>
        <w:rPr>
          <w:rFonts w:ascii="Courier New" w:cs="Courier New" w:eastAsia="Courier New" w:hAnsi="Courier New"/>
          <w:sz w:val="12"/>
          <w:szCs w:val="12"/>
          <w:color w:val="auto"/>
        </w:rPr>
      </w:pPr>
    </w:p>
    <w:p>
      <w:pPr>
        <w:ind w:left="104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regard to the Company's financing efforts for the ramp-up plan and in connection with the September 2006 amendment to the Facility Agreement, following TIC's commitment to invest $100,000, the Company entered into a securities purchase agreement with TIC (the "Securities Purchase Agreement"). The Securities Purchase Agreement was approved by the Company's Audit Committee, Board of Directors and the Company's shareholders. The principal terms of the Securities Purchase Agreement were: (i) in consideration for its $100,000 investment, the Company agreed to issue to TIC capital notes convertible into 65,789,474 of the Company's Ordinary Shares at a conversion price per share of $1.52 (which equals the average closing price during the 10 consecutive trading days prior to signing the May 2006 Memorandum of Understanding with the banks); (ii) the Company would be deemed to have exercised the Call Option under the Equipment Purchase Agreement described below; and (iii) the Company and TIC would settle the amounts payable by TIC under the Securities Purchase Agreement with the amounts payable by the Company under the Equipment Purchase Agreement. The Securities Purchase Agreement closed contemporaneously with the closing of the September 2006 amendment.</w:t>
      </w:r>
    </w:p>
    <w:p>
      <w:pPr>
        <w:spacing w:after="0" w:line="200" w:lineRule="exact"/>
        <w:rPr>
          <w:rFonts w:ascii="Courier New" w:cs="Courier New" w:eastAsia="Courier New" w:hAnsi="Courier New"/>
          <w:sz w:val="12"/>
          <w:szCs w:val="12"/>
          <w:color w:val="auto"/>
        </w:rPr>
      </w:pPr>
    </w:p>
    <w:p>
      <w:pPr>
        <w:spacing w:after="0" w:line="207"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order to implement the ramp-up plan in a timely manner, in May 2006, the Company entered into an Equipment Purchase Agreement with TIC according to which TIC will order up to approximately $100,000 worth of equipment for Fab 2. Under the terms of the Equipment Purchase Agreement: (i) TIC had the right to sell to the Company the equipment at cost, plus related expenses; (ii) the Company had the right to purchase the equipment from TIC at cost, plus related expenses, subject to the Company having raised $100,000; and (iii) upon the purchase of the equipment from TIC the Company would assume TIC's obligations to the equipment suppliers.</w:t>
      </w:r>
    </w:p>
    <w:p>
      <w:pPr>
        <w:spacing w:after="0" w:line="144" w:lineRule="exact"/>
        <w:rPr>
          <w:rFonts w:ascii="Courier New" w:cs="Courier New" w:eastAsia="Courier New" w:hAnsi="Courier New"/>
          <w:sz w:val="12"/>
          <w:szCs w:val="12"/>
          <w:color w:val="auto"/>
        </w:rPr>
      </w:pPr>
    </w:p>
    <w:p>
      <w:pPr>
        <w:ind w:left="104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the closing of the September 2006 amendment and the Securities Purchase Agreement, TIC transferred ownership over the purchased equipment to the Company and the Company assumed TIC's obligations to the equipment suppliers.</w:t>
      </w:r>
    </w:p>
    <w:p>
      <w:pPr>
        <w:spacing w:after="0" w:line="140" w:lineRule="exact"/>
        <w:rPr>
          <w:rFonts w:ascii="Courier New" w:cs="Courier New" w:eastAsia="Courier New" w:hAnsi="Courier New"/>
          <w:sz w:val="12"/>
          <w:szCs w:val="12"/>
          <w:color w:val="auto"/>
        </w:rPr>
      </w:pPr>
    </w:p>
    <w:p>
      <w:pPr>
        <w:ind w:left="1040" w:right="5039" w:hanging="345"/>
        <w:spacing w:after="0" w:line="235" w:lineRule="auto"/>
        <w:tabs>
          <w:tab w:leader="none" w:pos="1040" w:val="left"/>
        </w:tabs>
        <w:numPr>
          <w:ilvl w:val="1"/>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THE PRIMARY WAFER PARTNER AND EQUITY INVESTOR AGREEMENTS</w:t>
      </w:r>
    </w:p>
    <w:p>
      <w:pPr>
        <w:spacing w:after="0" w:line="139"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Pursuant to the primary Wafer Partner Agreements, as amended, the primary Wafer Partners had an option to convert an aggregate of up to $7,507 of the unutilized long-term customers' advances, which they had as of December 31, 2005, into fully-paid Ordinary Shares of the Company. In 2006, one of the primary Wafer Partners converted $3,880 of its advances into paid-in equity entitling it to 2,455,905 Ordinary Shares of the Company. The number of shares was determined based on $1.58 per share, which was the average closing sale price of the Company's Ordinary Shares for the 15 trading days prior to December 31, 2005.</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- 30</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40" w:right="5039" w:hanging="345"/>
        <w:spacing w:after="0" w:line="235" w:lineRule="auto"/>
        <w:tabs>
          <w:tab w:leader="none" w:pos="1040" w:val="left"/>
        </w:tabs>
        <w:numPr>
          <w:ilvl w:val="1"/>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THE PRIMARY WAFER PARTNER AND EQUITY INVESTOR AGREEMENTS (cont.)</w:t>
      </w:r>
    </w:p>
    <w:p>
      <w:pPr>
        <w:spacing w:after="0" w:line="139"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Pursuant to the primary Wafer Partner Agreements, as amended, each of the primary Wafer Partners has an option to convert, at the end of each calendar quarter commencing 2004, that portion of the long-term customers' advances which it is entitled to utilize, based upon payments made by such primary Wafer Partner and purchase orders received from the Wafer Partners through December 31, 2006, (subject to the below amendment with one of the Wafer Partners), into fully-paid Ordinary Shares of the Company. The number of shares is to be determined based on the average closing sale price of the Company's Ordinary Shares for the 15 trading days preceding the end of the relevant quarter. Accordingly, through December 31, 2006, two of the primary Wafer Partners had converted an aggregate of $6,073 of long-term customer advances into 4,007,663 fully-paid Ordinary Shares of the Company, at an average share price of $1.52 per share.</w:t>
      </w:r>
    </w:p>
    <w:p>
      <w:pPr>
        <w:sectPr>
          <w:pgSz w:w="11900" w:h="16838" w:orient="portrait"/>
          <w:cols w:equalWidth="0" w:num="1">
            <w:col w:w="10239"/>
          </w:cols>
          <w:pgMar w:left="220" w:top="141" w:right="1440" w:bottom="0" w:gutter="0" w:footer="0" w:header="0"/>
        </w:sectPr>
      </w:pPr>
    </w:p>
    <w:bookmarkStart w:id="65" w:name="page66"/>
    <w:bookmarkEnd w:id="65"/>
    <w:p>
      <w:pPr>
        <w:ind w:left="1040"/>
        <w:spacing w:after="0"/>
        <w:rPr>
          <w:sz w:val="20"/>
          <w:szCs w:val="20"/>
          <w:color w:val="auto"/>
        </w:rPr>
      </w:pPr>
      <w:r>
        <w:rPr>
          <w:rFonts w:ascii="Courier New" w:cs="Courier New" w:eastAsia="Courier New" w:hAnsi="Courier New"/>
          <w:sz w:val="12"/>
          <w:szCs w:val="12"/>
          <w:color w:val="auto"/>
        </w:rPr>
        <w:t>Any quarterly amount, which the primary Wafer Partners have</w:t>
      </w:r>
    </w:p>
    <w:p>
      <w:pPr>
        <w:ind w:left="1040"/>
        <w:spacing w:after="0"/>
        <w:rPr>
          <w:sz w:val="20"/>
          <w:szCs w:val="20"/>
          <w:color w:val="auto"/>
        </w:rPr>
      </w:pPr>
      <w:r>
        <w:rPr>
          <w:rFonts w:ascii="Courier New" w:cs="Courier New" w:eastAsia="Courier New" w:hAnsi="Courier New"/>
          <w:sz w:val="12"/>
          <w:szCs w:val="12"/>
          <w:color w:val="auto"/>
        </w:rPr>
        <w:t>elected not to so convert, will not be utilizable against</w:t>
      </w:r>
    </w:p>
    <w:p>
      <w:pPr>
        <w:ind w:left="1040"/>
        <w:spacing w:after="0" w:line="237" w:lineRule="auto"/>
        <w:rPr>
          <w:sz w:val="20"/>
          <w:szCs w:val="20"/>
          <w:color w:val="auto"/>
        </w:rPr>
      </w:pPr>
      <w:r>
        <w:rPr>
          <w:rFonts w:ascii="Courier New" w:cs="Courier New" w:eastAsia="Courier New" w:hAnsi="Courier New"/>
          <w:sz w:val="12"/>
          <w:szCs w:val="12"/>
          <w:color w:val="auto"/>
        </w:rPr>
        <w:t>purchases made subsequent to that quarter, and shall bear</w:t>
      </w:r>
    </w:p>
    <w:p>
      <w:pPr>
        <w:ind w:left="1040"/>
        <w:spacing w:after="0"/>
        <w:rPr>
          <w:sz w:val="20"/>
          <w:szCs w:val="20"/>
          <w:color w:val="auto"/>
        </w:rPr>
      </w:pPr>
      <w:r>
        <w:rPr>
          <w:rFonts w:ascii="Courier New" w:cs="Courier New" w:eastAsia="Courier New" w:hAnsi="Courier New"/>
          <w:sz w:val="12"/>
          <w:szCs w:val="12"/>
          <w:color w:val="auto"/>
        </w:rPr>
        <w:t>interest, payable at the end of each quarter, at an annual rate</w:t>
      </w:r>
    </w:p>
    <w:p>
      <w:pPr>
        <w:ind w:left="1040"/>
        <w:spacing w:after="0" w:line="237" w:lineRule="auto"/>
        <w:rPr>
          <w:sz w:val="20"/>
          <w:szCs w:val="20"/>
          <w:color w:val="auto"/>
        </w:rPr>
      </w:pPr>
      <w:r>
        <w:rPr>
          <w:rFonts w:ascii="Courier New" w:cs="Courier New" w:eastAsia="Courier New" w:hAnsi="Courier New"/>
          <w:sz w:val="12"/>
          <w:szCs w:val="12"/>
          <w:color w:val="auto"/>
        </w:rPr>
        <w:t>equal to three-month LIBOR plus 2.5% through December 31, 2007,</w:t>
      </w:r>
    </w:p>
    <w:p>
      <w:pPr>
        <w:ind w:left="1040"/>
        <w:spacing w:after="0"/>
        <w:rPr>
          <w:sz w:val="20"/>
          <w:szCs w:val="20"/>
          <w:color w:val="auto"/>
        </w:rPr>
      </w:pPr>
      <w:r>
        <w:rPr>
          <w:rFonts w:ascii="Courier New" w:cs="Courier New" w:eastAsia="Courier New" w:hAnsi="Courier New"/>
          <w:sz w:val="12"/>
          <w:szCs w:val="12"/>
          <w:color w:val="auto"/>
        </w:rPr>
        <w:t>subject to the below amendment with one of the Wafer Partners.</w:t>
      </w:r>
    </w:p>
    <w:p>
      <w:pPr>
        <w:ind w:left="1040"/>
        <w:spacing w:after="0" w:line="237" w:lineRule="auto"/>
        <w:rPr>
          <w:sz w:val="20"/>
          <w:szCs w:val="20"/>
          <w:color w:val="auto"/>
        </w:rPr>
      </w:pPr>
      <w:r>
        <w:rPr>
          <w:rFonts w:ascii="Courier New" w:cs="Courier New" w:eastAsia="Courier New" w:hAnsi="Courier New"/>
          <w:sz w:val="12"/>
          <w:szCs w:val="12"/>
          <w:color w:val="auto"/>
        </w:rPr>
        <w:t>The aggregate principal of the unconverted long-term customers'</w:t>
      </w:r>
    </w:p>
    <w:p>
      <w:pPr>
        <w:ind w:left="1040"/>
        <w:spacing w:after="0"/>
        <w:rPr>
          <w:sz w:val="20"/>
          <w:szCs w:val="20"/>
          <w:color w:val="auto"/>
        </w:rPr>
      </w:pPr>
      <w:r>
        <w:rPr>
          <w:rFonts w:ascii="Courier New" w:cs="Courier New" w:eastAsia="Courier New" w:hAnsi="Courier New"/>
          <w:sz w:val="12"/>
          <w:szCs w:val="12"/>
          <w:color w:val="auto"/>
        </w:rPr>
        <w:t>advances, which could have been utilized against purchases and</w:t>
      </w:r>
    </w:p>
    <w:p>
      <w:pPr>
        <w:ind w:left="1040"/>
        <w:spacing w:after="0" w:line="237" w:lineRule="auto"/>
        <w:rPr>
          <w:sz w:val="20"/>
          <w:szCs w:val="20"/>
          <w:color w:val="auto"/>
        </w:rPr>
      </w:pPr>
      <w:r>
        <w:rPr>
          <w:rFonts w:ascii="Courier New" w:cs="Courier New" w:eastAsia="Courier New" w:hAnsi="Courier New"/>
          <w:sz w:val="12"/>
          <w:szCs w:val="12"/>
          <w:color w:val="auto"/>
        </w:rPr>
        <w:t>which the primary Wafer Partners elected not to convert into</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fully-paid Ordinary Shares of the Company and shall be repaid 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December 31, 2007, is $1,691. Other than as described above in</w:t>
      </w:r>
    </w:p>
    <w:p>
      <w:pPr>
        <w:ind w:left="1040"/>
        <w:spacing w:after="0"/>
        <w:rPr>
          <w:sz w:val="20"/>
          <w:szCs w:val="20"/>
          <w:color w:val="auto"/>
        </w:rPr>
      </w:pPr>
      <w:r>
        <w:rPr>
          <w:rFonts w:ascii="Courier New" w:cs="Courier New" w:eastAsia="Courier New" w:hAnsi="Courier New"/>
          <w:sz w:val="12"/>
          <w:szCs w:val="12"/>
          <w:color w:val="auto"/>
        </w:rPr>
        <w:t>this paragraph and the preceding paragraph, each of the primary</w:t>
      </w:r>
    </w:p>
    <w:p>
      <w:pPr>
        <w:ind w:left="1040"/>
        <w:spacing w:after="0" w:line="237" w:lineRule="auto"/>
        <w:rPr>
          <w:sz w:val="20"/>
          <w:szCs w:val="20"/>
          <w:color w:val="auto"/>
        </w:rPr>
      </w:pPr>
      <w:r>
        <w:rPr>
          <w:rFonts w:ascii="Courier New" w:cs="Courier New" w:eastAsia="Courier New" w:hAnsi="Courier New"/>
          <w:sz w:val="12"/>
          <w:szCs w:val="12"/>
          <w:color w:val="auto"/>
        </w:rPr>
        <w:t>Wafer Partners agreed that long-term customer's advances could</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not be utilized before December 31, 2006. Following December 31,</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2006, the remaining long-term customer advances may be utilized</w:t>
      </w:r>
    </w:p>
    <w:p>
      <w:pPr>
        <w:ind w:left="1040"/>
        <w:spacing w:after="0"/>
        <w:rPr>
          <w:sz w:val="20"/>
          <w:szCs w:val="20"/>
          <w:color w:val="auto"/>
        </w:rPr>
      </w:pPr>
      <w:r>
        <w:rPr>
          <w:rFonts w:ascii="Courier New" w:cs="Courier New" w:eastAsia="Courier New" w:hAnsi="Courier New"/>
          <w:sz w:val="12"/>
          <w:szCs w:val="12"/>
          <w:color w:val="auto"/>
        </w:rPr>
        <w:t>as credits against new purchase orders to be placed.</w:t>
      </w:r>
    </w:p>
    <w:p>
      <w:pPr>
        <w:spacing w:after="0" w:line="133"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In 2006, the Company and one of the primary Wafer Partners,</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entered into an agreement to extend the period in which long-term</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customer's advances could not be utilized against purchases, to</w:t>
      </w:r>
    </w:p>
    <w:p>
      <w:pPr>
        <w:ind w:left="1040"/>
        <w:spacing w:after="0"/>
        <w:rPr>
          <w:sz w:val="20"/>
          <w:szCs w:val="20"/>
          <w:color w:val="auto"/>
        </w:rPr>
      </w:pPr>
      <w:r>
        <w:rPr>
          <w:rFonts w:ascii="Courier New" w:cs="Courier New" w:eastAsia="Courier New" w:hAnsi="Courier New"/>
          <w:sz w:val="12"/>
          <w:szCs w:val="12"/>
          <w:color w:val="auto"/>
        </w:rPr>
        <w:t>December 31, 2009. According to the agreement, with respect to</w:t>
      </w:r>
    </w:p>
    <w:p>
      <w:pPr>
        <w:ind w:left="1040"/>
        <w:spacing w:after="0" w:line="237" w:lineRule="auto"/>
        <w:rPr>
          <w:sz w:val="20"/>
          <w:szCs w:val="20"/>
          <w:color w:val="auto"/>
        </w:rPr>
      </w:pPr>
      <w:r>
        <w:rPr>
          <w:rFonts w:ascii="Courier New" w:cs="Courier New" w:eastAsia="Courier New" w:hAnsi="Courier New"/>
          <w:sz w:val="12"/>
          <w:szCs w:val="12"/>
          <w:color w:val="auto"/>
        </w:rPr>
        <w:t>certain orders placed until July 2006, and all orders placed</w:t>
      </w:r>
    </w:p>
    <w:p>
      <w:pPr>
        <w:ind w:left="1040"/>
        <w:spacing w:after="0"/>
        <w:rPr>
          <w:sz w:val="20"/>
          <w:szCs w:val="20"/>
          <w:color w:val="auto"/>
        </w:rPr>
      </w:pPr>
      <w:r>
        <w:rPr>
          <w:rFonts w:ascii="Courier New" w:cs="Courier New" w:eastAsia="Courier New" w:hAnsi="Courier New"/>
          <w:sz w:val="12"/>
          <w:szCs w:val="12"/>
          <w:color w:val="auto"/>
        </w:rPr>
        <w:t>thereafter through December 2009, such unutilized advances will</w:t>
      </w:r>
    </w:p>
    <w:p>
      <w:pPr>
        <w:ind w:left="1040"/>
        <w:spacing w:after="0" w:line="237" w:lineRule="auto"/>
        <w:rPr>
          <w:sz w:val="20"/>
          <w:szCs w:val="20"/>
          <w:color w:val="auto"/>
        </w:rPr>
      </w:pPr>
      <w:r>
        <w:rPr>
          <w:rFonts w:ascii="Courier New" w:cs="Courier New" w:eastAsia="Courier New" w:hAnsi="Courier New"/>
          <w:sz w:val="12"/>
          <w:szCs w:val="12"/>
          <w:color w:val="auto"/>
        </w:rPr>
        <w:t>bear interest at an annual rate equal to three-month LIBOR plus</w:t>
      </w:r>
    </w:p>
    <w:p>
      <w:pPr>
        <w:ind w:left="1040"/>
        <w:spacing w:after="0"/>
        <w:rPr>
          <w:sz w:val="20"/>
          <w:szCs w:val="20"/>
          <w:color w:val="auto"/>
        </w:rPr>
      </w:pPr>
      <w:r>
        <w:rPr>
          <w:rFonts w:ascii="Courier New" w:cs="Courier New" w:eastAsia="Courier New" w:hAnsi="Courier New"/>
          <w:sz w:val="12"/>
          <w:szCs w:val="12"/>
          <w:color w:val="auto"/>
        </w:rPr>
        <w:t>1.1%, payable at the end of each quarter, through December 31,</w:t>
      </w:r>
    </w:p>
    <w:p>
      <w:pPr>
        <w:ind w:left="1040"/>
        <w:spacing w:after="0" w:line="237" w:lineRule="auto"/>
        <w:rPr>
          <w:sz w:val="20"/>
          <w:szCs w:val="20"/>
          <w:color w:val="auto"/>
        </w:rPr>
      </w:pPr>
      <w:r>
        <w:rPr>
          <w:rFonts w:ascii="Courier New" w:cs="Courier New" w:eastAsia="Courier New" w:hAnsi="Courier New"/>
          <w:sz w:val="12"/>
          <w:szCs w:val="12"/>
          <w:color w:val="auto"/>
        </w:rPr>
        <w:t>2009. As of the balance sheet date an amount of $2,234 will be</w:t>
      </w:r>
    </w:p>
    <w:p>
      <w:pPr>
        <w:ind w:left="1040"/>
        <w:spacing w:after="0"/>
        <w:rPr>
          <w:sz w:val="20"/>
          <w:szCs w:val="20"/>
          <w:color w:val="auto"/>
        </w:rPr>
      </w:pPr>
      <w:r>
        <w:rPr>
          <w:rFonts w:ascii="Courier New" w:cs="Courier New" w:eastAsia="Courier New" w:hAnsi="Courier New"/>
          <w:sz w:val="12"/>
          <w:szCs w:val="12"/>
          <w:color w:val="auto"/>
        </w:rPr>
        <w:t>repaid on December 31, 2009.</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- 31</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OVERVIEW - In January 2001, the Company entered into a Facility Agreement with two leading Israeli banks ("Banks") entitling the Company to borrow an aggregate, as amended in January 2002, of $500,000 to finance the construction and equipping of Fab 2 ("Facility Agreement"). Of that amount, the Company withdrew an aggregate of $497,000. Under the original terms of the Facility Agreement the loans bore interest at a rate of LIBOR plus 1.55% per annum payable at the end of each quarter. The loans were originally to be paid in 12 quarterly installments 3 years from date of each loan drawn down. The loans were subject to certain prepayment provisions. Unused amounts under the Facility Agreement were subject to a quarterly commitment fee of 0.25% per annum.</w:t>
      </w:r>
    </w:p>
    <w:p>
      <w:pPr>
        <w:spacing w:after="0" w:line="139"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NOVEMBER 2003 AMENDMENT - In November 2003, the Company and its Banks entered into an amendment to the Facility Agreement. The amendment was based, among other things, on an updated plan for the construction and equipping Fab 2 submitted to the Banks, and was approved by the Company's shareholders' meeting held in December 2003. Pursuant to the amendment, the Banks waived all noncompliance or breach of covenants by the Company prior to the date of amendment. The amendment further revised and updated the covenants under the Facility Agreement according to which the Company was obligated to comply with certain operational and financial ratios. The interest rate of LIBOR plus 1.55% per annum payable at the end of each quarter was increased to a rate of LIBOR plus 2.5% per annum payable at the end of each quarter. According to the amendment, the Company was to raise from specified financial sources an aggregate of $152,000 through December 2005.</w:t>
      </w:r>
    </w:p>
    <w:p>
      <w:pPr>
        <w:spacing w:after="0" w:line="139"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JANUARY 2005 AMENDMENT - In January 2005, the Company and its Banks signed a waiver letter agreement according to which the Banks waived the Company's non-compliance with certain financial ratios and covenants for the fourth quarter of 2004. The agreement also amended certain of the financial ratios and covenants with which the Company was to comply with during 2005, and which were further revised in the framework of the July 2005 amendment to the Facility Agreement described below.</w:t>
      </w:r>
    </w:p>
    <w:p>
      <w:pPr>
        <w:spacing w:after="0" w:line="142"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JULY 2005 AMENDMENT - In July 2005, the Company and its Banks entered into a definitive amendment to the Facility Agreement, which closed in August 2005. The amendment provided, among other things, for the Banks to provide additional financing of up to approximately $30,000, subject to the Company raising through the issuance of shares or convertible debentures $23,500 by October 31, 2005 (which was subsequently extended to December 31, 2005) and an additional $6,500 by March 31, 2006. In connection with the amendment, certain of the Company's Equity Investors and Wafer Partners committed to invest an aggregate of $23,500 towards such funding in the context of a rights offering.</w:t>
      </w:r>
    </w:p>
    <w:p>
      <w:pPr>
        <w:spacing w:after="0" w:line="26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- 32</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40" w:right="7299" w:hanging="345"/>
        <w:spacing w:after="0" w:line="520" w:lineRule="auto"/>
        <w:tabs>
          <w:tab w:leader="none" w:pos="1040" w:val="left"/>
        </w:tabs>
        <w:numPr>
          <w:ilvl w:val="1"/>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FACILITY AGREEMENT (cont.) JULY 2005 AMENDMENT (CONT.)</w:t>
      </w:r>
    </w:p>
    <w:p>
      <w:pPr>
        <w:ind w:left="1040" w:right="46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July 2005 amendment further provided that: (i) any amounts raised in equity or in convertible debentures through March 31, 2006, up to $30,000, would not constitute financing from other sources towards the $152,000 fundraising milestone; (ii) the last date in which the Company was to comply with the $152,000 fundraising milestone was postponed from December 31, 2005 to June 30, 2006; and (iii) certain of the financial ratios and covenants through the third quarter of 2006 were revised.</w:t>
      </w:r>
    </w:p>
    <w:p>
      <w:pPr>
        <w:spacing w:after="0" w:line="142" w:lineRule="exact"/>
        <w:rPr>
          <w:rFonts w:ascii="Courier New" w:cs="Courier New" w:eastAsia="Courier New" w:hAnsi="Courier New"/>
          <w:sz w:val="11"/>
          <w:szCs w:val="11"/>
          <w:color w:val="auto"/>
        </w:rPr>
      </w:pPr>
    </w:p>
    <w:p>
      <w:pPr>
        <w:ind w:left="1040" w:right="4619"/>
        <w:spacing w:after="0" w:line="273"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As described in Note 12I, the Company raised through January 2006 $48,169 in a rights offering, thereby satisfying its obligations</w:t>
      </w:r>
    </w:p>
    <w:p>
      <w:pPr>
        <w:sectPr>
          <w:pgSz w:w="11900" w:h="16838" w:orient="portrait"/>
          <w:cols w:equalWidth="0" w:num="1">
            <w:col w:w="10239"/>
          </w:cols>
          <w:pgMar w:left="220" w:top="272" w:right="1440" w:bottom="0" w:gutter="0" w:footer="0" w:header="0"/>
        </w:sectPr>
      </w:pPr>
    </w:p>
    <w:bookmarkStart w:id="66" w:name="page67"/>
    <w:bookmarkEnd w:id="66"/>
    <w:p>
      <w:pPr>
        <w:spacing w:after="0" w:line="98"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to raise $23,500 and $6,500 by December 31, 2005 and March 31,</w:t>
      </w:r>
    </w:p>
    <w:p>
      <w:pPr>
        <w:ind w:left="1040"/>
        <w:spacing w:after="0"/>
        <w:rPr>
          <w:sz w:val="20"/>
          <w:szCs w:val="20"/>
          <w:color w:val="auto"/>
        </w:rPr>
      </w:pPr>
      <w:r>
        <w:rPr>
          <w:rFonts w:ascii="Courier New" w:cs="Courier New" w:eastAsia="Courier New" w:hAnsi="Courier New"/>
          <w:sz w:val="12"/>
          <w:szCs w:val="12"/>
          <w:color w:val="auto"/>
        </w:rPr>
        <w:t>2006, respectively. Following the satisfaction of all the</w:t>
      </w:r>
    </w:p>
    <w:p>
      <w:pPr>
        <w:ind w:left="1040"/>
        <w:spacing w:after="0" w:line="237" w:lineRule="auto"/>
        <w:rPr>
          <w:sz w:val="20"/>
          <w:szCs w:val="20"/>
          <w:color w:val="auto"/>
        </w:rPr>
      </w:pPr>
      <w:r>
        <w:rPr>
          <w:rFonts w:ascii="Courier New" w:cs="Courier New" w:eastAsia="Courier New" w:hAnsi="Courier New"/>
          <w:sz w:val="12"/>
          <w:szCs w:val="12"/>
          <w:color w:val="auto"/>
        </w:rPr>
        <w:t>Company's commitments under the July 2005 amendment, the Banks</w:t>
      </w:r>
    </w:p>
    <w:p>
      <w:pPr>
        <w:ind w:left="1040"/>
        <w:spacing w:after="0"/>
        <w:rPr>
          <w:sz w:val="20"/>
          <w:szCs w:val="20"/>
          <w:color w:val="auto"/>
        </w:rPr>
      </w:pPr>
      <w:r>
        <w:rPr>
          <w:rFonts w:ascii="Courier New" w:cs="Courier New" w:eastAsia="Courier New" w:hAnsi="Courier New"/>
          <w:sz w:val="12"/>
          <w:szCs w:val="12"/>
          <w:color w:val="auto"/>
        </w:rPr>
        <w:t>provided the Company with $29,693 in additional loans.</w:t>
      </w:r>
    </w:p>
    <w:p>
      <w:pPr>
        <w:spacing w:after="0" w:line="133"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MAY 2006 AMENDMENTS - In May 2006, the Company and its Banks</w:t>
      </w:r>
    </w:p>
    <w:p>
      <w:pPr>
        <w:ind w:left="1040"/>
        <w:spacing w:after="0"/>
        <w:rPr>
          <w:sz w:val="20"/>
          <w:szCs w:val="20"/>
          <w:color w:val="auto"/>
        </w:rPr>
      </w:pPr>
      <w:r>
        <w:rPr>
          <w:rFonts w:ascii="Courier New" w:cs="Courier New" w:eastAsia="Courier New" w:hAnsi="Courier New"/>
          <w:sz w:val="12"/>
          <w:szCs w:val="12"/>
          <w:color w:val="auto"/>
        </w:rPr>
        <w:t>entered into amendments to the Facility Agreement, according to</w:t>
      </w:r>
    </w:p>
    <w:p>
      <w:pPr>
        <w:ind w:left="1040"/>
        <w:spacing w:after="0" w:line="237" w:lineRule="auto"/>
        <w:rPr>
          <w:sz w:val="20"/>
          <w:szCs w:val="20"/>
          <w:color w:val="auto"/>
        </w:rPr>
      </w:pPr>
      <w:r>
        <w:rPr>
          <w:rFonts w:ascii="Courier New" w:cs="Courier New" w:eastAsia="Courier New" w:hAnsi="Courier New"/>
          <w:sz w:val="12"/>
          <w:szCs w:val="12"/>
          <w:color w:val="auto"/>
        </w:rPr>
        <w:t>which (i) repayments of long-term loans in the amount of</w:t>
      </w:r>
    </w:p>
    <w:p>
      <w:pPr>
        <w:ind w:left="1040"/>
        <w:spacing w:after="0"/>
        <w:rPr>
          <w:sz w:val="20"/>
          <w:szCs w:val="20"/>
          <w:color w:val="auto"/>
        </w:rPr>
      </w:pPr>
      <w:r>
        <w:rPr>
          <w:rFonts w:ascii="Courier New" w:cs="Courier New" w:eastAsia="Courier New" w:hAnsi="Courier New"/>
          <w:sz w:val="12"/>
          <w:szCs w:val="12"/>
          <w:color w:val="auto"/>
        </w:rPr>
        <w:t>approximately $100,000, originally scheduled to be paid between</w:t>
      </w:r>
    </w:p>
    <w:p>
      <w:pPr>
        <w:ind w:left="1040"/>
        <w:spacing w:after="0" w:line="237" w:lineRule="auto"/>
        <w:rPr>
          <w:sz w:val="20"/>
          <w:szCs w:val="20"/>
          <w:color w:val="auto"/>
        </w:rPr>
      </w:pPr>
      <w:r>
        <w:rPr>
          <w:rFonts w:ascii="Courier New" w:cs="Courier New" w:eastAsia="Courier New" w:hAnsi="Courier New"/>
          <w:sz w:val="12"/>
          <w:szCs w:val="12"/>
          <w:color w:val="auto"/>
        </w:rPr>
        <w:t>October 2006 and June 2007, were deferred to July 2007 and (ii)</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date on which the Company was required to raise an additional</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approximately $8,000 on account of the $152,000 fund raising</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milestone, was deferred from June 30, 2006 to September 30, 2006,</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such fundraising requirement was satisfied with the completion of</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2006 public offering described in Note 12J.</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- 33</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40" w:right="6939" w:hanging="345"/>
        <w:spacing w:after="0" w:line="520" w:lineRule="auto"/>
        <w:tabs>
          <w:tab w:leader="none" w:pos="1040" w:val="left"/>
        </w:tabs>
        <w:numPr>
          <w:ilvl w:val="1"/>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FACILITY AGREEMENT (cont.) SEPTEMBER 2006 AMENDMENT (CONT.)</w:t>
      </w:r>
    </w:p>
    <w:p>
      <w:pPr>
        <w:ind w:left="1040" w:right="461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SEPTEMBER 2006 AMENDMENT - As part of the financing for the ramp-up plan, in September 2006, the Company closed a definitive amendment to the Facility Agreement with its banks for the refinancing of the approximately $527,000 of long-term debt under its Facility Agreement. Pursuant to the amendment, among other things: (i) $158,000, representing approximately 30% of the outstanding debt under the Facility Agreement, was converted into capital notes of the Company, which notes are convertible into 51,973,684 of the Company's Ordinary Shares, representing twice the average closing price per share during the ten days prior to signing the MOU; (ii) the interest rate applicable for the quarterly actual interest payment on the loans was decreased by 1.4%, from LIBOR plus 2.5% per annum to LIBOR plus 1.1% per annum, effective from May 17, 2006 (the "Decreased Amount"); subject to adjustment, in January 2011, the Banks will be issued such number of shares (or equity equivalent capital notes or convertible debentures) that equals the Decreased Amount divided by the average closing price of the Company's Ordinary Shares during the fourth quarter of 2010 (the "Fourth Quarter 2010 Price"). If during the second half of 2010, the closing price of Company's Ordinary Shares on every trading day during this period exceeds $3.49, then the Banks will only be granted such number of shares (or equity equivalent capital notes or convertible debentures) that equals half of the Decreased Amount divided by the Fourth Quarter2010 Price. If during the period ending December 31, 2010, the Banks sell a portion of the capital notes or shares issuable upon the conversion of the capital notes described in (i) above, at a price per share in excess of $3.49, then the consideration payable for the interest rate reduction will be reduced proportionately. The amounts payable in securities of the Company may be payable in cash under certain circumstances and the Decreased Amount may be reduced in the event the Company prepays any part of the outstanding loans;</w:t>
      </w:r>
    </w:p>
    <w:p>
      <w:pPr>
        <w:spacing w:after="0" w:line="273" w:lineRule="exact"/>
        <w:rPr>
          <w:rFonts w:ascii="Courier New" w:cs="Courier New" w:eastAsia="Courier New" w:hAnsi="Courier New"/>
          <w:sz w:val="11"/>
          <w:szCs w:val="11"/>
          <w:color w:val="auto"/>
        </w:rPr>
      </w:pPr>
    </w:p>
    <w:p>
      <w:pPr>
        <w:ind w:left="1040" w:right="4619" w:firstLine="6"/>
        <w:spacing w:after="0" w:line="261" w:lineRule="auto"/>
        <w:tabs>
          <w:tab w:leader="none" w:pos="1462" w:val="left"/>
        </w:tabs>
        <w:numPr>
          <w:ilvl w:val="2"/>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commencement date for the repayment of the outstanding loans, which following the conversion are approximately $369,000, was postponed from July 2007 to September 2009, such that the outstanding loans shall be repaid in 12 quarterly installments between September 2009 and June 2012, for further details see Note 8; (iv) the exercise periods of the warrants held by the Banks immediately prior to the signing of the September 2006 amendment, were extended such that they are exercisable until five years from the closing of the September 2006 amendment, for further details see Note 12B(5)(a) ; and (v) the financial ratios and covenants that the Company is to satisfy were revised to be inline with the Company's May 2006 working plan.</w:t>
      </w:r>
    </w:p>
    <w:p>
      <w:pPr>
        <w:spacing w:after="0" w:line="261"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Company accounted for the September 2006 amendment in</w:t>
      </w:r>
    </w:p>
    <w:p>
      <w:pPr>
        <w:ind w:left="1040"/>
        <w:spacing w:after="0"/>
        <w:rPr>
          <w:sz w:val="20"/>
          <w:szCs w:val="20"/>
          <w:color w:val="auto"/>
        </w:rPr>
      </w:pPr>
      <w:r>
        <w:rPr>
          <w:rFonts w:ascii="Courier New" w:cs="Courier New" w:eastAsia="Courier New" w:hAnsi="Courier New"/>
          <w:sz w:val="12"/>
          <w:szCs w:val="12"/>
          <w:color w:val="auto"/>
        </w:rPr>
        <w:t>accordance with provisions set forth in IAS 39 FINANCIAL</w:t>
      </w:r>
    </w:p>
    <w:p>
      <w:pPr>
        <w:ind w:left="1040"/>
        <w:spacing w:after="0" w:line="237" w:lineRule="auto"/>
        <w:rPr>
          <w:sz w:val="20"/>
          <w:szCs w:val="20"/>
          <w:color w:val="auto"/>
        </w:rPr>
      </w:pPr>
      <w:r>
        <w:rPr>
          <w:rFonts w:ascii="Courier New" w:cs="Courier New" w:eastAsia="Courier New" w:hAnsi="Courier New"/>
          <w:sz w:val="12"/>
          <w:szCs w:val="12"/>
          <w:color w:val="auto"/>
        </w:rPr>
        <w:t>INSTRUMENTS: RECOGNITION AND MEASUREMENT Generally Accepted</w:t>
      </w:r>
    </w:p>
    <w:p>
      <w:pPr>
        <w:ind w:left="1040"/>
        <w:spacing w:after="0"/>
        <w:rPr>
          <w:sz w:val="20"/>
          <w:szCs w:val="20"/>
          <w:color w:val="auto"/>
        </w:rPr>
      </w:pPr>
      <w:r>
        <w:rPr>
          <w:rFonts w:ascii="Courier New" w:cs="Courier New" w:eastAsia="Courier New" w:hAnsi="Courier New"/>
          <w:sz w:val="12"/>
          <w:szCs w:val="12"/>
          <w:color w:val="auto"/>
        </w:rPr>
        <w:t>Accounting Standards in Israel are silent in regards to the</w:t>
      </w:r>
    </w:p>
    <w:p>
      <w:pPr>
        <w:ind w:left="1040"/>
        <w:spacing w:after="0" w:line="237" w:lineRule="auto"/>
        <w:rPr>
          <w:sz w:val="20"/>
          <w:szCs w:val="20"/>
          <w:color w:val="auto"/>
        </w:rPr>
      </w:pPr>
      <w:r>
        <w:rPr>
          <w:rFonts w:ascii="Courier New" w:cs="Courier New" w:eastAsia="Courier New" w:hAnsi="Courier New"/>
          <w:sz w:val="12"/>
          <w:szCs w:val="12"/>
          <w:color w:val="auto"/>
        </w:rPr>
        <w:t>accounting for debt modification. In addition, diversity in</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practice was observed across companies such that no one approach</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has been consistently applied to create practice in Israel for</w:t>
      </w:r>
    </w:p>
    <w:p>
      <w:pPr>
        <w:ind w:left="1040"/>
        <w:spacing w:after="0"/>
        <w:rPr>
          <w:sz w:val="20"/>
          <w:szCs w:val="20"/>
          <w:color w:val="auto"/>
        </w:rPr>
      </w:pPr>
      <w:r>
        <w:rPr>
          <w:rFonts w:ascii="Courier New" w:cs="Courier New" w:eastAsia="Courier New" w:hAnsi="Courier New"/>
          <w:sz w:val="12"/>
          <w:szCs w:val="12"/>
          <w:color w:val="auto"/>
        </w:rPr>
        <w:t>the accounting for debt modification. In light of the lack of</w:t>
      </w:r>
    </w:p>
    <w:p>
      <w:pPr>
        <w:ind w:left="1040"/>
        <w:spacing w:after="0" w:line="237" w:lineRule="auto"/>
        <w:rPr>
          <w:sz w:val="20"/>
          <w:szCs w:val="20"/>
          <w:color w:val="auto"/>
        </w:rPr>
      </w:pPr>
      <w:r>
        <w:rPr>
          <w:rFonts w:ascii="Courier New" w:cs="Courier New" w:eastAsia="Courier New" w:hAnsi="Courier New"/>
          <w:sz w:val="12"/>
          <w:szCs w:val="12"/>
          <w:color w:val="auto"/>
        </w:rPr>
        <w:t>guidance and considering that the Company has not previously</w:t>
      </w:r>
    </w:p>
    <w:p>
      <w:pPr>
        <w:ind w:left="1040"/>
        <w:spacing w:after="0"/>
        <w:rPr>
          <w:sz w:val="20"/>
          <w:szCs w:val="20"/>
          <w:color w:val="auto"/>
        </w:rPr>
      </w:pPr>
      <w:r>
        <w:rPr>
          <w:rFonts w:ascii="Courier New" w:cs="Courier New" w:eastAsia="Courier New" w:hAnsi="Courier New"/>
          <w:sz w:val="12"/>
          <w:szCs w:val="12"/>
          <w:color w:val="auto"/>
        </w:rPr>
        <w:t>accounted for debt modification in the past the Company decided</w:t>
      </w:r>
    </w:p>
    <w:p>
      <w:pPr>
        <w:ind w:left="1040"/>
        <w:spacing w:after="0" w:line="237" w:lineRule="auto"/>
        <w:rPr>
          <w:sz w:val="20"/>
          <w:szCs w:val="20"/>
          <w:color w:val="auto"/>
        </w:rPr>
      </w:pPr>
      <w:r>
        <w:rPr>
          <w:rFonts w:ascii="Courier New" w:cs="Courier New" w:eastAsia="Courier New" w:hAnsi="Courier New"/>
          <w:sz w:val="12"/>
          <w:szCs w:val="12"/>
          <w:color w:val="auto"/>
        </w:rPr>
        <w:t>to apply the guidance in IAS 39 regarding debt modification</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mainly for the following reasons: (i) Israeli GAAP requires that</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when there is no standard in Israel and no practice has evolved</w:t>
      </w:r>
    </w:p>
    <w:p>
      <w:pPr>
        <w:ind w:left="1040"/>
        <w:spacing w:after="0"/>
        <w:rPr>
          <w:sz w:val="20"/>
          <w:szCs w:val="20"/>
          <w:color w:val="auto"/>
        </w:rPr>
      </w:pPr>
      <w:r>
        <w:rPr>
          <w:rFonts w:ascii="Courier New" w:cs="Courier New" w:eastAsia="Courier New" w:hAnsi="Courier New"/>
          <w:sz w:val="12"/>
          <w:szCs w:val="12"/>
          <w:color w:val="auto"/>
        </w:rPr>
        <w:t>IFRS has to be applied, (ii) the Israeli Accounting Standards</w:t>
      </w:r>
    </w:p>
    <w:p>
      <w:pPr>
        <w:ind w:left="1040"/>
        <w:spacing w:after="0" w:line="237" w:lineRule="auto"/>
        <w:rPr>
          <w:sz w:val="20"/>
          <w:szCs w:val="20"/>
          <w:color w:val="auto"/>
        </w:rPr>
      </w:pPr>
      <w:r>
        <w:rPr>
          <w:rFonts w:ascii="Courier New" w:cs="Courier New" w:eastAsia="Courier New" w:hAnsi="Courier New"/>
          <w:sz w:val="12"/>
          <w:szCs w:val="12"/>
          <w:color w:val="auto"/>
        </w:rPr>
        <w:t>Board decided to adopt in full the IFRS starting in fiscal year</w:t>
      </w:r>
    </w:p>
    <w:p>
      <w:pPr>
        <w:ind w:left="1040"/>
        <w:spacing w:after="0"/>
        <w:rPr>
          <w:sz w:val="20"/>
          <w:szCs w:val="20"/>
          <w:color w:val="auto"/>
        </w:rPr>
      </w:pPr>
      <w:r>
        <w:rPr>
          <w:rFonts w:ascii="Courier New" w:cs="Courier New" w:eastAsia="Courier New" w:hAnsi="Courier New"/>
          <w:sz w:val="12"/>
          <w:szCs w:val="12"/>
          <w:color w:val="auto"/>
        </w:rPr>
        <w:t>2008 with early adoption recommended, and the Israel Securities</w:t>
      </w:r>
    </w:p>
    <w:p>
      <w:pPr>
        <w:ind w:left="1040"/>
        <w:spacing w:after="0" w:line="237" w:lineRule="auto"/>
        <w:rPr>
          <w:sz w:val="20"/>
          <w:szCs w:val="20"/>
          <w:color w:val="auto"/>
        </w:rPr>
      </w:pPr>
      <w:r>
        <w:rPr>
          <w:rFonts w:ascii="Courier New" w:cs="Courier New" w:eastAsia="Courier New" w:hAnsi="Courier New"/>
          <w:sz w:val="12"/>
          <w:szCs w:val="12"/>
          <w:color w:val="auto"/>
        </w:rPr>
        <w:t>Authority ("ISA") decided that, commencing from the second</w:t>
      </w:r>
    </w:p>
    <w:p>
      <w:pPr>
        <w:ind w:left="1040"/>
        <w:spacing w:after="0"/>
        <w:rPr>
          <w:sz w:val="20"/>
          <w:szCs w:val="20"/>
          <w:color w:val="auto"/>
        </w:rPr>
      </w:pPr>
      <w:r>
        <w:rPr>
          <w:rFonts w:ascii="Courier New" w:cs="Courier New" w:eastAsia="Courier New" w:hAnsi="Courier New"/>
          <w:sz w:val="12"/>
          <w:szCs w:val="12"/>
          <w:color w:val="auto"/>
        </w:rPr>
        <w:t>quarter of 2007, Notes to financial statements shall state the</w:t>
      </w:r>
    </w:p>
    <w:p>
      <w:pPr>
        <w:ind w:left="1040"/>
        <w:spacing w:after="0" w:line="237" w:lineRule="auto"/>
        <w:rPr>
          <w:sz w:val="20"/>
          <w:szCs w:val="20"/>
          <w:color w:val="auto"/>
        </w:rPr>
      </w:pPr>
      <w:r>
        <w:rPr>
          <w:rFonts w:ascii="Courier New" w:cs="Courier New" w:eastAsia="Courier New" w:hAnsi="Courier New"/>
          <w:sz w:val="12"/>
          <w:szCs w:val="12"/>
          <w:color w:val="auto"/>
        </w:rPr>
        <w:t>IFRS financial effect on such financial statements, (iii)</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Standard No. 22, which is based on IAS 32 FINANCIAL INSTRUMENTS: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DISCLOSURE AND PRESENTATION, refers preparers of financial</w:t>
      </w:r>
    </w:p>
    <w:p>
      <w:pPr>
        <w:ind w:left="1040"/>
        <w:spacing w:after="0"/>
        <w:rPr>
          <w:sz w:val="20"/>
          <w:szCs w:val="20"/>
          <w:color w:val="auto"/>
        </w:rPr>
      </w:pPr>
      <w:r>
        <w:rPr>
          <w:rFonts w:ascii="Courier New" w:cs="Courier New" w:eastAsia="Courier New" w:hAnsi="Courier New"/>
          <w:sz w:val="12"/>
          <w:szCs w:val="12"/>
          <w:color w:val="auto"/>
        </w:rPr>
        <w:t>statements to the guidance in IAS 39 for the purposes of</w:t>
      </w:r>
    </w:p>
    <w:p>
      <w:pPr>
        <w:ind w:left="1040"/>
        <w:spacing w:after="0" w:line="237" w:lineRule="auto"/>
        <w:rPr>
          <w:sz w:val="20"/>
          <w:szCs w:val="20"/>
          <w:color w:val="auto"/>
        </w:rPr>
      </w:pPr>
      <w:r>
        <w:rPr>
          <w:rFonts w:ascii="Courier New" w:cs="Courier New" w:eastAsia="Courier New" w:hAnsi="Courier New"/>
          <w:sz w:val="12"/>
          <w:szCs w:val="12"/>
          <w:color w:val="auto"/>
        </w:rPr>
        <w:t>recognition and measurement of financial instruments (including</w:t>
      </w:r>
    </w:p>
    <w:p>
      <w:pPr>
        <w:ind w:left="1040"/>
        <w:spacing w:after="0"/>
        <w:rPr>
          <w:sz w:val="20"/>
          <w:szCs w:val="20"/>
          <w:color w:val="auto"/>
        </w:rPr>
      </w:pPr>
      <w:r>
        <w:rPr>
          <w:rFonts w:ascii="Courier New" w:cs="Courier New" w:eastAsia="Courier New" w:hAnsi="Courier New"/>
          <w:sz w:val="12"/>
          <w:szCs w:val="12"/>
          <w:color w:val="auto"/>
        </w:rPr>
        <w:t>measurement of debt modification), (iv) the adoption of IAS 39</w:t>
      </w:r>
    </w:p>
    <w:p>
      <w:pPr>
        <w:ind w:left="1040"/>
        <w:spacing w:after="0" w:line="237" w:lineRule="auto"/>
        <w:rPr>
          <w:sz w:val="20"/>
          <w:szCs w:val="20"/>
          <w:color w:val="auto"/>
        </w:rPr>
      </w:pPr>
      <w:r>
        <w:rPr>
          <w:rFonts w:ascii="Courier New" w:cs="Courier New" w:eastAsia="Courier New" w:hAnsi="Courier New"/>
          <w:sz w:val="12"/>
          <w:szCs w:val="12"/>
          <w:color w:val="auto"/>
        </w:rPr>
        <w:t>does not create inconsistencies with prior periods and (v)</w:t>
      </w:r>
    </w:p>
    <w:p>
      <w:pPr>
        <w:ind w:left="1040"/>
        <w:spacing w:after="0"/>
        <w:rPr>
          <w:sz w:val="20"/>
          <w:szCs w:val="20"/>
          <w:color w:val="auto"/>
        </w:rPr>
      </w:pPr>
      <w:r>
        <w:rPr>
          <w:rFonts w:ascii="Courier New" w:cs="Courier New" w:eastAsia="Courier New" w:hAnsi="Courier New"/>
          <w:sz w:val="12"/>
          <w:szCs w:val="12"/>
          <w:color w:val="auto"/>
        </w:rPr>
        <w:t>recently adopted Israeli standards are all based on IFRS.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40" w:right="6939" w:hanging="345"/>
        <w:spacing w:after="0" w:line="533" w:lineRule="auto"/>
        <w:tabs>
          <w:tab w:leader="none" w:pos="1040" w:val="left"/>
        </w:tabs>
        <w:numPr>
          <w:ilvl w:val="1"/>
          <w:numId w:val="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FACILITY AGREEMENT (cont.) SEPTEMBER 2006 AMENDMENT (CONT.)</w:t>
      </w:r>
    </w:p>
    <w:p>
      <w:pPr>
        <w:sectPr>
          <w:pgSz w:w="11900" w:h="16936" w:orient="portrait"/>
          <w:cols w:equalWidth="0" w:num="1">
            <w:col w:w="10239"/>
          </w:cols>
          <w:pgMar w:left="220" w:top="137" w:right="1440" w:bottom="0" w:gutter="0" w:footer="0" w:header="0"/>
        </w:sectPr>
      </w:pPr>
    </w:p>
    <w:bookmarkStart w:id="67" w:name="page68"/>
    <w:bookmarkEnd w:id="67"/>
    <w:p>
      <w:pPr>
        <w:ind w:left="1040"/>
        <w:spacing w:after="0"/>
        <w:rPr>
          <w:sz w:val="20"/>
          <w:szCs w:val="20"/>
          <w:color w:val="auto"/>
        </w:rPr>
      </w:pPr>
      <w:r>
        <w:rPr>
          <w:rFonts w:ascii="Courier New" w:cs="Courier New" w:eastAsia="Courier New" w:hAnsi="Courier New"/>
          <w:sz w:val="12"/>
          <w:szCs w:val="12"/>
          <w:color w:val="auto"/>
        </w:rPr>
        <w:t>Under IAS 39, the Company accounted for the debt modification</w:t>
      </w:r>
    </w:p>
    <w:p>
      <w:pPr>
        <w:ind w:left="1040"/>
        <w:spacing w:after="0"/>
        <w:rPr>
          <w:sz w:val="20"/>
          <w:szCs w:val="20"/>
          <w:color w:val="auto"/>
        </w:rPr>
      </w:pPr>
      <w:r>
        <w:rPr>
          <w:rFonts w:ascii="Courier New" w:cs="Courier New" w:eastAsia="Courier New" w:hAnsi="Courier New"/>
          <w:sz w:val="12"/>
          <w:szCs w:val="12"/>
          <w:color w:val="auto"/>
        </w:rPr>
        <w:t>under the September 2006 amendment as follows:</w:t>
      </w:r>
    </w:p>
    <w:p>
      <w:pPr>
        <w:spacing w:after="0" w:line="138" w:lineRule="exact"/>
        <w:rPr>
          <w:sz w:val="20"/>
          <w:szCs w:val="20"/>
          <w:color w:val="auto"/>
        </w:rPr>
      </w:pPr>
    </w:p>
    <w:p>
      <w:pPr>
        <w:ind w:left="1740" w:right="4619" w:hanging="343"/>
        <w:spacing w:after="0" w:line="266" w:lineRule="auto"/>
        <w:tabs>
          <w:tab w:leader="none" w:pos="1740" w:val="left"/>
        </w:tabs>
        <w:numPr>
          <w:ilvl w:val="0"/>
          <w:numId w:val="9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amount considered settled for shares and classified to equity is based on the per share price as quoted at the closing date; such amount totaled to $76,401.</w:t>
      </w:r>
    </w:p>
    <w:p>
      <w:pPr>
        <w:spacing w:after="0" w:line="126" w:lineRule="exact"/>
        <w:rPr>
          <w:rFonts w:ascii="Courier New" w:cs="Courier New" w:eastAsia="Courier New" w:hAnsi="Courier New"/>
          <w:sz w:val="11"/>
          <w:szCs w:val="11"/>
          <w:color w:val="auto"/>
        </w:rPr>
      </w:pPr>
    </w:p>
    <w:p>
      <w:pPr>
        <w:ind w:left="1740" w:right="4619" w:hanging="343"/>
        <w:spacing w:after="0" w:line="236" w:lineRule="auto"/>
        <w:tabs>
          <w:tab w:leader="none" w:pos="1740"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remaining balance, totaling $435,209, is considered to be substantially modified and thus treated as debt extinguishment of the outstanding debt and the incurrence of a new debt.</w:t>
      </w:r>
    </w:p>
    <w:p>
      <w:pPr>
        <w:spacing w:after="0" w:line="140" w:lineRule="exact"/>
        <w:rPr>
          <w:rFonts w:ascii="Courier New" w:cs="Courier New" w:eastAsia="Courier New" w:hAnsi="Courier New"/>
          <w:sz w:val="12"/>
          <w:szCs w:val="12"/>
          <w:color w:val="auto"/>
        </w:rPr>
      </w:pPr>
    </w:p>
    <w:p>
      <w:pPr>
        <w:ind w:left="1740" w:right="5039" w:hanging="343"/>
        <w:spacing w:after="0" w:line="235" w:lineRule="auto"/>
        <w:tabs>
          <w:tab w:leader="none" w:pos="1740"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debt incurred is initially recognized at fair value, totaling $355,138.</w:t>
      </w:r>
    </w:p>
    <w:p>
      <w:pPr>
        <w:spacing w:after="0" w:line="139" w:lineRule="exact"/>
        <w:rPr>
          <w:rFonts w:ascii="Courier New" w:cs="Courier New" w:eastAsia="Courier New" w:hAnsi="Courier New"/>
          <w:sz w:val="12"/>
          <w:szCs w:val="12"/>
          <w:color w:val="auto"/>
        </w:rPr>
      </w:pPr>
    </w:p>
    <w:p>
      <w:pPr>
        <w:ind w:left="1740" w:right="4699" w:hanging="343"/>
        <w:spacing w:after="0" w:line="237" w:lineRule="auto"/>
        <w:tabs>
          <w:tab w:leader="none" w:pos="1740"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difference between the fair value of the debt incurred and the outstanding debt (exclusive of the amount used as proceeds for the share issuance in 1 above), totaling $80,071, is recognized in the consolidated statement of operations as a gain on debt restructuring in the current period.</w:t>
      </w:r>
    </w:p>
    <w:p>
      <w:pPr>
        <w:spacing w:after="0" w:line="14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As described above the Banks will be issued such number of shares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(or equity equivalent capital notes or convertible debentures)</w:t>
      </w:r>
    </w:p>
    <w:p>
      <w:pPr>
        <w:ind w:left="1040"/>
        <w:spacing w:after="0"/>
        <w:rPr>
          <w:sz w:val="20"/>
          <w:szCs w:val="20"/>
          <w:color w:val="auto"/>
        </w:rPr>
      </w:pPr>
      <w:r>
        <w:rPr>
          <w:rFonts w:ascii="Courier New" w:cs="Courier New" w:eastAsia="Courier New" w:hAnsi="Courier New"/>
          <w:sz w:val="12"/>
          <w:szCs w:val="12"/>
          <w:color w:val="auto"/>
        </w:rPr>
        <w:t>that equals the Decreased Amount divided by the Fourth Quarter</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2010 Price. If during the second half of 2010, the closing price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of Company's Ordinary Shares on every trading day during this</w:t>
      </w:r>
    </w:p>
    <w:p>
      <w:pPr>
        <w:ind w:left="1040"/>
        <w:spacing w:after="0"/>
        <w:rPr>
          <w:sz w:val="20"/>
          <w:szCs w:val="20"/>
          <w:color w:val="auto"/>
        </w:rPr>
      </w:pPr>
      <w:r>
        <w:rPr>
          <w:rFonts w:ascii="Courier New" w:cs="Courier New" w:eastAsia="Courier New" w:hAnsi="Courier New"/>
          <w:sz w:val="12"/>
          <w:szCs w:val="12"/>
          <w:color w:val="auto"/>
        </w:rPr>
        <w:t>period exceeds $3.49, then the Banks will only be granted such</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number of shares that equals half of the Decreased Amount divided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by the Fourth Quarter 2010 Price. The Company accounted for its</w:t>
      </w:r>
    </w:p>
    <w:p>
      <w:pPr>
        <w:ind w:left="1040"/>
        <w:spacing w:after="0"/>
        <w:rPr>
          <w:sz w:val="20"/>
          <w:szCs w:val="20"/>
          <w:color w:val="auto"/>
        </w:rPr>
      </w:pPr>
      <w:r>
        <w:rPr>
          <w:rFonts w:ascii="Courier New" w:cs="Courier New" w:eastAsia="Courier New" w:hAnsi="Courier New"/>
          <w:sz w:val="12"/>
          <w:szCs w:val="12"/>
          <w:color w:val="auto"/>
        </w:rPr>
        <w:t>obligation to issue shares initially, as an additional interest</w:t>
      </w:r>
    </w:p>
    <w:p>
      <w:pPr>
        <w:ind w:left="1040"/>
        <w:spacing w:after="0" w:line="237" w:lineRule="auto"/>
        <w:rPr>
          <w:sz w:val="20"/>
          <w:szCs w:val="20"/>
          <w:color w:val="auto"/>
        </w:rPr>
      </w:pPr>
      <w:r>
        <w:rPr>
          <w:rFonts w:ascii="Courier New" w:cs="Courier New" w:eastAsia="Courier New" w:hAnsi="Courier New"/>
          <w:sz w:val="12"/>
          <w:szCs w:val="12"/>
          <w:color w:val="auto"/>
        </w:rPr>
        <w:t>expense and adjusted the effective interest rate on the debt to</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Banks. The Company will evaluate and, if required, adjust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effective interest rate based on the per share price at the end</w:t>
      </w:r>
    </w:p>
    <w:p>
      <w:pPr>
        <w:ind w:left="1040"/>
        <w:spacing w:after="0"/>
        <w:rPr>
          <w:sz w:val="20"/>
          <w:szCs w:val="20"/>
          <w:color w:val="auto"/>
        </w:rPr>
      </w:pPr>
      <w:r>
        <w:rPr>
          <w:rFonts w:ascii="Courier New" w:cs="Courier New" w:eastAsia="Courier New" w:hAnsi="Courier New"/>
          <w:sz w:val="12"/>
          <w:szCs w:val="12"/>
          <w:color w:val="auto"/>
        </w:rPr>
        <w:t>of each reporting period. As of the balance sheet date no such</w:t>
      </w:r>
    </w:p>
    <w:p>
      <w:pPr>
        <w:ind w:left="1040"/>
        <w:spacing w:after="0" w:line="237" w:lineRule="auto"/>
        <w:rPr>
          <w:sz w:val="20"/>
          <w:szCs w:val="20"/>
          <w:color w:val="auto"/>
        </w:rPr>
      </w:pPr>
      <w:r>
        <w:rPr>
          <w:rFonts w:ascii="Courier New" w:cs="Courier New" w:eastAsia="Courier New" w:hAnsi="Courier New"/>
          <w:sz w:val="12"/>
          <w:szCs w:val="12"/>
          <w:color w:val="auto"/>
        </w:rPr>
        <w:t>adjustment was required. See Note 19I for the accounting of the</w:t>
      </w:r>
    </w:p>
    <w:p>
      <w:pPr>
        <w:ind w:left="1040"/>
        <w:spacing w:after="0"/>
        <w:rPr>
          <w:sz w:val="20"/>
          <w:szCs w:val="20"/>
          <w:color w:val="auto"/>
        </w:rPr>
      </w:pPr>
      <w:r>
        <w:rPr>
          <w:rFonts w:ascii="Courier New" w:cs="Courier New" w:eastAsia="Courier New" w:hAnsi="Courier New"/>
          <w:sz w:val="12"/>
          <w:szCs w:val="12"/>
          <w:color w:val="auto"/>
        </w:rPr>
        <w:t>debt modification and the accounting of the Decreased Amount in</w:t>
      </w:r>
    </w:p>
    <w:p>
      <w:pPr>
        <w:ind w:left="1040"/>
        <w:spacing w:after="0" w:line="237" w:lineRule="auto"/>
        <w:rPr>
          <w:sz w:val="20"/>
          <w:szCs w:val="20"/>
          <w:color w:val="auto"/>
        </w:rPr>
      </w:pPr>
      <w:r>
        <w:rPr>
          <w:rFonts w:ascii="Courier New" w:cs="Courier New" w:eastAsia="Courier New" w:hAnsi="Courier New"/>
          <w:sz w:val="12"/>
          <w:szCs w:val="12"/>
          <w:color w:val="auto"/>
        </w:rPr>
        <w:t>accordance with U.S. GAAP</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- 35</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38"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TIC'S UNDERTAKING - In connection with the November 2003 amendment to the Facility Agreement, TIC undertook to the Banks to exercise all of the rights it received in a rights offering through June 2006. In addition, as part of TIC's undertaking, it agreed to purchase from the Company additional securities in a private placement on the same terms as the rights offering, in an amount equal to 50/93 of the difference between the amount the Company was to raise in the rights offering and the amount raised from shareholders other than TIC, less any amounts actually invested in the rights offering by TIC in connection with the exercise of its own rights. The July 2005 amendment provided that TIC's undertaking shall be extended from June 30, 2006 to December 31, 2006; (ii) such undertaking will be deemed to have been fulfilled if TIC invests at least $14,000 in the context of a rights offering. This undertaking was fulfilled following TIC's $20,000 investment in the Company in the context of the 2005 rights offering (see Note 12I).</w:t>
      </w:r>
    </w:p>
    <w:p>
      <w:pPr>
        <w:spacing w:after="0" w:line="140" w:lineRule="exact"/>
        <w:rPr>
          <w:rFonts w:ascii="Courier New" w:cs="Courier New" w:eastAsia="Courier New" w:hAnsi="Courier New"/>
          <w:sz w:val="12"/>
          <w:szCs w:val="12"/>
          <w:color w:val="auto"/>
        </w:rPr>
      </w:pPr>
    </w:p>
    <w:p>
      <w:pPr>
        <w:ind w:left="1040" w:right="46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details regarding 58,906 warrants issued to TIC in connection with its undertaking described above, see Note 12B(5)(b).</w:t>
      </w:r>
    </w:p>
    <w:p>
      <w:pPr>
        <w:spacing w:after="0" w:line="121" w:lineRule="exact"/>
        <w:rPr>
          <w:rFonts w:ascii="Courier New" w:cs="Courier New" w:eastAsia="Courier New" w:hAnsi="Courier New"/>
          <w:sz w:val="12"/>
          <w:szCs w:val="12"/>
          <w:color w:val="auto"/>
        </w:rPr>
      </w:pPr>
    </w:p>
    <w:p>
      <w:pPr>
        <w:ind w:left="1040" w:right="483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has agreed to indemnify TIC for any liabilities it incurs with respect to these arrangements, up to a maximum of $100,000 as follows: up to $25,000 in cash and any amount exceeding such $25,000 limit will earn interest at LIBOR plus</w:t>
      </w:r>
    </w:p>
    <w:p>
      <w:pPr>
        <w:ind w:left="1040" w:right="475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2.5% and will be paid on the same terms that the Company repays its loans to the Banks. As of the balance sheet date, no such indemnification has been required.</w:t>
      </w:r>
    </w:p>
    <w:p>
      <w:pPr>
        <w:spacing w:after="0" w:line="139" w:lineRule="exact"/>
        <w:rPr>
          <w:rFonts w:ascii="Courier New" w:cs="Courier New" w:eastAsia="Courier New" w:hAnsi="Courier New"/>
          <w:sz w:val="12"/>
          <w:szCs w:val="12"/>
          <w:color w:val="auto"/>
        </w:rPr>
      </w:pPr>
    </w:p>
    <w:p>
      <w:pPr>
        <w:ind w:left="104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WARRANTS ISSUED TO THE BANKS - For details regarding 9,161,060 outstanding warrants granted to the Banks in connection with the Facility Agreement, see Note 12B(5)(a).</w:t>
      </w:r>
    </w:p>
    <w:p>
      <w:pPr>
        <w:spacing w:after="0" w:line="139"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COMPLIANCE WITH FINANCIAL RATIOS AND COVENANTS - As of the balance sheet date, the Company was in full compliance with all of the financial ratios and covenants under the amended Facility Agreement According to the Facility Agreement, satisfying the financial ratios and covenants is a material provision. The amended Facility Agreement provides that if, as a result of any default, the Banks were to accelerate the Company's obligations, the Company would be obligated, among other matters, to immediately repay all loans made by the Banks (which as of the balance sheet date amounted to approximately $369,000) plus penalties, and the Banks would be entitled to exercise the remedies available to them under the Facility Agreement, including enforcement of their liens against all of the Company's assets.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38" w:lineRule="exact"/>
        <w:rPr>
          <w:rFonts w:ascii="Courier New" w:cs="Courier New" w:eastAsia="Courier New" w:hAnsi="Courier New"/>
          <w:sz w:val="12"/>
          <w:szCs w:val="12"/>
          <w:color w:val="auto"/>
        </w:rPr>
      </w:pPr>
    </w:p>
    <w:p>
      <w:pPr>
        <w:ind w:left="104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LIENS - Under the Facility Agreement, the Company agreed to register liens in favor of the Banks on substantially all its present and future assets. If, as a result of any default under the Facility Agreement, the Banks were to accelerate the Company's obligations, the Company would be obligated to</w:t>
      </w:r>
    </w:p>
    <w:p>
      <w:pPr>
        <w:sectPr>
          <w:pgSz w:w="11900" w:h="16838" w:orient="portrait"/>
          <w:cols w:equalWidth="0" w:num="1">
            <w:col w:w="10239"/>
          </w:cols>
          <w:pgMar w:left="220" w:top="272" w:right="1440" w:bottom="0" w:gutter="0" w:footer="0" w:header="0"/>
        </w:sectPr>
      </w:pPr>
    </w:p>
    <w:bookmarkStart w:id="68" w:name="page69"/>
    <w:bookmarkEnd w:id="68"/>
    <w:p>
      <w:pPr>
        <w:ind w:left="1040"/>
        <w:spacing w:after="0"/>
        <w:rPr>
          <w:sz w:val="20"/>
          <w:szCs w:val="20"/>
          <w:color w:val="auto"/>
        </w:rPr>
      </w:pPr>
      <w:r>
        <w:rPr>
          <w:rFonts w:ascii="Courier New" w:cs="Courier New" w:eastAsia="Courier New" w:hAnsi="Courier New"/>
          <w:sz w:val="12"/>
          <w:szCs w:val="12"/>
          <w:color w:val="auto"/>
        </w:rPr>
        <w:t>immediately repay all loans made by the Banks (which as of the</w:t>
      </w:r>
    </w:p>
    <w:p>
      <w:pPr>
        <w:ind w:left="1040"/>
        <w:spacing w:after="0"/>
        <w:rPr>
          <w:sz w:val="20"/>
          <w:szCs w:val="20"/>
          <w:color w:val="auto"/>
        </w:rPr>
      </w:pPr>
      <w:r>
        <w:rPr>
          <w:rFonts w:ascii="Courier New" w:cs="Courier New" w:eastAsia="Courier New" w:hAnsi="Courier New"/>
          <w:sz w:val="12"/>
          <w:szCs w:val="12"/>
          <w:color w:val="auto"/>
        </w:rPr>
        <w:t>approval date of the financial statements amounted to</w:t>
      </w:r>
    </w:p>
    <w:p>
      <w:pPr>
        <w:ind w:left="1040"/>
        <w:spacing w:after="0" w:line="237" w:lineRule="auto"/>
        <w:rPr>
          <w:sz w:val="20"/>
          <w:szCs w:val="20"/>
          <w:color w:val="auto"/>
        </w:rPr>
      </w:pPr>
      <w:r>
        <w:rPr>
          <w:rFonts w:ascii="Courier New" w:cs="Courier New" w:eastAsia="Courier New" w:hAnsi="Courier New"/>
          <w:sz w:val="12"/>
          <w:szCs w:val="12"/>
          <w:color w:val="auto"/>
        </w:rPr>
        <w:t>approximately $369,000), plus penalties, and the Banks would be</w:t>
      </w:r>
    </w:p>
    <w:p>
      <w:pPr>
        <w:ind w:left="1040"/>
        <w:spacing w:after="0"/>
        <w:rPr>
          <w:sz w:val="20"/>
          <w:szCs w:val="20"/>
          <w:color w:val="auto"/>
        </w:rPr>
      </w:pPr>
      <w:r>
        <w:rPr>
          <w:rFonts w:ascii="Courier New" w:cs="Courier New" w:eastAsia="Courier New" w:hAnsi="Courier New"/>
          <w:sz w:val="12"/>
          <w:szCs w:val="12"/>
          <w:color w:val="auto"/>
        </w:rPr>
        <w:t>entitled to exercise the remedies available to them under the</w:t>
      </w:r>
    </w:p>
    <w:p>
      <w:pPr>
        <w:ind w:left="1040"/>
        <w:spacing w:after="0" w:line="237" w:lineRule="auto"/>
        <w:rPr>
          <w:sz w:val="20"/>
          <w:szCs w:val="20"/>
          <w:color w:val="auto"/>
        </w:rPr>
      </w:pPr>
      <w:r>
        <w:rPr>
          <w:rFonts w:ascii="Courier New" w:cs="Courier New" w:eastAsia="Courier New" w:hAnsi="Courier New"/>
          <w:sz w:val="12"/>
          <w:szCs w:val="12"/>
          <w:color w:val="auto"/>
        </w:rPr>
        <w:t>Facility Agreement, including enforcement of the liens against</w:t>
      </w:r>
    </w:p>
    <w:p>
      <w:pPr>
        <w:ind w:left="1040"/>
        <w:spacing w:after="0"/>
        <w:rPr>
          <w:sz w:val="20"/>
          <w:szCs w:val="20"/>
          <w:color w:val="auto"/>
        </w:rPr>
      </w:pPr>
      <w:r>
        <w:rPr>
          <w:rFonts w:ascii="Courier New" w:cs="Courier New" w:eastAsia="Courier New" w:hAnsi="Courier New"/>
          <w:sz w:val="12"/>
          <w:szCs w:val="12"/>
          <w:color w:val="auto"/>
        </w:rPr>
        <w:t>the Company's assets.</w:t>
      </w:r>
    </w:p>
    <w:p>
      <w:pPr>
        <w:spacing w:after="0" w:line="138"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OFFEROR BY THE BANKS - If one or more certain bankruptcy related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events occur, the Banks are entitled to bring a firm offer made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by a potential investor to purchase the Company's Ordinary Shares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Offer") at a price provided in the Offer. In such case, the</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Company shall be required thereafter to procure a rights offering</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to invest up to 60% of the amount of the Offer on the same terms.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If the Offer is conditioned on the offeror purchasing a majority</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of the Company's outstanding share capital, the rights offering</w:t>
      </w:r>
    </w:p>
    <w:p>
      <w:pPr>
        <w:ind w:left="1040"/>
        <w:spacing w:after="0"/>
        <w:rPr>
          <w:sz w:val="20"/>
          <w:szCs w:val="20"/>
          <w:color w:val="auto"/>
        </w:rPr>
      </w:pPr>
      <w:r>
        <w:rPr>
          <w:rFonts w:ascii="Courier New" w:cs="Courier New" w:eastAsia="Courier New" w:hAnsi="Courier New"/>
          <w:sz w:val="12"/>
          <w:szCs w:val="12"/>
          <w:color w:val="auto"/>
        </w:rPr>
        <w:t>will be limited to allow for this, unless TIC and the primary</w:t>
      </w:r>
    </w:p>
    <w:p>
      <w:pPr>
        <w:ind w:left="1040"/>
        <w:spacing w:after="0" w:line="237" w:lineRule="auto"/>
        <w:rPr>
          <w:sz w:val="20"/>
          <w:szCs w:val="20"/>
          <w:color w:val="auto"/>
        </w:rPr>
      </w:pPr>
      <w:r>
        <w:rPr>
          <w:rFonts w:ascii="Courier New" w:cs="Courier New" w:eastAsia="Courier New" w:hAnsi="Courier New"/>
          <w:sz w:val="12"/>
          <w:szCs w:val="12"/>
          <w:color w:val="auto"/>
        </w:rPr>
        <w:t>Wafer Partners agree to exercise in a rights offering rights</w:t>
      </w:r>
    </w:p>
    <w:p>
      <w:pPr>
        <w:ind w:left="1040"/>
        <w:spacing w:after="0"/>
        <w:rPr>
          <w:sz w:val="20"/>
          <w:szCs w:val="20"/>
          <w:color w:val="auto"/>
        </w:rPr>
      </w:pPr>
      <w:r>
        <w:rPr>
          <w:rFonts w:ascii="Courier New" w:cs="Courier New" w:eastAsia="Courier New" w:hAnsi="Courier New"/>
          <w:sz w:val="12"/>
          <w:szCs w:val="12"/>
          <w:color w:val="auto"/>
        </w:rPr>
        <w:t>applicable to their shareholdings and agree to purchase in a</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private placement enough shares to ensure that the full amount of</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Offer is invested.</w:t>
      </w:r>
    </w:p>
    <w:p>
      <w:pPr>
        <w:spacing w:after="0" w:line="134" w:lineRule="exact"/>
        <w:rPr>
          <w:sz w:val="20"/>
          <w:szCs w:val="20"/>
          <w:color w:val="auto"/>
        </w:rPr>
      </w:pPr>
    </w:p>
    <w:p>
      <w:pPr>
        <w:ind w:left="1040" w:hanging="345"/>
        <w:spacing w:after="0"/>
        <w:tabs>
          <w:tab w:leader="none" w:pos="1040"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FAB 2 CONSTRUCTION AGREEMENT</w:t>
      </w:r>
    </w:p>
    <w:p>
      <w:pPr>
        <w:spacing w:after="0" w:line="138" w:lineRule="exact"/>
        <w:rPr>
          <w:rFonts w:ascii="Courier New" w:cs="Courier New" w:eastAsia="Courier New" w:hAnsi="Courier New"/>
          <w:sz w:val="12"/>
          <w:szCs w:val="12"/>
          <w:color w:val="auto"/>
        </w:rPr>
      </w:pPr>
    </w:p>
    <w:p>
      <w:pPr>
        <w:ind w:left="104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August 2000, the Company entered into a fixed price turn-key agreement with a contractor for the design and construction of Fab 2 in consideration of approximately $200,000 subject to the satisfaction of certain performance milestones stipulated in the agreement. As of December 31, 2006, the Company has paid approximately all the amounts payable to the contractor.</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- 37</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December 2000, the Investment Center approved an investment program in connection with Fab 2 for expansion of the Company's plant. The approval certificate for the program provided for a benefit track entitling the Company to investment grants at a rate of 20% of qualified investments of up to $1,250,000, or an aggregate of up to $250,000, of which as of the balance sheet date, an aggregate of $163,362 has been received from the Investment Center. Under the terms of the program, investments in respect of Fab 2 were to be completed by December 31, 2005, five years from the date the approval certificate was obtained. Due to the later than planned construction of Fab 2, market conditions and slower than planned ramp-up, the Company completed approximately 72% of the investments under the approved enterprise program. The Company has been holding discussions with the Investment Center to achieve satisfactory arrangements to approve a new expansion program commencing as of January 1, 2006. As of the approval date of the financial statements, the Company's management cannot estimate when, if at all, the Company will receive approval of its request for a new expansion program.</w:t>
      </w:r>
    </w:p>
    <w:p>
      <w:pPr>
        <w:spacing w:after="0" w:line="262"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Any failure by the Company to meet the conditions of the 2000 approval certificate may result in the cancellation of all or a portion of the grants to be received and tax benefits and in the Investment Center requiring the Company to repay all or a portion of grants already received. Under Israeli law, the Company's non-completion of investments in an amount of $1,250,000 by December 31, 2005 may permit the Investment Center to require the Company to repay all or a portion of grants already received. Management believes that it is improbable that the Investment Center would demand the Company to repay all or a portion of grants already received, or deny investment grants receivable as of December 31, 2005, due to its non-completion of investments in the amount of $1,250,000 by December 31, 2005 - see also Note 16A.</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 WITH THE ILA</w:t>
      </w:r>
    </w:p>
    <w:p>
      <w:pPr>
        <w:spacing w:after="0" w:line="138" w:lineRule="exact"/>
        <w:rPr>
          <w:rFonts w:ascii="Courier New" w:cs="Courier New" w:eastAsia="Courier New" w:hAnsi="Courier New"/>
          <w:sz w:val="12"/>
          <w:szCs w:val="12"/>
          <w:color w:val="auto"/>
        </w:rPr>
      </w:pPr>
    </w:p>
    <w:p>
      <w:pPr>
        <w:ind w:left="1040" w:right="483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w:t>
      </w:r>
    </w:p>
    <w:p>
      <w:pPr>
        <w:spacing w:after="0" w:line="138" w:lineRule="exact"/>
        <w:rPr>
          <w:rFonts w:ascii="Courier New" w:cs="Courier New" w:eastAsia="Courier New" w:hAnsi="Courier New"/>
          <w:sz w:val="12"/>
          <w:szCs w:val="12"/>
          <w:color w:val="auto"/>
        </w:rPr>
      </w:pPr>
    </w:p>
    <w:p>
      <w:pPr>
        <w:ind w:left="104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hedging transactions and agreements of the Company, see Note 18C.</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AGREEMENTS</w:t>
      </w:r>
    </w:p>
    <w:p>
      <w:pPr>
        <w:spacing w:after="0" w:line="138" w:lineRule="exact"/>
        <w:rPr>
          <w:rFonts w:ascii="Courier New" w:cs="Courier New" w:eastAsia="Courier New" w:hAnsi="Courier New"/>
          <w:sz w:val="12"/>
          <w:szCs w:val="12"/>
          <w:color w:val="auto"/>
        </w:rPr>
      </w:pPr>
    </w:p>
    <w:p>
      <w:pPr>
        <w:ind w:left="104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December 31, 2006, the Company had entered into several additional agreements related mainly to the construction, equipping and transfer of technology for Fab 2. The Company's aggregate commitment in connection with these agreements which were not supplied or rendered as of such date amounted to approximately $20,000.</w:t>
      </w:r>
    </w:p>
    <w:p>
      <w:pPr>
        <w:spacing w:after="0" w:line="136" w:lineRule="exact"/>
        <w:rPr>
          <w:sz w:val="20"/>
          <w:szCs w:val="20"/>
          <w:color w:val="auto"/>
        </w:rPr>
      </w:pPr>
    </w:p>
    <w:p>
      <w:pPr>
        <w:ind w:left="1040" w:hanging="345"/>
        <w:spacing w:after="0"/>
        <w:tabs>
          <w:tab w:leader="none" w:pos="1040"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 AGREEMENTS</w:t>
      </w:r>
    </w:p>
    <w:p>
      <w:pPr>
        <w:spacing w:after="0" w:line="138" w:lineRule="exact"/>
        <w:rPr>
          <w:rFonts w:ascii="Courier New" w:cs="Courier New" w:eastAsia="Courier New" w:hAnsi="Courier New"/>
          <w:sz w:val="12"/>
          <w:szCs w:val="12"/>
          <w:color w:val="auto"/>
        </w:rPr>
      </w:pPr>
    </w:p>
    <w:p>
      <w:pPr>
        <w:ind w:left="1400" w:right="4699" w:hanging="354"/>
        <w:spacing w:after="0" w:line="266" w:lineRule="auto"/>
        <w:tabs>
          <w:tab w:leader="none" w:pos="1400" w:val="left"/>
        </w:tabs>
        <w:numPr>
          <w:ilvl w:val="1"/>
          <w:numId w:val="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June 2000, the Company entered into a cross license agreement with a major technology company. According to the agreement, each party acquired a non-exclusive license to</w:t>
      </w:r>
    </w:p>
    <w:p>
      <w:pPr>
        <w:sectPr>
          <w:pgSz w:w="11900" w:h="16838" w:orient="portrait"/>
          <w:cols w:equalWidth="0" w:num="1">
            <w:col w:w="10239"/>
          </w:cols>
          <w:pgMar w:left="220" w:top="137" w:right="1440" w:bottom="0" w:gutter="0" w:footer="0" w:header="0"/>
        </w:sectPr>
      </w:pPr>
    </w:p>
    <w:bookmarkStart w:id="69" w:name="page70"/>
    <w:bookmarkEnd w:id="69"/>
    <w:p>
      <w:pPr>
        <w:ind w:left="1400"/>
        <w:spacing w:after="0"/>
        <w:rPr>
          <w:sz w:val="20"/>
          <w:szCs w:val="20"/>
          <w:color w:val="auto"/>
        </w:rPr>
      </w:pPr>
      <w:r>
        <w:rPr>
          <w:rFonts w:ascii="Courier New" w:cs="Courier New" w:eastAsia="Courier New" w:hAnsi="Courier New"/>
          <w:sz w:val="11"/>
          <w:szCs w:val="11"/>
          <w:color w:val="auto"/>
        </w:rPr>
        <w:t>certain of the other's patents. The Company agreed to pay an</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annual royalty through July 2005. In July 2006, the Company</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extended its cross license agreement with the major</w:t>
      </w:r>
    </w:p>
    <w:p>
      <w:pPr>
        <w:ind w:left="1400"/>
        <w:spacing w:after="0"/>
        <w:rPr>
          <w:sz w:val="20"/>
          <w:szCs w:val="20"/>
          <w:color w:val="auto"/>
        </w:rPr>
      </w:pPr>
      <w:r>
        <w:rPr>
          <w:rFonts w:ascii="Courier New" w:cs="Courier New" w:eastAsia="Courier New" w:hAnsi="Courier New"/>
          <w:sz w:val="12"/>
          <w:szCs w:val="12"/>
          <w:color w:val="auto"/>
        </w:rPr>
        <w:t>technology company until December 2010. According to terms</w:t>
      </w:r>
    </w:p>
    <w:p>
      <w:pPr>
        <w:ind w:left="1400"/>
        <w:spacing w:after="0" w:line="237" w:lineRule="auto"/>
        <w:rPr>
          <w:sz w:val="20"/>
          <w:szCs w:val="20"/>
          <w:color w:val="auto"/>
        </w:rPr>
      </w:pPr>
      <w:r>
        <w:rPr>
          <w:rFonts w:ascii="Courier New" w:cs="Courier New" w:eastAsia="Courier New" w:hAnsi="Courier New"/>
          <w:sz w:val="12"/>
          <w:szCs w:val="12"/>
          <w:color w:val="auto"/>
        </w:rPr>
        <w:t>of the new agreement, each party acquired a non-exclusive</w:t>
      </w:r>
    </w:p>
    <w:p>
      <w:pPr>
        <w:ind w:left="1400"/>
        <w:spacing w:after="0"/>
        <w:rPr>
          <w:sz w:val="20"/>
          <w:szCs w:val="20"/>
          <w:color w:val="auto"/>
        </w:rPr>
      </w:pPr>
      <w:r>
        <w:rPr>
          <w:rFonts w:ascii="Courier New" w:cs="Courier New" w:eastAsia="Courier New" w:hAnsi="Courier New"/>
          <w:sz w:val="12"/>
          <w:szCs w:val="12"/>
          <w:color w:val="auto"/>
        </w:rPr>
        <w:t>license to certain of the other's patents, and the Company</w:t>
      </w:r>
    </w:p>
    <w:p>
      <w:pPr>
        <w:ind w:left="1400"/>
        <w:spacing w:after="0" w:line="237" w:lineRule="auto"/>
        <w:rPr>
          <w:sz w:val="20"/>
          <w:szCs w:val="20"/>
          <w:color w:val="auto"/>
        </w:rPr>
      </w:pPr>
      <w:r>
        <w:rPr>
          <w:rFonts w:ascii="Courier New" w:cs="Courier New" w:eastAsia="Courier New" w:hAnsi="Courier New"/>
          <w:sz w:val="12"/>
          <w:szCs w:val="12"/>
          <w:color w:val="auto"/>
        </w:rPr>
        <w:t>agreed to pay an annual royalty through 2010.</w:t>
      </w:r>
    </w:p>
    <w:p>
      <w:pPr>
        <w:spacing w:after="0" w:line="139" w:lineRule="exact"/>
        <w:rPr>
          <w:sz w:val="20"/>
          <w:szCs w:val="20"/>
          <w:color w:val="auto"/>
        </w:rPr>
      </w:pPr>
    </w:p>
    <w:p>
      <w:pPr>
        <w:ind w:left="1400" w:right="4619" w:hanging="354"/>
        <w:spacing w:after="0" w:line="261" w:lineRule="auto"/>
        <w:tabs>
          <w:tab w:leader="none" w:pos="1400" w:val="left"/>
        </w:tabs>
        <w:numPr>
          <w:ilvl w:val="0"/>
          <w:numId w:val="97"/>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In April 2005, the Japanese semiconductor manufacturer corporation elected, and the Company agreed, to cease the joint development of certain technology and to terminate the agreement. However, the license rights granted to the parties continue pursuant to the terms of the May 2002 agreement. According to the terms of the termination agreement, the Japanese manufacturer paid the Company an amount of $2,500 in 2005. In addition, each party expressly released the other party from any obligations or liabilities of any nature in connection with the original agreement. Revenues for 2005 and 2004 include $8,000 and $1,944, respectively, in relation to this agreement.</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- 39</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 AGREEMENTS (cont.)</w:t>
      </w:r>
    </w:p>
    <w:p>
      <w:pPr>
        <w:spacing w:after="0" w:line="138" w:lineRule="exact"/>
        <w:rPr>
          <w:rFonts w:ascii="Courier New" w:cs="Courier New" w:eastAsia="Courier New" w:hAnsi="Courier New"/>
          <w:sz w:val="12"/>
          <w:szCs w:val="12"/>
          <w:color w:val="auto"/>
        </w:rPr>
      </w:pPr>
    </w:p>
    <w:p>
      <w:pPr>
        <w:ind w:left="1040" w:right="4699" w:hanging="345"/>
        <w:spacing w:after="0" w:line="261" w:lineRule="auto"/>
        <w:tabs>
          <w:tab w:leader="none" w:pos="1040" w:val="left"/>
        </w:tabs>
        <w:numPr>
          <w:ilvl w:val="1"/>
          <w:numId w:val="98"/>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October 1997 the Company and Saifun Semiconductors Ltd ("Saifun") entered into an agreement for certain exclusive semiconductor manufacturing rights on certain licensed technology. The agreement set certain limitations on Saifun regarding future licensing of such technology. Pursuant to certain provisions of the agreement, the Company and Saifun were obligated to pay each other royalties. The agreement was terminated in 2006, with the signing of a new agreement, according to which, among other things, Saifun extended the term of the license granted to the Company for certain licensed technology. Pursuant to certain provisions of the agreement, the Company and Saifun are obligated to pay each other royalties.</w:t>
      </w:r>
    </w:p>
    <w:p>
      <w:pPr>
        <w:spacing w:after="0" w:line="265" w:lineRule="exact"/>
        <w:rPr>
          <w:rFonts w:ascii="Courier New" w:cs="Courier New" w:eastAsia="Courier New" w:hAnsi="Courier New"/>
          <w:sz w:val="11"/>
          <w:szCs w:val="11"/>
          <w:color w:val="auto"/>
        </w:rPr>
      </w:pPr>
    </w:p>
    <w:p>
      <w:pPr>
        <w:ind w:left="1040" w:right="4619" w:hanging="345"/>
        <w:spacing w:after="0" w:line="263" w:lineRule="auto"/>
        <w:tabs>
          <w:tab w:leader="none" w:pos="1040" w:val="left"/>
        </w:tabs>
        <w:numPr>
          <w:ilvl w:val="1"/>
          <w:numId w:val="9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Company from time to time enters into intellectual property and licensing agreements with third parties. The effect of each of them on the Company's total assets and results of operations is immaterial. Certain of these agreements call for royalties to be paid by the Company to these third parties. See also Note 10A.</w:t>
      </w:r>
    </w:p>
    <w:p>
      <w:pPr>
        <w:spacing w:after="0" w:line="123" w:lineRule="exact"/>
        <w:rPr>
          <w:rFonts w:ascii="Courier New" w:cs="Courier New" w:eastAsia="Courier New" w:hAnsi="Courier New"/>
          <w:sz w:val="11"/>
          <w:szCs w:val="11"/>
          <w:color w:val="auto"/>
        </w:rPr>
      </w:pPr>
    </w:p>
    <w:p>
      <w:pPr>
        <w:ind w:left="700" w:hanging="357"/>
        <w:spacing w:after="0"/>
        <w:tabs>
          <w:tab w:leader="none" w:pos="700"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LEASES</w:t>
      </w:r>
    </w:p>
    <w:p>
      <w:pPr>
        <w:spacing w:after="0" w:line="138" w:lineRule="exact"/>
        <w:rPr>
          <w:rFonts w:ascii="Courier New" w:cs="Courier New" w:eastAsia="Courier New" w:hAnsi="Courier New"/>
          <w:sz w:val="12"/>
          <w:szCs w:val="12"/>
          <w:color w:val="auto"/>
        </w:rPr>
      </w:pPr>
    </w:p>
    <w:p>
      <w:pPr>
        <w:ind w:left="1040" w:right="4619" w:hanging="345"/>
        <w:spacing w:after="0" w:line="237" w:lineRule="auto"/>
        <w:tabs>
          <w:tab w:leader="none" w:pos="1040" w:val="left"/>
        </w:tabs>
        <w:numPr>
          <w:ilvl w:val="1"/>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41" w:lineRule="exact"/>
        <w:rPr>
          <w:rFonts w:ascii="Courier New" w:cs="Courier New" w:eastAsia="Courier New" w:hAnsi="Courier New"/>
          <w:sz w:val="12"/>
          <w:szCs w:val="12"/>
          <w:color w:val="auto"/>
        </w:rPr>
      </w:pPr>
    </w:p>
    <w:p>
      <w:pPr>
        <w:ind w:left="1040" w:right="4699" w:hanging="345"/>
        <w:spacing w:after="0" w:line="235" w:lineRule="auto"/>
        <w:tabs>
          <w:tab w:leader="none" w:pos="1040" w:val="left"/>
        </w:tabs>
        <w:numPr>
          <w:ilvl w:val="1"/>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 long-term lease agreement of land on which Fab 2 was constructed, see paragraph A(9) above.</w:t>
      </w:r>
    </w:p>
    <w:p>
      <w:pPr>
        <w:spacing w:after="0" w:line="139" w:lineRule="exact"/>
        <w:rPr>
          <w:rFonts w:ascii="Courier New" w:cs="Courier New" w:eastAsia="Courier New" w:hAnsi="Courier New"/>
          <w:sz w:val="12"/>
          <w:szCs w:val="12"/>
          <w:color w:val="auto"/>
        </w:rPr>
      </w:pPr>
    </w:p>
    <w:p>
      <w:pPr>
        <w:ind w:left="1040" w:right="4979" w:hanging="345"/>
        <w:spacing w:after="0" w:line="236" w:lineRule="auto"/>
        <w:tabs>
          <w:tab w:leader="none" w:pos="1040" w:val="left"/>
        </w:tabs>
        <w:numPr>
          <w:ilvl w:val="1"/>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occupies certain other premises under various operating leases. The obligations under such leases were not material as of December 31, 2006.</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PRINCIPAL AGREEMENTS</w:t>
      </w:r>
    </w:p>
    <w:p>
      <w:pPr>
        <w:spacing w:after="0" w:line="138" w:lineRule="exact"/>
        <w:rPr>
          <w:rFonts w:ascii="Courier New" w:cs="Courier New" w:eastAsia="Courier New" w:hAnsi="Courier New"/>
          <w:sz w:val="12"/>
          <w:szCs w:val="12"/>
          <w:color w:val="auto"/>
        </w:rPr>
      </w:pPr>
    </w:p>
    <w:p>
      <w:pPr>
        <w:ind w:left="1040" w:right="4699" w:hanging="345"/>
        <w:spacing w:after="0" w:line="264" w:lineRule="auto"/>
        <w:tabs>
          <w:tab w:leader="none" w:pos="1040" w:val="left"/>
        </w:tabs>
        <w:numPr>
          <w:ilvl w:val="1"/>
          <w:numId w:val="1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Company, from time to time in the ordinary course of business, enters into long-term agreements with various entities for the joint development of products and processes utilizing technologies owned by both the other entities and the Company.</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- 40</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PRINCIPAL AGREEMENTS (cont.)</w:t>
      </w:r>
    </w:p>
    <w:p>
      <w:pPr>
        <w:spacing w:after="0" w:line="138" w:lineRule="exact"/>
        <w:rPr>
          <w:rFonts w:ascii="Courier New" w:cs="Courier New" w:eastAsia="Courier New" w:hAnsi="Courier New"/>
          <w:sz w:val="12"/>
          <w:szCs w:val="12"/>
          <w:color w:val="auto"/>
        </w:rPr>
      </w:pPr>
    </w:p>
    <w:p>
      <w:pPr>
        <w:ind w:left="1040" w:right="4619" w:hanging="345"/>
        <w:spacing w:after="0" w:line="260" w:lineRule="auto"/>
        <w:tabs>
          <w:tab w:leader="none" w:pos="1040" w:val="left"/>
        </w:tabs>
        <w:numPr>
          <w:ilvl w:val="1"/>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SILICONIX - In May 2004, the Company and chip maker Siliconix incorporated ("Siliconix"), a wholly-owned subsidiary of Vishay Intertechnology Inc., entered into a definitive long-term foundry agreement for semiconductor manufacturing. Pursuant to the agreement, Siliconix will place with the Company orders valued at approximately $200,000 for the purchase of wafers to be manufactured in the Company's Fab 1 over a seven to ten year period. Approximately $53,000 of that amount will be delivered over an initial three-year period commencing the second quarter of 2005 (the date on which the transfer of Siliconix's technology to Fab 1 was completed). According to the agreement, in August 2004 Siliconix advanced the Company $20,000 to be used primarily for the purchase of additional equipment required to satisfy Siliconix's orders. The advanced amount is credited towards the purchase price of wafers. The unused remaining balance of the $20,000 ($9,631 as of December 31, 2005, none as of December 31, 2006) was included as of December 31, 2005 in designated cash and short-term interest-bearing deposits in the balance sheet. The Company registered liens in favor of Siliconix on the bank account in which the $20,000 was deposited and over the equipment purchased in connection with the transaction.</w:t>
      </w:r>
    </w:p>
    <w:p>
      <w:pPr>
        <w:spacing w:after="0" w:line="272" w:lineRule="exact"/>
        <w:rPr>
          <w:rFonts w:ascii="Courier New" w:cs="Courier New" w:eastAsia="Courier New" w:hAnsi="Courier New"/>
          <w:sz w:val="11"/>
          <w:szCs w:val="11"/>
          <w:color w:val="auto"/>
        </w:rPr>
      </w:pPr>
    </w:p>
    <w:p>
      <w:pPr>
        <w:ind w:left="1040" w:right="4699" w:hanging="345"/>
        <w:spacing w:after="0" w:line="262" w:lineRule="auto"/>
        <w:tabs>
          <w:tab w:leader="none" w:pos="1040" w:val="left"/>
        </w:tabs>
        <w:numPr>
          <w:ilvl w:val="1"/>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SANDISK CORPORATION - In August 2006, the Company signed an agreement with SanDisk Corporation ("SanDisk"), one of its wafer partners, to invest in the expansion of its 0.13 micron manufacturing capacity. SanDisk committed to purchase, upon such expansion, volume quantities of 0.13 micron wafers during 2007 and 2008 and will have a right of first refusal on the use of this extra capacity in 2009. The Company and SanDisk also signed</w:t>
      </w:r>
    </w:p>
    <w:p>
      <w:pPr>
        <w:sectPr>
          <w:pgSz w:w="11900" w:h="16838" w:orient="portrait"/>
          <w:cols w:equalWidth="0" w:num="1">
            <w:col w:w="10239"/>
          </w:cols>
          <w:pgMar w:left="220" w:top="141" w:right="1440" w:bottom="0" w:gutter="0" w:footer="0" w:header="0"/>
        </w:sectPr>
      </w:pPr>
    </w:p>
    <w:bookmarkStart w:id="70" w:name="page71"/>
    <w:bookmarkEnd w:id="70"/>
    <w:p>
      <w:pPr>
        <w:ind w:left="1040"/>
        <w:spacing w:after="0"/>
        <w:rPr>
          <w:sz w:val="20"/>
          <w:szCs w:val="20"/>
          <w:color w:val="auto"/>
        </w:rPr>
      </w:pPr>
      <w:r>
        <w:rPr>
          <w:rFonts w:ascii="Courier New" w:cs="Courier New" w:eastAsia="Courier New" w:hAnsi="Courier New"/>
          <w:sz w:val="12"/>
          <w:szCs w:val="12"/>
          <w:color w:val="auto"/>
        </w:rPr>
        <w:t>a Loan Agreement under which the Company was entitled to borrow</w:t>
      </w:r>
    </w:p>
    <w:p>
      <w:pPr>
        <w:ind w:left="1040"/>
        <w:spacing w:after="0"/>
        <w:rPr>
          <w:sz w:val="20"/>
          <w:szCs w:val="20"/>
          <w:color w:val="auto"/>
        </w:rPr>
      </w:pPr>
      <w:r>
        <w:rPr>
          <w:rFonts w:ascii="Courier New" w:cs="Courier New" w:eastAsia="Courier New" w:hAnsi="Courier New"/>
          <w:sz w:val="12"/>
          <w:szCs w:val="12"/>
          <w:color w:val="auto"/>
        </w:rPr>
        <w:t>funds not to exceed, in the aggregate, the principal amount of</w:t>
      </w:r>
    </w:p>
    <w:p>
      <w:pPr>
        <w:ind w:left="1040"/>
        <w:spacing w:after="0" w:line="237" w:lineRule="auto"/>
        <w:rPr>
          <w:sz w:val="20"/>
          <w:szCs w:val="20"/>
          <w:color w:val="auto"/>
        </w:rPr>
      </w:pPr>
      <w:r>
        <w:rPr>
          <w:rFonts w:ascii="Courier New" w:cs="Courier New" w:eastAsia="Courier New" w:hAnsi="Courier New"/>
          <w:sz w:val="12"/>
          <w:szCs w:val="12"/>
          <w:color w:val="auto"/>
        </w:rPr>
        <w:t>approximately $10,000 from SanDisk for the purpose of financing</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purchase of the equipment needed for said expansion. The loan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will be repaid with interest on the amounts outstanding at any</w:t>
      </w:r>
    </w:p>
    <w:p>
      <w:pPr>
        <w:ind w:left="1040"/>
        <w:spacing w:after="0"/>
        <w:rPr>
          <w:sz w:val="20"/>
          <w:szCs w:val="20"/>
          <w:color w:val="auto"/>
        </w:rPr>
      </w:pPr>
      <w:r>
        <w:rPr>
          <w:rFonts w:ascii="Courier New" w:cs="Courier New" w:eastAsia="Courier New" w:hAnsi="Courier New"/>
          <w:sz w:val="12"/>
          <w:szCs w:val="12"/>
          <w:color w:val="auto"/>
        </w:rPr>
        <w:t>time under the loan at LIBOR plus 1.1% over eight consecutive</w:t>
      </w:r>
    </w:p>
    <w:p>
      <w:pPr>
        <w:ind w:left="1040"/>
        <w:spacing w:after="0" w:line="237" w:lineRule="auto"/>
        <w:rPr>
          <w:sz w:val="20"/>
          <w:szCs w:val="20"/>
          <w:color w:val="auto"/>
        </w:rPr>
      </w:pPr>
      <w:r>
        <w:rPr>
          <w:rFonts w:ascii="Courier New" w:cs="Courier New" w:eastAsia="Courier New" w:hAnsi="Courier New"/>
          <w:sz w:val="12"/>
          <w:szCs w:val="12"/>
          <w:color w:val="auto"/>
        </w:rPr>
        <w:t>quarters. Pursuant to the agreement, in order to secure the</w:t>
      </w:r>
    </w:p>
    <w:p>
      <w:pPr>
        <w:ind w:left="1040"/>
        <w:spacing w:after="0"/>
        <w:rPr>
          <w:sz w:val="20"/>
          <w:szCs w:val="20"/>
          <w:color w:val="auto"/>
        </w:rPr>
      </w:pPr>
      <w:r>
        <w:rPr>
          <w:rFonts w:ascii="Courier New" w:cs="Courier New" w:eastAsia="Courier New" w:hAnsi="Courier New"/>
          <w:sz w:val="12"/>
          <w:szCs w:val="12"/>
          <w:color w:val="auto"/>
        </w:rPr>
        <w:t>repayment of the loan, SanDisk has been granted a first ranking</w:t>
      </w:r>
    </w:p>
    <w:p>
      <w:pPr>
        <w:ind w:left="1040"/>
        <w:spacing w:after="0" w:line="237" w:lineRule="auto"/>
        <w:rPr>
          <w:sz w:val="20"/>
          <w:szCs w:val="20"/>
          <w:color w:val="auto"/>
        </w:rPr>
      </w:pPr>
      <w:r>
        <w:rPr>
          <w:rFonts w:ascii="Courier New" w:cs="Courier New" w:eastAsia="Courier New" w:hAnsi="Courier New"/>
          <w:sz w:val="12"/>
          <w:szCs w:val="12"/>
          <w:color w:val="auto"/>
        </w:rPr>
        <w:t>charge on the equipment purchased therewith. As of the balance</w:t>
      </w:r>
    </w:p>
    <w:p>
      <w:pPr>
        <w:ind w:left="1040"/>
        <w:spacing w:after="0"/>
        <w:rPr>
          <w:sz w:val="20"/>
          <w:szCs w:val="20"/>
          <w:color w:val="auto"/>
        </w:rPr>
      </w:pPr>
      <w:r>
        <w:rPr>
          <w:rFonts w:ascii="Courier New" w:cs="Courier New" w:eastAsia="Courier New" w:hAnsi="Courier New"/>
          <w:sz w:val="12"/>
          <w:szCs w:val="12"/>
          <w:color w:val="auto"/>
        </w:rPr>
        <w:t>sheet date the entire approximately $10,000 loan was received.</w:t>
      </w:r>
    </w:p>
    <w:p>
      <w:pPr>
        <w:spacing w:after="0" w:line="134" w:lineRule="exact"/>
        <w:rPr>
          <w:sz w:val="20"/>
          <w:szCs w:val="20"/>
          <w:color w:val="auto"/>
        </w:rPr>
      </w:pPr>
    </w:p>
    <w:p>
      <w:pPr>
        <w:ind w:left="700" w:hanging="357"/>
        <w:spacing w:after="0"/>
        <w:tabs>
          <w:tab w:leader="none" w:pos="700"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ENVIRONMENTAL AFFAIRS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operations of the Company's facilities and these permits and licenses are subject to revocation, modification and renewal. Government authorities have the power to enforce compliance with these regulations, permits and licenses. As of the approval date of the financial statements, the Company was in compliance with the terms of the permits and licenses.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- 41</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CLASS ACTION</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June 2006, the United States Court of Appeals for the Second Circuit affirmed the August 2004 decision of the United States District Court for the Southern District of New York to dismiss the class action suit filed in July 2003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District Court accepted the motion to dismiss filed on behalf of the defendants and noted that the Company's status as a foreign private issuer exempts the Company, its directors and controlling shareholders, from liability under the proxy rules of Section 14(a) of the Securities Exchange Act.</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TO ISRAELI BANKING REGULATIONS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Pursuant to an amendment to a directive published by the Israel Supervisor of Banks, effective March 31, 2004, the Company may be deemed part of a group of borrowers comprised of the Ofer Brothers Group, TIC,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the Company's Banks exceed these limitations, they may limit the Company's ability to borrow other money in the future and may require the Company to return some or all of the outstanding borrowings (which were approximately $369,000 as of the approval date of the financial statements). As of the approval date of the financial statements, the Company had received no such request.</w:t>
      </w:r>
    </w:p>
    <w:p>
      <w:pPr>
        <w:spacing w:after="0" w:line="26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COMMITMENTS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2006. In regard to investment center grants see Note 11A(8).</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w:t>
      </w:r>
    </w:p>
    <w:p>
      <w:pPr>
        <w:spacing w:after="0" w:line="134" w:lineRule="exact"/>
        <w:rPr>
          <w:sz w:val="20"/>
          <w:szCs w:val="20"/>
          <w:color w:val="auto"/>
        </w:rPr>
      </w:pPr>
    </w:p>
    <w:p>
      <w:pPr>
        <w:ind w:left="700" w:hanging="357"/>
        <w:spacing w:after="0"/>
        <w:tabs>
          <w:tab w:leader="none" w:pos="700"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DESCRIPTION OF ORDINARY SHARES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of December 31, 2006 and 2005, the Company had 800,000,000 and 500,000,000 authorized Ordinary Shares, respectively, par value NIS 1.00 each, of which 100,752,767 and 66,932,056, respectively, were issued and outstanding (net of 1,300,000 Ordinary Shares held by the Company as of such dates). As of the balance sheet date, there were 214,920,136 Ordinary Shares of the Company contingently issuable. This amount includes Ordinary Shares to be issued under various agreements according to their provisions related certain Wafer Partners, see Note 11A(3), Equity Investor warrants, see B(5)(b) below the exercise of outstanding warrants, see J and K below, or options granted to employees and non-employees, see B(1) below, the conversion of all outstanding convertible debentures, see Note 9 above and the exercise of all capital notes, see C below. 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25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w:t>
      </w:r>
    </w:p>
    <w:p>
      <w:pPr>
        <w:spacing w:after="0" w:line="139" w:lineRule="exact"/>
        <w:rPr>
          <w:rFonts w:ascii="Courier New" w:cs="Courier New" w:eastAsia="Courier New" w:hAnsi="Courier New"/>
          <w:sz w:val="12"/>
          <w:szCs w:val="12"/>
          <w:color w:val="auto"/>
        </w:rPr>
      </w:pPr>
    </w:p>
    <w:p>
      <w:pPr>
        <w:ind w:left="1400" w:right="4619" w:hanging="354"/>
        <w:spacing w:after="0" w:line="262" w:lineRule="auto"/>
        <w:tabs>
          <w:tab w:leader="none" w:pos="1400" w:val="left"/>
        </w:tabs>
        <w:numPr>
          <w:ilvl w:val="2"/>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GENERAL - The Company has granted to its employees options to purchase its Ordinary Shares under several option plans adopted by the Company since 1995. The particular provisions of each plan and grant vary as to vesting period, exercise price, exercise period and other terms. Generally, the options are granted at an exercise price which equals the market value of the Ordinary Shares at the date of grant;</w:t>
      </w:r>
    </w:p>
    <w:p>
      <w:pPr>
        <w:sectPr>
          <w:pgSz w:w="11900" w:h="16838" w:orient="portrait"/>
          <w:cols w:equalWidth="0" w:num="1">
            <w:col w:w="10239"/>
          </w:cols>
          <w:pgMar w:left="220" w:top="137" w:right="1440" w:bottom="0" w:gutter="0" w:footer="0" w:header="0"/>
        </w:sectPr>
      </w:pPr>
    </w:p>
    <w:bookmarkStart w:id="71" w:name="page72"/>
    <w:bookmarkEnd w:id="71"/>
    <w:p>
      <w:pPr>
        <w:ind w:left="1400"/>
        <w:spacing w:after="0"/>
        <w:rPr>
          <w:sz w:val="20"/>
          <w:szCs w:val="20"/>
          <w:color w:val="auto"/>
        </w:rPr>
      </w:pPr>
      <w:r>
        <w:rPr>
          <w:rFonts w:ascii="Courier New" w:cs="Courier New" w:eastAsia="Courier New" w:hAnsi="Courier New"/>
          <w:sz w:val="12"/>
          <w:szCs w:val="12"/>
          <w:color w:val="auto"/>
        </w:rPr>
        <w:t>vest over a three to four-year period according to various</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vesting schedules; and are not exercisable beyond ten years</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from the grant date.</w:t>
      </w:r>
    </w:p>
    <w:p>
      <w:pPr>
        <w:spacing w:after="0" w:line="139" w:lineRule="exact"/>
        <w:rPr>
          <w:sz w:val="20"/>
          <w:szCs w:val="20"/>
          <w:color w:val="auto"/>
        </w:rPr>
      </w:pPr>
    </w:p>
    <w:p>
      <w:pPr>
        <w:ind w:left="1400" w:right="4619" w:hanging="354"/>
        <w:spacing w:after="0" w:line="260" w:lineRule="auto"/>
        <w:tabs>
          <w:tab w:leader="none" w:pos="1400" w:val="left"/>
        </w:tabs>
        <w:numPr>
          <w:ilvl w:val="0"/>
          <w:numId w:val="105"/>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TO THE NEW CHAIRMAN OF THE COMPANY'S BOARD OF DIRECTORS - In December 2006, the Audit Committee and Board of Directors of the Company approved the appointment of a new Chairman to the Board of Directors of the Company and approved to grant him options to purchase 3,158,090 Ordinary Shares of the Company, which constituted one per cent (1.0%) of the Company's issued and outstanding share capital on a fully diluted basis as of December 20, 2006, the date the Board of Directors approved the grant. The exercise price is $1.88, which was the closing price of the Company's Ordinary Shares on the NASDAQ Global Market on the trading day immediately prior to the date of approval of the grant by the Shareholders of the Company. The options shall vest over 4 years as follows: 25% will vest on the 12 month anniversary of the shareholders approval date and 6.25% will vest on each 3 month anniversary of the first vesting date until fully vested. The options grant to the new chairman of the Board of Directors was approved by the Shareholders of the Company in January 2007. As of December 31, 2006, no compensation expense was incurred by the Company in connection with the option grant.</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4619" w:hanging="354"/>
        <w:spacing w:after="0" w:line="238" w:lineRule="auto"/>
        <w:tabs>
          <w:tab w:leader="none" w:pos="1400" w:val="left"/>
        </w:tabs>
        <w:numPr>
          <w:ilvl w:val="2"/>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TO THE COMPANY'S CHIEF EXECUTIVE OFFICER AND DIRECTOR - In April 2005, the Company's Board of Directors approved the grant of options to purchase up to 1,325,724 Ordinary Shares to the Company's Chief Executive Officer ("CEO"), who also serves as a director, which was further approved by the Company's shareholders in October 2005. These options are exercisable at an exercise price of $1.56, which was the closing market price of the Company's shares on the last trading day prior to the board approval of the grant. These options will vest over a four-year period, with 25% vesting over each year of employment. The options granted are exercisable for a period of ten years from the date of grant.</w:t>
      </w:r>
    </w:p>
    <w:p>
      <w:pPr>
        <w:spacing w:after="0" w:line="139" w:lineRule="exact"/>
        <w:rPr>
          <w:rFonts w:ascii="Courier New" w:cs="Courier New" w:eastAsia="Courier New" w:hAnsi="Courier New"/>
          <w:sz w:val="12"/>
          <w:szCs w:val="12"/>
          <w:color w:val="auto"/>
        </w:rPr>
      </w:pPr>
    </w:p>
    <w:p>
      <w:pPr>
        <w:ind w:left="14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May 2006, the Company's Audit Committee and Board of Directors approved the grant of options to the CEO, in addition to the options granted to him in 2005, such that in total, the CEO will hold options to purchase shares that represent 4% of the Company's shares on a fully diluted basis during the two-year period from the approval of the Audit Committee. The exercise price of the initial grant of the additional options was $1.45, the 90-day average closing price of the Company's shares prior to the Board of Directors' approval. In future dilutive events following May 2006, additional options will be granted to the CEO with an exercise price equal to the price per share of the newly issued securities. Under certain circumstances, the exercise price will equal the 30-day average closing price of the Company's shares prior to the dilutive event. The additional options granted during the two-year period, will vest in equal amounts over 4 years of employment commencing from May 2006. Any decrease in the Company's shares on a fully diluted basis during the two-year period from the approval of the Audit Committee will be followed by the cancellation of the corresponding options granted to the CEO. The options will be exercisable for a period of 10 years from the date of grant. No additional options will be granted under the CEO's 2005 option arrangement, which was approved by the Company's shareholders in October 2005. The new grant of options and its terms were approved by the Company's shareholders in September 2006. As of the balance sheet date, a total of 12,714,657 options were outstanding to the CEO. The cost of the total options granted to the CEO was determined based on the fair value at the grant dates in accordance with Standard No. 24 and amounted to $10,309. Such amount is expensed on an accelerated basis over the vesting periods of the options.</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4619" w:hanging="354"/>
        <w:spacing w:after="0" w:line="238" w:lineRule="auto"/>
        <w:tabs>
          <w:tab w:leader="none" w:pos="1400" w:val="left"/>
        </w:tabs>
        <w:numPr>
          <w:ilvl w:val="2"/>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OPTIONS - In May 2006, the Company's board of directors approved a plan to offer each of the Company's employees the opportunity to exchange their existing options to purchase Ordinary Shares for new options with an exercise price of $1.45, which is the average closing price of the Company's shares on the NASDAQ during the 90 consecutive trading days prior to the board of directors' approval. Accordingly 4,299,250 options were exchanged. The new options were granted based on terms similar to the existing employee option plan with new vesting periods, starting May 2006. The cost of the new options was determined based on the fair value at the grant dates in accordance with Standard No. 24 and amounted to $1,726. Such amount is amortized as an expense on an accelerated basis over the vesting periods of the new options.</w:t>
      </w:r>
    </w:p>
    <w:p>
      <w:pPr>
        <w:sectPr>
          <w:pgSz w:w="11900" w:h="16838" w:orient="portrait"/>
          <w:cols w:equalWidth="0" w:num="1">
            <w:col w:w="10239"/>
          </w:cols>
          <w:pgMar w:left="220" w:top="137" w:right="1440" w:bottom="0" w:gutter="0" w:footer="0" w:header="0"/>
        </w:sectPr>
      </w:pPr>
    </w:p>
    <w:bookmarkStart w:id="72" w:name="page73"/>
    <w:bookmarkEnd w:id="72"/>
    <w:p>
      <w:pPr>
        <w:ind w:left="1400"/>
        <w:spacing w:after="0"/>
        <w:rPr>
          <w:sz w:val="20"/>
          <w:szCs w:val="20"/>
          <w:color w:val="auto"/>
        </w:rPr>
      </w:pPr>
      <w:r>
        <w:rPr>
          <w:rFonts w:ascii="Courier New" w:cs="Courier New" w:eastAsia="Courier New" w:hAnsi="Courier New"/>
          <w:sz w:val="12"/>
          <w:szCs w:val="12"/>
          <w:color w:val="auto"/>
        </w:rPr>
        <w:t>The Board of Directors further approved that if the total</w:t>
      </w:r>
    </w:p>
    <w:p>
      <w:pPr>
        <w:ind w:left="1400"/>
        <w:spacing w:after="0"/>
        <w:rPr>
          <w:sz w:val="20"/>
          <w:szCs w:val="20"/>
          <w:color w:val="auto"/>
        </w:rPr>
      </w:pPr>
      <w:r>
        <w:rPr>
          <w:rFonts w:ascii="Courier New" w:cs="Courier New" w:eastAsia="Courier New" w:hAnsi="Courier New"/>
          <w:sz w:val="12"/>
          <w:szCs w:val="12"/>
          <w:color w:val="auto"/>
        </w:rPr>
        <w:t>number of employee options, including the options to the</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CEO, during the two-year period from May 2006 will represent</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less than 8% of the Company's shares on a fully diluted</w:t>
      </w:r>
    </w:p>
    <w:p>
      <w:pPr>
        <w:ind w:left="1400"/>
        <w:spacing w:after="0"/>
        <w:rPr>
          <w:sz w:val="20"/>
          <w:szCs w:val="20"/>
          <w:color w:val="auto"/>
        </w:rPr>
      </w:pPr>
      <w:r>
        <w:rPr>
          <w:rFonts w:ascii="Courier New" w:cs="Courier New" w:eastAsia="Courier New" w:hAnsi="Courier New"/>
          <w:sz w:val="12"/>
          <w:szCs w:val="12"/>
          <w:color w:val="auto"/>
        </w:rPr>
        <w:t>basis, additional options will be allocated for grants to</w:t>
      </w:r>
    </w:p>
    <w:p>
      <w:pPr>
        <w:ind w:left="1400"/>
        <w:spacing w:after="0" w:line="237" w:lineRule="auto"/>
        <w:rPr>
          <w:sz w:val="20"/>
          <w:szCs w:val="20"/>
          <w:color w:val="auto"/>
        </w:rPr>
      </w:pPr>
      <w:r>
        <w:rPr>
          <w:rFonts w:ascii="Courier New" w:cs="Courier New" w:eastAsia="Courier New" w:hAnsi="Courier New"/>
          <w:sz w:val="12"/>
          <w:szCs w:val="12"/>
          <w:color w:val="auto"/>
        </w:rPr>
        <w:t>the Company's employees. As of the balance sheet date,</w:t>
      </w:r>
    </w:p>
    <w:p>
      <w:pPr>
        <w:ind w:left="1400"/>
        <w:spacing w:after="0"/>
        <w:rPr>
          <w:sz w:val="20"/>
          <w:szCs w:val="20"/>
          <w:color w:val="auto"/>
        </w:rPr>
      </w:pPr>
      <w:r>
        <w:rPr>
          <w:rFonts w:ascii="Courier New" w:cs="Courier New" w:eastAsia="Courier New" w:hAnsi="Courier New"/>
          <w:sz w:val="12"/>
          <w:szCs w:val="12"/>
          <w:color w:val="auto"/>
        </w:rPr>
        <w:t>approximately 2,195,000 options are reserved for future</w:t>
      </w:r>
    </w:p>
    <w:p>
      <w:pPr>
        <w:ind w:left="1400"/>
        <w:spacing w:after="0" w:line="237" w:lineRule="auto"/>
        <w:rPr>
          <w:sz w:val="20"/>
          <w:szCs w:val="20"/>
          <w:color w:val="auto"/>
        </w:rPr>
      </w:pPr>
      <w:r>
        <w:rPr>
          <w:rFonts w:ascii="Courier New" w:cs="Courier New" w:eastAsia="Courier New" w:hAnsi="Courier New"/>
          <w:sz w:val="12"/>
          <w:szCs w:val="12"/>
          <w:color w:val="auto"/>
        </w:rPr>
        <w:t>grant of options to employees.</w:t>
      </w:r>
    </w:p>
    <w:p>
      <w:pPr>
        <w:spacing w:after="0" w:line="139" w:lineRule="exact"/>
        <w:rPr>
          <w:sz w:val="20"/>
          <w:szCs w:val="20"/>
          <w:color w:val="auto"/>
        </w:rPr>
      </w:pPr>
    </w:p>
    <w:p>
      <w:pPr>
        <w:ind w:left="1400" w:right="4619" w:hanging="354"/>
        <w:spacing w:after="0" w:line="261" w:lineRule="auto"/>
        <w:tabs>
          <w:tab w:leader="none" w:pos="1400"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GRANTED TO DIRECTORS - During 2001, the Audit Committee, the Board of Directors of the Company and the shareholders of the Company approved a stock option plan pursuant to which certain of the Company's directors will be granted options to purchase up to 400,000 Ordinary Shares of the Company (40,000 to each eligible director appointed to the Board of Directors) at an exercise price equal to the market price of the Company's shares on the grant dates. In accordance with this option plan, 40,000 options were granted in 2006 to one director who was appointed in 2006 at exercise prices of $1.47, which equals the market price of the Company's shares on the grant date. As of both December 31, 2006 and December 31, 2005, 280,000 options were outstanding under the plan with a weighted average exercise price of $4.33 and $5.39, respectively.</w:t>
      </w:r>
    </w:p>
    <w:p>
      <w:pPr>
        <w:spacing w:after="0" w:line="128" w:lineRule="exact"/>
        <w:rPr>
          <w:rFonts w:ascii="Courier New" w:cs="Courier New" w:eastAsia="Courier New" w:hAnsi="Courier New"/>
          <w:sz w:val="11"/>
          <w:szCs w:val="11"/>
          <w:color w:val="auto"/>
        </w:rPr>
      </w:pPr>
    </w:p>
    <w:p>
      <w:pPr>
        <w:ind w:left="1400" w:right="469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Options granted under the plan vest over a four-year period according to various vesting schedules, and generally may not be exercised beyond five years from the date they first become exercisable. So long as the Independent Directors Option Plan described below remains in effect, no new independent director, following January 2007, will be entitled to receive options under the 2001 director options plan.</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GRANTED TO DIRECTORS (CONT.)</w:t>
      </w:r>
    </w:p>
    <w:p>
      <w:pPr>
        <w:spacing w:after="0" w:line="138"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during 2000 and 2001, the Audit Committee, the Board of Directors of the Company and the shareholders of the Company approved the grant to a director of the Company options to purchase up to 50,000 and 21,500 Ordinary Shares, respectively, of the Company at an exercise price of $20.00 and $10.75, respectively, per share, the market price of the Company's shares on the dates of grant. The options were exercisable for a period of three years from the date on which they have become vested. As of December 31, 2006, all the options expired.</w:t>
      </w:r>
    </w:p>
    <w:p>
      <w:pPr>
        <w:spacing w:after="0" w:line="143" w:lineRule="exact"/>
        <w:rPr>
          <w:rFonts w:ascii="Courier New" w:cs="Courier New" w:eastAsia="Courier New" w:hAnsi="Courier New"/>
          <w:sz w:val="12"/>
          <w:szCs w:val="12"/>
          <w:color w:val="auto"/>
        </w:rPr>
      </w:pPr>
    </w:p>
    <w:p>
      <w:pPr>
        <w:ind w:left="1400" w:right="4619" w:hanging="354"/>
        <w:spacing w:after="0" w:line="238" w:lineRule="auto"/>
        <w:tabs>
          <w:tab w:leader="none" w:pos="1400" w:val="left"/>
        </w:tabs>
        <w:numPr>
          <w:ilvl w:val="2"/>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INDEPENDENT DIRECTORS OPTION PLAN - In November 2006, the Company's Board of Directors approved, following the approval by the Audit Committee, the grant to each independent director options to purchase Ordinary Shares ("Initial Options") that shall equal 150,000 less the number of options to purchase Ordinary Shares held by such independent director as of January 31, 2007, the date the shareholders approved the grant (the "Initial Grant Date") and which, as of the Initial Grant Date, have not vested. The Initial Options shall vest over 3 years, one third will vest on the 12 month anniversary of the Initial Grant Date, and thereafter, the remaining two thirds will vest on a monthly basis until fully vested. The exercise price per Initial Option is $1.88, which was the closing price of the Company's Ordinary Shares on the NASDAQ on the trading day immediately prior to the Initial Grant Date. As of December 31, 2006 no compensation expense was incurred by the Company.</w:t>
      </w:r>
    </w:p>
    <w:p>
      <w:pPr>
        <w:spacing w:after="0" w:line="140"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Each new independent director appointed after the Initial Grant Date shall be granted 150,000 options to purchase Ordinary Shares ("Subsequent Options"), which, shall vest over 3 years, one third on the 12 month anniversary of the date on which such independent director shall have served on the Board of Directors of the Company, the remaining two thirds will vest on a monthly basis until fully vested. The exercise price per Subsequent Option shall be the closing price of the Company's Ordinary Shares on the NASDAQ on the trading day immediately prior to the relevant date of appointment.</w:t>
      </w:r>
    </w:p>
    <w:p>
      <w:pPr>
        <w:spacing w:after="0" w:line="144"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each 36 month anniversary of a previous grant of options to an independent director (each a "Tenure Grant Date"), each such independent director shall be granted an additional 150,000 options to purchase Ordinary Shares ("Tenure Options"), which will vest over 3 years on a monthly basis until fully vested. The exercise price per Tenure Option shall be the closing price of the Company's Ordinary Shares on the NASDAQ on the trading day immediately prior to the relevant Tenure Grant Date.</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INDEPENDENT DIRECTORS OPTION PLAN (CONT.)</w:t>
      </w:r>
    </w:p>
    <w:p>
      <w:pPr>
        <w:sectPr>
          <w:pgSz w:w="11900" w:h="16838" w:orient="portrait"/>
          <w:cols w:equalWidth="0" w:num="1">
            <w:col w:w="10239"/>
          </w:cols>
          <w:pgMar w:left="220" w:top="137" w:right="1440" w:bottom="0" w:gutter="0" w:footer="0" w:header="0"/>
        </w:sectPr>
      </w:pPr>
    </w:p>
    <w:bookmarkStart w:id="73" w:name="page74"/>
    <w:bookmarkEnd w:id="73"/>
    <w:p>
      <w:pPr>
        <w:ind w:left="1400"/>
        <w:spacing w:after="0"/>
        <w:rPr>
          <w:sz w:val="20"/>
          <w:szCs w:val="20"/>
          <w:color w:val="auto"/>
        </w:rPr>
      </w:pPr>
      <w:r>
        <w:rPr>
          <w:rFonts w:ascii="Courier New" w:cs="Courier New" w:eastAsia="Courier New" w:hAnsi="Courier New"/>
          <w:sz w:val="12"/>
          <w:szCs w:val="12"/>
          <w:color w:val="auto"/>
        </w:rPr>
        <w:t>Subject to certain conditions, the Initial Options,</w:t>
      </w:r>
    </w:p>
    <w:p>
      <w:pPr>
        <w:ind w:left="1400"/>
        <w:spacing w:after="0"/>
        <w:rPr>
          <w:sz w:val="20"/>
          <w:szCs w:val="20"/>
          <w:color w:val="auto"/>
        </w:rPr>
      </w:pPr>
      <w:r>
        <w:rPr>
          <w:rFonts w:ascii="Courier New" w:cs="Courier New" w:eastAsia="Courier New" w:hAnsi="Courier New"/>
          <w:sz w:val="12"/>
          <w:szCs w:val="12"/>
          <w:color w:val="auto"/>
        </w:rPr>
        <w:t>Subsequent Options and Tenure Options that have vested shall</w:t>
      </w:r>
    </w:p>
    <w:p>
      <w:pPr>
        <w:ind w:left="1400"/>
        <w:spacing w:after="0" w:line="237" w:lineRule="auto"/>
        <w:rPr>
          <w:sz w:val="20"/>
          <w:szCs w:val="20"/>
          <w:color w:val="auto"/>
        </w:rPr>
      </w:pPr>
      <w:r>
        <w:rPr>
          <w:rFonts w:ascii="Courier New" w:cs="Courier New" w:eastAsia="Courier New" w:hAnsi="Courier New"/>
          <w:sz w:val="12"/>
          <w:szCs w:val="12"/>
          <w:color w:val="auto"/>
        </w:rPr>
        <w:t>be exercisable by an Independent Director for a period of</w:t>
      </w:r>
    </w:p>
    <w:p>
      <w:pPr>
        <w:ind w:left="1400"/>
        <w:spacing w:after="0"/>
        <w:rPr>
          <w:sz w:val="20"/>
          <w:szCs w:val="20"/>
          <w:color w:val="auto"/>
        </w:rPr>
      </w:pPr>
      <w:r>
        <w:rPr>
          <w:rFonts w:ascii="Courier New" w:cs="Courier New" w:eastAsia="Courier New" w:hAnsi="Courier New"/>
          <w:sz w:val="12"/>
          <w:szCs w:val="12"/>
          <w:color w:val="auto"/>
        </w:rPr>
        <w:t>ten years following the date on which the Initial Options,</w:t>
      </w:r>
    </w:p>
    <w:p>
      <w:pPr>
        <w:ind w:left="1400"/>
        <w:spacing w:after="0" w:line="237" w:lineRule="auto"/>
        <w:rPr>
          <w:sz w:val="20"/>
          <w:szCs w:val="20"/>
          <w:color w:val="auto"/>
        </w:rPr>
      </w:pPr>
      <w:r>
        <w:rPr>
          <w:rFonts w:ascii="Courier New" w:cs="Courier New" w:eastAsia="Courier New" w:hAnsi="Courier New"/>
          <w:sz w:val="12"/>
          <w:szCs w:val="12"/>
          <w:color w:val="auto"/>
        </w:rPr>
        <w:t>Subsequent Options or Tenure Options, as the case may be,</w:t>
      </w:r>
    </w:p>
    <w:p>
      <w:pPr>
        <w:ind w:left="1400"/>
        <w:spacing w:after="0"/>
        <w:rPr>
          <w:sz w:val="20"/>
          <w:szCs w:val="20"/>
          <w:color w:val="auto"/>
        </w:rPr>
      </w:pPr>
      <w:r>
        <w:rPr>
          <w:rFonts w:ascii="Courier New" w:cs="Courier New" w:eastAsia="Courier New" w:hAnsi="Courier New"/>
          <w:sz w:val="12"/>
          <w:szCs w:val="12"/>
          <w:color w:val="auto"/>
        </w:rPr>
        <w:t>first vested.</w:t>
      </w:r>
    </w:p>
    <w:p>
      <w:pPr>
        <w:spacing w:after="0" w:line="134"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So long as this option plan remains in effect, no future</w:t>
      </w:r>
    </w:p>
    <w:p>
      <w:pPr>
        <w:ind w:left="1400"/>
        <w:spacing w:after="0"/>
        <w:rPr>
          <w:sz w:val="20"/>
          <w:szCs w:val="20"/>
          <w:color w:val="auto"/>
        </w:rPr>
      </w:pPr>
      <w:r>
        <w:rPr>
          <w:rFonts w:ascii="Courier New" w:cs="Courier New" w:eastAsia="Courier New" w:hAnsi="Courier New"/>
          <w:sz w:val="12"/>
          <w:szCs w:val="12"/>
          <w:color w:val="auto"/>
        </w:rPr>
        <w:t>grants will be made to independent directors under the plan</w:t>
      </w:r>
    </w:p>
    <w:p>
      <w:pPr>
        <w:ind w:left="1400"/>
        <w:spacing w:after="0" w:line="237" w:lineRule="auto"/>
        <w:rPr>
          <w:sz w:val="20"/>
          <w:szCs w:val="20"/>
          <w:color w:val="auto"/>
        </w:rPr>
      </w:pPr>
      <w:r>
        <w:rPr>
          <w:rFonts w:ascii="Courier New" w:cs="Courier New" w:eastAsia="Courier New" w:hAnsi="Courier New"/>
          <w:sz w:val="12"/>
          <w:szCs w:val="12"/>
          <w:color w:val="auto"/>
        </w:rPr>
        <w:t>described in (1)(e) above.</w:t>
      </w:r>
    </w:p>
    <w:p>
      <w:pPr>
        <w:spacing w:after="0" w:line="134"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The independent directors' option plan was approved by the</w:t>
      </w:r>
    </w:p>
    <w:p>
      <w:pPr>
        <w:ind w:left="1400"/>
        <w:spacing w:after="0"/>
        <w:rPr>
          <w:sz w:val="20"/>
          <w:szCs w:val="20"/>
          <w:color w:val="auto"/>
        </w:rPr>
      </w:pPr>
      <w:r>
        <w:rPr>
          <w:rFonts w:ascii="Courier New" w:cs="Courier New" w:eastAsia="Courier New" w:hAnsi="Courier New"/>
          <w:sz w:val="12"/>
          <w:szCs w:val="12"/>
          <w:color w:val="auto"/>
        </w:rPr>
        <w:t>shareholders of the Company in January 2007.</w:t>
      </w:r>
    </w:p>
    <w:p>
      <w:pPr>
        <w:spacing w:after="0" w:line="138" w:lineRule="exact"/>
        <w:rPr>
          <w:sz w:val="20"/>
          <w:szCs w:val="20"/>
          <w:color w:val="auto"/>
        </w:rPr>
      </w:pPr>
    </w:p>
    <w:p>
      <w:pPr>
        <w:ind w:left="1400" w:right="4619" w:hanging="354"/>
        <w:spacing w:after="0" w:line="238" w:lineRule="auto"/>
        <w:tabs>
          <w:tab w:leader="none" w:pos="1400"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EXPIRATION OF OPTIONS GRANTED TO THE COMPANY'S FORMER CHAIRMAN OF THE BOARD OF DIRECTORS AND CHIEF EXECUTIVE OFFICER - In March 2003, the Board of Directors of the Company approved a share option plan, which was approved by the Company's shareholders in May 2003, pursuant to which the Company's former Chairman of the Board of Directors and CEO was granted options to purchase up to 1,043,000 Ordinary Shares of the Company at an exercise price of $2.98, the average closing trading price for the Company's Ordinary Shares during the 30 consecutive trading days preceding the date of board approval of an amendment to the Fab 2 investment agreements. Due to his resignation in May 2005, 625,800 options granted to him were fully forfeited and 417,200 options were exercisable until May 2006. None were exercised.</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699" w:hanging="345"/>
        <w:spacing w:after="0" w:line="235" w:lineRule="auto"/>
        <w:tabs>
          <w:tab w:leader="none" w:pos="1040" w:val="left"/>
        </w:tabs>
        <w:numPr>
          <w:ilvl w:val="1"/>
          <w:numId w:val="1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SUMMARY OF THE STATUS OF ALL THE COMPANY'S EMPLOYEE AND DIRECTOR SHARE OPTIONS</w:t>
      </w:r>
    </w:p>
    <w:p>
      <w:pPr>
        <w:spacing w:after="0" w:line="139"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 summary of the status of all the Company's employee and director share option plans as of December 31, 2006, 2005 and 2004, as well as changes during each of the years then ended, is presented below (for options granted to the Banks, a related party and a consultant, see B(5)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4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2"/>
                <w:szCs w:val="12"/>
                <w:color w:val="auto"/>
              </w:rPr>
              <w:t>2006</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jc w:val="right"/>
              <w:ind w:right="146"/>
              <w:spacing w:after="0"/>
              <w:rPr>
                <w:sz w:val="20"/>
                <w:szCs w:val="20"/>
                <w:color w:val="auto"/>
              </w:rPr>
            </w:pPr>
            <w:r>
              <w:rPr>
                <w:rFonts w:ascii="Courier New" w:cs="Courier New" w:eastAsia="Courier New" w:hAnsi="Courier New"/>
                <w:sz w:val="12"/>
                <w:szCs w:val="12"/>
                <w:color w:val="auto"/>
                <w:w w:val="90"/>
              </w:rPr>
              <w:t>2005</w:t>
            </w:r>
          </w:p>
        </w:tc>
        <w:tc>
          <w:tcPr>
            <w:tcW w:w="8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2"/>
                <w:szCs w:val="12"/>
                <w:color w:val="auto"/>
              </w:rPr>
              <w:t>2004</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264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56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50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1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3"/>
              </w:rPr>
              <w:t>Weighted</w:t>
            </w:r>
          </w:p>
        </w:tc>
        <w:tc>
          <w:tcPr>
            <w:tcW w:w="1200" w:type="dxa"/>
            <w:vAlign w:val="bottom"/>
          </w:tcPr>
          <w:p>
            <w:pPr>
              <w:spacing w:after="0"/>
              <w:rPr>
                <w:sz w:val="11"/>
                <w:szCs w:val="11"/>
                <w:color w:val="auto"/>
              </w:rPr>
            </w:pPr>
          </w:p>
        </w:tc>
        <w:tc>
          <w:tcPr>
            <w:tcW w:w="13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Weighted</w:t>
            </w:r>
          </w:p>
        </w:tc>
        <w:tc>
          <w:tcPr>
            <w:tcW w:w="148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Weighted</w:t>
            </w:r>
          </w:p>
        </w:tc>
      </w:tr>
      <w:tr>
        <w:trPr>
          <w:trHeight w:val="135"/>
        </w:trPr>
        <w:tc>
          <w:tcPr>
            <w:tcW w:w="1640" w:type="dxa"/>
            <w:vAlign w:val="bottom"/>
          </w:tcPr>
          <w:p>
            <w:pPr>
              <w:spacing w:after="0"/>
              <w:rPr>
                <w:sz w:val="11"/>
                <w:szCs w:val="11"/>
                <w:color w:val="auto"/>
              </w:rPr>
            </w:pPr>
          </w:p>
        </w:tc>
        <w:tc>
          <w:tcPr>
            <w:tcW w:w="15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Number</w:t>
            </w:r>
          </w:p>
        </w:tc>
        <w:tc>
          <w:tcPr>
            <w:tcW w:w="18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average</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Number</w:t>
            </w:r>
          </w:p>
        </w:tc>
        <w:tc>
          <w:tcPr>
            <w:tcW w:w="480" w:type="dxa"/>
            <w:vAlign w:val="bottom"/>
          </w:tcPr>
          <w:p>
            <w:pPr>
              <w:spacing w:after="0"/>
              <w:rPr>
                <w:sz w:val="11"/>
                <w:szCs w:val="11"/>
                <w:color w:val="auto"/>
              </w:rPr>
            </w:pPr>
          </w:p>
        </w:tc>
        <w:tc>
          <w:tcPr>
            <w:tcW w:w="880" w:type="dxa"/>
            <w:vAlign w:val="bottom"/>
          </w:tcPr>
          <w:p>
            <w:pPr>
              <w:jc w:val="right"/>
              <w:ind w:right="321"/>
              <w:spacing w:after="0"/>
              <w:rPr>
                <w:sz w:val="20"/>
                <w:szCs w:val="20"/>
                <w:color w:val="auto"/>
              </w:rPr>
            </w:pPr>
            <w:r>
              <w:rPr>
                <w:rFonts w:ascii="Courier New" w:cs="Courier New" w:eastAsia="Courier New" w:hAnsi="Courier New"/>
                <w:sz w:val="12"/>
                <w:szCs w:val="12"/>
                <w:color w:val="auto"/>
                <w:w w:val="95"/>
              </w:rPr>
              <w:t>average</w:t>
            </w:r>
          </w:p>
        </w:tc>
        <w:tc>
          <w:tcPr>
            <w:tcW w:w="148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Number</w:t>
            </w:r>
          </w:p>
        </w:tc>
        <w:tc>
          <w:tcPr>
            <w:tcW w:w="240" w:type="dxa"/>
            <w:vAlign w:val="bottom"/>
          </w:tcPr>
          <w:p>
            <w:pPr>
              <w:spacing w:after="0"/>
              <w:rPr>
                <w:sz w:val="11"/>
                <w:szCs w:val="11"/>
                <w:color w:val="auto"/>
              </w:rPr>
            </w:pP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5"/>
              </w:rPr>
              <w:t>average</w:t>
            </w:r>
          </w:p>
        </w:tc>
      </w:tr>
      <w:tr>
        <w:trPr>
          <w:trHeight w:val="135"/>
        </w:trPr>
        <w:tc>
          <w:tcPr>
            <w:tcW w:w="1640" w:type="dxa"/>
            <w:vAlign w:val="bottom"/>
          </w:tcPr>
          <w:p>
            <w:pPr>
              <w:spacing w:after="0"/>
              <w:rPr>
                <w:sz w:val="11"/>
                <w:szCs w:val="11"/>
                <w:color w:val="auto"/>
              </w:rPr>
            </w:pPr>
          </w:p>
        </w:tc>
        <w:tc>
          <w:tcPr>
            <w:tcW w:w="15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of share options</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9"/>
              </w:rPr>
              <w:t>exercise price</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of share options</w:t>
            </w:r>
          </w:p>
        </w:tc>
        <w:tc>
          <w:tcPr>
            <w:tcW w:w="13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exercise price</w:t>
            </w:r>
          </w:p>
        </w:tc>
        <w:tc>
          <w:tcPr>
            <w:tcW w:w="14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of share options</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exercise price</w:t>
            </w:r>
          </w:p>
        </w:tc>
      </w:tr>
      <w:tr>
        <w:trPr>
          <w:trHeight w:val="270"/>
        </w:trPr>
        <w:tc>
          <w:tcPr>
            <w:tcW w:w="1640" w:type="dxa"/>
            <w:vAlign w:val="bottom"/>
          </w:tcPr>
          <w:p>
            <w:pPr>
              <w:ind w:left="60"/>
              <w:spacing w:after="0"/>
              <w:rPr>
                <w:sz w:val="20"/>
                <w:szCs w:val="20"/>
                <w:color w:val="auto"/>
              </w:rPr>
            </w:pPr>
            <w:r>
              <w:rPr>
                <w:rFonts w:ascii="Courier New" w:cs="Courier New" w:eastAsia="Courier New" w:hAnsi="Courier New"/>
                <w:sz w:val="12"/>
                <w:szCs w:val="12"/>
                <w:color w:val="auto"/>
              </w:rPr>
              <w:t>Outstanding as of</w:t>
            </w:r>
          </w:p>
        </w:tc>
        <w:tc>
          <w:tcPr>
            <w:tcW w:w="1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5"/>
        </w:trPr>
        <w:tc>
          <w:tcPr>
            <w:tcW w:w="1640" w:type="dxa"/>
            <w:vAlign w:val="bottom"/>
          </w:tcPr>
          <w:p>
            <w:pPr>
              <w:ind w:left="60"/>
              <w:spacing w:after="0"/>
              <w:rPr>
                <w:sz w:val="20"/>
                <w:szCs w:val="20"/>
                <w:color w:val="auto"/>
              </w:rPr>
            </w:pPr>
            <w:r>
              <w:rPr>
                <w:rFonts w:ascii="Courier New" w:cs="Courier New" w:eastAsia="Courier New" w:hAnsi="Courier New"/>
                <w:sz w:val="12"/>
                <w:szCs w:val="12"/>
                <w:color w:val="auto"/>
              </w:rPr>
              <w:t>beginning of year</w:t>
            </w:r>
          </w:p>
        </w:tc>
        <w:tc>
          <w:tcPr>
            <w:tcW w:w="15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13,011,575</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4.19</w:t>
            </w:r>
          </w:p>
        </w:tc>
        <w:tc>
          <w:tcPr>
            <w:tcW w:w="12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10,212,920</w:t>
            </w:r>
          </w:p>
        </w:tc>
        <w:tc>
          <w:tcPr>
            <w:tcW w:w="480" w:type="dxa"/>
            <w:vAlign w:val="bottom"/>
          </w:tcPr>
          <w:p>
            <w:pPr>
              <w:ind w:left="420"/>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5.71</w:t>
            </w: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6,842,442</w:t>
            </w:r>
          </w:p>
        </w:tc>
        <w:tc>
          <w:tcPr>
            <w:tcW w:w="240" w:type="dxa"/>
            <w:vAlign w:val="bottom"/>
          </w:tcPr>
          <w:p>
            <w:pPr>
              <w:ind w:left="180"/>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7.93</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Granted</w:t>
            </w:r>
          </w:p>
        </w:tc>
        <w:tc>
          <w:tcPr>
            <w:tcW w:w="15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17,414,268</w:t>
            </w:r>
          </w:p>
        </w:tc>
        <w:tc>
          <w:tcPr>
            <w:tcW w:w="18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1.52</w:t>
            </w:r>
          </w:p>
        </w:tc>
        <w:tc>
          <w:tcPr>
            <w:tcW w:w="12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5,000,224</w:t>
            </w:r>
          </w:p>
        </w:tc>
        <w:tc>
          <w:tcPr>
            <w:tcW w:w="4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1.54</w:t>
            </w: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4,364,954</w:t>
            </w:r>
          </w:p>
        </w:tc>
        <w:tc>
          <w:tcPr>
            <w:tcW w:w="24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2.69</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Exercised</w:t>
            </w:r>
          </w:p>
        </w:tc>
        <w:tc>
          <w:tcPr>
            <w:tcW w:w="15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(7,250)</w:t>
            </w:r>
          </w:p>
        </w:tc>
        <w:tc>
          <w:tcPr>
            <w:tcW w:w="18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1.58</w:t>
            </w:r>
          </w:p>
        </w:tc>
        <w:tc>
          <w:tcPr>
            <w:tcW w:w="12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(95,250)</w:t>
            </w:r>
          </w:p>
        </w:tc>
        <w:tc>
          <w:tcPr>
            <w:tcW w:w="24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7.00</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Terminated</w:t>
            </w:r>
          </w:p>
        </w:tc>
        <w:tc>
          <w:tcPr>
            <w:tcW w:w="15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(132,176)</w:t>
            </w:r>
          </w:p>
        </w:tc>
        <w:tc>
          <w:tcPr>
            <w:tcW w:w="18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10.95</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(77,214)</w:t>
            </w:r>
          </w:p>
        </w:tc>
        <w:tc>
          <w:tcPr>
            <w:tcW w:w="4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12.45</w:t>
            </w: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Forfeited</w:t>
            </w:r>
          </w:p>
        </w:tc>
        <w:tc>
          <w:tcPr>
            <w:tcW w:w="15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(6,772,375)</w:t>
            </w:r>
          </w:p>
        </w:tc>
        <w:tc>
          <w:tcPr>
            <w:tcW w:w="18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5.23</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(2,124,355)</w:t>
            </w:r>
          </w:p>
        </w:tc>
        <w:tc>
          <w:tcPr>
            <w:tcW w:w="4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4.99</w:t>
            </w:r>
          </w:p>
        </w:tc>
        <w:tc>
          <w:tcPr>
            <w:tcW w:w="14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(899,226)</w:t>
            </w:r>
          </w:p>
        </w:tc>
        <w:tc>
          <w:tcPr>
            <w:tcW w:w="24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7.89</w:t>
            </w:r>
          </w:p>
        </w:tc>
      </w:tr>
      <w:tr>
        <w:trPr>
          <w:trHeight w:val="135"/>
        </w:trPr>
        <w:tc>
          <w:tcPr>
            <w:tcW w:w="1640" w:type="dxa"/>
            <w:vAlign w:val="bottom"/>
          </w:tcPr>
          <w:p>
            <w:pPr>
              <w:spacing w:after="0"/>
              <w:rPr>
                <w:sz w:val="11"/>
                <w:szCs w:val="11"/>
                <w:color w:val="auto"/>
              </w:rPr>
            </w:pPr>
          </w:p>
        </w:tc>
        <w:tc>
          <w:tcPr>
            <w:tcW w:w="15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Outstanding as of end</w:t>
            </w:r>
          </w:p>
        </w:tc>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of year</w:t>
            </w:r>
          </w:p>
        </w:tc>
        <w:tc>
          <w:tcPr>
            <w:tcW w:w="15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23,514,042</w:t>
            </w:r>
          </w:p>
        </w:tc>
        <w:tc>
          <w:tcPr>
            <w:tcW w:w="18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1.87</w:t>
            </w:r>
          </w:p>
        </w:tc>
        <w:tc>
          <w:tcPr>
            <w:tcW w:w="12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13,011,575</w:t>
            </w:r>
          </w:p>
        </w:tc>
        <w:tc>
          <w:tcPr>
            <w:tcW w:w="4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4.19</w:t>
            </w: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10,212,920</w:t>
            </w:r>
          </w:p>
        </w:tc>
        <w:tc>
          <w:tcPr>
            <w:tcW w:w="24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5.71</w:t>
            </w:r>
          </w:p>
        </w:tc>
      </w:tr>
      <w:tr>
        <w:trPr>
          <w:trHeight w:val="135"/>
        </w:trPr>
        <w:tc>
          <w:tcPr>
            <w:tcW w:w="1640" w:type="dxa"/>
            <w:vAlign w:val="bottom"/>
          </w:tcPr>
          <w:p>
            <w:pPr>
              <w:spacing w:after="0"/>
              <w:rPr>
                <w:sz w:val="11"/>
                <w:szCs w:val="11"/>
                <w:color w:val="auto"/>
              </w:rPr>
            </w:pPr>
          </w:p>
        </w:tc>
        <w:tc>
          <w:tcPr>
            <w:tcW w:w="15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70"/>
        </w:trPr>
        <w:tc>
          <w:tcPr>
            <w:tcW w:w="1640" w:type="dxa"/>
            <w:vAlign w:val="bottom"/>
          </w:tcPr>
          <w:p>
            <w:pPr>
              <w:spacing w:after="0"/>
              <w:rPr>
                <w:sz w:val="20"/>
                <w:szCs w:val="20"/>
                <w:color w:val="auto"/>
              </w:rPr>
            </w:pPr>
            <w:r>
              <w:rPr>
                <w:rFonts w:ascii="Courier New" w:cs="Courier New" w:eastAsia="Courier New" w:hAnsi="Courier New"/>
                <w:sz w:val="12"/>
                <w:szCs w:val="12"/>
                <w:color w:val="auto"/>
              </w:rPr>
              <w:t>Options exercisable</w:t>
            </w:r>
          </w:p>
        </w:tc>
        <w:tc>
          <w:tcPr>
            <w:tcW w:w="1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as of end of year</w:t>
            </w:r>
          </w:p>
        </w:tc>
        <w:tc>
          <w:tcPr>
            <w:tcW w:w="15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2,849,132</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4.25</w:t>
            </w:r>
          </w:p>
        </w:tc>
        <w:tc>
          <w:tcPr>
            <w:tcW w:w="12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4,602,447</w:t>
            </w:r>
          </w:p>
        </w:tc>
        <w:tc>
          <w:tcPr>
            <w:tcW w:w="480" w:type="dxa"/>
            <w:vAlign w:val="bottom"/>
          </w:tcPr>
          <w:p>
            <w:pPr>
              <w:ind w:left="420"/>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7.77</w:t>
            </w: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3,010,870</w:t>
            </w:r>
          </w:p>
        </w:tc>
        <w:tc>
          <w:tcPr>
            <w:tcW w:w="240" w:type="dxa"/>
            <w:vAlign w:val="bottom"/>
          </w:tcPr>
          <w:p>
            <w:pPr>
              <w:ind w:left="180"/>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10.78</w:t>
            </w:r>
          </w:p>
        </w:tc>
      </w:tr>
      <w:tr>
        <w:trPr>
          <w:trHeight w:val="135"/>
        </w:trPr>
        <w:tc>
          <w:tcPr>
            <w:tcW w:w="1640" w:type="dxa"/>
            <w:vAlign w:val="bottom"/>
          </w:tcPr>
          <w:p>
            <w:pPr>
              <w:spacing w:after="0"/>
              <w:rPr>
                <w:sz w:val="11"/>
                <w:szCs w:val="11"/>
                <w:color w:val="auto"/>
              </w:rPr>
            </w:pPr>
          </w:p>
        </w:tc>
        <w:tc>
          <w:tcPr>
            <w:tcW w:w="15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405"/>
        </w:trPr>
        <w:tc>
          <w:tcPr>
            <w:tcW w:w="1640" w:type="dxa"/>
            <w:vAlign w:val="bottom"/>
          </w:tcPr>
          <w:p>
            <w:pPr>
              <w:spacing w:after="0"/>
              <w:rPr>
                <w:sz w:val="24"/>
                <w:szCs w:val="24"/>
                <w:color w:val="auto"/>
              </w:rPr>
            </w:pPr>
          </w:p>
        </w:tc>
        <w:tc>
          <w:tcPr>
            <w:tcW w:w="15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F - 48</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SUMMARY OF INFORMATION ABOUT EMPLOYEE SHARE OPTIONS OUTSTANDING</w:t>
      </w:r>
    </w:p>
    <w:p>
      <w:pPr>
        <w:spacing w:after="0" w:line="138" w:lineRule="exact"/>
        <w:rPr>
          <w:rFonts w:ascii="Courier New" w:cs="Courier New" w:eastAsia="Courier New" w:hAnsi="Courier New"/>
          <w:sz w:val="12"/>
          <w:szCs w:val="12"/>
          <w:color w:val="auto"/>
        </w:rPr>
      </w:pPr>
    </w:p>
    <w:p>
      <w:pPr>
        <w:ind w:left="104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table summarizes information about employee share options outstanding as of December 31, 2006: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80" w:type="dxa"/>
            <w:vAlign w:val="bottom"/>
            <w:gridSpan w:val="2"/>
          </w:tcPr>
          <w:p>
            <w:pPr>
              <w:ind w:left="500"/>
              <w:spacing w:after="0"/>
              <w:rPr>
                <w:sz w:val="20"/>
                <w:szCs w:val="20"/>
                <w:color w:val="auto"/>
              </w:rPr>
            </w:pPr>
            <w:r>
              <w:rPr>
                <w:rFonts w:ascii="Courier New" w:cs="Courier New" w:eastAsia="Courier New" w:hAnsi="Courier New"/>
                <w:sz w:val="12"/>
                <w:szCs w:val="12"/>
                <w:color w:val="auto"/>
                <w:w w:val="94"/>
              </w:rPr>
              <w:t>Exercisable as of</w:t>
            </w:r>
          </w:p>
        </w:tc>
        <w:tc>
          <w:tcPr>
            <w:tcW w:w="640" w:type="dxa"/>
            <w:vAlign w:val="bottom"/>
          </w:tcPr>
          <w:p>
            <w:pPr>
              <w:spacing w:after="0"/>
              <w:rPr>
                <w:sz w:val="11"/>
                <w:szCs w:val="11"/>
                <w:color w:val="auto"/>
              </w:rPr>
            </w:pPr>
          </w:p>
        </w:tc>
      </w:tr>
      <w:tr>
        <w:trPr>
          <w:trHeight w:val="135"/>
        </w:trPr>
        <w:tc>
          <w:tcPr>
            <w:tcW w:w="3640" w:type="dxa"/>
            <w:vAlign w:val="bottom"/>
            <w:gridSpan w:val="3"/>
          </w:tcPr>
          <w:p>
            <w:pPr>
              <w:jc w:val="right"/>
              <w:ind w:right="1"/>
              <w:spacing w:after="0"/>
              <w:rPr>
                <w:sz w:val="20"/>
                <w:szCs w:val="20"/>
                <w:color w:val="auto"/>
              </w:rPr>
            </w:pPr>
            <w:r>
              <w:rPr>
                <w:rFonts w:ascii="Courier New" w:cs="Courier New" w:eastAsia="Courier New" w:hAnsi="Courier New"/>
                <w:sz w:val="12"/>
                <w:szCs w:val="12"/>
                <w:color w:val="auto"/>
              </w:rPr>
              <w:t>Outstanding as of December 31, 2006</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80" w:type="dxa"/>
            <w:vAlign w:val="bottom"/>
            <w:gridSpan w:val="2"/>
          </w:tcPr>
          <w:p>
            <w:pPr>
              <w:ind w:left="500"/>
              <w:spacing w:after="0"/>
              <w:rPr>
                <w:sz w:val="20"/>
                <w:szCs w:val="20"/>
                <w:color w:val="auto"/>
              </w:rPr>
            </w:pPr>
            <w:r>
              <w:rPr>
                <w:rFonts w:ascii="Courier New" w:cs="Courier New" w:eastAsia="Courier New" w:hAnsi="Courier New"/>
                <w:sz w:val="12"/>
                <w:szCs w:val="12"/>
                <w:color w:val="auto"/>
                <w:w w:val="94"/>
              </w:rPr>
              <w:t>December 31, 2006</w:t>
            </w:r>
          </w:p>
        </w:tc>
        <w:tc>
          <w:tcPr>
            <w:tcW w:w="640" w:type="dxa"/>
            <w:vAlign w:val="bottom"/>
          </w:tcPr>
          <w:p>
            <w:pPr>
              <w:spacing w:after="0"/>
              <w:rPr>
                <w:sz w:val="11"/>
                <w:szCs w:val="11"/>
                <w:color w:val="auto"/>
              </w:rPr>
            </w:pPr>
          </w:p>
        </w:tc>
      </w:tr>
      <w:tr>
        <w:trPr>
          <w:trHeight w:val="135"/>
        </w:trPr>
        <w:tc>
          <w:tcPr>
            <w:tcW w:w="23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w:t>
            </w: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32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5"/>
        </w:trPr>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Weighted average</w:t>
            </w:r>
          </w:p>
        </w:tc>
        <w:tc>
          <w:tcPr>
            <w:tcW w:w="220" w:type="dxa"/>
            <w:vAlign w:val="bottom"/>
          </w:tcPr>
          <w:p>
            <w:pPr>
              <w:spacing w:after="0"/>
              <w:rPr>
                <w:sz w:val="11"/>
                <w:szCs w:val="11"/>
                <w:color w:val="auto"/>
              </w:rPr>
            </w:pPr>
          </w:p>
        </w:tc>
        <w:tc>
          <w:tcPr>
            <w:tcW w:w="980" w:type="dxa"/>
            <w:vAlign w:val="bottom"/>
          </w:tcPr>
          <w:p>
            <w:pPr>
              <w:jc w:val="right"/>
              <w:ind w:right="361"/>
              <w:spacing w:after="0"/>
              <w:rPr>
                <w:sz w:val="20"/>
                <w:szCs w:val="20"/>
                <w:color w:val="auto"/>
              </w:rPr>
            </w:pPr>
            <w:r>
              <w:rPr>
                <w:rFonts w:ascii="Courier New" w:cs="Courier New" w:eastAsia="Courier New" w:hAnsi="Courier New"/>
                <w:sz w:val="12"/>
                <w:szCs w:val="12"/>
                <w:color w:val="auto"/>
                <w:w w:val="93"/>
              </w:rPr>
              <w:t>Weighted</w:t>
            </w: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400" w:type="dxa"/>
            <w:vAlign w:val="bottom"/>
          </w:tcPr>
          <w:p>
            <w:pPr>
              <w:jc w:val="right"/>
              <w:ind w:right="162"/>
              <w:spacing w:after="0"/>
              <w:rPr>
                <w:sz w:val="20"/>
                <w:szCs w:val="20"/>
                <w:color w:val="auto"/>
              </w:rPr>
            </w:pPr>
            <w:r>
              <w:rPr>
                <w:rFonts w:ascii="Courier New" w:cs="Courier New" w:eastAsia="Courier New" w:hAnsi="Courier New"/>
                <w:sz w:val="12"/>
                <w:szCs w:val="12"/>
                <w:color w:val="auto"/>
                <w:w w:val="94"/>
              </w:rPr>
              <w:t>Range of exercise</w:t>
            </w: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Number</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remaining</w:t>
            </w:r>
          </w:p>
        </w:tc>
        <w:tc>
          <w:tcPr>
            <w:tcW w:w="220" w:type="dxa"/>
            <w:vAlign w:val="bottom"/>
          </w:tcPr>
          <w:p>
            <w:pPr>
              <w:spacing w:after="0"/>
              <w:rPr>
                <w:sz w:val="11"/>
                <w:szCs w:val="11"/>
                <w:color w:val="auto"/>
              </w:rPr>
            </w:pPr>
          </w:p>
        </w:tc>
        <w:tc>
          <w:tcPr>
            <w:tcW w:w="9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average</w:t>
            </w:r>
          </w:p>
        </w:tc>
        <w:tc>
          <w:tcPr>
            <w:tcW w:w="10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Number</w:t>
            </w:r>
          </w:p>
        </w:tc>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Weighted average</w:t>
            </w:r>
          </w:p>
        </w:tc>
      </w:tr>
      <w:tr>
        <w:trPr>
          <w:trHeight w:val="135"/>
        </w:trPr>
        <w:tc>
          <w:tcPr>
            <w:tcW w:w="1400" w:type="dxa"/>
            <w:vAlign w:val="bottom"/>
          </w:tcPr>
          <w:p>
            <w:pPr>
              <w:jc w:val="right"/>
              <w:ind w:right="582"/>
              <w:spacing w:after="0"/>
              <w:rPr>
                <w:sz w:val="20"/>
                <w:szCs w:val="20"/>
                <w:color w:val="auto"/>
              </w:rPr>
            </w:pPr>
            <w:r>
              <w:rPr>
                <w:rFonts w:ascii="Courier New" w:cs="Courier New" w:eastAsia="Courier New" w:hAnsi="Courier New"/>
                <w:sz w:val="12"/>
                <w:szCs w:val="12"/>
                <w:color w:val="auto"/>
              </w:rPr>
              <w:t>prices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outstanding</w:t>
            </w:r>
          </w:p>
        </w:tc>
        <w:tc>
          <w:tcPr>
            <w:tcW w:w="1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contractual life</w:t>
            </w:r>
          </w:p>
        </w:tc>
        <w:tc>
          <w:tcPr>
            <w:tcW w:w="12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exercise price</w:t>
            </w:r>
          </w:p>
        </w:tc>
        <w:tc>
          <w:tcPr>
            <w:tcW w:w="10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exercisable</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exercise price</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4"/>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5"/>
        </w:trPr>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(in years)</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$ 1.00-1.99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4"/>
              </w:rPr>
              <w:t>20,741,671</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9.19</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1.50</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1,066,253</w:t>
            </w:r>
          </w:p>
        </w:tc>
        <w:tc>
          <w:tcPr>
            <w:tcW w:w="6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1.53</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2.00-2.99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1,427,683</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8.56</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2.19</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562,781</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2.22</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3.00-3.99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265,013</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7.57</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3.26</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173,690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3.25</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4.42-4.92</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114,551</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6.50</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4.45</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87,784</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4.45</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5.00-5.96</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27,000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6.44</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5.06</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20,750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5.08</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6.00-6.99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80,050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3.67</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6.05</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79,800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6.05</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7.00-7.99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505,000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0.25</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7.00</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505,000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7.00</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8.00-8.99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90,918</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1.55</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8.78</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90,918</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8.78</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10.00-10.89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33,806</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4.07</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10.42</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33,806</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4"/>
              </w:rPr>
              <w:t>10.42</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11.81-11.81</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200,000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4.41</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11.81</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200,000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4"/>
              </w:rPr>
              <w:t>11.81</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14.25-17.19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3,000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3.81</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16.50</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3,000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4"/>
              </w:rPr>
              <w:t>16.50</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18.75-18.75</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5,000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3.26</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18.75</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5,000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4"/>
              </w:rPr>
              <w:t>18.75</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20.00-15.00</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20,350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3.40</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24.65</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20,350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4"/>
              </w:rPr>
              <w:t>24.65</w:t>
            </w:r>
          </w:p>
        </w:tc>
      </w:tr>
      <w:tr>
        <w:trPr>
          <w:trHeight w:val="135"/>
        </w:trPr>
        <w:tc>
          <w:tcPr>
            <w:tcW w:w="140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4"/>
              </w:rPr>
              <w:t>----------</w:t>
            </w: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40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4"/>
              </w:rPr>
              <w:t>23,514,042</w:t>
            </w: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2,849,132</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40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4"/>
              </w:rPr>
              <w:t>==========</w:t>
            </w: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bl>
    <w:p>
      <w:pPr>
        <w:spacing w:after="0" w:line="139" w:lineRule="exact"/>
        <w:rPr>
          <w:sz w:val="20"/>
          <w:szCs w:val="20"/>
          <w:color w:val="auto"/>
        </w:rPr>
      </w:pPr>
    </w:p>
    <w:p>
      <w:pPr>
        <w:ind w:left="1040" w:right="4979" w:hanging="345"/>
        <w:spacing w:after="0" w:line="235" w:lineRule="auto"/>
        <w:tabs>
          <w:tab w:leader="none" w:pos="1040" w:val="left"/>
        </w:tabs>
        <w:numPr>
          <w:ilvl w:val="0"/>
          <w:numId w:val="1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WEIGHTED AVERAGE GRANT-DATE FAIR VALUE OF OPTIONS GRANTED TO EMPLOYEES</w:t>
      </w:r>
    </w:p>
    <w:p>
      <w:pPr>
        <w:spacing w:after="0" w:line="139" w:lineRule="exact"/>
        <w:rPr>
          <w:rFonts w:ascii="Courier New" w:cs="Courier New" w:eastAsia="Courier New" w:hAnsi="Courier New"/>
          <w:sz w:val="12"/>
          <w:szCs w:val="12"/>
          <w:color w:val="auto"/>
        </w:rPr>
      </w:pPr>
    </w:p>
    <w:p>
      <w:pPr>
        <w:jc w:val="both"/>
        <w:ind w:left="1040" w:right="46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weighted average grant-date fair value of the options granted during 2006, 2005 and 2004 to employees and directors amounted to</w:t>
      </w:r>
    </w:p>
    <w:p>
      <w:pPr>
        <w:sectPr>
          <w:pgSz w:w="11900" w:h="16838" w:orient="portrait"/>
          <w:cols w:equalWidth="0" w:num="1">
            <w:col w:w="10239"/>
          </w:cols>
          <w:pgMar w:left="220" w:top="137" w:right="1440" w:bottom="0" w:gutter="0" w:footer="0" w:header="0"/>
        </w:sectPr>
      </w:pPr>
    </w:p>
    <w:bookmarkStart w:id="74" w:name="page75"/>
    <w:bookmarkEnd w:id="74"/>
    <w:p>
      <w:pPr>
        <w:ind w:left="1040"/>
        <w:spacing w:after="0"/>
        <w:rPr>
          <w:sz w:val="20"/>
          <w:szCs w:val="20"/>
          <w:color w:val="auto"/>
        </w:rPr>
      </w:pPr>
      <w:r>
        <w:rPr>
          <w:rFonts w:ascii="Courier New" w:cs="Courier New" w:eastAsia="Courier New" w:hAnsi="Courier New"/>
          <w:sz w:val="12"/>
          <w:szCs w:val="12"/>
          <w:color w:val="auto"/>
        </w:rPr>
        <w:t>$0.81, $0.83 and $1.53 per option, respectively. The Company</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utilized the Binomial lattice model in 2006 and the Black-Scholes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option-pricing model in 2005 and 2004. The Company estimated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fair value, utilizing the following assumptions for the years</w:t>
      </w:r>
    </w:p>
    <w:p>
      <w:pPr>
        <w:ind w:left="1040"/>
        <w:spacing w:after="0"/>
        <w:rPr>
          <w:sz w:val="20"/>
          <w:szCs w:val="20"/>
          <w:color w:val="auto"/>
        </w:rPr>
      </w:pPr>
      <w:r>
        <w:rPr>
          <w:rFonts w:ascii="Courier New" w:cs="Courier New" w:eastAsia="Courier New" w:hAnsi="Courier New"/>
          <w:sz w:val="12"/>
          <w:szCs w:val="12"/>
          <w:color w:val="auto"/>
        </w:rPr>
        <w:t>2006, 2005 and 2004 (all in weighted averages):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60" w:type="dxa"/>
            <w:vAlign w:val="bottom"/>
          </w:tcPr>
          <w:p>
            <w:pPr>
              <w:spacing w:after="0"/>
              <w:rPr>
                <w:sz w:val="11"/>
                <w:szCs w:val="11"/>
                <w:color w:val="auto"/>
              </w:rPr>
            </w:pPr>
          </w:p>
        </w:tc>
        <w:tc>
          <w:tcPr>
            <w:tcW w:w="126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2006</w:t>
            </w:r>
          </w:p>
        </w:tc>
        <w:tc>
          <w:tcPr>
            <w:tcW w:w="128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7"/>
              </w:rPr>
              <w:t>2005</w:t>
            </w:r>
          </w:p>
        </w:tc>
        <w:tc>
          <w:tcPr>
            <w:tcW w:w="1020" w:type="dxa"/>
            <w:vAlign w:val="bottom"/>
          </w:tcPr>
          <w:p>
            <w:pPr>
              <w:ind w:left="460"/>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206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2"/>
                <w:szCs w:val="12"/>
                <w:color w:val="auto"/>
                <w:w w:val="95"/>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w w:val="95"/>
              </w:rPr>
              <w:t>-----------</w:t>
            </w:r>
          </w:p>
        </w:tc>
        <w:tc>
          <w:tcPr>
            <w:tcW w:w="1020" w:type="dxa"/>
            <w:vAlign w:val="bottom"/>
          </w:tcPr>
          <w:p>
            <w:pPr>
              <w:jc w:val="center"/>
              <w:ind w:left="181"/>
              <w:spacing w:after="0"/>
              <w:rPr>
                <w:sz w:val="20"/>
                <w:szCs w:val="20"/>
                <w:color w:val="auto"/>
              </w:rPr>
            </w:pPr>
            <w:r>
              <w:rPr>
                <w:rFonts w:ascii="Courier New" w:cs="Courier New" w:eastAsia="Courier New" w:hAnsi="Courier New"/>
                <w:sz w:val="12"/>
                <w:szCs w:val="12"/>
                <w:color w:val="auto"/>
                <w:w w:val="98"/>
              </w:rPr>
              <w:t>-----------</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Risk-free interest rate</w:t>
            </w:r>
          </w:p>
        </w:tc>
        <w:tc>
          <w:tcPr>
            <w:tcW w:w="1260" w:type="dxa"/>
            <w:vAlign w:val="bottom"/>
          </w:tcPr>
          <w:p>
            <w:pPr>
              <w:jc w:val="center"/>
              <w:spacing w:after="0"/>
              <w:rPr>
                <w:sz w:val="20"/>
                <w:szCs w:val="20"/>
                <w:color w:val="auto"/>
              </w:rPr>
            </w:pPr>
            <w:r>
              <w:rPr>
                <w:rFonts w:ascii="Courier New" w:cs="Courier New" w:eastAsia="Courier New" w:hAnsi="Courier New"/>
                <w:sz w:val="12"/>
                <w:szCs w:val="12"/>
                <w:color w:val="auto"/>
                <w:w w:val="95"/>
              </w:rPr>
              <w:t>4.44%-4.81%</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w w:val="95"/>
              </w:rPr>
              <w:t>3.69%-4.34%</w:t>
            </w:r>
          </w:p>
        </w:tc>
        <w:tc>
          <w:tcPr>
            <w:tcW w:w="1020" w:type="dxa"/>
            <w:vAlign w:val="bottom"/>
          </w:tcPr>
          <w:p>
            <w:pPr>
              <w:jc w:val="center"/>
              <w:ind w:left="181"/>
              <w:spacing w:after="0"/>
              <w:rPr>
                <w:sz w:val="20"/>
                <w:szCs w:val="20"/>
                <w:color w:val="auto"/>
              </w:rPr>
            </w:pPr>
            <w:r>
              <w:rPr>
                <w:rFonts w:ascii="Courier New" w:cs="Courier New" w:eastAsia="Courier New" w:hAnsi="Courier New"/>
                <w:sz w:val="12"/>
                <w:szCs w:val="12"/>
                <w:color w:val="auto"/>
                <w:w w:val="98"/>
              </w:rPr>
              <w:t>2.84%-3.88%</w:t>
            </w: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Expected life of options</w:t>
            </w:r>
          </w:p>
        </w:tc>
        <w:tc>
          <w:tcPr>
            <w:tcW w:w="126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10 years</w:t>
            </w:r>
          </w:p>
        </w:tc>
        <w:tc>
          <w:tcPr>
            <w:tcW w:w="128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4.49 years</w:t>
            </w:r>
          </w:p>
        </w:tc>
        <w:tc>
          <w:tcPr>
            <w:tcW w:w="1020" w:type="dxa"/>
            <w:vAlign w:val="bottom"/>
          </w:tcPr>
          <w:p>
            <w:pPr>
              <w:ind w:left="300"/>
              <w:spacing w:after="0"/>
              <w:rPr>
                <w:sz w:val="20"/>
                <w:szCs w:val="20"/>
                <w:color w:val="auto"/>
              </w:rPr>
            </w:pPr>
            <w:r>
              <w:rPr>
                <w:rFonts w:ascii="Courier New" w:cs="Courier New" w:eastAsia="Courier New" w:hAnsi="Courier New"/>
                <w:sz w:val="12"/>
                <w:szCs w:val="12"/>
                <w:color w:val="auto"/>
              </w:rPr>
              <w:t>4.5 years</w:t>
            </w: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Expected annual volatility</w:t>
            </w:r>
          </w:p>
        </w:tc>
        <w:tc>
          <w:tcPr>
            <w:tcW w:w="1260" w:type="dxa"/>
            <w:vAlign w:val="bottom"/>
          </w:tcPr>
          <w:p>
            <w:pPr>
              <w:jc w:val="center"/>
              <w:spacing w:after="0"/>
              <w:rPr>
                <w:sz w:val="20"/>
                <w:szCs w:val="20"/>
                <w:color w:val="auto"/>
              </w:rPr>
            </w:pPr>
            <w:r>
              <w:rPr>
                <w:rFonts w:ascii="Courier New" w:cs="Courier New" w:eastAsia="Courier New" w:hAnsi="Courier New"/>
                <w:sz w:val="12"/>
                <w:szCs w:val="12"/>
                <w:color w:val="auto"/>
                <w:w w:val="95"/>
              </w:rPr>
              <w:t>65%-67%</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w w:val="95"/>
              </w:rPr>
              <w:t>54%-69%</w:t>
            </w:r>
          </w:p>
        </w:tc>
        <w:tc>
          <w:tcPr>
            <w:tcW w:w="1020" w:type="dxa"/>
            <w:vAlign w:val="bottom"/>
          </w:tcPr>
          <w:p>
            <w:pPr>
              <w:jc w:val="center"/>
              <w:ind w:left="181"/>
              <w:spacing w:after="0"/>
              <w:rPr>
                <w:sz w:val="20"/>
                <w:szCs w:val="20"/>
                <w:color w:val="auto"/>
              </w:rPr>
            </w:pPr>
            <w:r>
              <w:rPr>
                <w:rFonts w:ascii="Courier New" w:cs="Courier New" w:eastAsia="Courier New" w:hAnsi="Courier New"/>
                <w:sz w:val="12"/>
                <w:szCs w:val="12"/>
                <w:color w:val="auto"/>
                <w:w w:val="99"/>
              </w:rPr>
              <w:t>65%-82%</w:t>
            </w: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Expected dividend yield</w:t>
            </w:r>
          </w:p>
        </w:tc>
        <w:tc>
          <w:tcPr>
            <w:tcW w:w="126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None</w:t>
            </w:r>
          </w:p>
        </w:tc>
        <w:tc>
          <w:tcPr>
            <w:tcW w:w="128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7"/>
              </w:rPr>
              <w:t>None</w:t>
            </w:r>
          </w:p>
        </w:tc>
        <w:tc>
          <w:tcPr>
            <w:tcW w:w="1020" w:type="dxa"/>
            <w:vAlign w:val="bottom"/>
          </w:tcPr>
          <w:p>
            <w:pPr>
              <w:ind w:left="460"/>
              <w:spacing w:after="0"/>
              <w:rPr>
                <w:sz w:val="20"/>
                <w:szCs w:val="20"/>
                <w:color w:val="auto"/>
              </w:rPr>
            </w:pPr>
            <w:r>
              <w:rPr>
                <w:rFonts w:ascii="Courier New" w:cs="Courier New" w:eastAsia="Courier New" w:hAnsi="Courier New"/>
                <w:sz w:val="12"/>
                <w:szCs w:val="12"/>
                <w:color w:val="auto"/>
              </w:rPr>
              <w:t>None</w:t>
            </w:r>
          </w:p>
        </w:tc>
      </w:tr>
      <w:tr>
        <w:trPr>
          <w:trHeight w:val="405"/>
        </w:trPr>
        <w:tc>
          <w:tcPr>
            <w:tcW w:w="2060" w:type="dxa"/>
            <w:vAlign w:val="bottom"/>
          </w:tcPr>
          <w:p>
            <w:pPr>
              <w:spacing w:after="0"/>
              <w:rPr>
                <w:sz w:val="24"/>
                <w:szCs w:val="24"/>
                <w:color w:val="auto"/>
              </w:rPr>
            </w:pPr>
          </w:p>
        </w:tc>
        <w:tc>
          <w:tcPr>
            <w:tcW w:w="1260" w:type="dxa"/>
            <w:vAlign w:val="bottom"/>
          </w:tcPr>
          <w:p>
            <w:pPr>
              <w:ind w:left="540"/>
              <w:spacing w:after="0"/>
              <w:rPr>
                <w:sz w:val="20"/>
                <w:szCs w:val="20"/>
                <w:color w:val="auto"/>
              </w:rPr>
            </w:pPr>
            <w:r>
              <w:rPr>
                <w:rFonts w:ascii="Courier New" w:cs="Courier New" w:eastAsia="Courier New" w:hAnsi="Courier New"/>
                <w:sz w:val="12"/>
                <w:szCs w:val="12"/>
                <w:color w:val="auto"/>
              </w:rPr>
              <w:t>F - 49</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NON-EMPLOYEE WARRANTS</w:t>
      </w:r>
    </w:p>
    <w:p>
      <w:pPr>
        <w:spacing w:after="0" w:line="138" w:lineRule="exact"/>
        <w:rPr>
          <w:rFonts w:ascii="Courier New" w:cs="Courier New" w:eastAsia="Courier New" w:hAnsi="Courier New"/>
          <w:sz w:val="12"/>
          <w:szCs w:val="12"/>
          <w:color w:val="auto"/>
        </w:rPr>
      </w:pPr>
    </w:p>
    <w:p>
      <w:pPr>
        <w:ind w:left="1400" w:right="4699" w:hanging="354"/>
        <w:spacing w:after="0" w:line="237" w:lineRule="auto"/>
        <w:tabs>
          <w:tab w:leader="none" w:pos="1400" w:val="left"/>
        </w:tabs>
        <w:numPr>
          <w:ilvl w:val="2"/>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WARRANTS - As of December 31, 2006, the Company granted the Banks an aggregate of 9,561,060 warrants to purchase Ordinary Shares of the Company, at terms described below, of which 9,161,060 (4,580,530 each) were outstanding and exercisable as of the approval date of the financial statements, at a weighted average exercise price of $1.70 per share</w:t>
      </w:r>
    </w:p>
    <w:p>
      <w:pPr>
        <w:spacing w:after="0" w:line="141"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WARRANTS ISSUED IN JANUARY 2001 - In January 2001, as part of the Facility Agreement described in Note 11A(6), the Banks received an aggregate of 400,000 warrants to purchase Ordinary Shares of the Company (200,000 each) at an exercise price, as amended in December 2001, of $6.20 per share. The warrants expired in January 2006.</w:t>
      </w:r>
    </w:p>
    <w:p>
      <w:pPr>
        <w:spacing w:after="0" w:line="140" w:lineRule="exact"/>
        <w:rPr>
          <w:rFonts w:ascii="Courier New" w:cs="Courier New" w:eastAsia="Courier New" w:hAnsi="Courier New"/>
          <w:sz w:val="12"/>
          <w:szCs w:val="12"/>
          <w:color w:val="auto"/>
        </w:rPr>
      </w:pPr>
    </w:p>
    <w:p>
      <w:pPr>
        <w:ind w:left="140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cost of the warrants issued to the Banks, determined based on the fair value at the grant and amendment dates in accordance with SFAS 123, amounted to a total of $5,466. Such amount was amortized as deferred financing charges over the terms of the loans under the Facility Agreement.</w:t>
      </w:r>
    </w:p>
    <w:p>
      <w:pPr>
        <w:spacing w:after="0" w:line="127" w:lineRule="exact"/>
        <w:rPr>
          <w:rFonts w:ascii="Courier New" w:cs="Courier New" w:eastAsia="Courier New" w:hAnsi="Courier New"/>
          <w:sz w:val="12"/>
          <w:szCs w:val="12"/>
          <w:color w:val="auto"/>
        </w:rPr>
      </w:pPr>
    </w:p>
    <w:p>
      <w:pPr>
        <w:ind w:left="14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WARRANTS ISSUED IN DECEMBER 2003 - In December 2003, as part of an amendment to the Facility Agreement, the Banks received an aggregate of 896,596 warrants to purchase Ordinary Shares of the Company (448,298 each) at an exercise price of $6.17 per share, the 15 day average closing price of the Company's Ordinary Shares prior to the date the amendment with the Banks was signed. All the warrants are exercisable. The warrants were exercisable for a five-year period ending December 2008. Under the terms of the September 2006 amendment, the exercise period of the warrants was extended to five years from the closing of the September 2006 amendment, to September 2011.</w:t>
      </w:r>
    </w:p>
    <w:p>
      <w:pPr>
        <w:spacing w:after="0" w:line="265" w:lineRule="exact"/>
        <w:rPr>
          <w:rFonts w:ascii="Courier New" w:cs="Courier New" w:eastAsia="Courier New" w:hAnsi="Courier New"/>
          <w:sz w:val="12"/>
          <w:szCs w:val="12"/>
          <w:color w:val="auto"/>
        </w:rPr>
      </w:pPr>
    </w:p>
    <w:p>
      <w:pPr>
        <w:ind w:left="140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cost of the warrants issued to the Banks, determined based on the fair value at the grant and amendment dates in accordance with SFAS 123, amounted to a total of $4,168. Such amount was amortized as deferred financing charges over the terms of the loans under the Facility Agreement.</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NON-EMPLOYEE WARRANTS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WARRANTS (CONT.)</w:t>
      </w:r>
    </w:p>
    <w:p>
      <w:pPr>
        <w:spacing w:after="0" w:line="138" w:lineRule="exact"/>
        <w:rPr>
          <w:rFonts w:ascii="Courier New" w:cs="Courier New" w:eastAsia="Courier New" w:hAnsi="Courier New"/>
          <w:sz w:val="12"/>
          <w:szCs w:val="12"/>
          <w:color w:val="auto"/>
        </w:rPr>
      </w:pPr>
    </w:p>
    <w:p>
      <w:pPr>
        <w:ind w:left="1400" w:right="469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WARRANTS ISSUED IN JULY 2005 - In connection with the July 2005 amendment to the Facility Agreement detailed in Note 11A(6) above, the Company issued warrants to the Banks exercisable into an aggregate of 8,264,464 Ordinary Shares of the Company (4,132,232 each), with an exercise price of $1.21. One-half, of the warrants was exercisable for five years ending in August 2010, and one-half of the warrants was to be exercisable for five years from the date on which the Company and the Banks will agree to reschedule the loan repayment dates. Under the terms of the September 2006 amendment, the exercise period of all of the July 2005 warrants was extended to five years from the closing of the September 2006 amendment, to September 2011.</w:t>
      </w:r>
    </w:p>
    <w:p>
      <w:pPr>
        <w:spacing w:after="0" w:line="129"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cost of the 8,264,464 warrants, determined based on the fair value at the grant and amendment dates in accordance with SFAS 123, amounted to a total of $6,718. Such amount was amortized as deferred financing charges over the term of the loans under the Facility Agreement.</w:t>
      </w:r>
    </w:p>
    <w:p>
      <w:pPr>
        <w:spacing w:after="0" w:line="139"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lieu of paying the exercise price in cash, the Banks are entitled to exercise all their warrants on a "cashless" basis, i.e. by forfeiting part of the warrants in exchange for Ordinary Shares equal to the aggregate fair market value of the shares underlying the warrants forfeited less the aggregate exercise price.</w:t>
      </w:r>
    </w:p>
    <w:p>
      <w:pPr>
        <w:spacing w:after="0" w:line="140" w:lineRule="exact"/>
        <w:rPr>
          <w:rFonts w:ascii="Courier New" w:cs="Courier New" w:eastAsia="Courier New" w:hAnsi="Courier New"/>
          <w:sz w:val="12"/>
          <w:szCs w:val="12"/>
          <w:color w:val="auto"/>
        </w:rPr>
      </w:pPr>
    </w:p>
    <w:p>
      <w:pPr>
        <w:ind w:left="1400" w:right="4619" w:hanging="354"/>
        <w:spacing w:after="0" w:line="261" w:lineRule="auto"/>
        <w:tabs>
          <w:tab w:leader="none" w:pos="1400" w:val="left"/>
        </w:tabs>
        <w:numPr>
          <w:ilvl w:val="2"/>
          <w:numId w:val="1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WARRANTS GRANTED TO A RELATED PARTY - In consideration for TIC's undertaking described in Note 11A(6), the Company issued TIC warrants for the purchase of 58,906 of the Company's Ordinary Shares. The exercise price for the warrants is $6.17 per share, the 15-day average closing price of the Company's Ordinary Shares prior to the date the November 2003 amendment with the Banks described in Note 11A(6) was signed. All the warrants are fully vested and none of them was exercised. The warrants are exercisable for</w:t>
      </w:r>
    </w:p>
    <w:p>
      <w:pPr>
        <w:sectPr>
          <w:pgSz w:w="11900" w:h="16838" w:orient="portrait"/>
          <w:cols w:equalWidth="0" w:num="1">
            <w:col w:w="10239"/>
          </w:cols>
          <w:pgMar w:left="220" w:top="137" w:right="1440" w:bottom="0" w:gutter="0" w:footer="0" w:header="0"/>
        </w:sectPr>
      </w:pPr>
    </w:p>
    <w:bookmarkStart w:id="75" w:name="page76"/>
    <w:bookmarkEnd w:id="75"/>
    <w:p>
      <w:pPr>
        <w:ind w:left="1400"/>
        <w:spacing w:after="0"/>
        <w:rPr>
          <w:sz w:val="20"/>
          <w:szCs w:val="20"/>
          <w:color w:val="auto"/>
        </w:rPr>
      </w:pPr>
      <w:r>
        <w:rPr>
          <w:rFonts w:ascii="Courier New" w:cs="Courier New" w:eastAsia="Courier New" w:hAnsi="Courier New"/>
          <w:sz w:val="12"/>
          <w:szCs w:val="12"/>
          <w:color w:val="auto"/>
        </w:rPr>
        <w:t>a five-year period ending December 2008.</w:t>
      </w:r>
    </w:p>
    <w:p>
      <w:pPr>
        <w:spacing w:after="0" w:line="134"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The cost of the warrants award granted to TIC, determined</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based on the fair value at the grant date in accordance with</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SFAS 123, amounted to a total of $259. Such amount was</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allocated to other assets as deferred financing charges and</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was amortized as financing expense over the terms of the</w:t>
      </w:r>
    </w:p>
    <w:p>
      <w:pPr>
        <w:ind w:left="1400"/>
        <w:spacing w:after="0"/>
        <w:rPr>
          <w:sz w:val="20"/>
          <w:szCs w:val="20"/>
          <w:color w:val="auto"/>
        </w:rPr>
      </w:pPr>
      <w:r>
        <w:rPr>
          <w:rFonts w:ascii="Courier New" w:cs="Courier New" w:eastAsia="Courier New" w:hAnsi="Courier New"/>
          <w:sz w:val="12"/>
          <w:szCs w:val="12"/>
          <w:color w:val="auto"/>
        </w:rPr>
        <w:t>loans under the Facility Agreement with the Banks.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 FORMA LOSS PER SHARE ACCORDING TO SFAS 123 AND SFAS 148</w:t>
      </w:r>
    </w:p>
    <w:p>
      <w:pPr>
        <w:spacing w:after="0" w:line="138" w:lineRule="exact"/>
        <w:rPr>
          <w:rFonts w:ascii="Courier New" w:cs="Courier New" w:eastAsia="Courier New" w:hAnsi="Courier New"/>
          <w:sz w:val="12"/>
          <w:szCs w:val="12"/>
          <w:color w:val="auto"/>
        </w:rPr>
      </w:pPr>
    </w:p>
    <w:p>
      <w:pPr>
        <w:ind w:left="104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Had compensation cost for the Company's share option plans been determined based on the fair value at the grant dates for all awards made through December 31, 2005 in accordance with SFAS 123, as amended by SFAS 148, the Company's pro forma loss per share would have been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For the year ended</w:t>
            </w:r>
          </w:p>
        </w:tc>
      </w:tr>
      <w:tr>
        <w:trPr>
          <w:trHeight w:val="135"/>
        </w:trPr>
        <w:tc>
          <w:tcPr>
            <w:tcW w:w="2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December 31,</w:t>
            </w:r>
          </w:p>
        </w:tc>
        <w:tc>
          <w:tcPr>
            <w:tcW w:w="5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214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2005</w:t>
            </w:r>
          </w:p>
        </w:tc>
        <w:tc>
          <w:tcPr>
            <w:tcW w:w="440" w:type="dxa"/>
            <w:vAlign w:val="bottom"/>
          </w:tcPr>
          <w:p>
            <w:pPr>
              <w:spacing w:after="0"/>
              <w:rPr>
                <w:sz w:val="11"/>
                <w:szCs w:val="11"/>
                <w:color w:val="auto"/>
              </w:rPr>
            </w:pPr>
          </w:p>
        </w:tc>
        <w:tc>
          <w:tcPr>
            <w:tcW w:w="50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0"/>
              </w:rPr>
              <w:t>2004</w:t>
            </w:r>
          </w:p>
        </w:tc>
      </w:tr>
      <w:tr>
        <w:trPr>
          <w:trHeight w:val="135"/>
        </w:trPr>
        <w:tc>
          <w:tcPr>
            <w:tcW w:w="242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42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Loss for the year, as reported</w:t>
            </w:r>
          </w:p>
        </w:tc>
        <w:tc>
          <w:tcPr>
            <w:tcW w:w="12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$(203,082)</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$(137,768)</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Less - stock-based compensation</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determined under APB 25</w:t>
            </w:r>
          </w:p>
        </w:tc>
        <w:tc>
          <w:tcPr>
            <w:tcW w:w="380" w:type="dxa"/>
            <w:vAlign w:val="bottom"/>
          </w:tcPr>
          <w:p>
            <w:pPr>
              <w:spacing w:after="0"/>
              <w:rPr>
                <w:sz w:val="11"/>
                <w:szCs w:val="11"/>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Add - stock-based compensation</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determined under SFAS 123</w:t>
            </w:r>
          </w:p>
        </w:tc>
        <w:tc>
          <w:tcPr>
            <w:tcW w:w="38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(4,229)</w:t>
            </w:r>
          </w:p>
        </w:tc>
        <w:tc>
          <w:tcPr>
            <w:tcW w:w="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(3,980)</w:t>
            </w:r>
          </w:p>
        </w:tc>
      </w:tr>
      <w:tr>
        <w:trPr>
          <w:trHeight w:val="135"/>
        </w:trPr>
        <w:tc>
          <w:tcPr>
            <w:tcW w:w="242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12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$(207,311)</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$(141,748)</w:t>
            </w:r>
          </w:p>
        </w:tc>
      </w:tr>
      <w:tr>
        <w:trPr>
          <w:trHeight w:val="135"/>
        </w:trPr>
        <w:tc>
          <w:tcPr>
            <w:tcW w:w="242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42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As reported</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(3.06)</w:t>
            </w:r>
          </w:p>
        </w:tc>
        <w:tc>
          <w:tcPr>
            <w:tcW w:w="4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r>
      <w:tr>
        <w:trPr>
          <w:trHeight w:val="135"/>
        </w:trPr>
        <w:tc>
          <w:tcPr>
            <w:tcW w:w="242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Pro forma</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(3.12)</w:t>
            </w:r>
          </w:p>
        </w:tc>
        <w:tc>
          <w:tcPr>
            <w:tcW w:w="4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(2.19)</w:t>
            </w:r>
          </w:p>
        </w:tc>
      </w:tr>
      <w:tr>
        <w:trPr>
          <w:trHeight w:val="135"/>
        </w:trPr>
        <w:tc>
          <w:tcPr>
            <w:tcW w:w="242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CAPITAL NOTES</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CAPITAL NOTES</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part of the September 2006 Amendment to the Facility Agreement, $158,000, representing approximately 30% of the outstanding debt under the Facility Agreement, was converted into capital notes of the Company, convertible into 51,973,684 of the Company's Ordinary Shares, representing twice the average closing price per share during the ten days prior to signing the MOU. For additional information regarding the capital notes to the Banks see Note 11A(6).</w:t>
      </w:r>
    </w:p>
    <w:p>
      <w:pPr>
        <w:spacing w:after="0" w:line="137"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TIC'S CAPITAL NOTES</w:t>
      </w:r>
    </w:p>
    <w:p>
      <w:pPr>
        <w:spacing w:after="0" w:line="138" w:lineRule="exact"/>
        <w:rPr>
          <w:rFonts w:ascii="Courier New" w:cs="Courier New" w:eastAsia="Courier New" w:hAnsi="Courier New"/>
          <w:sz w:val="12"/>
          <w:szCs w:val="12"/>
          <w:color w:val="auto"/>
        </w:rPr>
      </w:pPr>
    </w:p>
    <w:p>
      <w:pPr>
        <w:ind w:left="104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Contemporaneous with the closing of the September 2006 Amendment and as part of the Securities Purchase Agreement between the Company and TIC, the Company issued TIC in consideration of its $100,000 investment, capital notes convertible into 65,789,474 of the Company's Ordinary Shares, at a price per share of $1.52 (which equals the average closing price during the 10 consecutive trading days prior to signing the MOU). For additional information regarding the capital notes to TIC see Note 11A(6).</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TREASURY STOCK</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1998, the Board of Directors of the Company authorized, subject to certain conditions, the purchase of up to 1,400,000 Ordinary Shares of the Company to facilitate the exercise of employee stock options under the Company's share option plans. During 1999 and 1998, the Company funded the purchase by a trustee of 142,500 and 1,157,500, respectively, of the Company's Ordinary Shares.</w:t>
      </w:r>
    </w:p>
    <w:p>
      <w:pPr>
        <w:spacing w:after="0" w:line="12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DIVIDEND DISTRIBUTIONS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According to the Facility Agreement, as amended (see Note 11A(6)), the Company undertook not to distribute any dividends prior to the date that all amounts payable under the Facility Agreement have been paid in full.</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SALE OF SECURITIES - JANUARY 2002</w:t>
      </w:r>
    </w:p>
    <w:p>
      <w:pPr>
        <w:spacing w:after="0" w:line="138" w:lineRule="exact"/>
        <w:rPr>
          <w:rFonts w:ascii="Courier New" w:cs="Courier New" w:eastAsia="Courier New" w:hAnsi="Courier New"/>
          <w:sz w:val="12"/>
          <w:szCs w:val="12"/>
          <w:color w:val="auto"/>
        </w:rPr>
      </w:pPr>
    </w:p>
    <w:p>
      <w:pPr>
        <w:ind w:left="70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2002, the Company issued on the Tel Aviv Stock Exchange, NIS 110,579,800 principal amount of convertible debentures, under terms described in Note 9B. Together with the convertible debentures the Company issued for no consideration an aggregate of 552,899 options and 2,211,596 Options (Series 1). As of the date of the financial statements, all said options expired and none were exercised.</w:t>
      </w:r>
    </w:p>
    <w:p>
      <w:pPr>
        <w:spacing w:after="0" w:line="141"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total initial proceeds raised were $23,200, and costs related to the issuance of the securities and the prospectus were approximately $1,750. See Note 19F for the presentation and the accounting treatment of the sale of these securities under U.S. GAAP.</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OFFERING - OCTOBER 2002</w:t>
      </w:r>
    </w:p>
    <w:p>
      <w:pPr>
        <w:spacing w:after="0" w:line="138" w:lineRule="exact"/>
        <w:rPr>
          <w:rFonts w:ascii="Courier New" w:cs="Courier New" w:eastAsia="Courier New" w:hAnsi="Courier New"/>
          <w:sz w:val="12"/>
          <w:szCs w:val="12"/>
          <w:color w:val="auto"/>
        </w:rPr>
      </w:pPr>
    </w:p>
    <w:p>
      <w:pPr>
        <w:ind w:left="700" w:right="51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October 2002, the Company issued in connection with a rights offering done on the NASDAQ and on the Tel-Aviv Stock Exchange</w:t>
      </w:r>
    </w:p>
    <w:p>
      <w:pPr>
        <w:sectPr>
          <w:pgSz w:w="11900" w:h="16838" w:orient="portrait"/>
          <w:cols w:equalWidth="0" w:num="1">
            <w:col w:w="10239"/>
          </w:cols>
          <w:pgMar w:left="220" w:top="137" w:right="1440" w:bottom="0" w:gutter="0" w:footer="0" w:header="0"/>
        </w:sectPr>
      </w:pPr>
    </w:p>
    <w:bookmarkStart w:id="76" w:name="page77"/>
    <w:bookmarkEnd w:id="76"/>
    <w:p>
      <w:pPr>
        <w:ind w:left="700"/>
        <w:spacing w:after="0"/>
        <w:rPr>
          <w:sz w:val="20"/>
          <w:szCs w:val="20"/>
          <w:color w:val="auto"/>
        </w:rPr>
      </w:pPr>
      <w:r>
        <w:rPr>
          <w:rFonts w:ascii="Courier New" w:cs="Courier New" w:eastAsia="Courier New" w:hAnsi="Courier New"/>
          <w:sz w:val="12"/>
          <w:szCs w:val="12"/>
          <w:color w:val="auto"/>
        </w:rPr>
        <w:t>4,097,964 Ordinary Shares of the Company and 1,844,070 warrants to</w:t>
      </w:r>
    </w:p>
    <w:p>
      <w:pPr>
        <w:ind w:left="700"/>
        <w:spacing w:after="0"/>
        <w:rPr>
          <w:sz w:val="20"/>
          <w:szCs w:val="20"/>
          <w:color w:val="auto"/>
        </w:rPr>
      </w:pPr>
      <w:r>
        <w:rPr>
          <w:rFonts w:ascii="Courier New" w:cs="Courier New" w:eastAsia="Courier New" w:hAnsi="Courier New"/>
          <w:sz w:val="12"/>
          <w:szCs w:val="12"/>
          <w:color w:val="auto"/>
        </w:rPr>
        <w:t>purchase Ordinary Shares of the Company, in consideration for</w:t>
      </w:r>
    </w:p>
    <w:p>
      <w:pPr>
        <w:ind w:left="700"/>
        <w:spacing w:after="0" w:line="237" w:lineRule="auto"/>
        <w:rPr>
          <w:sz w:val="20"/>
          <w:szCs w:val="20"/>
          <w:color w:val="auto"/>
        </w:rPr>
      </w:pPr>
      <w:r>
        <w:rPr>
          <w:rFonts w:ascii="Courier New" w:cs="Courier New" w:eastAsia="Courier New" w:hAnsi="Courier New"/>
          <w:sz w:val="12"/>
          <w:szCs w:val="12"/>
          <w:color w:val="auto"/>
        </w:rPr>
        <w:t>aggregate gross proceeds of $20,490. Of these amounts, 4,086,037</w:t>
      </w:r>
    </w:p>
    <w:p>
      <w:pPr>
        <w:ind w:left="700"/>
        <w:spacing w:after="0"/>
        <w:rPr>
          <w:sz w:val="20"/>
          <w:szCs w:val="20"/>
          <w:color w:val="auto"/>
        </w:rPr>
      </w:pPr>
      <w:r>
        <w:rPr>
          <w:rFonts w:ascii="Courier New" w:cs="Courier New" w:eastAsia="Courier New" w:hAnsi="Courier New"/>
          <w:sz w:val="12"/>
          <w:szCs w:val="12"/>
          <w:color w:val="auto"/>
        </w:rPr>
        <w:t>Ordinary Shares and 1,838,715 warrants were issued to Wafer Partners</w:t>
      </w:r>
    </w:p>
    <w:p>
      <w:pPr>
        <w:ind w:left="700"/>
        <w:spacing w:after="0" w:line="237" w:lineRule="auto"/>
        <w:rPr>
          <w:sz w:val="20"/>
          <w:szCs w:val="20"/>
          <w:color w:val="auto"/>
        </w:rPr>
      </w:pPr>
      <w:r>
        <w:rPr>
          <w:rFonts w:ascii="Courier New" w:cs="Courier New" w:eastAsia="Courier New" w:hAnsi="Courier New"/>
          <w:sz w:val="12"/>
          <w:szCs w:val="12"/>
          <w:color w:val="auto"/>
        </w:rPr>
        <w:t>and Equity Investors in consideration for an aggregate of $20,430.</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Each warrant was exercisable for the purchase of one Ordinary Share at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 exercise price of $7.50 for a period ending on October 31, 2006.</w:t>
      </w:r>
    </w:p>
    <w:p>
      <w:pPr>
        <w:ind w:left="700"/>
        <w:spacing w:after="0"/>
        <w:rPr>
          <w:sz w:val="20"/>
          <w:szCs w:val="20"/>
          <w:color w:val="auto"/>
        </w:rPr>
      </w:pPr>
      <w:r>
        <w:rPr>
          <w:rFonts w:ascii="Courier New" w:cs="Courier New" w:eastAsia="Courier New" w:hAnsi="Courier New"/>
          <w:sz w:val="12"/>
          <w:szCs w:val="12"/>
          <w:color w:val="auto"/>
        </w:rPr>
        <w:t>None of the warrants were exercised. Costs in relation to the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prospectus and the issuance of the securities were approximately $800.</w:t>
      </w:r>
    </w:p>
    <w:p>
      <w:pPr>
        <w:spacing w:after="0" w:line="141" w:lineRule="exact"/>
        <w:rPr>
          <w:sz w:val="20"/>
          <w:szCs w:val="20"/>
          <w:color w:val="auto"/>
        </w:rPr>
      </w:pPr>
    </w:p>
    <w:p>
      <w:pPr>
        <w:ind w:left="700" w:hanging="357"/>
        <w:spacing w:after="0"/>
        <w:tabs>
          <w:tab w:leader="none" w:pos="700"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PUBLIC OFFERING - JANUARY 2004</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2004, the Company completed a public offering of its Ordinary Shares in the U.S. at a price of $7.00 per share. Following the offering, and including the partial exercise in February 2004 of an over-allotment option the Company granted the underwriters, the Company issued 11,444,500 of its Ordinary Shares, in consideration for gross proceeds of $80,112 (net of related costs - $75,086).</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OFFERING - DECEMBER 2005</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December 2005, the Company filed in Israel and the U.S. a prospectus for the distribution of transferable rights to purchase up to $50,000 U.S. dollar denominated debentures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 plans that entitle the option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$0.1, 100 U.S. dollar denominated convertible debentures.</w:t>
      </w:r>
    </w:p>
    <w:p>
      <w:pPr>
        <w:spacing w:after="0" w:line="129"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the exercise of the rights, the Company issued 48,169,300 convertible debentures, with each debenture of $1.00 in principal amount, or total of $48,169 principal amount of debentures, which bear annual interest at the rate of 5%. The principal of the debentures, together with accrued interest, is payable in one installment on January 12, 2012.</w:t>
      </w:r>
    </w:p>
    <w:p>
      <w:pPr>
        <w:spacing w:after="0" w:line="140"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debentures are convertible into the Company's Ordinary Shares at a rate of one ordinary share per $1.10 aggregate principal amount of debentures. The conversion price was subject to downward adjustment under certain circumstances in which the Company would have sold securities in financings at a price per share which was lower than the conversion price, provided that such financings closed, or agreements for such financings were signed, through December 2006. As of the balance sheet date no such adjustment was or will be required and the downward adjustment mechanism has expired.</w:t>
      </w:r>
    </w:p>
    <w:p>
      <w:pPr>
        <w:spacing w:after="0" w:line="142" w:lineRule="exact"/>
        <w:rPr>
          <w:rFonts w:ascii="Courier New" w:cs="Courier New" w:eastAsia="Courier New" w:hAnsi="Courier New"/>
          <w:sz w:val="12"/>
          <w:szCs w:val="12"/>
          <w:color w:val="auto"/>
        </w:rPr>
      </w:pPr>
    </w:p>
    <w:p>
      <w:pPr>
        <w:ind w:left="700" w:right="4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Facility Agreement, the Company may at its option announce the early redemption of the debentures, provided that the outstanding aggregate balance of principal on account of the debentures is equal to or less than $500.</w:t>
      </w:r>
    </w:p>
    <w:p>
      <w:pPr>
        <w:spacing w:after="0" w:line="140"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debentures are listed and quoted on the NASDAQ Capital Market and the Tel Aviv Stock Exchange.</w:t>
      </w:r>
    </w:p>
    <w:p>
      <w:pPr>
        <w:spacing w:after="0" w:line="139"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Certain of the Company's Equity Investors and Wafer Partners invested $27,811 in the framework of the rights offering.</w:t>
      </w:r>
    </w:p>
    <w:p>
      <w:pPr>
        <w:spacing w:after="0" w:line="139" w:lineRule="exact"/>
        <w:rPr>
          <w:rFonts w:ascii="Courier New" w:cs="Courier New" w:eastAsia="Courier New" w:hAnsi="Courier New"/>
          <w:sz w:val="12"/>
          <w:szCs w:val="12"/>
          <w:color w:val="auto"/>
        </w:rPr>
      </w:pPr>
    </w:p>
    <w:p>
      <w:pPr>
        <w:ind w:left="700" w:right="469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debentures and interest thereon are unsecured and rank behind the Company's existing and future secured indebtedness, including indebtedness to the Banks under the Facility Agreement, to the government of Israel in connection with grants the Company received under its approved enterprise programs and to Siliconix and SanDisk.</w:t>
      </w:r>
    </w:p>
    <w:p>
      <w:pPr>
        <w:spacing w:after="0" w:line="127"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on the payment date of the principal and interest on the debentures, there exists an infringement of certain covenants and conditions under the Facility Agreement, the date for payment of the interest and principal on the debentures may be postponed, depending on various scenarios under the Facility Agreement until such covenant or condition is settled. See Note 19F for the presentation of the rights offering in accordance with U.S. GAAP.</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PUBLIC OFFERING</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June 2006 the Company completed an underwritten public offering of the Company's securities on the Tel-Aviv Stock Exchange resulting in immediate gross proceeds of approximately NIS 140,000,000 (approximately $31,000). In the offering, 78,000 Units were sold at a price per Unit of NIS 1,785 (approximately $0.4). Each Unit consisted of (i) convertible debentures in the face amount of NIS 2,100 (approximately $0.47), (ii) five options each exercisable for the three months ended September 27, 2006 for NIS 100 principal amount of convertible debentures at an exercise price equal to 85% of their face amount, linked to the Israeli Consumer Price Index ("CPI"), (iii) 140 warrants each exercisable for the three months ended September 27, 2006 for one ordinary share of the Company at a price of NIS 6.75 (approximately $0.00157, linked to the CPI and (iv) 70 warrants each exercisable for three years ending on June 28, 2009 for one ordinary share of the Company at a price of NIS 7.40 (approximately $0.00175), linked to the CPI. The convertible debentures are convertible into the Company's Ordinary Shares at a conversion rate of one ordinary share per NIS 8.40 (approximately $0.00199) principal amount of convertible debentures. The convertible debentures carry a zero coupon with principal payable at maturity in December 2011, at a premium of 37% over face value, linked to the CPI. The conversion price is subject to</w:t>
      </w:r>
    </w:p>
    <w:p>
      <w:pPr>
        <w:sectPr>
          <w:pgSz w:w="11900" w:h="16838" w:orient="portrait"/>
          <w:cols w:equalWidth="0" w:num="1">
            <w:col w:w="10239"/>
          </w:cols>
          <w:pgMar w:left="220" w:top="137" w:right="1440" w:bottom="0" w:gutter="0" w:footer="0" w:header="0"/>
        </w:sectPr>
      </w:pPr>
    </w:p>
    <w:bookmarkStart w:id="77" w:name="page78"/>
    <w:bookmarkEnd w:id="77"/>
    <w:p>
      <w:pPr>
        <w:ind w:left="700"/>
        <w:spacing w:after="0"/>
        <w:rPr>
          <w:sz w:val="20"/>
          <w:szCs w:val="20"/>
          <w:color w:val="auto"/>
        </w:rPr>
      </w:pPr>
      <w:r>
        <w:rPr>
          <w:rFonts w:ascii="Courier New" w:cs="Courier New" w:eastAsia="Courier New" w:hAnsi="Courier New"/>
          <w:sz w:val="12"/>
          <w:szCs w:val="12"/>
          <w:color w:val="auto"/>
        </w:rPr>
        <w:t>reduction in certain limited circumstances.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accordance with Standard No. 22, the proceeds were allocated to</w:t>
      </w:r>
    </w:p>
    <w:p>
      <w:pPr>
        <w:ind w:left="700"/>
        <w:spacing w:after="0"/>
        <w:rPr>
          <w:sz w:val="20"/>
          <w:szCs w:val="20"/>
          <w:color w:val="auto"/>
        </w:rPr>
      </w:pPr>
      <w:r>
        <w:rPr>
          <w:rFonts w:ascii="Courier New" w:cs="Courier New" w:eastAsia="Courier New" w:hAnsi="Courier New"/>
          <w:sz w:val="12"/>
          <w:szCs w:val="12"/>
          <w:color w:val="auto"/>
        </w:rPr>
        <w:t>each of the Unit's components based on relative fair values in the</w:t>
      </w:r>
    </w:p>
    <w:p>
      <w:pPr>
        <w:ind w:left="700"/>
        <w:spacing w:after="0" w:line="237" w:lineRule="auto"/>
        <w:rPr>
          <w:sz w:val="20"/>
          <w:szCs w:val="20"/>
          <w:color w:val="auto"/>
        </w:rPr>
      </w:pPr>
      <w:r>
        <w:rPr>
          <w:rFonts w:ascii="Courier New" w:cs="Courier New" w:eastAsia="Courier New" w:hAnsi="Courier New"/>
          <w:sz w:val="12"/>
          <w:szCs w:val="12"/>
          <w:color w:val="auto"/>
        </w:rPr>
        <w:t>first 2 days of trading. After allocation, each of the components is</w:t>
      </w:r>
    </w:p>
    <w:p>
      <w:pPr>
        <w:ind w:left="700"/>
        <w:spacing w:after="0"/>
        <w:rPr>
          <w:sz w:val="20"/>
          <w:szCs w:val="20"/>
          <w:color w:val="auto"/>
        </w:rPr>
      </w:pPr>
      <w:r>
        <w:rPr>
          <w:rFonts w:ascii="Courier New" w:cs="Courier New" w:eastAsia="Courier New" w:hAnsi="Courier New"/>
          <w:sz w:val="12"/>
          <w:szCs w:val="12"/>
          <w:color w:val="auto"/>
        </w:rPr>
        <w:t>classified as either equity or liability based on the criteria</w:t>
      </w:r>
    </w:p>
    <w:p>
      <w:pPr>
        <w:ind w:left="700"/>
        <w:spacing w:after="0" w:line="237" w:lineRule="auto"/>
        <w:rPr>
          <w:sz w:val="20"/>
          <w:szCs w:val="20"/>
          <w:color w:val="auto"/>
        </w:rPr>
      </w:pPr>
      <w:r>
        <w:rPr>
          <w:rFonts w:ascii="Courier New" w:cs="Courier New" w:eastAsia="Courier New" w:hAnsi="Courier New"/>
          <w:sz w:val="12"/>
          <w:szCs w:val="12"/>
          <w:color w:val="auto"/>
        </w:rPr>
        <w:t>prescribed in Standard No. 22.</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addition, the Company issued 300 such units in consideration for</w:t>
      </w:r>
    </w:p>
    <w:p>
      <w:pPr>
        <w:ind w:left="700"/>
        <w:spacing w:after="0"/>
        <w:rPr>
          <w:sz w:val="20"/>
          <w:szCs w:val="20"/>
          <w:color w:val="auto"/>
        </w:rPr>
      </w:pPr>
      <w:r>
        <w:rPr>
          <w:rFonts w:ascii="Courier New" w:cs="Courier New" w:eastAsia="Courier New" w:hAnsi="Courier New"/>
          <w:sz w:val="12"/>
          <w:szCs w:val="12"/>
          <w:color w:val="auto"/>
        </w:rPr>
        <w:t>NIS 526,000 through a private placement to its market maker in</w:t>
      </w:r>
    </w:p>
    <w:p>
      <w:pPr>
        <w:ind w:left="700"/>
        <w:spacing w:after="0" w:line="237" w:lineRule="auto"/>
        <w:rPr>
          <w:sz w:val="20"/>
          <w:szCs w:val="20"/>
          <w:color w:val="auto"/>
        </w:rPr>
      </w:pPr>
      <w:r>
        <w:rPr>
          <w:rFonts w:ascii="Courier New" w:cs="Courier New" w:eastAsia="Courier New" w:hAnsi="Courier New"/>
          <w:sz w:val="12"/>
          <w:szCs w:val="12"/>
          <w:color w:val="auto"/>
        </w:rPr>
        <w:t>connection with said offering.</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offering was made in Israel to Israeli residents only. The</w:t>
      </w:r>
    </w:p>
    <w:p>
      <w:pPr>
        <w:ind w:left="700"/>
        <w:spacing w:after="0"/>
        <w:rPr>
          <w:sz w:val="20"/>
          <w:szCs w:val="20"/>
          <w:color w:val="auto"/>
        </w:rPr>
      </w:pPr>
      <w:r>
        <w:rPr>
          <w:rFonts w:ascii="Courier New" w:cs="Courier New" w:eastAsia="Courier New" w:hAnsi="Courier New"/>
          <w:sz w:val="12"/>
          <w:szCs w:val="12"/>
          <w:color w:val="auto"/>
        </w:rPr>
        <w:t>securities offered were not registered under the Securities Act and</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may not be sold in the U.S. or to U.S. persons absent registration 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 applicable exemption.</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Through September 2006, 391,500 options to purchase convertible</w:t>
      </w:r>
    </w:p>
    <w:p>
      <w:pPr>
        <w:ind w:left="700"/>
        <w:spacing w:after="0"/>
        <w:rPr>
          <w:sz w:val="20"/>
          <w:szCs w:val="20"/>
          <w:color w:val="auto"/>
        </w:rPr>
      </w:pPr>
      <w:r>
        <w:rPr>
          <w:rFonts w:ascii="Courier New" w:cs="Courier New" w:eastAsia="Courier New" w:hAnsi="Courier New"/>
          <w:sz w:val="12"/>
          <w:szCs w:val="12"/>
          <w:color w:val="auto"/>
        </w:rPr>
        <w:t>debentures described in (ii) above were exercised and 350,000 short</w:t>
      </w:r>
    </w:p>
    <w:p>
      <w:pPr>
        <w:ind w:left="700"/>
        <w:spacing w:after="0" w:line="237" w:lineRule="auto"/>
        <w:rPr>
          <w:sz w:val="20"/>
          <w:szCs w:val="20"/>
          <w:color w:val="auto"/>
        </w:rPr>
      </w:pPr>
      <w:r>
        <w:rPr>
          <w:rFonts w:ascii="Courier New" w:cs="Courier New" w:eastAsia="Courier New" w:hAnsi="Courier New"/>
          <w:sz w:val="12"/>
          <w:szCs w:val="12"/>
          <w:color w:val="auto"/>
        </w:rPr>
        <w:t>term warrants described in (iii) above were exercised into Ordinary</w:t>
      </w:r>
    </w:p>
    <w:p>
      <w:pPr>
        <w:ind w:left="700"/>
        <w:spacing w:after="0"/>
        <w:rPr>
          <w:sz w:val="20"/>
          <w:szCs w:val="20"/>
          <w:color w:val="auto"/>
        </w:rPr>
      </w:pPr>
      <w:r>
        <w:rPr>
          <w:rFonts w:ascii="Courier New" w:cs="Courier New" w:eastAsia="Courier New" w:hAnsi="Courier New"/>
          <w:sz w:val="12"/>
          <w:szCs w:val="12"/>
          <w:color w:val="auto"/>
        </w:rPr>
        <w:t>Shares, totaling in proceeds of approximately $8,000.</w:t>
      </w:r>
    </w:p>
    <w:p>
      <w:pPr>
        <w:spacing w:after="0" w:line="138"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See Note 19F for the accounting for the public offering in accordance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with U.S. GAAP.</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PRIVATE PLACEMENT</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November 2006, the Company received and accepted orders from Israeli investors in private placements for (i) 58,150 units, each comprised of 100 Ordinary Shares and 50 warrants ("Series 5 Warrants"), which were sold at a price of NIS 759 (approximately $0.177) per unit and (ii) 58,000 units, each comprised of 100 Ordinary Shares and 40 Series 5 Warrants, which were sold at a price of NIS 850 (approximately $0.198) per unit. The price of the Ordinary Shares included in the units was equal to the closing price of the Company's shares on the Tel-Aviv Stock Exchange prior to each of the relevant private placements. Total immediate gross proceeds amounted to approximately $22,000.</w:t>
      </w:r>
    </w:p>
    <w:p>
      <w:pPr>
        <w:spacing w:after="0" w:line="144"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Israeli securities laws, the securities were subject to a statutory lock-up. Further to the Company's undertaking to allow for removal of the statutory lock-up, the Company filed a prospectus with the Israel Securities Authority. Such prospectus was published in December 2006.</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Each of the Series 5 Warrants is exercisable at any time during a period of four years ending in December 2010 at a price per share equal to a 25% premium to the market price of the Company's shares at the date the prospectus is published. As of December 28, 2006, following the publication of the prospectus, the exercise price was finalized and determined to be NIS 9.48 (approximately $0.0022) linked to the CPI.</w:t>
      </w:r>
    </w:p>
    <w:p>
      <w:pPr>
        <w:spacing w:after="0" w:line="141" w:lineRule="exact"/>
        <w:rPr>
          <w:rFonts w:ascii="Courier New" w:cs="Courier New" w:eastAsia="Courier New" w:hAnsi="Courier New"/>
          <w:sz w:val="12"/>
          <w:szCs w:val="12"/>
          <w:color w:val="auto"/>
        </w:rPr>
      </w:pPr>
    </w:p>
    <w:p>
      <w:pPr>
        <w:ind w:left="700" w:right="489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accordance with Standard no. 22, Series 5 Warrants have been classified as liability since it did not meet the equity classification criteria in the issuance date. As a result of the classification as liability, such warrants are marked to market to their fair value, with changes in fair value recorded in earnings.</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INFORMATION ON GEOGRAPHIC AREAS AND MAJOR CUSTOMERS</w:t>
      </w:r>
    </w:p>
    <w:p>
      <w:pPr>
        <w:spacing w:after="0" w:line="134" w:lineRule="exact"/>
        <w:rPr>
          <w:sz w:val="20"/>
          <w:szCs w:val="20"/>
          <w:color w:val="auto"/>
        </w:rPr>
      </w:pPr>
    </w:p>
    <w:p>
      <w:pPr>
        <w:ind w:left="700" w:hanging="357"/>
        <w:spacing w:after="0"/>
        <w:tabs>
          <w:tab w:leader="none" w:pos="700"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REVENUES BY GEOGRAPHIC AREA (as percentage of total sales)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20" w:type="dxa"/>
            <w:vAlign w:val="bottom"/>
          </w:tcPr>
          <w:p>
            <w:pPr>
              <w:spacing w:after="0"/>
              <w:rPr>
                <w:sz w:val="11"/>
                <w:szCs w:val="11"/>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Year ended December 31,</w:t>
            </w:r>
          </w:p>
        </w:tc>
        <w:tc>
          <w:tcPr>
            <w:tcW w:w="58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292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11"/>
                <w:szCs w:val="11"/>
                <w:color w:val="auto"/>
              </w:rPr>
            </w:pPr>
          </w:p>
        </w:tc>
        <w:tc>
          <w:tcPr>
            <w:tcW w:w="10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2006</w:t>
            </w:r>
          </w:p>
        </w:tc>
        <w:tc>
          <w:tcPr>
            <w:tcW w:w="130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2005</w:t>
            </w:r>
          </w:p>
        </w:tc>
        <w:tc>
          <w:tcPr>
            <w:tcW w:w="5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2420" w:type="dxa"/>
            <w:vAlign w:val="bottom"/>
          </w:tcPr>
          <w:p>
            <w:pPr>
              <w:spacing w:after="0"/>
              <w:rPr>
                <w:sz w:val="11"/>
                <w:szCs w:val="11"/>
                <w:color w:val="auto"/>
              </w:rPr>
            </w:pP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5"/>
              </w:rPr>
              <w:t>-------</w:t>
            </w:r>
          </w:p>
        </w:tc>
      </w:tr>
      <w:tr>
        <w:trPr>
          <w:trHeight w:val="270"/>
        </w:trPr>
        <w:tc>
          <w:tcPr>
            <w:tcW w:w="2420" w:type="dxa"/>
            <w:vAlign w:val="bottom"/>
          </w:tcPr>
          <w:p>
            <w:pPr>
              <w:spacing w:after="0"/>
              <w:rPr>
                <w:sz w:val="20"/>
                <w:szCs w:val="20"/>
                <w:color w:val="auto"/>
              </w:rPr>
            </w:pPr>
            <w:r>
              <w:rPr>
                <w:rFonts w:ascii="Courier New" w:cs="Courier New" w:eastAsia="Courier New" w:hAnsi="Courier New"/>
                <w:sz w:val="12"/>
                <w:szCs w:val="12"/>
                <w:color w:val="auto"/>
              </w:rPr>
              <w:t>United States</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69%</w:t>
            </w:r>
          </w:p>
        </w:tc>
        <w:tc>
          <w:tcPr>
            <w:tcW w:w="130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64%</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60%</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Israel</w:t>
            </w: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7</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7</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Asia Pacific - primarily Taiwan</w:t>
            </w: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16</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20</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Europe</w:t>
            </w: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8</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9</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w:t>
            </w:r>
          </w:p>
        </w:tc>
      </w:tr>
      <w:tr>
        <w:trPr>
          <w:trHeight w:val="135"/>
        </w:trPr>
        <w:tc>
          <w:tcPr>
            <w:tcW w:w="2420" w:type="dxa"/>
            <w:vAlign w:val="bottom"/>
          </w:tcPr>
          <w:p>
            <w:pPr>
              <w:spacing w:after="0"/>
              <w:rPr>
                <w:sz w:val="11"/>
                <w:szCs w:val="11"/>
                <w:color w:val="auto"/>
              </w:rPr>
            </w:pP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100%</w:t>
            </w:r>
          </w:p>
        </w:tc>
        <w:tc>
          <w:tcPr>
            <w:tcW w:w="130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100%</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r>
        <w:trPr>
          <w:trHeight w:val="135"/>
        </w:trPr>
        <w:tc>
          <w:tcPr>
            <w:tcW w:w="2420" w:type="dxa"/>
            <w:vAlign w:val="bottom"/>
          </w:tcPr>
          <w:p>
            <w:pPr>
              <w:spacing w:after="0"/>
              <w:rPr>
                <w:sz w:val="11"/>
                <w:szCs w:val="11"/>
                <w:color w:val="auto"/>
              </w:rPr>
            </w:pP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5"/>
              </w:rPr>
              <w:t>=======</w:t>
            </w:r>
          </w:p>
        </w:tc>
      </w:tr>
    </w:tbl>
    <w:p>
      <w:pPr>
        <w:spacing w:after="0" w:line="139" w:lineRule="exact"/>
        <w:rPr>
          <w:sz w:val="20"/>
          <w:szCs w:val="20"/>
          <w:color w:val="auto"/>
        </w:rPr>
      </w:pPr>
    </w:p>
    <w:p>
      <w:pPr>
        <w:ind w:left="700" w:right="5119" w:hanging="357"/>
        <w:spacing w:after="0" w:line="235" w:lineRule="auto"/>
        <w:tabs>
          <w:tab w:leader="none" w:pos="70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LONG-LIVED ASSETS BY GEOGRAPHIC AREA - Substantially all of the Company's long-lived assets are located in Israel.</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INFORMATION ON GEOGRAPHIC AREAS AND MAJOR CUSTOMERS (cont.)</w:t>
      </w:r>
    </w:p>
    <w:p>
      <w:pPr>
        <w:spacing w:after="0" w:line="134" w:lineRule="exact"/>
        <w:rPr>
          <w:sz w:val="20"/>
          <w:szCs w:val="20"/>
          <w:color w:val="auto"/>
        </w:rPr>
      </w:pPr>
    </w:p>
    <w:p>
      <w:pPr>
        <w:ind w:left="700" w:hanging="357"/>
        <w:spacing w:after="0"/>
        <w:tabs>
          <w:tab w:leader="none" w:pos="700"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MAJOR CUSTOMERS (as percentage of total sales)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2"/>
                <w:szCs w:val="12"/>
                <w:color w:val="auto"/>
                <w:w w:val="96"/>
              </w:rPr>
              <w:t>Year ended December 31,</w:t>
            </w:r>
          </w:p>
        </w:tc>
        <w:tc>
          <w:tcPr>
            <w:tcW w:w="640" w:type="dxa"/>
            <w:vAlign w:val="bottom"/>
          </w:tcPr>
          <w:p>
            <w:pPr>
              <w:spacing w:after="0"/>
              <w:rPr>
                <w:sz w:val="11"/>
                <w:szCs w:val="11"/>
                <w:color w:val="auto"/>
              </w:rPr>
            </w:pPr>
          </w:p>
        </w:tc>
      </w:tr>
      <w:tr>
        <w:trPr>
          <w:trHeight w:val="135"/>
        </w:trPr>
        <w:tc>
          <w:tcPr>
            <w:tcW w:w="520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740" w:type="dxa"/>
            <w:vAlign w:val="bottom"/>
          </w:tcPr>
          <w:p>
            <w:pPr>
              <w:ind w:left="2460"/>
              <w:spacing w:after="0"/>
              <w:rPr>
                <w:sz w:val="20"/>
                <w:szCs w:val="20"/>
                <w:color w:val="auto"/>
              </w:rPr>
            </w:pPr>
            <w:r>
              <w:rPr>
                <w:rFonts w:ascii="Courier New" w:cs="Courier New" w:eastAsia="Courier New" w:hAnsi="Courier New"/>
                <w:sz w:val="12"/>
                <w:szCs w:val="12"/>
                <w:color w:val="auto"/>
                <w:w w:val="90"/>
              </w:rPr>
              <w:t>2006</w:t>
            </w:r>
          </w:p>
        </w:tc>
        <w:tc>
          <w:tcPr>
            <w:tcW w:w="200" w:type="dxa"/>
            <w:vAlign w:val="bottom"/>
          </w:tcPr>
          <w:p>
            <w:pPr>
              <w:spacing w:after="0"/>
              <w:rPr>
                <w:sz w:val="11"/>
                <w:szCs w:val="11"/>
                <w:color w:val="auto"/>
              </w:rPr>
            </w:pPr>
          </w:p>
        </w:tc>
        <w:tc>
          <w:tcPr>
            <w:tcW w:w="162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2005</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2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w:t>
            </w:r>
          </w:p>
        </w:tc>
      </w:tr>
      <w:tr>
        <w:trPr>
          <w:trHeight w:val="270"/>
        </w:trPr>
        <w:tc>
          <w:tcPr>
            <w:tcW w:w="2740" w:type="dxa"/>
            <w:vAlign w:val="bottom"/>
          </w:tcPr>
          <w:p>
            <w:pPr>
              <w:spacing w:after="0"/>
              <w:rPr>
                <w:sz w:val="20"/>
                <w:szCs w:val="20"/>
                <w:color w:val="auto"/>
              </w:rPr>
            </w:pPr>
            <w:r>
              <w:rPr>
                <w:rFonts w:ascii="Courier New" w:cs="Courier New" w:eastAsia="Courier New" w:hAnsi="Courier New"/>
                <w:sz w:val="12"/>
                <w:szCs w:val="12"/>
                <w:color w:val="auto"/>
              </w:rPr>
              <w:t>Customer A (related party)</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w w:val="83"/>
              </w:rPr>
              <w:t>23%</w:t>
            </w:r>
          </w:p>
        </w:tc>
        <w:tc>
          <w:tcPr>
            <w:tcW w:w="16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22%</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24%</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Customer B</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10</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14</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Customer C (related party)</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10</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7</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Customer D</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2</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w:t>
            </w:r>
          </w:p>
        </w:tc>
      </w:tr>
      <w:tr>
        <w:trPr>
          <w:trHeight w:val="270"/>
        </w:trPr>
        <w:tc>
          <w:tcPr>
            <w:tcW w:w="2740" w:type="dxa"/>
            <w:vAlign w:val="bottom"/>
          </w:tcPr>
          <w:p>
            <w:pPr>
              <w:spacing w:after="0"/>
              <w:rPr>
                <w:sz w:val="20"/>
                <w:szCs w:val="20"/>
                <w:color w:val="auto"/>
              </w:rPr>
            </w:pPr>
            <w:r>
              <w:rPr>
                <w:rFonts w:ascii="Courier New" w:cs="Courier New" w:eastAsia="Courier New" w:hAnsi="Courier New"/>
                <w:sz w:val="12"/>
                <w:szCs w:val="12"/>
                <w:color w:val="auto"/>
              </w:rPr>
              <w:t>Other customers (*)</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25</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15</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w:t>
            </w:r>
          </w:p>
        </w:tc>
      </w:tr>
    </w:tbl>
    <w:p>
      <w:pPr>
        <w:spacing w:after="0" w:line="139" w:lineRule="exact"/>
        <w:rPr>
          <w:sz w:val="20"/>
          <w:szCs w:val="20"/>
          <w:color w:val="auto"/>
        </w:rPr>
      </w:pPr>
    </w:p>
    <w:p>
      <w:pPr>
        <w:ind w:left="1040" w:right="4619" w:hanging="345"/>
        <w:spacing w:after="0" w:line="237" w:lineRule="auto"/>
        <w:tabs>
          <w:tab w:leader="none" w:pos="1040"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Represents sales to five different customers each of whom accounted for between 2% and 9% of sales during 2006; to four different customers each of whom accounted for between 3% and 5% of sales during 2005 and to three customers accounted for between 3% and 8% of sales during 2004.</w:t>
      </w:r>
    </w:p>
    <w:p>
      <w:pPr>
        <w:spacing w:after="0" w:line="135"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of December 31, 2006 and 2005, the above major customers</w:t>
      </w:r>
    </w:p>
    <w:p>
      <w:pPr>
        <w:sectPr>
          <w:pgSz w:w="11900" w:h="16838" w:orient="portrait"/>
          <w:cols w:equalWidth="0" w:num="1">
            <w:col w:w="10239"/>
          </w:cols>
          <w:pgMar w:left="220" w:top="137" w:right="1440" w:bottom="0" w:gutter="0" w:footer="0" w:header="0"/>
        </w:sectPr>
      </w:pPr>
    </w:p>
    <w:bookmarkStart w:id="78" w:name="page79"/>
    <w:bookmarkEnd w:id="78"/>
    <w:p>
      <w:pPr>
        <w:ind w:left="700"/>
        <w:spacing w:after="0"/>
        <w:rPr>
          <w:sz w:val="20"/>
          <w:szCs w:val="20"/>
          <w:color w:val="auto"/>
        </w:rPr>
      </w:pPr>
      <w:r>
        <w:rPr>
          <w:rFonts w:ascii="Courier New" w:cs="Courier New" w:eastAsia="Courier New" w:hAnsi="Courier New"/>
          <w:sz w:val="12"/>
          <w:szCs w:val="12"/>
          <w:color w:val="auto"/>
        </w:rPr>
        <w:t>constituted the majority of the trade accounts receivable reflected on</w:t>
      </w:r>
    </w:p>
    <w:p>
      <w:pPr>
        <w:ind w:left="700"/>
        <w:spacing w:after="0"/>
        <w:rPr>
          <w:sz w:val="20"/>
          <w:szCs w:val="20"/>
          <w:color w:val="auto"/>
        </w:rPr>
      </w:pPr>
      <w:r>
        <w:rPr>
          <w:rFonts w:ascii="Courier New" w:cs="Courier New" w:eastAsia="Courier New" w:hAnsi="Courier New"/>
          <w:sz w:val="12"/>
          <w:szCs w:val="12"/>
          <w:color w:val="auto"/>
        </w:rPr>
        <w:t>the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60" w:type="dxa"/>
            <w:vAlign w:val="bottom"/>
          </w:tcPr>
          <w:p>
            <w:pPr>
              <w:spacing w:after="0"/>
              <w:rPr>
                <w:sz w:val="20"/>
                <w:szCs w:val="20"/>
                <w:color w:val="auto"/>
              </w:rPr>
            </w:pPr>
            <w:r>
              <w:rPr>
                <w:rFonts w:ascii="Courier New" w:cs="Courier New" w:eastAsia="Courier New" w:hAnsi="Courier New"/>
                <w:sz w:val="12"/>
                <w:szCs w:val="12"/>
                <w:color w:val="auto"/>
              </w:rPr>
              <w:t>NOTE 14 - FINANCING EXPENSES, NET</w:t>
            </w:r>
          </w:p>
        </w:tc>
        <w:tc>
          <w:tcPr>
            <w:tcW w:w="10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460" w:type="dxa"/>
            <w:vAlign w:val="bottom"/>
          </w:tcPr>
          <w:p>
            <w:pPr>
              <w:ind w:left="340"/>
              <w:spacing w:after="0"/>
              <w:rPr>
                <w:sz w:val="20"/>
                <w:szCs w:val="20"/>
                <w:color w:val="auto"/>
              </w:rPr>
            </w:pPr>
            <w:r>
              <w:rPr>
                <w:rFonts w:ascii="Courier New" w:cs="Courier New" w:eastAsia="Courier New" w:hAnsi="Courier New"/>
                <w:sz w:val="12"/>
                <w:szCs w:val="12"/>
                <w:color w:val="auto"/>
              </w:rPr>
              <w:t>Financing expenses, net consist of the following:</w:t>
            </w:r>
          </w:p>
        </w:tc>
        <w:tc>
          <w:tcPr>
            <w:tcW w:w="10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2"/>
                <w:szCs w:val="12"/>
                <w:color w:val="auto"/>
                <w:w w:val="96"/>
              </w:rPr>
              <w:t>Year ended December 31,</w:t>
            </w:r>
          </w:p>
        </w:tc>
        <w:tc>
          <w:tcPr>
            <w:tcW w:w="640" w:type="dxa"/>
            <w:vAlign w:val="bottom"/>
          </w:tcPr>
          <w:p>
            <w:pPr>
              <w:spacing w:after="0"/>
              <w:rPr>
                <w:sz w:val="23"/>
                <w:szCs w:val="23"/>
                <w:color w:val="auto"/>
              </w:rPr>
            </w:pPr>
          </w:p>
        </w:tc>
      </w:tr>
      <w:tr>
        <w:trPr>
          <w:trHeight w:val="135"/>
        </w:trPr>
        <w:tc>
          <w:tcPr>
            <w:tcW w:w="4460" w:type="dxa"/>
            <w:vAlign w:val="bottom"/>
          </w:tcPr>
          <w:p>
            <w:pPr>
              <w:spacing w:after="0"/>
              <w:rPr>
                <w:sz w:val="11"/>
                <w:szCs w:val="11"/>
                <w:color w:val="auto"/>
              </w:rPr>
            </w:pPr>
          </w:p>
        </w:tc>
        <w:tc>
          <w:tcPr>
            <w:tcW w:w="334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460" w:type="dxa"/>
            <w:vAlign w:val="bottom"/>
          </w:tcPr>
          <w:p>
            <w:pPr>
              <w:spacing w:after="0"/>
              <w:rPr>
                <w:sz w:val="11"/>
                <w:szCs w:val="11"/>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2006</w:t>
            </w:r>
          </w:p>
        </w:tc>
        <w:tc>
          <w:tcPr>
            <w:tcW w:w="162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2005</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4460" w:type="dxa"/>
            <w:vAlign w:val="bottom"/>
          </w:tcPr>
          <w:p>
            <w:pPr>
              <w:spacing w:after="0"/>
              <w:rPr>
                <w:sz w:val="11"/>
                <w:szCs w:val="11"/>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w:t>
            </w:r>
          </w:p>
        </w:tc>
      </w:tr>
      <w:tr>
        <w:trPr>
          <w:trHeight w:val="270"/>
        </w:trPr>
        <w:tc>
          <w:tcPr>
            <w:tcW w:w="4460" w:type="dxa"/>
            <w:vAlign w:val="bottom"/>
          </w:tcPr>
          <w:p>
            <w:pPr>
              <w:spacing w:after="0"/>
              <w:rPr>
                <w:sz w:val="20"/>
                <w:szCs w:val="20"/>
                <w:color w:val="auto"/>
              </w:rPr>
            </w:pPr>
            <w:r>
              <w:rPr>
                <w:rFonts w:ascii="Courier New" w:cs="Courier New" w:eastAsia="Courier New" w:hAnsi="Courier New"/>
                <w:sz w:val="12"/>
                <w:szCs w:val="12"/>
                <w:color w:val="auto"/>
              </w:rPr>
              <w:t>Financial expenses (primarily bank loans interest)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$(39,917)</w:t>
            </w:r>
          </w:p>
        </w:tc>
        <w:tc>
          <w:tcPr>
            <w:tcW w:w="16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$(36,103)</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$(28,257)</w:t>
            </w: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Expenses in relation to convertible debentures (primarily</w:t>
            </w:r>
          </w:p>
        </w:tc>
        <w:tc>
          <w:tcPr>
            <w:tcW w:w="10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interest and discount amortization expenses)</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(9,913)</w:t>
            </w:r>
          </w:p>
        </w:tc>
        <w:tc>
          <w:tcPr>
            <w:tcW w:w="16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(741)</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(2,685)</w:t>
            </w:r>
          </w:p>
        </w:tc>
      </w:tr>
      <w:tr>
        <w:trPr>
          <w:trHeight w:val="135"/>
        </w:trPr>
        <w:tc>
          <w:tcPr>
            <w:tcW w:w="4460" w:type="dxa"/>
            <w:vAlign w:val="bottom"/>
          </w:tcPr>
          <w:p>
            <w:pPr>
              <w:spacing w:after="0"/>
              <w:rPr>
                <w:sz w:val="11"/>
                <w:szCs w:val="11"/>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w:t>
            </w:r>
          </w:p>
        </w:tc>
      </w:tr>
      <w:tr>
        <w:trPr>
          <w:trHeight w:val="135"/>
        </w:trPr>
        <w:tc>
          <w:tcPr>
            <w:tcW w:w="44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(49,830)</w:t>
            </w:r>
          </w:p>
        </w:tc>
        <w:tc>
          <w:tcPr>
            <w:tcW w:w="16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(36,844)</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(30,942)</w:t>
            </w:r>
          </w:p>
        </w:tc>
      </w:tr>
      <w:tr>
        <w:trPr>
          <w:trHeight w:val="270"/>
        </w:trPr>
        <w:tc>
          <w:tcPr>
            <w:tcW w:w="4460" w:type="dxa"/>
            <w:vAlign w:val="bottom"/>
          </w:tcPr>
          <w:p>
            <w:pPr>
              <w:spacing w:after="0"/>
              <w:rPr>
                <w:sz w:val="20"/>
                <w:szCs w:val="20"/>
                <w:color w:val="auto"/>
              </w:rPr>
            </w:pPr>
            <w:r>
              <w:rPr>
                <w:rFonts w:ascii="Courier New" w:cs="Courier New" w:eastAsia="Courier New" w:hAnsi="Courier New"/>
                <w:sz w:val="12"/>
                <w:szCs w:val="12"/>
                <w:color w:val="auto"/>
              </w:rPr>
              <w:t>Financing income (primarily bank deposit interest)</w:t>
            </w: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1,682</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1,193</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1,197</w:t>
            </w:r>
          </w:p>
        </w:tc>
      </w:tr>
      <w:tr>
        <w:trPr>
          <w:trHeight w:val="135"/>
        </w:trPr>
        <w:tc>
          <w:tcPr>
            <w:tcW w:w="4460" w:type="dxa"/>
            <w:vAlign w:val="bottom"/>
          </w:tcPr>
          <w:p>
            <w:pPr>
              <w:spacing w:after="0"/>
              <w:rPr>
                <w:sz w:val="11"/>
                <w:szCs w:val="11"/>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w:t>
            </w: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$(48,148)</w:t>
            </w:r>
          </w:p>
        </w:tc>
        <w:tc>
          <w:tcPr>
            <w:tcW w:w="16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$(35,651)</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$(29,745)</w:t>
            </w:r>
          </w:p>
        </w:tc>
      </w:tr>
      <w:tr>
        <w:trPr>
          <w:trHeight w:val="135"/>
        </w:trPr>
        <w:tc>
          <w:tcPr>
            <w:tcW w:w="4460" w:type="dxa"/>
            <w:vAlign w:val="bottom"/>
          </w:tcPr>
          <w:p>
            <w:pPr>
              <w:spacing w:after="0"/>
              <w:rPr>
                <w:sz w:val="11"/>
                <w:szCs w:val="11"/>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15 - OTHER INCOME, NET</w:t>
      </w:r>
    </w:p>
    <w:p>
      <w:pPr>
        <w:spacing w:after="0" w:line="139" w:lineRule="exact"/>
        <w:rPr>
          <w:sz w:val="20"/>
          <w:szCs w:val="20"/>
          <w:color w:val="auto"/>
        </w:rPr>
      </w:pPr>
    </w:p>
    <w:p>
      <w:pPr>
        <w:ind w:left="340" w:right="4699"/>
        <w:spacing w:after="0" w:line="237" w:lineRule="auto"/>
        <w:rPr>
          <w:sz w:val="20"/>
          <w:szCs w:val="20"/>
          <w:color w:val="auto"/>
        </w:rPr>
      </w:pPr>
      <w:r>
        <w:rPr>
          <w:rFonts w:ascii="Courier New" w:cs="Courier New" w:eastAsia="Courier New" w:hAnsi="Courier New"/>
          <w:sz w:val="12"/>
          <w:szCs w:val="12"/>
          <w:color w:val="auto"/>
        </w:rPr>
        <w:t>In December 2004, the Company entered into a definitive agreement to sell all of its holdings in Saifun Semiconductors Ltd. ("Saifun"), an Israeli company which designs and develops memory designs, to a U.S. based private equity investor in consideration for $38,677. In December 2004, shareholders of Saifun exercised their right of first refusal, and accordingly purchased the shares from the Company for said amount. The net gain from the sale of Saifun's shares amounted to $32,377.</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16 - INCOME TAXES</w:t>
      </w:r>
    </w:p>
    <w:p>
      <w:pPr>
        <w:spacing w:after="0" w:line="134" w:lineRule="exact"/>
        <w:rPr>
          <w:sz w:val="20"/>
          <w:szCs w:val="20"/>
          <w:color w:val="auto"/>
        </w:rPr>
      </w:pPr>
    </w:p>
    <w:p>
      <w:pPr>
        <w:ind w:left="700" w:hanging="357"/>
        <w:spacing w:after="0"/>
        <w:tabs>
          <w:tab w:leader="none" w:pos="700"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38" w:lineRule="exact"/>
        <w:rPr>
          <w:rFonts w:ascii="Courier New" w:cs="Courier New" w:eastAsia="Courier New" w:hAnsi="Courier New"/>
          <w:sz w:val="12"/>
          <w:szCs w:val="12"/>
          <w:color w:val="auto"/>
        </w:rPr>
      </w:pPr>
    </w:p>
    <w:p>
      <w:pPr>
        <w:ind w:left="70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Substantially all of the Company's existing facilities and other capital investments through December 31, 2005 have been granted approved enterprise status, as provided by the Israeli Law for the Encouragement of Capital Investments - 1959 ("Investments Law") (see Note 5B).</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tax benefits derived from approved enterprise status relate only to taxable income attributable to each approved enterprise investments program. Pursuant to the Investments Law and the approval certificates, the Company's income attributable to its various approved enterprise investments is taxed at a rate of up to 25% through 2012. Taxable income attributable to the Fab 2 approved program shall be tax-exempt for the first two years it arises. The portion of the Company's taxable income that is not attributable to approved enterprise investments is taxed at a rate of 31% in 2006 (regular "Company Tax"). The regular Company Tax rate is to be gradually reduced to 25% until 2010.</w:t>
      </w:r>
    </w:p>
    <w:p>
      <w:pPr>
        <w:spacing w:after="0" w:line="144"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tax benefits are also conditioned upon fulfillment of the requirements stipulated by the Investments Law and the regulations promulgated thereunder,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also Notes 5B and 11A(8).</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16 - INCOME TAXES (cont.)</w:t>
      </w:r>
    </w:p>
    <w:p>
      <w:pPr>
        <w:spacing w:after="0" w:line="134" w:lineRule="exact"/>
        <w:rPr>
          <w:sz w:val="20"/>
          <w:szCs w:val="20"/>
          <w:color w:val="auto"/>
        </w:rPr>
      </w:pPr>
    </w:p>
    <w:p>
      <w:pPr>
        <w:ind w:left="700" w:hanging="357"/>
        <w:spacing w:after="0"/>
        <w:tabs>
          <w:tab w:leader="none" w:pos="700"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COMPONENTS OF DEFERRED TAX ASSET/LIABILITY</w:t>
      </w:r>
    </w:p>
    <w:p>
      <w:pPr>
        <w:spacing w:after="0" w:line="138" w:lineRule="exact"/>
        <w:rPr>
          <w:rFonts w:ascii="Courier New" w:cs="Courier New" w:eastAsia="Courier New" w:hAnsi="Courier New"/>
          <w:sz w:val="12"/>
          <w:szCs w:val="12"/>
          <w:color w:val="auto"/>
        </w:rPr>
      </w:pPr>
    </w:p>
    <w:p>
      <w:pPr>
        <w:ind w:left="700" w:right="50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is a summary of the components of the deferred tax benefit and liability reflected on the balance sheets as of the respective dates: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4040" w:type="dxa"/>
            <w:vAlign w:val="bottom"/>
          </w:tcPr>
          <w:p>
            <w:pPr>
              <w:spacing w:after="0"/>
              <w:rPr>
                <w:sz w:val="11"/>
                <w:szCs w:val="11"/>
                <w:color w:val="auto"/>
              </w:rPr>
            </w:pPr>
          </w:p>
        </w:tc>
        <w:tc>
          <w:tcPr>
            <w:tcW w:w="214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2006</w:t>
            </w:r>
          </w:p>
        </w:tc>
        <w:tc>
          <w:tcPr>
            <w:tcW w:w="32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040" w:type="dxa"/>
            <w:vAlign w:val="bottom"/>
          </w:tcPr>
          <w:p>
            <w:pPr>
              <w:spacing w:after="0"/>
              <w:rPr>
                <w:sz w:val="20"/>
                <w:szCs w:val="20"/>
                <w:color w:val="auto"/>
              </w:rPr>
            </w:pPr>
            <w:r>
              <w:rPr>
                <w:rFonts w:ascii="Courier New" w:cs="Courier New" w:eastAsia="Courier New" w:hAnsi="Courier New"/>
                <w:sz w:val="12"/>
                <w:szCs w:val="12"/>
                <w:color w:val="auto"/>
              </w:rPr>
              <w:t>DEFERRED TAX BENEFIT - CURRENT</w:t>
            </w: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Amounts relating to employees benefits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1,717</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522</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115</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51</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1,832</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573</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Valuation allowance</w:t>
            </w:r>
          </w:p>
        </w:tc>
        <w:tc>
          <w:tcPr>
            <w:tcW w:w="30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(1,832)</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(573)</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Total current deferred tax benefit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040" w:type="dxa"/>
            <w:vAlign w:val="bottom"/>
          </w:tcPr>
          <w:p>
            <w:pPr>
              <w:spacing w:after="0"/>
              <w:rPr>
                <w:sz w:val="20"/>
                <w:szCs w:val="20"/>
                <w:color w:val="auto"/>
              </w:rPr>
            </w:pPr>
            <w:r>
              <w:rPr>
                <w:rFonts w:ascii="Courier New" w:cs="Courier New" w:eastAsia="Courier New" w:hAnsi="Courier New"/>
                <w:sz w:val="12"/>
                <w:szCs w:val="12"/>
                <w:color w:val="auto"/>
              </w:rPr>
              <w:t>NET DEFERRED TAX BENEFIT - LONG-TERM</w:t>
            </w: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Deferred tax assets -</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040" w:type="dxa"/>
            <w:vAlign w:val="bottom"/>
          </w:tcPr>
          <w:p>
            <w:pPr>
              <w:ind w:left="280"/>
              <w:spacing w:after="0"/>
              <w:rPr>
                <w:sz w:val="20"/>
                <w:szCs w:val="20"/>
                <w:color w:val="auto"/>
              </w:rPr>
            </w:pPr>
            <w:r>
              <w:rPr>
                <w:rFonts w:ascii="Courier New" w:cs="Courier New" w:eastAsia="Courier New" w:hAnsi="Courier New"/>
                <w:sz w:val="12"/>
                <w:szCs w:val="12"/>
                <w:color w:val="auto"/>
              </w:rPr>
              <w:t>Net operating loss carryforwards</w:t>
            </w: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$ 174,000</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$ 165,000</w:t>
            </w:r>
          </w:p>
        </w:tc>
      </w:tr>
      <w:tr>
        <w:trPr>
          <w:trHeight w:val="135"/>
        </w:trPr>
        <w:tc>
          <w:tcPr>
            <w:tcW w:w="4040" w:type="dxa"/>
            <w:vAlign w:val="bottom"/>
          </w:tcPr>
          <w:p>
            <w:pPr>
              <w:ind w:left="280"/>
              <w:spacing w:after="0"/>
              <w:rPr>
                <w:sz w:val="20"/>
                <w:szCs w:val="20"/>
                <w:color w:val="auto"/>
              </w:rPr>
            </w:pPr>
            <w:r>
              <w:rPr>
                <w:rFonts w:ascii="Courier New" w:cs="Courier New" w:eastAsia="Courier New" w:hAnsi="Courier New"/>
                <w:sz w:val="12"/>
                <w:szCs w:val="12"/>
                <w:color w:val="auto"/>
              </w:rPr>
              <w:t>Research and development</w:t>
            </w: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2,063</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2,427</w:t>
            </w:r>
          </w:p>
        </w:tc>
      </w:tr>
      <w:tr>
        <w:trPr>
          <w:trHeight w:val="135"/>
        </w:trPr>
        <w:tc>
          <w:tcPr>
            <w:tcW w:w="4040" w:type="dxa"/>
            <w:vAlign w:val="bottom"/>
          </w:tcPr>
          <w:p>
            <w:pPr>
              <w:ind w:left="280"/>
              <w:spacing w:after="0"/>
              <w:rPr>
                <w:sz w:val="20"/>
                <w:szCs w:val="20"/>
                <w:color w:val="auto"/>
              </w:rPr>
            </w:pPr>
            <w:r>
              <w:rPr>
                <w:rFonts w:ascii="Courier New" w:cs="Courier New" w:eastAsia="Courier New" w:hAnsi="Courier New"/>
                <w:sz w:val="12"/>
                <w:szCs w:val="12"/>
                <w:color w:val="auto"/>
              </w:rPr>
              <w:t>Liability for employee rights upon severance</w:t>
            </w: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656</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957</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176,719</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168,384</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Valuation allowance</w:t>
            </w:r>
          </w:p>
        </w:tc>
        <w:tc>
          <w:tcPr>
            <w:tcW w:w="30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(128,707)</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(118,321)</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48,012</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50,063</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Deferred tax liability - depreciation and amortization</w:t>
            </w:r>
          </w:p>
        </w:tc>
        <w:tc>
          <w:tcPr>
            <w:tcW w:w="30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(48,012)</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(50,063)</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Total net long-term deferred tax benefit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0239"/>
          </w:cols>
          <w:pgMar w:left="220" w:top="137" w:right="1440" w:bottom="0" w:gutter="0" w:footer="0" w:header="0"/>
        </w:sectPr>
      </w:pPr>
    </w:p>
    <w:bookmarkStart w:id="79" w:name="page80"/>
    <w:bookmarkEnd w:id="79"/>
    <w:p>
      <w:pPr>
        <w:ind w:left="700" w:hanging="357"/>
        <w:spacing w:after="0"/>
        <w:tabs>
          <w:tab w:leader="none" w:pos="700"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EFFECTIVE INCOME TAX RATES</w:t>
      </w:r>
    </w:p>
    <w:p>
      <w:pPr>
        <w:spacing w:after="0" w:line="138" w:lineRule="exact"/>
        <w:rPr>
          <w:rFonts w:ascii="Courier New" w:cs="Courier New" w:eastAsia="Courier New" w:hAnsi="Courier New"/>
          <w:sz w:val="12"/>
          <w:szCs w:val="12"/>
          <w:color w:val="auto"/>
        </w:rPr>
      </w:pPr>
    </w:p>
    <w:p>
      <w:pPr>
        <w:ind w:left="700" w:right="52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reconciliation of the statutory tax rate to the Company's effective tax rate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2"/>
                <w:szCs w:val="12"/>
                <w:color w:val="auto"/>
                <w:w w:val="96"/>
              </w:rPr>
              <w:t>Year ended December 31,</w:t>
            </w:r>
          </w:p>
        </w:tc>
        <w:tc>
          <w:tcPr>
            <w:tcW w:w="74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334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c>
          <w:tcPr>
            <w:tcW w:w="1640" w:type="dxa"/>
            <w:vAlign w:val="bottom"/>
          </w:tcPr>
          <w:p>
            <w:pPr>
              <w:jc w:val="right"/>
              <w:ind w:right="681"/>
              <w:spacing w:after="0"/>
              <w:rPr>
                <w:sz w:val="20"/>
                <w:szCs w:val="20"/>
                <w:color w:val="auto"/>
              </w:rPr>
            </w:pPr>
            <w:r>
              <w:rPr>
                <w:rFonts w:ascii="Courier New" w:cs="Courier New" w:eastAsia="Courier New" w:hAnsi="Courier New"/>
                <w:sz w:val="12"/>
                <w:szCs w:val="12"/>
                <w:color w:val="auto"/>
              </w:rPr>
              <w:t>2005</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3040" w:type="dxa"/>
            <w:vAlign w:val="bottom"/>
          </w:tcPr>
          <w:p>
            <w:pPr>
              <w:spacing w:after="0"/>
              <w:rPr>
                <w:sz w:val="20"/>
                <w:szCs w:val="20"/>
                <w:color w:val="auto"/>
              </w:rPr>
            </w:pPr>
            <w:r>
              <w:rPr>
                <w:rFonts w:ascii="Courier New" w:cs="Courier New" w:eastAsia="Courier New" w:hAnsi="Courier New"/>
                <w:sz w:val="12"/>
                <w:szCs w:val="12"/>
                <w:color w:val="auto"/>
              </w:rPr>
              <w:t>Israeli statutory rate</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(31)%</w:t>
            </w:r>
          </w:p>
        </w:tc>
        <w:tc>
          <w:tcPr>
            <w:tcW w:w="16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(34)%</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(35)%</w:t>
            </w: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Reduced tax rate for approved enterprise</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w:t>
            </w:r>
          </w:p>
        </w:tc>
        <w:tc>
          <w:tcPr>
            <w:tcW w:w="16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14</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w:t>
            </w: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Tax benefits for which deferred taxes</w:t>
            </w:r>
          </w:p>
        </w:tc>
        <w:tc>
          <w:tcPr>
            <w:tcW w:w="9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were not recorded</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w:t>
            </w:r>
          </w:p>
        </w:tc>
        <w:tc>
          <w:tcPr>
            <w:tcW w:w="16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21</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w:t>
            </w: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Permanent differences and other, net</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(1)</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(3)</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OPERATING LOSS CARRYFORWARD</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2006, the Company had net operating loss carryforwards for tax purposes of approximately $870,000, which may be carried forward for an unlimited period of time.</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16 - INCOME TAXES (cont.)</w:t>
      </w:r>
    </w:p>
    <w:p>
      <w:pPr>
        <w:spacing w:after="0" w:line="134" w:lineRule="exact"/>
        <w:rPr>
          <w:sz w:val="20"/>
          <w:szCs w:val="20"/>
          <w:color w:val="auto"/>
        </w:rPr>
      </w:pPr>
    </w:p>
    <w:p>
      <w:pPr>
        <w:ind w:left="700" w:hanging="357"/>
        <w:spacing w:after="0"/>
        <w:tabs>
          <w:tab w:leader="none" w:pos="700"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FINAL TAX ASSESSMENTS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Company possesses final tax assessments through the year 1998. In</w:t>
      </w:r>
    </w:p>
    <w:p>
      <w:pPr>
        <w:ind w:left="700"/>
        <w:spacing w:after="0"/>
        <w:rPr>
          <w:sz w:val="20"/>
          <w:szCs w:val="20"/>
          <w:color w:val="auto"/>
        </w:rPr>
      </w:pPr>
      <w:r>
        <w:rPr>
          <w:rFonts w:ascii="Courier New" w:cs="Courier New" w:eastAsia="Courier New" w:hAnsi="Courier New"/>
          <w:sz w:val="12"/>
          <w:szCs w:val="12"/>
          <w:color w:val="auto"/>
        </w:rPr>
        <w:t>addition, the tax assessments for the years 1999-2002 are deemed</w:t>
      </w:r>
    </w:p>
    <w:p>
      <w:pPr>
        <w:ind w:left="700"/>
        <w:spacing w:after="0" w:line="237" w:lineRule="auto"/>
        <w:rPr>
          <w:sz w:val="20"/>
          <w:szCs w:val="20"/>
          <w:color w:val="auto"/>
        </w:rPr>
      </w:pPr>
      <w:r>
        <w:rPr>
          <w:rFonts w:ascii="Courier New" w:cs="Courier New" w:eastAsia="Courier New" w:hAnsi="Courier New"/>
          <w:sz w:val="12"/>
          <w:szCs w:val="12"/>
          <w:color w:val="auto"/>
        </w:rPr>
        <w:t>final.</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FINANCIAL INSTRUMENTS</w:t>
      </w:r>
    </w:p>
    <w:p>
      <w:pPr>
        <w:spacing w:after="0" w:line="139" w:lineRule="exact"/>
        <w:rPr>
          <w:sz w:val="20"/>
          <w:szCs w:val="20"/>
          <w:color w:val="auto"/>
        </w:rPr>
      </w:pPr>
    </w:p>
    <w:p>
      <w:pPr>
        <w:ind w:left="340" w:right="4759"/>
        <w:spacing w:after="0" w:line="237" w:lineRule="auto"/>
        <w:rPr>
          <w:sz w:val="20"/>
          <w:szCs w:val="20"/>
          <w:color w:val="auto"/>
        </w:rPr>
      </w:pPr>
      <w:r>
        <w:rPr>
          <w:rFonts w:ascii="Courier New" w:cs="Courier New" w:eastAsia="Courier New" w:hAnsi="Courier New"/>
          <w:sz w:val="12"/>
          <w:szCs w:val="12"/>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141"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39" w:lineRule="exact"/>
        <w:rPr>
          <w:sz w:val="20"/>
          <w:szCs w:val="20"/>
          <w:color w:val="auto"/>
        </w:rPr>
      </w:pPr>
    </w:p>
    <w:p>
      <w:pPr>
        <w:ind w:left="340" w:right="4699"/>
        <w:spacing w:after="0" w:line="235" w:lineRule="auto"/>
        <w:rPr>
          <w:sz w:val="20"/>
          <w:szCs w:val="20"/>
          <w:color w:val="auto"/>
        </w:rPr>
      </w:pPr>
      <w:r>
        <w:rPr>
          <w:rFonts w:ascii="Courier New" w:cs="Courier New" w:eastAsia="Courier New" w:hAnsi="Courier New"/>
          <w:sz w:val="12"/>
          <w:szCs w:val="12"/>
          <w:color w:val="auto"/>
        </w:rPr>
        <w:t>See Note 19D for disclosure related to the Company's derivatives financial instruments in accordance with U.S. GAAP.</w:t>
      </w:r>
    </w:p>
    <w:p>
      <w:pPr>
        <w:spacing w:after="0" w:line="135" w:lineRule="exact"/>
        <w:rPr>
          <w:sz w:val="20"/>
          <w:szCs w:val="20"/>
          <w:color w:val="auto"/>
        </w:rPr>
      </w:pPr>
    </w:p>
    <w:p>
      <w:pPr>
        <w:ind w:left="700" w:hanging="357"/>
        <w:spacing w:after="0"/>
        <w:tabs>
          <w:tab w:leader="none" w:pos="700"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the Company, from time to time, enters into agreements to hedge variable interest rate exposure on long-term loans (see Note 8).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the results of operations on a straight-line basis. When the related debt is issued in connection with the acquisition of assets not yet placed into operations, interest costs and gains and losses on the derivative contracts are capitalized to the related asset.</w:t>
      </w:r>
    </w:p>
    <w:p>
      <w:pPr>
        <w:spacing w:after="0" w:line="139" w:lineRule="exact"/>
        <w:rPr>
          <w:rFonts w:ascii="Courier New" w:cs="Courier New" w:eastAsia="Courier New" w:hAnsi="Courier New"/>
          <w:sz w:val="12"/>
          <w:szCs w:val="12"/>
          <w:color w:val="auto"/>
        </w:rPr>
      </w:pPr>
    </w:p>
    <w:p>
      <w:pPr>
        <w:ind w:left="700" w:right="48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does not hold or issue derivative financial instruments for non-hedging purposes.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FINANCIAL INSTRUMENTS (cont.)</w:t>
      </w:r>
    </w:p>
    <w:p>
      <w:pPr>
        <w:spacing w:after="0" w:line="134" w:lineRule="exact"/>
        <w:rPr>
          <w:sz w:val="20"/>
          <w:szCs w:val="20"/>
          <w:color w:val="auto"/>
        </w:rPr>
      </w:pPr>
    </w:p>
    <w:p>
      <w:pPr>
        <w:ind w:left="700" w:hanging="357"/>
        <w:spacing w:after="0"/>
        <w:tabs>
          <w:tab w:leader="none" w:pos="700"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CREDIT RISK OF FINANCIAL INSTRUMENTS, INCLUDING DERIVATIVES</w:t>
      </w:r>
    </w:p>
    <w:p>
      <w:pPr>
        <w:spacing w:after="0" w:line="138" w:lineRule="exact"/>
        <w:rPr>
          <w:rFonts w:ascii="Courier New" w:cs="Courier New" w:eastAsia="Courier New" w:hAnsi="Courier New"/>
          <w:sz w:val="12"/>
          <w:szCs w:val="12"/>
          <w:color w:val="auto"/>
        </w:rPr>
      </w:pPr>
    </w:p>
    <w:p>
      <w:pPr>
        <w:ind w:left="700" w:right="475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face or contract amounts of derivatives do not represent amounts exchanged by the parties and, accordingly, are not a measure of the exposure of the Company through its use of derivatives.</w:t>
      </w:r>
    </w:p>
    <w:p>
      <w:pPr>
        <w:spacing w:after="0" w:line="126"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139"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HEDGING ACTIVITIES IN THE FINANCIAL STATEMENTS</w:t>
      </w:r>
    </w:p>
    <w:p>
      <w:pPr>
        <w:sectPr>
          <w:pgSz w:w="11900" w:h="16838" w:orient="portrait"/>
          <w:cols w:equalWidth="0" w:num="1">
            <w:col w:w="10239"/>
          </w:cols>
          <w:pgMar w:left="220" w:top="137" w:right="1440" w:bottom="0" w:gutter="0" w:footer="0" w:header="0"/>
        </w:sectPr>
      </w:pPr>
    </w:p>
    <w:bookmarkStart w:id="80" w:name="page81"/>
    <w:bookmarkEnd w:id="80"/>
    <w:p>
      <w:pPr>
        <w:ind w:left="700"/>
        <w:spacing w:after="0"/>
        <w:rPr>
          <w:sz w:val="20"/>
          <w:szCs w:val="20"/>
          <w:color w:val="auto"/>
        </w:rPr>
      </w:pPr>
      <w:r>
        <w:rPr>
          <w:rFonts w:ascii="Courier New" w:cs="Courier New" w:eastAsia="Courier New" w:hAnsi="Courier New"/>
          <w:sz w:val="12"/>
          <w:szCs w:val="12"/>
          <w:color w:val="auto"/>
        </w:rPr>
        <w:t>As of December 31, 2006 and 2005, the Company had outstanding</w:t>
      </w:r>
    </w:p>
    <w:p>
      <w:pPr>
        <w:ind w:left="700"/>
        <w:spacing w:after="0"/>
        <w:rPr>
          <w:sz w:val="20"/>
          <w:szCs w:val="20"/>
          <w:color w:val="auto"/>
        </w:rPr>
      </w:pPr>
      <w:r>
        <w:rPr>
          <w:rFonts w:ascii="Courier New" w:cs="Courier New" w:eastAsia="Courier New" w:hAnsi="Courier New"/>
          <w:sz w:val="12"/>
          <w:szCs w:val="12"/>
          <w:color w:val="auto"/>
        </w:rPr>
        <w:t>agreements to hedge interest rate exposure on loans drawn down under</w:t>
      </w:r>
    </w:p>
    <w:p>
      <w:pPr>
        <w:ind w:left="700"/>
        <w:spacing w:after="0" w:line="237" w:lineRule="auto"/>
        <w:rPr>
          <w:sz w:val="20"/>
          <w:szCs w:val="20"/>
          <w:color w:val="auto"/>
        </w:rPr>
      </w:pPr>
      <w:r>
        <w:rPr>
          <w:rFonts w:ascii="Courier New" w:cs="Courier New" w:eastAsia="Courier New" w:hAnsi="Courier New"/>
          <w:sz w:val="12"/>
          <w:szCs w:val="12"/>
          <w:color w:val="auto"/>
        </w:rPr>
        <w:t>the Facility Agreement, the aggregate amount of which was $207,000 and</w:t>
      </w:r>
    </w:p>
    <w:p>
      <w:pPr>
        <w:ind w:left="700"/>
        <w:spacing w:after="0"/>
        <w:rPr>
          <w:sz w:val="20"/>
          <w:szCs w:val="20"/>
          <w:color w:val="auto"/>
        </w:rPr>
      </w:pPr>
      <w:r>
        <w:rPr>
          <w:rFonts w:ascii="Courier New" w:cs="Courier New" w:eastAsia="Courier New" w:hAnsi="Courier New"/>
          <w:sz w:val="12"/>
          <w:szCs w:val="12"/>
          <w:color w:val="auto"/>
        </w:rPr>
        <w:t>$292,000 respectively, all of which is attributable to Fab 2. These</w:t>
      </w:r>
    </w:p>
    <w:p>
      <w:pPr>
        <w:ind w:left="700"/>
        <w:spacing w:after="0" w:line="237" w:lineRule="auto"/>
        <w:rPr>
          <w:sz w:val="20"/>
          <w:szCs w:val="20"/>
          <w:color w:val="auto"/>
        </w:rPr>
      </w:pPr>
      <w:r>
        <w:rPr>
          <w:rFonts w:ascii="Courier New" w:cs="Courier New" w:eastAsia="Courier New" w:hAnsi="Courier New"/>
          <w:sz w:val="12"/>
          <w:szCs w:val="12"/>
          <w:color w:val="auto"/>
        </w:rPr>
        <w:t>agreements resulted in 2006 in a gain of $880 and in 2005 and 2004, in</w:t>
      </w:r>
    </w:p>
    <w:p>
      <w:pPr>
        <w:ind w:left="700"/>
        <w:spacing w:after="0"/>
        <w:rPr>
          <w:sz w:val="20"/>
          <w:szCs w:val="20"/>
          <w:color w:val="auto"/>
        </w:rPr>
      </w:pPr>
      <w:r>
        <w:rPr>
          <w:rFonts w:ascii="Courier New" w:cs="Courier New" w:eastAsia="Courier New" w:hAnsi="Courier New"/>
          <w:sz w:val="12"/>
          <w:szCs w:val="12"/>
          <w:color w:val="auto"/>
        </w:rPr>
        <w:t>a loss of $1,756 and $5,629, respectively.</w:t>
      </w:r>
    </w:p>
    <w:p>
      <w:pPr>
        <w:spacing w:after="0" w:line="134" w:lineRule="exact"/>
        <w:rPr>
          <w:sz w:val="20"/>
          <w:szCs w:val="20"/>
          <w:color w:val="auto"/>
        </w:rPr>
      </w:pPr>
    </w:p>
    <w:p>
      <w:pPr>
        <w:ind w:left="700" w:hanging="357"/>
        <w:spacing w:after="0"/>
        <w:tabs>
          <w:tab w:leader="none" w:pos="700"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FAIR VALUE OF FINANCIAL INSTRUMENTS</w:t>
      </w:r>
    </w:p>
    <w:p>
      <w:pPr>
        <w:spacing w:after="0" w:line="138" w:lineRule="exact"/>
        <w:rPr>
          <w:rFonts w:ascii="Courier New" w:cs="Courier New" w:eastAsia="Courier New" w:hAnsi="Courier New"/>
          <w:sz w:val="12"/>
          <w:szCs w:val="12"/>
          <w:color w:val="auto"/>
        </w:rPr>
      </w:pPr>
    </w:p>
    <w:p>
      <w:pPr>
        <w:ind w:left="700" w:right="469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estimated fair values of the Company's financial instruments, excluding the Company's agreements to hedge interest rate exposure on long-term loans and long term convertible debentures did not materially differ from their respective carrying amounts as of December 31, 2006, 2005 and 2004. The fair value of the interest rate hedging transactions as of December 31, 2006 and 2005 would have resulted in an unrealized capitalizable gain of $1,790 and $1,767, respectively (as of December 31, 2004, an unrealized capitalizable loss of $2,406). The fair values of convertible debentures as of December 31, 2006, 2005 and 2004 were $126,048, $22,750 and $15,889, based on quoted market prices for the respective dates.</w:t>
      </w:r>
    </w:p>
    <w:p>
      <w:pPr>
        <w:spacing w:after="0" w:line="26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18 - RELATED PARTIES BALANCES AND TRANSACTIONS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2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3240" w:type="dxa"/>
            <w:vAlign w:val="bottom"/>
          </w:tcPr>
          <w:p>
            <w:pPr>
              <w:ind w:left="80"/>
              <w:spacing w:after="0"/>
              <w:rPr>
                <w:sz w:val="20"/>
                <w:szCs w:val="20"/>
                <w:color w:val="auto"/>
              </w:rPr>
            </w:pPr>
            <w:r>
              <w:rPr>
                <w:rFonts w:ascii="Courier New" w:cs="Courier New" w:eastAsia="Courier New" w:hAnsi="Courier New"/>
                <w:sz w:val="12"/>
                <w:szCs w:val="12"/>
                <w:color w:val="auto"/>
              </w:rPr>
              <w:t>BALANCES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0"/>
        </w:trPr>
        <w:tc>
          <w:tcPr>
            <w:tcW w:w="6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4"/>
          </w:tcPr>
          <w:p>
            <w:pPr>
              <w:jc w:val="right"/>
              <w:ind w:right="81"/>
              <w:spacing w:after="0"/>
              <w:rPr>
                <w:sz w:val="20"/>
                <w:szCs w:val="20"/>
                <w:color w:val="auto"/>
              </w:rPr>
            </w:pPr>
            <w:r>
              <w:rPr>
                <w:rFonts w:ascii="Courier New" w:cs="Courier New" w:eastAsia="Courier New" w:hAnsi="Courier New"/>
                <w:sz w:val="12"/>
                <w:szCs w:val="12"/>
                <w:color w:val="auto"/>
              </w:rPr>
              <w:t>As of December 31,</w:t>
            </w:r>
          </w:p>
        </w:tc>
        <w:tc>
          <w:tcPr>
            <w:tcW w:w="56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60" w:type="dxa"/>
            <w:vAlign w:val="bottom"/>
            <w:gridSpan w:val="6"/>
          </w:tcPr>
          <w:p>
            <w:pPr>
              <w:jc w:val="right"/>
              <w:ind w:right="443"/>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2006</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2005</w:t>
            </w:r>
          </w:p>
        </w:tc>
        <w:tc>
          <w:tcPr>
            <w:tcW w:w="56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460" w:type="dxa"/>
            <w:vAlign w:val="bottom"/>
          </w:tcPr>
          <w:p>
            <w:pPr>
              <w:spacing w:after="0"/>
              <w:rPr>
                <w:sz w:val="11"/>
                <w:szCs w:val="11"/>
                <w:color w:val="auto"/>
              </w:rPr>
            </w:pPr>
          </w:p>
        </w:tc>
        <w:tc>
          <w:tcPr>
            <w:tcW w:w="1120" w:type="dxa"/>
            <w:vAlign w:val="bottom"/>
            <w:gridSpan w:val="3"/>
          </w:tcPr>
          <w:p>
            <w:pPr>
              <w:jc w:val="right"/>
              <w:ind w:right="443"/>
              <w:spacing w:after="0"/>
              <w:rPr>
                <w:sz w:val="20"/>
                <w:szCs w:val="20"/>
                <w:color w:val="auto"/>
              </w:rPr>
            </w:pPr>
            <w:r>
              <w:rPr>
                <w:rFonts w:ascii="Courier New" w:cs="Courier New" w:eastAsia="Courier New" w:hAnsi="Courier New"/>
                <w:sz w:val="12"/>
                <w:szCs w:val="12"/>
                <w:color w:val="auto"/>
                <w:w w:val="92"/>
              </w:rPr>
              <w:t>---------</w:t>
            </w:r>
          </w:p>
        </w:tc>
      </w:tr>
      <w:tr>
        <w:trPr>
          <w:trHeight w:val="270"/>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Trade accounts receivable</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13,625</w:t>
            </w:r>
          </w:p>
        </w:tc>
        <w:tc>
          <w:tcPr>
            <w:tcW w:w="4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gridSpan w:val="2"/>
          </w:tcPr>
          <w:p>
            <w:pPr>
              <w:jc w:val="right"/>
              <w:ind w:right="443"/>
              <w:spacing w:after="0"/>
              <w:rPr>
                <w:sz w:val="20"/>
                <w:szCs w:val="20"/>
                <w:color w:val="auto"/>
              </w:rPr>
            </w:pPr>
            <w:r>
              <w:rPr>
                <w:rFonts w:ascii="Courier New" w:cs="Courier New" w:eastAsia="Courier New" w:hAnsi="Courier New"/>
                <w:sz w:val="12"/>
                <w:szCs w:val="12"/>
                <w:color w:val="auto"/>
              </w:rPr>
              <w:t>5,309</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460" w:type="dxa"/>
            <w:vAlign w:val="bottom"/>
          </w:tcPr>
          <w:p>
            <w:pPr>
              <w:spacing w:after="0"/>
              <w:rPr>
                <w:sz w:val="11"/>
                <w:szCs w:val="11"/>
                <w:color w:val="auto"/>
              </w:rPr>
            </w:pPr>
          </w:p>
        </w:tc>
        <w:tc>
          <w:tcPr>
            <w:tcW w:w="1120" w:type="dxa"/>
            <w:vAlign w:val="bottom"/>
            <w:gridSpan w:val="3"/>
          </w:tcPr>
          <w:p>
            <w:pPr>
              <w:jc w:val="right"/>
              <w:ind w:right="443"/>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Current liabilities, including current maturity 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long-term loans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5,895</w:t>
            </w:r>
          </w:p>
        </w:tc>
        <w:tc>
          <w:tcPr>
            <w:tcW w:w="4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gridSpan w:val="2"/>
          </w:tcPr>
          <w:p>
            <w:pPr>
              <w:jc w:val="right"/>
              <w:ind w:right="443"/>
              <w:spacing w:after="0"/>
              <w:rPr>
                <w:sz w:val="20"/>
                <w:szCs w:val="20"/>
                <w:color w:val="auto"/>
              </w:rPr>
            </w:pPr>
            <w:r>
              <w:rPr>
                <w:rFonts w:ascii="Courier New" w:cs="Courier New" w:eastAsia="Courier New" w:hAnsi="Courier New"/>
                <w:sz w:val="12"/>
                <w:szCs w:val="12"/>
                <w:color w:val="auto"/>
              </w:rPr>
              <w:t>188</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460" w:type="dxa"/>
            <w:vAlign w:val="bottom"/>
          </w:tcPr>
          <w:p>
            <w:pPr>
              <w:spacing w:after="0"/>
              <w:rPr>
                <w:sz w:val="11"/>
                <w:szCs w:val="11"/>
                <w:color w:val="auto"/>
              </w:rPr>
            </w:pPr>
          </w:p>
        </w:tc>
        <w:tc>
          <w:tcPr>
            <w:tcW w:w="1120" w:type="dxa"/>
            <w:vAlign w:val="bottom"/>
            <w:gridSpan w:val="3"/>
          </w:tcPr>
          <w:p>
            <w:pPr>
              <w:jc w:val="right"/>
              <w:ind w:right="443"/>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Convertible debenture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24,500</w:t>
            </w:r>
          </w:p>
        </w:tc>
        <w:tc>
          <w:tcPr>
            <w:tcW w:w="4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gridSpan w:val="2"/>
          </w:tcPr>
          <w:p>
            <w:pPr>
              <w:jc w:val="right"/>
              <w:ind w:right="443"/>
              <w:spacing w:after="0"/>
              <w:rPr>
                <w:sz w:val="20"/>
                <w:szCs w:val="20"/>
                <w:color w:val="auto"/>
              </w:rPr>
            </w:pPr>
            <w:r>
              <w:rPr>
                <w:rFonts w:ascii="Courier New" w:cs="Courier New" w:eastAsia="Courier New" w:hAnsi="Courier New"/>
                <w:sz w:val="12"/>
                <w:szCs w:val="12"/>
                <w:color w:val="auto"/>
              </w:rPr>
              <w:t>25,493</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460" w:type="dxa"/>
            <w:vAlign w:val="bottom"/>
          </w:tcPr>
          <w:p>
            <w:pPr>
              <w:spacing w:after="0"/>
              <w:rPr>
                <w:sz w:val="11"/>
                <w:szCs w:val="11"/>
                <w:color w:val="auto"/>
              </w:rPr>
            </w:pPr>
          </w:p>
        </w:tc>
        <w:tc>
          <w:tcPr>
            <w:tcW w:w="1120" w:type="dxa"/>
            <w:vAlign w:val="bottom"/>
            <w:gridSpan w:val="3"/>
          </w:tcPr>
          <w:p>
            <w:pPr>
              <w:jc w:val="right"/>
              <w:ind w:right="443"/>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Long-term liability in respect of customers' advances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27,340</w:t>
            </w:r>
          </w:p>
        </w:tc>
        <w:tc>
          <w:tcPr>
            <w:tcW w:w="4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gridSpan w:val="2"/>
          </w:tcPr>
          <w:p>
            <w:pPr>
              <w:jc w:val="right"/>
              <w:ind w:right="443"/>
              <w:spacing w:after="0"/>
              <w:rPr>
                <w:sz w:val="20"/>
                <w:szCs w:val="20"/>
                <w:color w:val="auto"/>
              </w:rPr>
            </w:pPr>
            <w:r>
              <w:rPr>
                <w:rFonts w:ascii="Courier New" w:cs="Courier New" w:eastAsia="Courier New" w:hAnsi="Courier New"/>
                <w:sz w:val="12"/>
                <w:szCs w:val="12"/>
                <w:color w:val="auto"/>
              </w:rPr>
              <w:t>37,785</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460" w:type="dxa"/>
            <w:vAlign w:val="bottom"/>
          </w:tcPr>
          <w:p>
            <w:pPr>
              <w:spacing w:after="0"/>
              <w:rPr>
                <w:sz w:val="11"/>
                <w:szCs w:val="11"/>
                <w:color w:val="auto"/>
              </w:rPr>
            </w:pPr>
          </w:p>
        </w:tc>
        <w:tc>
          <w:tcPr>
            <w:tcW w:w="1120" w:type="dxa"/>
            <w:vAlign w:val="bottom"/>
            <w:gridSpan w:val="3"/>
          </w:tcPr>
          <w:p>
            <w:pPr>
              <w:jc w:val="right"/>
              <w:ind w:right="443"/>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4180" w:type="dxa"/>
            <w:vAlign w:val="bottom"/>
            <w:gridSpan w:val="3"/>
          </w:tcPr>
          <w:p>
            <w:pPr>
              <w:spacing w:after="0"/>
              <w:rPr>
                <w:sz w:val="20"/>
                <w:szCs w:val="20"/>
                <w:color w:val="auto"/>
              </w:rPr>
            </w:pPr>
            <w:r>
              <w:rPr>
                <w:rFonts w:ascii="Courier New" w:cs="Courier New" w:eastAsia="Courier New" w:hAnsi="Courier New"/>
                <w:sz w:val="12"/>
                <w:szCs w:val="12"/>
                <w:color w:val="auto"/>
                <w:w w:val="97"/>
              </w:rPr>
              <w:t>Other long-term liabilities, including long-term loans from</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related parties, net of current maturity</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9,279</w:t>
            </w:r>
          </w:p>
        </w:tc>
        <w:tc>
          <w:tcPr>
            <w:tcW w:w="4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gridSpan w:val="2"/>
          </w:tcPr>
          <w:p>
            <w:pPr>
              <w:jc w:val="right"/>
              <w:ind w:right="443"/>
              <w:spacing w:after="0"/>
              <w:rPr>
                <w:sz w:val="20"/>
                <w:szCs w:val="20"/>
                <w:color w:val="auto"/>
              </w:rPr>
            </w:pPr>
            <w:r>
              <w:rPr>
                <w:rFonts w:ascii="Courier New" w:cs="Courier New" w:eastAsia="Courier New" w:hAnsi="Courier New"/>
                <w:sz w:val="12"/>
                <w:szCs w:val="12"/>
                <w:color w:val="auto"/>
              </w:rPr>
              <w:t>1,102</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460" w:type="dxa"/>
            <w:vAlign w:val="bottom"/>
          </w:tcPr>
          <w:p>
            <w:pPr>
              <w:spacing w:after="0"/>
              <w:rPr>
                <w:sz w:val="11"/>
                <w:szCs w:val="11"/>
                <w:color w:val="auto"/>
              </w:rPr>
            </w:pPr>
          </w:p>
        </w:tc>
        <w:tc>
          <w:tcPr>
            <w:tcW w:w="1120" w:type="dxa"/>
            <w:vAlign w:val="bottom"/>
            <w:gridSpan w:val="3"/>
          </w:tcPr>
          <w:p>
            <w:pPr>
              <w:jc w:val="right"/>
              <w:ind w:right="443"/>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Capital note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$ 100,000</w:t>
            </w:r>
          </w:p>
        </w:tc>
        <w:tc>
          <w:tcPr>
            <w:tcW w:w="4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460" w:type="dxa"/>
            <w:vAlign w:val="bottom"/>
          </w:tcPr>
          <w:p>
            <w:pPr>
              <w:spacing w:after="0"/>
              <w:rPr>
                <w:sz w:val="11"/>
                <w:szCs w:val="11"/>
                <w:color w:val="auto"/>
              </w:rPr>
            </w:pPr>
          </w:p>
        </w:tc>
        <w:tc>
          <w:tcPr>
            <w:tcW w:w="560" w:type="dxa"/>
            <w:vAlign w:val="bottom"/>
          </w:tcPr>
          <w:p>
            <w:pPr>
              <w:jc w:val="right"/>
              <w:ind w:right="443"/>
              <w:spacing w:after="0"/>
              <w:rPr>
                <w:sz w:val="20"/>
                <w:szCs w:val="20"/>
                <w:color w:val="auto"/>
              </w:rPr>
            </w:pPr>
            <w:r>
              <w:rPr>
                <w:rFonts w:ascii="Courier New" w:cs="Courier New" w:eastAsia="Courier New" w:hAnsi="Courier New"/>
                <w:sz w:val="9"/>
                <w:szCs w:val="9"/>
                <w:color w:val="auto"/>
                <w:w w:val="73"/>
              </w:rPr>
              <w:t>-</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460" w:type="dxa"/>
            <w:vAlign w:val="bottom"/>
          </w:tcPr>
          <w:p>
            <w:pPr>
              <w:spacing w:after="0"/>
              <w:rPr>
                <w:sz w:val="11"/>
                <w:szCs w:val="11"/>
                <w:color w:val="auto"/>
              </w:rPr>
            </w:pPr>
          </w:p>
        </w:tc>
        <w:tc>
          <w:tcPr>
            <w:tcW w:w="1120" w:type="dxa"/>
            <w:vAlign w:val="bottom"/>
            <w:gridSpan w:val="3"/>
          </w:tcPr>
          <w:p>
            <w:pPr>
              <w:jc w:val="right"/>
              <w:ind w:right="443"/>
              <w:spacing w:after="0"/>
              <w:rPr>
                <w:sz w:val="20"/>
                <w:szCs w:val="20"/>
                <w:color w:val="auto"/>
              </w:rPr>
            </w:pPr>
            <w:r>
              <w:rPr>
                <w:rFonts w:ascii="Courier New" w:cs="Courier New" w:eastAsia="Courier New" w:hAnsi="Courier New"/>
                <w:sz w:val="12"/>
                <w:szCs w:val="12"/>
                <w:color w:val="auto"/>
                <w:w w:val="92"/>
              </w:rPr>
              <w:t>=========</w:t>
            </w:r>
          </w:p>
        </w:tc>
      </w:tr>
      <w:tr>
        <w:trPr>
          <w:trHeight w:val="270"/>
        </w:trPr>
        <w:tc>
          <w:tcPr>
            <w:tcW w:w="620" w:type="dxa"/>
            <w:vAlign w:val="bottom"/>
          </w:tcPr>
          <w:p>
            <w:pPr>
              <w:ind w:left="340"/>
              <w:spacing w:after="0"/>
              <w:rPr>
                <w:sz w:val="20"/>
                <w:szCs w:val="20"/>
                <w:color w:val="auto"/>
              </w:rPr>
            </w:pPr>
            <w:r>
              <w:rPr>
                <w:rFonts w:ascii="Courier New" w:cs="Courier New" w:eastAsia="Courier New" w:hAnsi="Courier New"/>
                <w:sz w:val="12"/>
                <w:szCs w:val="12"/>
                <w:color w:val="auto"/>
              </w:rPr>
              <w:t>B.</w:t>
            </w:r>
          </w:p>
        </w:tc>
        <w:tc>
          <w:tcPr>
            <w:tcW w:w="3240" w:type="dxa"/>
            <w:vAlign w:val="bottom"/>
          </w:tcPr>
          <w:p>
            <w:pPr>
              <w:ind w:left="80"/>
              <w:spacing w:after="0"/>
              <w:rPr>
                <w:sz w:val="20"/>
                <w:szCs w:val="20"/>
                <w:color w:val="auto"/>
              </w:rPr>
            </w:pPr>
            <w:r>
              <w:rPr>
                <w:rFonts w:ascii="Courier New" w:cs="Courier New" w:eastAsia="Courier New" w:hAnsi="Courier New"/>
                <w:sz w:val="12"/>
                <w:szCs w:val="12"/>
                <w:color w:val="auto"/>
              </w:rPr>
              <w:t>TRANSACTIONS</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6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40" w:type="dxa"/>
            <w:vAlign w:val="bottom"/>
            <w:gridSpan w:val="6"/>
          </w:tcPr>
          <w:p>
            <w:pPr>
              <w:jc w:val="right"/>
              <w:ind w:right="81"/>
              <w:spacing w:after="0"/>
              <w:rPr>
                <w:sz w:val="20"/>
                <w:szCs w:val="20"/>
                <w:color w:val="auto"/>
              </w:rPr>
            </w:pPr>
            <w:r>
              <w:rPr>
                <w:rFonts w:ascii="Courier New" w:cs="Courier New" w:eastAsia="Courier New" w:hAnsi="Courier New"/>
                <w:sz w:val="12"/>
                <w:szCs w:val="12"/>
                <w:color w:val="auto"/>
              </w:rPr>
              <w:t>Year ended December 31,</w:t>
            </w:r>
          </w:p>
        </w:tc>
        <w:tc>
          <w:tcPr>
            <w:tcW w:w="56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020" w:type="dxa"/>
            <w:vAlign w:val="bottom"/>
            <w:gridSpan w:val="8"/>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7"/>
              </w:rPr>
              <w:t>2006</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2005</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right"/>
              <w:ind w:right="83"/>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62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3240" w:type="dxa"/>
            <w:vAlign w:val="bottom"/>
          </w:tcPr>
          <w:p>
            <w:pPr>
              <w:spacing w:after="0"/>
              <w:rPr>
                <w:sz w:val="23"/>
                <w:szCs w:val="23"/>
                <w:color w:val="auto"/>
              </w:rPr>
            </w:pPr>
          </w:p>
        </w:tc>
        <w:tc>
          <w:tcPr>
            <w:tcW w:w="3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7"/>
              </w:rPr>
              <w:t>64,055</w:t>
            </w:r>
          </w:p>
        </w:tc>
        <w:tc>
          <w:tcPr>
            <w:tcW w:w="140" w:type="dxa"/>
            <w:vAlign w:val="bottom"/>
          </w:tcPr>
          <w:p>
            <w:pPr>
              <w:spacing w:after="0"/>
              <w:rPr>
                <w:sz w:val="23"/>
                <w:szCs w:val="23"/>
                <w:color w:val="auto"/>
              </w:rPr>
            </w:pPr>
          </w:p>
        </w:tc>
        <w:tc>
          <w:tcPr>
            <w:tcW w:w="5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33,456</w:t>
            </w:r>
          </w:p>
        </w:tc>
        <w:tc>
          <w:tcPr>
            <w:tcW w:w="1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37,521</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Expenses paid</w:t>
            </w:r>
          </w:p>
        </w:tc>
        <w:tc>
          <w:tcPr>
            <w:tcW w:w="3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206</w:t>
            </w:r>
          </w:p>
        </w:tc>
        <w:tc>
          <w:tcPr>
            <w:tcW w:w="140" w:type="dxa"/>
            <w:vAlign w:val="bottom"/>
          </w:tcPr>
          <w:p>
            <w:pPr>
              <w:spacing w:after="0"/>
              <w:rPr>
                <w:sz w:val="11"/>
                <w:szCs w:val="11"/>
                <w:color w:val="auto"/>
              </w:rPr>
            </w:pPr>
          </w:p>
        </w:tc>
        <w:tc>
          <w:tcPr>
            <w:tcW w:w="5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57</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190</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Royalties received - Note 11D(2)</w:t>
            </w:r>
          </w:p>
        </w:tc>
        <w:tc>
          <w:tcPr>
            <w:tcW w:w="3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875</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Application of customer advances towards purchases</w:t>
            </w:r>
          </w:p>
        </w:tc>
        <w:tc>
          <w:tcPr>
            <w:tcW w:w="3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445</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Equity conversion of customer advances - Note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620" w:type="dxa"/>
            <w:vAlign w:val="bottom"/>
          </w:tcPr>
          <w:p>
            <w:pPr>
              <w:spacing w:after="0"/>
              <w:rPr>
                <w:sz w:val="20"/>
                <w:szCs w:val="20"/>
                <w:color w:val="auto"/>
              </w:rPr>
            </w:pPr>
            <w:r>
              <w:rPr>
                <w:rFonts w:ascii="Courier New" w:cs="Courier New" w:eastAsia="Courier New" w:hAnsi="Courier New"/>
                <w:sz w:val="12"/>
                <w:szCs w:val="12"/>
                <w:color w:val="auto"/>
              </w:rPr>
              <w:t>11A(5)</w:t>
            </w:r>
          </w:p>
        </w:tc>
        <w:tc>
          <w:tcPr>
            <w:tcW w:w="3240" w:type="dxa"/>
            <w:vAlign w:val="bottom"/>
          </w:tcPr>
          <w:p>
            <w:pPr>
              <w:spacing w:after="0"/>
              <w:rPr>
                <w:sz w:val="11"/>
                <w:szCs w:val="11"/>
                <w:color w:val="auto"/>
              </w:rPr>
            </w:pPr>
          </w:p>
        </w:tc>
        <w:tc>
          <w:tcPr>
            <w:tcW w:w="3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7,621</w:t>
            </w:r>
          </w:p>
        </w:tc>
        <w:tc>
          <w:tcPr>
            <w:tcW w:w="140" w:type="dxa"/>
            <w:vAlign w:val="bottom"/>
          </w:tcPr>
          <w:p>
            <w:pPr>
              <w:spacing w:after="0"/>
              <w:rPr>
                <w:sz w:val="11"/>
                <w:szCs w:val="11"/>
                <w:color w:val="auto"/>
              </w:rPr>
            </w:pPr>
          </w:p>
        </w:tc>
        <w:tc>
          <w:tcPr>
            <w:tcW w:w="5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1,794</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539</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Conversion of customer advances into Long-term</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rPr>
              <w:t>loans - Note 11A(5)</w:t>
            </w:r>
          </w:p>
        </w:tc>
        <w:tc>
          <w:tcPr>
            <w:tcW w:w="3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2,823</w:t>
            </w:r>
          </w:p>
        </w:tc>
        <w:tc>
          <w:tcPr>
            <w:tcW w:w="140" w:type="dxa"/>
            <w:vAlign w:val="bottom"/>
          </w:tcPr>
          <w:p>
            <w:pPr>
              <w:spacing w:after="0"/>
              <w:rPr>
                <w:sz w:val="11"/>
                <w:szCs w:val="11"/>
                <w:color w:val="auto"/>
              </w:rPr>
            </w:pPr>
          </w:p>
        </w:tc>
        <w:tc>
          <w:tcPr>
            <w:tcW w:w="5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936</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166</w:t>
            </w:r>
          </w:p>
        </w:tc>
      </w:tr>
      <w:tr>
        <w:trPr>
          <w:trHeight w:val="135"/>
        </w:trPr>
        <w:tc>
          <w:tcPr>
            <w:tcW w:w="6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4699" w:hanging="357"/>
        <w:spacing w:after="0" w:line="235" w:lineRule="auto"/>
        <w:tabs>
          <w:tab w:leader="none" w:pos="700"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commitments, contingencies and other transactions relating to Fab 2 Wafer Partner and Equity Investor agreements - see Note 11A.</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w:t>
      </w:r>
    </w:p>
    <w:p>
      <w:pPr>
        <w:spacing w:after="0" w:line="139" w:lineRule="exact"/>
        <w:rPr>
          <w:sz w:val="20"/>
          <w:szCs w:val="20"/>
          <w:color w:val="auto"/>
        </w:rPr>
      </w:pPr>
    </w:p>
    <w:p>
      <w:pPr>
        <w:ind w:left="340" w:right="4619"/>
        <w:spacing w:after="0" w:line="236" w:lineRule="auto"/>
        <w:rPr>
          <w:sz w:val="20"/>
          <w:szCs w:val="20"/>
          <w:color w:val="auto"/>
        </w:rPr>
      </w:pPr>
      <w:r>
        <w:rPr>
          <w:rFonts w:ascii="Courier New" w:cs="Courier New" w:eastAsia="Courier New" w:hAnsi="Courier New"/>
          <w:sz w:val="12"/>
          <w:szCs w:val="12"/>
          <w:color w:val="auto"/>
        </w:rPr>
        <w:t>With regard to the Company's financial statements, the material differences between GAAP in Israel and in the U.S. relate to the following. See J below for the presentation of the Company's balance sheets as of December 31, 2006 and 2005 in accordance with U.S. GAAP.</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INITIAL ADOPTION OF NEW PRONOUNCEMENTS BY THE FASB</w:t>
      </w:r>
    </w:p>
    <w:p>
      <w:pPr>
        <w:spacing w:after="0" w:line="138" w:lineRule="exact"/>
        <w:rPr>
          <w:rFonts w:ascii="Courier New" w:cs="Courier New" w:eastAsia="Courier New" w:hAnsi="Courier New"/>
          <w:sz w:val="12"/>
          <w:szCs w:val="12"/>
          <w:color w:val="auto"/>
        </w:rPr>
      </w:pPr>
    </w:p>
    <w:p>
      <w:pPr>
        <w:jc w:val="both"/>
        <w:ind w:left="1040" w:right="5039" w:hanging="345"/>
        <w:spacing w:after="0" w:line="260" w:lineRule="auto"/>
        <w:tabs>
          <w:tab w:leader="none" w:pos="1040" w:val="left"/>
        </w:tabs>
        <w:numPr>
          <w:ilvl w:val="1"/>
          <w:numId w:val="1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SFAS NO. 151 - INVENTORY COSTS, AN AMENDMENT OF ARB NO. 43, CHAPTER 4 - In November 2004, the FASB issued SFAS No. 151,</w:t>
      </w:r>
    </w:p>
    <w:p>
      <w:pPr>
        <w:ind w:left="1040" w:right="461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"INVENTORY COSTS, AN AMENDMENT OF ARB NO. 43, CHAPTER 4". SFAS No. 151 amends the guidance in ARB 43, Chapter 4, "Inventory Pricing", which provides guidance on the allocation of certain costs to inventory. SFAS 151 clarifies that abnormal amounts of idle facility expense, freight, handling costs, and wasted material (spoilage) should be recognized as current-period charges. In addition, SFAS 151 requires that allocation of fixed production overheads to the costs of conversion be based on the normal capacity of the production facilities. The provisions of this statement are effective for inventory costs incurred during fiscal years beginning after June 2005. The provisions of this statement shall be applied prospectively. This Statement does not have a material effect on the Company's financial position or results of operations.</w:t>
      </w:r>
    </w:p>
    <w:p>
      <w:pPr>
        <w:spacing w:after="0" w:line="139" w:lineRule="exact"/>
        <w:rPr>
          <w:rFonts w:ascii="Courier New" w:cs="Courier New" w:eastAsia="Courier New" w:hAnsi="Courier New"/>
          <w:sz w:val="11"/>
          <w:szCs w:val="11"/>
          <w:color w:val="auto"/>
        </w:rPr>
      </w:pPr>
    </w:p>
    <w:p>
      <w:pPr>
        <w:ind w:left="1040" w:right="4619" w:hanging="345"/>
        <w:spacing w:after="0" w:line="263" w:lineRule="auto"/>
        <w:tabs>
          <w:tab w:leader="none" w:pos="1040" w:val="left"/>
        </w:tabs>
        <w:numPr>
          <w:ilvl w:val="1"/>
          <w:numId w:val="1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SFAS NO. 123 (REVISED 2004) "SHARE BASED PAYMENTS" - In December 2004, the FASB issued SFAS No. 123 (revised 2004) "SHARE BASED PAYMENTS" ("SFAS 123(R)"). This Statement is a revision of FASB Statement No. 123, "Accounting for Stock-Based Compensation", which supersedes APB Opinion No. 25, "Accounting for Stock Issued</w:t>
      </w:r>
    </w:p>
    <w:p>
      <w:pPr>
        <w:sectPr>
          <w:pgSz w:w="11900" w:h="16838" w:orient="portrait"/>
          <w:cols w:equalWidth="0" w:num="1">
            <w:col w:w="10239"/>
          </w:cols>
          <w:pgMar w:left="220" w:top="272" w:right="1440" w:bottom="0" w:gutter="0" w:footer="0" w:header="0"/>
        </w:sectPr>
      </w:pPr>
    </w:p>
    <w:bookmarkStart w:id="81" w:name="page82"/>
    <w:bookmarkEnd w:id="81"/>
    <w:p>
      <w:pPr>
        <w:ind w:left="1040"/>
        <w:spacing w:after="0"/>
        <w:rPr>
          <w:sz w:val="20"/>
          <w:szCs w:val="20"/>
          <w:color w:val="auto"/>
        </w:rPr>
      </w:pPr>
      <w:r>
        <w:rPr>
          <w:rFonts w:ascii="Courier New" w:cs="Courier New" w:eastAsia="Courier New" w:hAnsi="Courier New"/>
          <w:sz w:val="12"/>
          <w:szCs w:val="12"/>
          <w:color w:val="auto"/>
        </w:rPr>
        <w:t>to Employees" and its authoritative interpretations.</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SFAS 123(R) establishes standards for the accounting for</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transactions in which an entity exchanges its equity instruments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for goods or services; focuses primarily on accounting for</w:t>
      </w:r>
    </w:p>
    <w:p>
      <w:pPr>
        <w:ind w:left="1040"/>
        <w:spacing w:after="0"/>
        <w:rPr>
          <w:sz w:val="20"/>
          <w:szCs w:val="20"/>
          <w:color w:val="auto"/>
        </w:rPr>
      </w:pPr>
      <w:r>
        <w:rPr>
          <w:rFonts w:ascii="Courier New" w:cs="Courier New" w:eastAsia="Courier New" w:hAnsi="Courier New"/>
          <w:sz w:val="12"/>
          <w:szCs w:val="12"/>
          <w:color w:val="auto"/>
        </w:rPr>
        <w:t>transactions in which an entity obtains employee and directors</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services in share-based payment transactions; and does not change</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accounting guidance for share-based payment transactions with</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parties other than employees.</w:t>
      </w:r>
    </w:p>
    <w:p>
      <w:pPr>
        <w:spacing w:after="0" w:line="139"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SFAS 123(R) eliminates the alternative to use APB 25's intrinsic</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value method of accounting that was provided in SFAS 123 as</w:t>
      </w:r>
    </w:p>
    <w:p>
      <w:pPr>
        <w:ind w:left="1040"/>
        <w:spacing w:after="0"/>
        <w:rPr>
          <w:sz w:val="20"/>
          <w:szCs w:val="20"/>
          <w:color w:val="auto"/>
        </w:rPr>
      </w:pPr>
      <w:r>
        <w:rPr>
          <w:rFonts w:ascii="Courier New" w:cs="Courier New" w:eastAsia="Courier New" w:hAnsi="Courier New"/>
          <w:sz w:val="12"/>
          <w:szCs w:val="12"/>
          <w:color w:val="auto"/>
        </w:rPr>
        <w:t>originally issued and requires measuring the cost of employee</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services received in exchange for an award of equity instruments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based on the grant-date fair value of the award. The</w:t>
      </w:r>
    </w:p>
    <w:p>
      <w:pPr>
        <w:ind w:left="1040"/>
        <w:spacing w:after="0"/>
        <w:rPr>
          <w:sz w:val="20"/>
          <w:szCs w:val="20"/>
          <w:color w:val="auto"/>
        </w:rPr>
      </w:pPr>
      <w:r>
        <w:rPr>
          <w:rFonts w:ascii="Courier New" w:cs="Courier New" w:eastAsia="Courier New" w:hAnsi="Courier New"/>
          <w:sz w:val="12"/>
          <w:szCs w:val="12"/>
          <w:color w:val="auto"/>
        </w:rPr>
        <w:t>fair-value-based method in this Statement is similar to the</w:t>
      </w:r>
    </w:p>
    <w:p>
      <w:pPr>
        <w:ind w:left="1040"/>
        <w:spacing w:after="0" w:line="237" w:lineRule="auto"/>
        <w:rPr>
          <w:sz w:val="20"/>
          <w:szCs w:val="20"/>
          <w:color w:val="auto"/>
        </w:rPr>
      </w:pPr>
      <w:r>
        <w:rPr>
          <w:rFonts w:ascii="Courier New" w:cs="Courier New" w:eastAsia="Courier New" w:hAnsi="Courier New"/>
          <w:sz w:val="12"/>
          <w:szCs w:val="12"/>
          <w:color w:val="auto"/>
        </w:rPr>
        <w:t>fair-value-based method in SFAS 123 in most respects. The costs</w:t>
      </w:r>
    </w:p>
    <w:p>
      <w:pPr>
        <w:ind w:left="1040"/>
        <w:spacing w:after="0"/>
        <w:rPr>
          <w:sz w:val="20"/>
          <w:szCs w:val="20"/>
          <w:color w:val="auto"/>
        </w:rPr>
      </w:pPr>
      <w:r>
        <w:rPr>
          <w:rFonts w:ascii="Courier New" w:cs="Courier New" w:eastAsia="Courier New" w:hAnsi="Courier New"/>
          <w:sz w:val="12"/>
          <w:szCs w:val="12"/>
          <w:color w:val="auto"/>
        </w:rPr>
        <w:t>associated with the awards will be recognized over the period</w:t>
      </w:r>
    </w:p>
    <w:p>
      <w:pPr>
        <w:ind w:left="1040"/>
        <w:spacing w:after="0" w:line="237" w:lineRule="auto"/>
        <w:rPr>
          <w:sz w:val="20"/>
          <w:szCs w:val="20"/>
          <w:color w:val="auto"/>
        </w:rPr>
      </w:pPr>
      <w:r>
        <w:rPr>
          <w:rFonts w:ascii="Courier New" w:cs="Courier New" w:eastAsia="Courier New" w:hAnsi="Courier New"/>
          <w:sz w:val="12"/>
          <w:szCs w:val="12"/>
          <w:color w:val="auto"/>
        </w:rPr>
        <w:t>during which an employee is required to provide services in</w:t>
      </w:r>
    </w:p>
    <w:p>
      <w:pPr>
        <w:ind w:left="1040"/>
        <w:spacing w:after="0"/>
        <w:rPr>
          <w:sz w:val="20"/>
          <w:szCs w:val="20"/>
          <w:color w:val="auto"/>
        </w:rPr>
      </w:pPr>
      <w:r>
        <w:rPr>
          <w:rFonts w:ascii="Courier New" w:cs="Courier New" w:eastAsia="Courier New" w:hAnsi="Courier New"/>
          <w:sz w:val="12"/>
          <w:szCs w:val="12"/>
          <w:color w:val="auto"/>
        </w:rPr>
        <w:t>exchange for the award - the requisite service period (usually</w:t>
      </w:r>
    </w:p>
    <w:p>
      <w:pPr>
        <w:ind w:left="1040"/>
        <w:spacing w:after="0" w:line="237" w:lineRule="auto"/>
        <w:rPr>
          <w:sz w:val="20"/>
          <w:szCs w:val="20"/>
          <w:color w:val="auto"/>
        </w:rPr>
      </w:pPr>
      <w:r>
        <w:rPr>
          <w:rFonts w:ascii="Courier New" w:cs="Courier New" w:eastAsia="Courier New" w:hAnsi="Courier New"/>
          <w:sz w:val="12"/>
          <w:szCs w:val="12"/>
          <w:color w:val="auto"/>
        </w:rPr>
        <w:t>the vesting period).</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grant-date fair value of employee share options and similar</w:t>
      </w:r>
    </w:p>
    <w:p>
      <w:pPr>
        <w:ind w:left="1040"/>
        <w:spacing w:after="0"/>
        <w:rPr>
          <w:sz w:val="20"/>
          <w:szCs w:val="20"/>
          <w:color w:val="auto"/>
        </w:rPr>
      </w:pPr>
      <w:r>
        <w:rPr>
          <w:rFonts w:ascii="Courier New" w:cs="Courier New" w:eastAsia="Courier New" w:hAnsi="Courier New"/>
          <w:sz w:val="12"/>
          <w:szCs w:val="12"/>
          <w:color w:val="auto"/>
        </w:rPr>
        <w:t>instruments will be estimated using option-pricing models</w:t>
      </w:r>
    </w:p>
    <w:p>
      <w:pPr>
        <w:ind w:left="1040"/>
        <w:spacing w:after="0" w:line="237" w:lineRule="auto"/>
        <w:rPr>
          <w:sz w:val="20"/>
          <w:szCs w:val="20"/>
          <w:color w:val="auto"/>
        </w:rPr>
      </w:pPr>
      <w:r>
        <w:rPr>
          <w:rFonts w:ascii="Courier New" w:cs="Courier New" w:eastAsia="Courier New" w:hAnsi="Courier New"/>
          <w:sz w:val="12"/>
          <w:szCs w:val="12"/>
          <w:color w:val="auto"/>
        </w:rPr>
        <w:t>adjusted for the unique characteristics of those instruments</w:t>
      </w:r>
    </w:p>
    <w:p>
      <w:pPr>
        <w:ind w:left="1040"/>
        <w:spacing w:after="0"/>
        <w:rPr>
          <w:sz w:val="20"/>
          <w:szCs w:val="20"/>
          <w:color w:val="auto"/>
        </w:rPr>
      </w:pPr>
      <w:r>
        <w:rPr>
          <w:rFonts w:ascii="Courier New" w:cs="Courier New" w:eastAsia="Courier New" w:hAnsi="Courier New"/>
          <w:sz w:val="12"/>
          <w:szCs w:val="12"/>
          <w:color w:val="auto"/>
        </w:rPr>
        <w:t>(unless observable market prices for the same or similar</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instruments are available). If an equity award is modified after</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grant date, incremental compensation cost will be recognized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in an amount equal to the excess of the fair value of the</w:t>
      </w:r>
    </w:p>
    <w:p>
      <w:pPr>
        <w:ind w:left="1040"/>
        <w:spacing w:after="0"/>
        <w:rPr>
          <w:sz w:val="20"/>
          <w:szCs w:val="20"/>
          <w:color w:val="auto"/>
        </w:rPr>
      </w:pPr>
      <w:r>
        <w:rPr>
          <w:rFonts w:ascii="Courier New" w:cs="Courier New" w:eastAsia="Courier New" w:hAnsi="Courier New"/>
          <w:sz w:val="12"/>
          <w:szCs w:val="12"/>
          <w:color w:val="auto"/>
        </w:rPr>
        <w:t>modified award over the fair value of the original award</w:t>
      </w:r>
    </w:p>
    <w:p>
      <w:pPr>
        <w:ind w:left="1040"/>
        <w:spacing w:after="0" w:line="237" w:lineRule="auto"/>
        <w:rPr>
          <w:sz w:val="20"/>
          <w:szCs w:val="20"/>
          <w:color w:val="auto"/>
        </w:rPr>
      </w:pPr>
      <w:r>
        <w:rPr>
          <w:rFonts w:ascii="Courier New" w:cs="Courier New" w:eastAsia="Courier New" w:hAnsi="Courier New"/>
          <w:sz w:val="12"/>
          <w:szCs w:val="12"/>
          <w:color w:val="auto"/>
        </w:rPr>
        <w:t>immediately before the modification.</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INITIAL ADOPTION OF NEW PRONOUNCEMENTS BY THE FASB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123 (REVISED 2004) "SHARE BASED PAYMENTS" (CONT.)</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provisions of SFAS 123(R) apply to all awards to be granted by the Company on or after January 1, 2006 and to awards modified, repurchased, or cancelled after that date. When initially applying the provisions of SFAS 123(R), in the first quarter of 2006, the Company was required to elect between using either the "modified prospective method" or the "modified retrospective method". Under the modified prospective method, the Company is required to recognize compensation cost for all awards granted after the adoption of SFAS 123(R) and for the unvested portion of previously granted awards that are outstanding on that date. Under the modified retrospective method, the Company is required to restate its previously issued financial statements to recognize the amounts previously calculated and reported on a pro forma basis, as if the original provisions of SFAS 123(R) had been adopted. Under both methods, it is permitted to use either a straight line or an accelerated method to amortize the cost as an expense for awards with graded vesting. The Company elected the modified prospective method using graded vesting amortization.</w:t>
      </w:r>
    </w:p>
    <w:p>
      <w:pPr>
        <w:spacing w:after="0" w:line="127" w:lineRule="exact"/>
        <w:rPr>
          <w:rFonts w:ascii="Courier New" w:cs="Courier New" w:eastAsia="Courier New" w:hAnsi="Courier New"/>
          <w:sz w:val="12"/>
          <w:szCs w:val="12"/>
          <w:color w:val="auto"/>
        </w:rPr>
      </w:pPr>
    </w:p>
    <w:p>
      <w:pPr>
        <w:ind w:left="1040" w:right="4619" w:hanging="345"/>
        <w:spacing w:after="0" w:line="238" w:lineRule="auto"/>
        <w:tabs>
          <w:tab w:leader="none" w:pos="1040" w:val="left"/>
        </w:tabs>
        <w:numPr>
          <w:ilvl w:val="1"/>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SFAS 153, EXCHANGE OF NON-MONETARY ASSETS -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Retroactive application is not permitted. The adoption of this Standard does not affect the Company's financial position or results of operations.</w:t>
      </w:r>
    </w:p>
    <w:p>
      <w:pPr>
        <w:spacing w:after="0" w:line="139" w:lineRule="exact"/>
        <w:rPr>
          <w:rFonts w:ascii="Courier New" w:cs="Courier New" w:eastAsia="Courier New" w:hAnsi="Courier New"/>
          <w:sz w:val="12"/>
          <w:szCs w:val="12"/>
          <w:color w:val="auto"/>
        </w:rPr>
      </w:pPr>
    </w:p>
    <w:p>
      <w:pPr>
        <w:ind w:left="1040" w:right="4619" w:hanging="345"/>
        <w:spacing w:after="0" w:line="261" w:lineRule="auto"/>
        <w:tabs>
          <w:tab w:leader="none" w:pos="1040" w:val="left"/>
        </w:tabs>
        <w:numPr>
          <w:ilvl w:val="1"/>
          <w:numId w:val="1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SFAS NO. 154, ACCOUNTING CHANGES AND ERROR CORRECTIONS - This Statement, published in May 2005, replaces APB Opinion No. 20, Accounting Changes, and FASB Statement No. 3, Reporting Accounting Changes in Interim Financial Statements, and changes the requirements for the accounting for and reporting of a change in accounting principles. This Statement applies to all voluntary changes in accounting principles, and to changes required by an accounting pronouncement in the unusual instance that the pronouncement does not include specific transition provisions.</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FASB (cont.)</w:t>
      </w:r>
    </w:p>
    <w:p>
      <w:pPr>
        <w:spacing w:after="0" w:line="138" w:lineRule="exact"/>
        <w:rPr>
          <w:rFonts w:ascii="Courier New" w:cs="Courier New" w:eastAsia="Courier New" w:hAnsi="Courier New"/>
          <w:sz w:val="12"/>
          <w:szCs w:val="12"/>
          <w:color w:val="auto"/>
        </w:rPr>
      </w:pPr>
    </w:p>
    <w:p>
      <w:pPr>
        <w:ind w:left="1040" w:right="4619" w:hanging="345"/>
        <w:spacing w:after="0" w:line="261" w:lineRule="auto"/>
        <w:tabs>
          <w:tab w:leader="none" w:pos="1040" w:val="left"/>
        </w:tabs>
        <w:numPr>
          <w:ilvl w:val="1"/>
          <w:numId w:val="139"/>
        </w:numPr>
        <w:rPr>
          <w:rFonts w:ascii="Courier New" w:cs="Courier New" w:eastAsia="Courier New" w:hAnsi="Courier New"/>
          <w:sz w:val="11"/>
          <w:szCs w:val="11"/>
          <w:color w:val="auto"/>
        </w:rPr>
      </w:pPr>
      <w:r>
        <w:rPr>
          <w:rFonts w:ascii="Courier New" w:cs="Courier New" w:eastAsia="Courier New" w:hAnsi="Courier New"/>
          <w:sz w:val="11"/>
          <w:szCs w:val="11"/>
          <w:color w:val="auto"/>
        </w:rPr>
        <w:t>SFAS NO. 155. ACCOUNTING FOR CERTAIN HYBRID FINANCIAL INSTRUMENTS - In February 2006, the FASB issued SFAS 155, "Accounting for Certain Hybrid Financial Instruments". Key provisions of SFAS 155 include: (1) a broad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and principal-only strips from derivative accounting under paragraph 14 of FAS 133 (thereby narrowing such exception); (3) a requirement that beneficial interests in securitized financial assets be analyzed to determine whether they are freestanding derivatives or whether they are hybrid instruments that contain embedded derivatives requiring bifurcation; (4) clarification that concentrations of credit risk in the form of subordination are not embedded derivatives; and (5) elimination of the prohibition on a QSPE holding passive derivative financial instruments that pertain to beneficial interests that are or</w:t>
      </w:r>
    </w:p>
    <w:p>
      <w:pPr>
        <w:sectPr>
          <w:pgSz w:w="11900" w:h="16838" w:orient="portrait"/>
          <w:cols w:equalWidth="0" w:num="1">
            <w:col w:w="10239"/>
          </w:cols>
          <w:pgMar w:left="220" w:top="137" w:right="1440" w:bottom="0" w:gutter="0" w:footer="0" w:header="0"/>
        </w:sectPr>
      </w:pPr>
    </w:p>
    <w:bookmarkStart w:id="82" w:name="page83"/>
    <w:bookmarkEnd w:id="82"/>
    <w:p>
      <w:pPr>
        <w:ind w:left="1040"/>
        <w:spacing w:after="0"/>
        <w:rPr>
          <w:sz w:val="20"/>
          <w:szCs w:val="20"/>
          <w:color w:val="auto"/>
        </w:rPr>
      </w:pPr>
      <w:r>
        <w:rPr>
          <w:rFonts w:ascii="Courier New" w:cs="Courier New" w:eastAsia="Courier New" w:hAnsi="Courier New"/>
          <w:sz w:val="12"/>
          <w:szCs w:val="12"/>
          <w:color w:val="auto"/>
        </w:rPr>
        <w:t>contain a derivative financial instrument. In general, these</w:t>
      </w:r>
    </w:p>
    <w:p>
      <w:pPr>
        <w:ind w:left="1040"/>
        <w:spacing w:after="0"/>
        <w:rPr>
          <w:sz w:val="20"/>
          <w:szCs w:val="20"/>
          <w:color w:val="auto"/>
        </w:rPr>
      </w:pPr>
      <w:r>
        <w:rPr>
          <w:rFonts w:ascii="Courier New" w:cs="Courier New" w:eastAsia="Courier New" w:hAnsi="Courier New"/>
          <w:sz w:val="12"/>
          <w:szCs w:val="12"/>
          <w:color w:val="auto"/>
        </w:rPr>
        <w:t>changes will reduce the operational complexity associated with</w:t>
      </w:r>
    </w:p>
    <w:p>
      <w:pPr>
        <w:ind w:left="1040"/>
        <w:spacing w:after="0" w:line="237" w:lineRule="auto"/>
        <w:rPr>
          <w:sz w:val="20"/>
          <w:szCs w:val="20"/>
          <w:color w:val="auto"/>
        </w:rPr>
      </w:pPr>
      <w:r>
        <w:rPr>
          <w:rFonts w:ascii="Courier New" w:cs="Courier New" w:eastAsia="Courier New" w:hAnsi="Courier New"/>
          <w:sz w:val="12"/>
          <w:szCs w:val="12"/>
          <w:color w:val="auto"/>
        </w:rPr>
        <w:t>bifurcating embedded derivatives, and increase the number of</w:t>
      </w:r>
    </w:p>
    <w:p>
      <w:pPr>
        <w:ind w:left="1040"/>
        <w:spacing w:after="0"/>
        <w:rPr>
          <w:sz w:val="20"/>
          <w:szCs w:val="20"/>
          <w:color w:val="auto"/>
        </w:rPr>
      </w:pPr>
      <w:r>
        <w:rPr>
          <w:rFonts w:ascii="Courier New" w:cs="Courier New" w:eastAsia="Courier New" w:hAnsi="Courier New"/>
          <w:sz w:val="12"/>
          <w:szCs w:val="12"/>
          <w:color w:val="auto"/>
        </w:rPr>
        <w:t>beneficial interests in securitization transactions, including</w:t>
      </w:r>
    </w:p>
    <w:p>
      <w:pPr>
        <w:ind w:left="1040"/>
        <w:spacing w:after="0" w:line="237" w:lineRule="auto"/>
        <w:rPr>
          <w:sz w:val="20"/>
          <w:szCs w:val="20"/>
          <w:color w:val="auto"/>
        </w:rPr>
      </w:pPr>
      <w:r>
        <w:rPr>
          <w:rFonts w:ascii="Courier New" w:cs="Courier New" w:eastAsia="Courier New" w:hAnsi="Courier New"/>
          <w:sz w:val="12"/>
          <w:szCs w:val="12"/>
          <w:color w:val="auto"/>
        </w:rPr>
        <w:t>interest-only strips and principal-only strips, required to be</w:t>
      </w:r>
    </w:p>
    <w:p>
      <w:pPr>
        <w:ind w:left="1040"/>
        <w:spacing w:after="0"/>
        <w:rPr>
          <w:sz w:val="20"/>
          <w:szCs w:val="20"/>
          <w:color w:val="auto"/>
        </w:rPr>
      </w:pPr>
      <w:r>
        <w:rPr>
          <w:rFonts w:ascii="Courier New" w:cs="Courier New" w:eastAsia="Courier New" w:hAnsi="Courier New"/>
          <w:sz w:val="12"/>
          <w:szCs w:val="12"/>
          <w:color w:val="auto"/>
        </w:rPr>
        <w:t>accounted for in accordance with FAS 133. Management does not</w:t>
      </w:r>
    </w:p>
    <w:p>
      <w:pPr>
        <w:ind w:left="1040"/>
        <w:spacing w:after="0" w:line="237" w:lineRule="auto"/>
        <w:rPr>
          <w:sz w:val="20"/>
          <w:szCs w:val="20"/>
          <w:color w:val="auto"/>
        </w:rPr>
      </w:pPr>
      <w:r>
        <w:rPr>
          <w:rFonts w:ascii="Courier New" w:cs="Courier New" w:eastAsia="Courier New" w:hAnsi="Courier New"/>
          <w:sz w:val="12"/>
          <w:szCs w:val="12"/>
          <w:color w:val="auto"/>
        </w:rPr>
        <w:t>believe that SFAS 155 will have a material effect on the</w:t>
      </w:r>
    </w:p>
    <w:p>
      <w:pPr>
        <w:ind w:left="1040"/>
        <w:spacing w:after="0"/>
        <w:rPr>
          <w:sz w:val="20"/>
          <w:szCs w:val="20"/>
          <w:color w:val="auto"/>
        </w:rPr>
      </w:pPr>
      <w:r>
        <w:rPr>
          <w:rFonts w:ascii="Courier New" w:cs="Courier New" w:eastAsia="Courier New" w:hAnsi="Courier New"/>
          <w:sz w:val="12"/>
          <w:szCs w:val="12"/>
          <w:color w:val="auto"/>
        </w:rPr>
        <w:t>financial condition, results of operations, or liquidity of the</w:t>
      </w:r>
    </w:p>
    <w:p>
      <w:pPr>
        <w:ind w:left="1040"/>
        <w:spacing w:after="0" w:line="237" w:lineRule="auto"/>
        <w:rPr>
          <w:sz w:val="20"/>
          <w:szCs w:val="20"/>
          <w:color w:val="auto"/>
        </w:rPr>
      </w:pPr>
      <w:r>
        <w:rPr>
          <w:rFonts w:ascii="Courier New" w:cs="Courier New" w:eastAsia="Courier New" w:hAnsi="Courier New"/>
          <w:sz w:val="12"/>
          <w:szCs w:val="12"/>
          <w:color w:val="auto"/>
        </w:rPr>
        <w:t>Company.</w:t>
      </w:r>
    </w:p>
    <w:p>
      <w:pPr>
        <w:spacing w:after="0" w:line="139" w:lineRule="exact"/>
        <w:rPr>
          <w:sz w:val="20"/>
          <w:szCs w:val="20"/>
          <w:color w:val="auto"/>
        </w:rPr>
      </w:pPr>
    </w:p>
    <w:p>
      <w:pPr>
        <w:ind w:left="1040" w:right="4619" w:hanging="345"/>
        <w:spacing w:after="0" w:line="261" w:lineRule="auto"/>
        <w:tabs>
          <w:tab w:leader="none" w:pos="1040" w:val="left"/>
        </w:tabs>
        <w:numPr>
          <w:ilvl w:val="0"/>
          <w:numId w:val="1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FIN NO. 48. ACCOUNTING FOR UNCERTAINTY IN INCOME TAXES - On July 13, 2006, the FASB issued Interpretation No. 48, "Accounting for Uncertainty in Income Taxes - an interpretation of FASB Statement No. 109" ("FIN 48"), which clarifies the accounting for uncertainty in tax positions. This Interpretation requires recognition in the financial statements of the impact of a tax position, if that position is more likely than not of being sustained on audit, based on the technical merits of the position. The provisions of FIN 48 are effective for the 2007 fiscal year with the cumulative effect of the change in accounting principle recorded as an adjustment to opening balance of retained earnings. Management does not believe that FIN 48 will have a material effect on the financial condition, results of operations, or liquidity of the Company.</w:t>
      </w:r>
    </w:p>
    <w:p>
      <w:pPr>
        <w:spacing w:after="0" w:line="264" w:lineRule="exact"/>
        <w:rPr>
          <w:rFonts w:ascii="Courier New" w:cs="Courier New" w:eastAsia="Courier New" w:hAnsi="Courier New"/>
          <w:sz w:val="11"/>
          <w:szCs w:val="11"/>
          <w:color w:val="auto"/>
        </w:rPr>
      </w:pPr>
    </w:p>
    <w:p>
      <w:pPr>
        <w:ind w:left="1040" w:right="4619" w:hanging="345"/>
        <w:spacing w:after="0" w:line="238" w:lineRule="auto"/>
        <w:tabs>
          <w:tab w:leader="none" w:pos="1040" w:val="left"/>
        </w:tabs>
        <w:numPr>
          <w:ilvl w:val="0"/>
          <w:numId w:val="1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157. FAIR VALUE MEASUREMENT - In September 2006, the FASB issued SFAS No. 157, "Fair Value Measurements." SFAS No. 157 requires companies to disclose the fair value of their financial instruments according to a fair value hierarchy as defined in the standard. Additionally, companies are required to provide enhanced disclosure regarding financial instruments in one of the categories (level 3), including a reconciliation of the beginning and ending balances separately for each major category of assets and liabilities. SFAS No. 157 is effective for financial statements issued for fiscal years beginning after November 15, 2007, and interim periods within those fiscal years. The Company's management believes that the adoption of SFAS No. 157 will not have a material impact on the Company's consolidated financial statements.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9" w:lineRule="exact"/>
        <w:rPr>
          <w:sz w:val="20"/>
          <w:szCs w:val="20"/>
          <w:color w:val="auto"/>
        </w:rPr>
      </w:pPr>
    </w:p>
    <w:p>
      <w:pPr>
        <w:ind w:left="700" w:right="5119" w:hanging="357"/>
        <w:spacing w:after="0" w:line="235" w:lineRule="auto"/>
        <w:tabs>
          <w:tab w:leader="none" w:pos="700"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DESIGNATED CASH AND SHORT-TERM INTEREST-BEARING DEPOSITS</w:t>
      </w:r>
    </w:p>
    <w:p>
      <w:pPr>
        <w:spacing w:after="0" w:line="139"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U.S. GAAP, the Company's designated cash and short-term interest bearing deposits should be excluded from current assets and presented separately as a non-current asset. Accordingly, as of December 31, 2005, $31,661 was reclassified from current assets to a long-term asset.</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NET LONG-TERM LIABILITIES IN RESPECT OF EMPLOYEES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assets and liabilities relating to severance arrangements are to be presented separately and are not to be offset, while according to Israeli GAAP such an offset is required. Accordingly, as of December 31, 2006 an amount of $13,535 was reclassified from other long-term liabilities to long-term investments (as of December 31, 2005 - $13,658).</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 IN ACCORDANCE WITH U.S. GAAP (SFAS 133)</w:t>
      </w:r>
    </w:p>
    <w:p>
      <w:pPr>
        <w:spacing w:after="0" w:line="138" w:lineRule="exact"/>
        <w:rPr>
          <w:rFonts w:ascii="Courier New" w:cs="Courier New" w:eastAsia="Courier New" w:hAnsi="Courier New"/>
          <w:sz w:val="12"/>
          <w:szCs w:val="12"/>
          <w:color w:val="auto"/>
        </w:rPr>
      </w:pPr>
    </w:p>
    <w:p>
      <w:pPr>
        <w:ind w:left="1040" w:right="4759" w:hanging="345"/>
        <w:spacing w:after="0" w:line="237" w:lineRule="auto"/>
        <w:tabs>
          <w:tab w:leader="none" w:pos="1040" w:val="left"/>
        </w:tabs>
        <w:numPr>
          <w:ilvl w:val="1"/>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41"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SFAS 133 requires that all derivatives be recorded in the financial statements at their fair value at the date of the financial statements. The changes in the fair value of the derivatives are charged to the statement of operations or to other comprehensive income, as appropriate in the circumstances. The Company's derivatives consist mainly of foreign currency forward transactions and options and interest rate instruments (collars).</w:t>
      </w:r>
    </w:p>
    <w:p>
      <w:pPr>
        <w:spacing w:after="0" w:line="142" w:lineRule="exact"/>
        <w:rPr>
          <w:rFonts w:ascii="Courier New" w:cs="Courier New" w:eastAsia="Courier New" w:hAnsi="Courier New"/>
          <w:sz w:val="12"/>
          <w:szCs w:val="12"/>
          <w:color w:val="auto"/>
        </w:rPr>
      </w:pPr>
    </w:p>
    <w:p>
      <w:pPr>
        <w:ind w:left="1040" w:right="4619" w:hanging="345"/>
        <w:spacing w:after="0" w:line="238" w:lineRule="auto"/>
        <w:tabs>
          <w:tab w:leader="none" w:pos="1040" w:val="left"/>
        </w:tabs>
        <w:numPr>
          <w:ilvl w:val="1"/>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hedge contracts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expensed to results of operations concurrent with the recognition of depreciation expenses on the equipment. As of December 31, 2006 and 2005, the Company had no outstanding foreign exchange agreements.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 IN ACCORDANCE WITH U.S. GAAP (SFAS 133)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w:t>
      </w:r>
    </w:p>
    <w:p>
      <w:pPr>
        <w:spacing w:after="0" w:line="138" w:lineRule="exact"/>
        <w:rPr>
          <w:rFonts w:ascii="Courier New" w:cs="Courier New" w:eastAsia="Courier New" w:hAnsi="Courier New"/>
          <w:sz w:val="12"/>
          <w:szCs w:val="12"/>
          <w:color w:val="auto"/>
        </w:rPr>
      </w:pPr>
    </w:p>
    <w:p>
      <w:pPr>
        <w:ind w:left="1040" w:right="469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uses interest rate collars with a knock-out and knock-in features to hedge its LIBOR-based variable long-term debt cash flow exposure. The knock-out feature was set above the</w:t>
      </w:r>
    </w:p>
    <w:p>
      <w:pPr>
        <w:sectPr>
          <w:pgSz w:w="11900" w:h="16838" w:orient="portrait"/>
          <w:cols w:equalWidth="0" w:num="1">
            <w:col w:w="10239"/>
          </w:cols>
          <w:pgMar w:left="220" w:top="137" w:right="1440" w:bottom="0" w:gutter="0" w:footer="0" w:header="0"/>
        </w:sectPr>
      </w:pPr>
    </w:p>
    <w:bookmarkStart w:id="83" w:name="page84"/>
    <w:bookmarkEnd w:id="83"/>
    <w:p>
      <w:pPr>
        <w:ind w:left="1040"/>
        <w:spacing w:after="0"/>
        <w:rPr>
          <w:sz w:val="20"/>
          <w:szCs w:val="20"/>
          <w:color w:val="auto"/>
        </w:rPr>
      </w:pPr>
      <w:r>
        <w:rPr>
          <w:rFonts w:ascii="Courier New" w:cs="Courier New" w:eastAsia="Courier New" w:hAnsi="Courier New"/>
          <w:sz w:val="11"/>
          <w:szCs w:val="11"/>
          <w:color w:val="auto"/>
        </w:rPr>
        <w:t>cap level and the knock-in feature was set below the floor level.</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Company determined that the probability that the cap will be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knocked-out is remote and thus expected that the hedge will be</w:t>
      </w:r>
    </w:p>
    <w:p>
      <w:pPr>
        <w:ind w:left="1040"/>
        <w:spacing w:after="0"/>
        <w:rPr>
          <w:sz w:val="20"/>
          <w:szCs w:val="20"/>
          <w:color w:val="auto"/>
        </w:rPr>
      </w:pPr>
      <w:r>
        <w:rPr>
          <w:rFonts w:ascii="Courier New" w:cs="Courier New" w:eastAsia="Courier New" w:hAnsi="Courier New"/>
          <w:sz w:val="12"/>
          <w:szCs w:val="12"/>
          <w:color w:val="auto"/>
        </w:rPr>
        <w:t>highly effective. The Company assessed and measured the</w:t>
      </w:r>
    </w:p>
    <w:p>
      <w:pPr>
        <w:ind w:left="1040"/>
        <w:spacing w:after="0" w:line="237" w:lineRule="auto"/>
        <w:rPr>
          <w:sz w:val="20"/>
          <w:szCs w:val="20"/>
          <w:color w:val="auto"/>
        </w:rPr>
      </w:pPr>
      <w:r>
        <w:rPr>
          <w:rFonts w:ascii="Courier New" w:cs="Courier New" w:eastAsia="Courier New" w:hAnsi="Courier New"/>
          <w:sz w:val="12"/>
          <w:szCs w:val="12"/>
          <w:color w:val="auto"/>
        </w:rPr>
        <w:t>effectiveness of the hedge, at inception and throughout the</w:t>
      </w:r>
    </w:p>
    <w:p>
      <w:pPr>
        <w:ind w:left="1040"/>
        <w:spacing w:after="0"/>
        <w:rPr>
          <w:sz w:val="20"/>
          <w:szCs w:val="20"/>
          <w:color w:val="auto"/>
        </w:rPr>
      </w:pPr>
      <w:r>
        <w:rPr>
          <w:rFonts w:ascii="Courier New" w:cs="Courier New" w:eastAsia="Courier New" w:hAnsi="Courier New"/>
          <w:sz w:val="12"/>
          <w:szCs w:val="12"/>
          <w:color w:val="auto"/>
        </w:rPr>
        <w:t>hedge, based on total changes in cash flows of the collar, and</w:t>
      </w:r>
    </w:p>
    <w:p>
      <w:pPr>
        <w:ind w:left="1040"/>
        <w:spacing w:after="0" w:line="237" w:lineRule="auto"/>
        <w:rPr>
          <w:sz w:val="20"/>
          <w:szCs w:val="20"/>
          <w:color w:val="auto"/>
        </w:rPr>
      </w:pPr>
      <w:r>
        <w:rPr>
          <w:rFonts w:ascii="Courier New" w:cs="Courier New" w:eastAsia="Courier New" w:hAnsi="Courier New"/>
          <w:sz w:val="12"/>
          <w:szCs w:val="12"/>
          <w:color w:val="auto"/>
        </w:rPr>
        <w:t>reported changes in fair value in other comprehensive income.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Amounts presented in other comprehensive income are reclassified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to operations or capitalized to property and equipment, as</w:t>
      </w:r>
    </w:p>
    <w:p>
      <w:pPr>
        <w:ind w:left="1040"/>
        <w:spacing w:after="0"/>
        <w:rPr>
          <w:sz w:val="20"/>
          <w:szCs w:val="20"/>
          <w:color w:val="auto"/>
        </w:rPr>
      </w:pPr>
      <w:r>
        <w:rPr>
          <w:rFonts w:ascii="Courier New" w:cs="Courier New" w:eastAsia="Courier New" w:hAnsi="Courier New"/>
          <w:sz w:val="12"/>
          <w:szCs w:val="12"/>
          <w:color w:val="auto"/>
        </w:rPr>
        <w:t>applicable (see Note 2M), as interest payment become due. For</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outstanding contracts as of December 31, 2006 and 2005, see Note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17C.</w:t>
      </w:r>
    </w:p>
    <w:p>
      <w:pPr>
        <w:spacing w:after="0" w:line="139" w:lineRule="exact"/>
        <w:rPr>
          <w:sz w:val="20"/>
          <w:szCs w:val="20"/>
          <w:color w:val="auto"/>
        </w:rPr>
      </w:pPr>
    </w:p>
    <w:p>
      <w:pPr>
        <w:ind w:left="1040" w:right="4699" w:hanging="345"/>
        <w:spacing w:after="0" w:line="237" w:lineRule="auto"/>
        <w:tabs>
          <w:tab w:leader="none" w:pos="1040" w:val="left"/>
        </w:tabs>
        <w:numPr>
          <w:ilvl w:val="0"/>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commencement of operations of Fab 2 during 2003, $6,641 of the aggregate comprehensive loss as of June 30, 2003, which is attributable to property and equipment, is amortized on a straight-line method over five years, in correspondence to the estimated economic lives commonly used in the industry of the machinery and equipment.</w:t>
      </w:r>
    </w:p>
    <w:p>
      <w:pPr>
        <w:spacing w:after="0" w:line="140" w:lineRule="exact"/>
        <w:rPr>
          <w:rFonts w:ascii="Courier New" w:cs="Courier New" w:eastAsia="Courier New" w:hAnsi="Courier New"/>
          <w:sz w:val="12"/>
          <w:szCs w:val="12"/>
          <w:color w:val="auto"/>
        </w:rPr>
      </w:pPr>
    </w:p>
    <w:p>
      <w:pPr>
        <w:ind w:left="1040" w:right="4699" w:hanging="345"/>
        <w:spacing w:after="0" w:line="237" w:lineRule="auto"/>
        <w:tabs>
          <w:tab w:leader="none" w:pos="1040" w:val="left"/>
        </w:tabs>
        <w:numPr>
          <w:ilvl w:val="0"/>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133 with respect to the Company's hedging transactions as of December 31, 2006 would have resulted in: an increase in other long-term investments in the amount of $1,790; a decrease (for U.S. GAAP purposes only) in other comprehensive loss for the year ended December 31, 2006 in the net amount of $1,351; an accumulated other comprehensive loss component of equity balance as of such date in the amount of $203; and in a decrease of $1,993 in property and equipment, net as of December 31, 2006.</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IMPLEMENTATION OF SFAS 123 AND SFAS 148</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Had compensation cost for the Company's share option plans been determined based on fair value at the grant dates for awards made through December 31, 2005 in accordance with SFAS 123, as amended by SFAS 148, the Company's pro forma loss and loss per share would have been as follows (for further information with regard to the Company's share option plans and the assumptions for utilizing the Black-Scholes pricing model, see Note 12B(4)):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w w:val="97"/>
              </w:rPr>
              <w:t>Year ended December 31,</w:t>
            </w:r>
          </w:p>
        </w:tc>
      </w:tr>
      <w:tr>
        <w:trPr>
          <w:trHeight w:val="135"/>
        </w:trPr>
        <w:tc>
          <w:tcPr>
            <w:tcW w:w="3260" w:type="dxa"/>
            <w:vAlign w:val="bottom"/>
          </w:tcPr>
          <w:p>
            <w:pPr>
              <w:spacing w:after="0"/>
              <w:rPr>
                <w:sz w:val="11"/>
                <w:szCs w:val="11"/>
                <w:color w:val="auto"/>
              </w:rPr>
            </w:pPr>
          </w:p>
        </w:tc>
        <w:tc>
          <w:tcPr>
            <w:tcW w:w="214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2005</w:t>
            </w:r>
          </w:p>
        </w:tc>
        <w:tc>
          <w:tcPr>
            <w:tcW w:w="380" w:type="dxa"/>
            <w:vAlign w:val="bottom"/>
          </w:tcPr>
          <w:p>
            <w:pPr>
              <w:spacing w:after="0"/>
              <w:rPr>
                <w:sz w:val="11"/>
                <w:szCs w:val="11"/>
                <w:color w:val="auto"/>
              </w:rPr>
            </w:pPr>
          </w:p>
        </w:tc>
        <w:tc>
          <w:tcPr>
            <w:tcW w:w="5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326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26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Loss for the year, as reported according to</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U.S. GAAP (see K below)</w:t>
            </w:r>
          </w:p>
        </w:tc>
        <w:tc>
          <w:tcPr>
            <w:tcW w:w="12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$(203,082)</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$(137,768)</w:t>
            </w: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Add - stock-based compensation</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determined under SFAS 123</w:t>
            </w:r>
          </w:p>
        </w:tc>
        <w:tc>
          <w:tcPr>
            <w:tcW w:w="360" w:type="dxa"/>
            <w:vAlign w:val="bottom"/>
          </w:tcPr>
          <w:p>
            <w:pPr>
              <w:spacing w:after="0"/>
              <w:rPr>
                <w:sz w:val="11"/>
                <w:szCs w:val="11"/>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(4,229)</w:t>
            </w: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(3,980)</w:t>
            </w:r>
          </w:p>
        </w:tc>
      </w:tr>
      <w:tr>
        <w:trPr>
          <w:trHeight w:val="135"/>
        </w:trPr>
        <w:tc>
          <w:tcPr>
            <w:tcW w:w="326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12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$(207,311)</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$(141,748)</w:t>
            </w:r>
          </w:p>
        </w:tc>
      </w:tr>
      <w:tr>
        <w:trPr>
          <w:trHeight w:val="135"/>
        </w:trPr>
        <w:tc>
          <w:tcPr>
            <w:tcW w:w="326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26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As reported according to U.S.</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GAAP (see M below)</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(3.06)</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r>
      <w:tr>
        <w:trPr>
          <w:trHeight w:val="135"/>
        </w:trPr>
        <w:tc>
          <w:tcPr>
            <w:tcW w:w="326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260" w:type="dxa"/>
            <w:vAlign w:val="bottom"/>
          </w:tcPr>
          <w:p>
            <w:pPr>
              <w:spacing w:after="0"/>
              <w:rPr>
                <w:sz w:val="20"/>
                <w:szCs w:val="20"/>
                <w:color w:val="auto"/>
              </w:rPr>
            </w:pPr>
            <w:r>
              <w:rPr>
                <w:rFonts w:ascii="Courier New" w:cs="Courier New" w:eastAsia="Courier New" w:hAnsi="Courier New"/>
                <w:sz w:val="12"/>
                <w:szCs w:val="12"/>
                <w:color w:val="auto"/>
              </w:rPr>
              <w:t>Pro forma</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(3.12)</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(2.19)</w:t>
            </w:r>
          </w:p>
        </w:tc>
      </w:tr>
      <w:tr>
        <w:trPr>
          <w:trHeight w:val="135"/>
        </w:trPr>
        <w:tc>
          <w:tcPr>
            <w:tcW w:w="326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1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CONVERTIBLE DEBENTURES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Accounting Principles Board Opinion No. 14 ("APB 14"), the proceeds from the sale of the securities in January 2002 are to be allocated to each of the securities issued based on their relative fair value, while according to Israeli GAAP such treatment was not required. Complying with APB 14, based on the average market value of each of the components issued in the first three days following their issuance (in January 2002), would have resulted in an increase in shareholders' equity as of the issuance date in the amount of $2,363 (net of $196 related issuance expenses), and a decrease in convertible debentures as of such date in the amount of $2,559. The additional accumulated effect of amortization of the discount on the convertible debentures under U.S.GAAP as of December 31, 2006 would have been $1,142. Commencing with the adoption of Standard No. 22 in January 2006, allocation of proceeds in a unit, to its components, is based on relative fair values under Israeli GAAP as well as under U.S. GAAP.</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CONVERTIBLE DEBENTURES (Cont.)</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convertible debentures have to be evaluated to determine if they contain embedded derivative that warrant bifurcation. Conversion feature embedded in convertible debentures will need to be evaluated as to whether they can be classified as equity based on the criteria established in EITF Issue 00-19 and 05-2. The Company evaluated the conversion features embedded in its debentures (i.e., sale of convertible debentures in 2002 - "2002 debentures", sale of convertible debentures in 2005 "2005 debentures" and sale of convertible debentures in 2006 "2006 debentures") and concluded that the conversion feature embedded in the 2005 and 2006 debentures warrant bifurcation while the conversion feature embedded in the 2002 debentures is scoped out (for the discussion on the accounting for the debentures under Israeli GAAP see Note 2H.</w:t>
      </w:r>
    </w:p>
    <w:p>
      <w:pPr>
        <w:spacing w:after="0" w:line="260"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2002 DEBENTURES:</w:t>
      </w:r>
    </w:p>
    <w:p>
      <w:pPr>
        <w:spacing w:after="0" w:line="138" w:lineRule="exact"/>
        <w:rPr>
          <w:rFonts w:ascii="Courier New" w:cs="Courier New" w:eastAsia="Courier New" w:hAnsi="Courier New"/>
          <w:sz w:val="12"/>
          <w:szCs w:val="12"/>
          <w:color w:val="auto"/>
        </w:rPr>
      </w:pPr>
    </w:p>
    <w:p>
      <w:pPr>
        <w:ind w:left="700" w:right="46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the equity component, in the amount of $1,681, classified in equity under Israeli GAAP was reclassified to liability.</w:t>
      </w:r>
    </w:p>
    <w:p>
      <w:pPr>
        <w:sectPr>
          <w:pgSz w:w="11900" w:h="16838" w:orient="portrait"/>
          <w:cols w:equalWidth="0" w:num="1">
            <w:col w:w="10239"/>
          </w:cols>
          <w:pgMar w:left="220" w:top="141" w:right="1440" w:bottom="0" w:gutter="0" w:footer="0" w:header="0"/>
        </w:sectPr>
      </w:pPr>
    </w:p>
    <w:bookmarkStart w:id="84" w:name="page85"/>
    <w:bookmarkEnd w:id="84"/>
    <w:p>
      <w:pPr>
        <w:ind w:left="700"/>
        <w:spacing w:after="0"/>
        <w:rPr>
          <w:sz w:val="20"/>
          <w:szCs w:val="20"/>
          <w:color w:val="auto"/>
        </w:rPr>
      </w:pPr>
      <w:r>
        <w:rPr>
          <w:rFonts w:ascii="Courier New" w:cs="Courier New" w:eastAsia="Courier New" w:hAnsi="Courier New"/>
          <w:sz w:val="12"/>
          <w:szCs w:val="12"/>
          <w:color w:val="auto"/>
        </w:rPr>
        <w:t>2005 DEBENTURES:</w:t>
      </w:r>
    </w:p>
    <w:p>
      <w:pPr>
        <w:spacing w:after="0" w:line="139" w:lineRule="exact"/>
        <w:rPr>
          <w:sz w:val="20"/>
          <w:szCs w:val="20"/>
          <w:color w:val="auto"/>
        </w:rPr>
      </w:pPr>
    </w:p>
    <w:p>
      <w:pPr>
        <w:ind w:left="700" w:right="2740"/>
        <w:spacing w:after="0" w:line="237" w:lineRule="auto"/>
        <w:rPr>
          <w:sz w:val="20"/>
          <w:szCs w:val="20"/>
          <w:color w:val="auto"/>
        </w:rPr>
      </w:pPr>
      <w:r>
        <w:rPr>
          <w:rFonts w:ascii="Courier New" w:cs="Courier New" w:eastAsia="Courier New" w:hAnsi="Courier New"/>
          <w:sz w:val="12"/>
          <w:szCs w:val="12"/>
          <w:color w:val="auto"/>
        </w:rPr>
        <w:t>Under U.S. GAAP, the equity component, in the amount of $12,520 classified as equity under Israeli GAAP was reclassified to liability and the conversion feature was bifurcated from the debt host and marked to market through earnings. The initial amount allocated to the bifurcated conversion feature was determined using the "with and without" method based on the fair value of the embedded derivative prescribed in DIG Issue B6.</w:t>
      </w:r>
    </w:p>
    <w:p>
      <w:pPr>
        <w:spacing w:after="0" w:line="137"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2006 DEBENTURES:</w:t>
      </w:r>
    </w:p>
    <w:p>
      <w:pPr>
        <w:spacing w:after="0" w:line="139" w:lineRule="exact"/>
        <w:rPr>
          <w:sz w:val="20"/>
          <w:szCs w:val="20"/>
          <w:color w:val="auto"/>
        </w:rPr>
      </w:pPr>
    </w:p>
    <w:p>
      <w:pPr>
        <w:ind w:left="700" w:right="2740"/>
        <w:spacing w:after="0" w:line="263" w:lineRule="auto"/>
        <w:rPr>
          <w:sz w:val="20"/>
          <w:szCs w:val="20"/>
          <w:color w:val="auto"/>
        </w:rPr>
      </w:pPr>
      <w:r>
        <w:rPr>
          <w:rFonts w:ascii="Courier New" w:cs="Courier New" w:eastAsia="Courier New" w:hAnsi="Courier New"/>
          <w:sz w:val="11"/>
          <w:szCs w:val="11"/>
          <w:color w:val="auto"/>
        </w:rPr>
        <w:t>Under U.S. GAAP, the equity component, in the amount of $6,018, classified in equity under Israeli GAAP was reclassified to liability. The conversion feature was bifurcated from the debt host and marked to market through earnings. The amount allocated to the bifurcated conversion feature was determined using the "with and without" method.</w:t>
      </w:r>
    </w:p>
    <w:p>
      <w:pPr>
        <w:spacing w:after="0" w:line="128" w:lineRule="exact"/>
        <w:rPr>
          <w:sz w:val="20"/>
          <w:szCs w:val="20"/>
          <w:color w:val="auto"/>
        </w:rPr>
      </w:pPr>
    </w:p>
    <w:p>
      <w:pPr>
        <w:ind w:left="700" w:right="2740"/>
        <w:spacing w:after="0" w:line="263" w:lineRule="auto"/>
        <w:rPr>
          <w:sz w:val="20"/>
          <w:szCs w:val="20"/>
          <w:color w:val="auto"/>
        </w:rPr>
      </w:pPr>
      <w:r>
        <w:rPr>
          <w:rFonts w:ascii="Courier New" w:cs="Courier New" w:eastAsia="Courier New" w:hAnsi="Courier New"/>
          <w:sz w:val="11"/>
          <w:szCs w:val="11"/>
          <w:color w:val="auto"/>
        </w:rPr>
        <w:t>All the above resulted as of December 31, 2006 mainly in an increase in convertible debentures in the amount of $21,688; a decrease in the shareholder's equity in the amount of $20,876 and an increase in other assets in the amount of $834. The company's loss for the year ended December 31, 2006 would have increased in the amount of $3,973.</w:t>
      </w:r>
    </w:p>
    <w:p>
      <w:pPr>
        <w:spacing w:after="0" w:line="123" w:lineRule="exact"/>
        <w:rPr>
          <w:sz w:val="20"/>
          <w:szCs w:val="20"/>
          <w:color w:val="auto"/>
        </w:rPr>
      </w:pPr>
    </w:p>
    <w:p>
      <w:pPr>
        <w:ind w:left="700" w:hanging="357"/>
        <w:spacing w:after="0"/>
        <w:tabs>
          <w:tab w:leader="none" w:pos="700" w:val="left"/>
        </w:tabs>
        <w:numPr>
          <w:ilvl w:val="0"/>
          <w:numId w:val="1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PRIVATE PLACEMENT</w:t>
      </w:r>
    </w:p>
    <w:p>
      <w:pPr>
        <w:spacing w:after="0" w:line="138" w:lineRule="exact"/>
        <w:rPr>
          <w:rFonts w:ascii="Courier New" w:cs="Courier New" w:eastAsia="Courier New" w:hAnsi="Courier New"/>
          <w:sz w:val="12"/>
          <w:szCs w:val="12"/>
          <w:color w:val="auto"/>
        </w:rPr>
      </w:pPr>
    </w:p>
    <w:p>
      <w:pPr>
        <w:ind w:left="700" w:right="2740"/>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series 5 warrants were initially recorded as liability due to the ratchet provision included in them. Upon registering such warrants the ratchet expired and the series 5 warrants were eligible for equity classification based on the criteria in EITF 00-19. Complying with the above, would have resulted as of December 31, 2006 mainly in a decrease in other long term liabilities and an increase in the shareholder's equity in the amount of $3,088.</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STOCK BASED COMPENSATION</w:t>
      </w:r>
    </w:p>
    <w:p>
      <w:pPr>
        <w:spacing w:after="0" w:line="138" w:lineRule="exact"/>
        <w:rPr>
          <w:rFonts w:ascii="Courier New" w:cs="Courier New" w:eastAsia="Courier New" w:hAnsi="Courier New"/>
          <w:sz w:val="12"/>
          <w:szCs w:val="12"/>
          <w:color w:val="auto"/>
        </w:rPr>
      </w:pPr>
    </w:p>
    <w:p>
      <w:pPr>
        <w:ind w:left="700" w:right="2740"/>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adopted, effective January 1, 2006, SFAS 123R according to which the compensation expense related to employee and directors share option awards would have been resulted in an increase in the compensations expenses for the year ending December 31, 2006 in the amount of $1,513. The Company elected the modified prospective method as its transition method. The adoption of SFAS 123R for U.S. GAAP along with the adoption of Standard no. 24 for Israeli GAAP, decreased the potential differences between U.S. GAAP and Israeli GAAP as it related to stock based compensation.</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700" w:right="2740"/>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debt modification under the September 2006 Amendment is considered troubled debt restructuring within the scope of FASB No. 15 ACCOUNTING BY DEBTORS AND CREDITORS FOR TROUBLED DEBT RESTRUCTURINGS which requires the following: (i) the amount considered settled for shares and classified in equity is based on the price per share as quoted at the closing date;(ii) the remaining balance after deduction of the amount used as proceeds for the share issuance in 1 above, will remain outstanding;(iii) a new, lower effective interest rate will be calculated as the interest rate that equates future payments to the outstanding balance; and (iv) no gains or losses are recognized in the current period.</w:t>
      </w:r>
    </w:p>
    <w:p>
      <w:pPr>
        <w:spacing w:after="0" w:line="144" w:lineRule="exact"/>
        <w:rPr>
          <w:rFonts w:ascii="Courier New" w:cs="Courier New" w:eastAsia="Courier New" w:hAnsi="Courier New"/>
          <w:sz w:val="12"/>
          <w:szCs w:val="12"/>
          <w:color w:val="auto"/>
        </w:rPr>
      </w:pPr>
    </w:p>
    <w:p>
      <w:pPr>
        <w:ind w:left="700" w:right="2740"/>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the debt modification under the Amendment is considered to include an embedded derivative that should be separately accounted for. The Company considered the obligation to issue shares as agreed with the Banks and determined that it contains two components (i) a contingent component and (ii) an uncontingent component. The contingent component is the obligation to issue shares equal to half of the amount of the Decreased Amount if the Fourth Quarter 2010 Price is less than $3.49. The uncontingent component is the obligation to issue shares equal to half of the Decreased Amount regardless of the Fourth Quarter 2010 Price. The Company accounted for the uncontingent component as an additional interest expense and calculated the effective interest rate to include such expense. The Company treated the uncontingent component as an embedded derivative that needs to be bifurcated and separately accounted for based on fair value. Initial separation of the embedded derivative will be done using the "with and without" method described in DIG Issue B6. Changes in the fair value of the embedded derivative will be included in financing expenses. All the above resulted in a decrease of $75,483 in the shareholders equity for the year ended December 31, 2006 and an increase of the same amount in the long-term loans from the banks as of December 31, 2006.</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BALANCE SHEETS IN ACCORDANCE WITH U.S. GAAP</w:t>
      </w:r>
    </w:p>
    <w:p>
      <w:pPr>
        <w:spacing w:after="0" w:line="134" w:lineRule="exact"/>
        <w:rPr>
          <w:sz w:val="20"/>
          <w:szCs w:val="20"/>
          <w:color w:val="auto"/>
        </w:rPr>
      </w:pPr>
    </w:p>
    <w:p>
      <w:pPr>
        <w:jc w:val="center"/>
        <w:ind w:left="5340"/>
        <w:spacing w:after="0"/>
        <w:rPr>
          <w:sz w:val="20"/>
          <w:szCs w:val="20"/>
          <w:color w:val="auto"/>
        </w:rPr>
      </w:pPr>
      <w:r>
        <w:rPr>
          <w:rFonts w:ascii="Courier New" w:cs="Courier New" w:eastAsia="Courier New" w:hAnsi="Courier New"/>
          <w:sz w:val="12"/>
          <w:szCs w:val="12"/>
          <w:color w:val="auto"/>
        </w:rPr>
        <w:t>AS OF DECEMBER 31, 2006</w:t>
      </w:r>
    </w:p>
    <w:p>
      <w:pPr>
        <w:spacing w:after="0" w:line="4" w:lineRule="exact"/>
        <w:rPr>
          <w:sz w:val="20"/>
          <w:szCs w:val="20"/>
          <w:color w:val="auto"/>
        </w:rPr>
      </w:pPr>
    </w:p>
    <w:p>
      <w:pPr>
        <w:ind w:left="540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jc w:val="both"/>
        <w:ind w:left="4560"/>
        <w:spacing w:after="0"/>
        <w:tabs>
          <w:tab w:leader="none" w:pos="5460" w:val="left"/>
          <w:tab w:leader="none" w:pos="7840" w:val="left"/>
        </w:tabs>
        <w:rPr>
          <w:sz w:val="20"/>
          <w:szCs w:val="20"/>
          <w:color w:val="auto"/>
        </w:rPr>
      </w:pPr>
      <w:r>
        <w:rPr>
          <w:rFonts w:ascii="Courier New" w:cs="Courier New" w:eastAsia="Courier New" w:hAnsi="Courier New"/>
          <w:sz w:val="12"/>
          <w:szCs w:val="12"/>
          <w:color w:val="auto"/>
        </w:rPr>
        <w:t>U.S.</w:t>
      </w:r>
      <w:r>
        <w:rPr>
          <w:sz w:val="20"/>
          <w:szCs w:val="20"/>
          <w:color w:val="auto"/>
        </w:rPr>
        <w:tab/>
      </w:r>
      <w:r>
        <w:rPr>
          <w:rFonts w:ascii="Courier New" w:cs="Courier New" w:eastAsia="Courier New" w:hAnsi="Courier New"/>
          <w:sz w:val="12"/>
          <w:szCs w:val="12"/>
          <w:color w:val="auto"/>
        </w:rPr>
        <w:t>AS PER</w:t>
      </w:r>
      <w:r>
        <w:rPr>
          <w:sz w:val="20"/>
          <w:szCs w:val="20"/>
          <w:color w:val="auto"/>
        </w:rPr>
        <w:tab/>
      </w:r>
      <w:r>
        <w:rPr>
          <w:rFonts w:ascii="Courier New" w:cs="Courier New" w:eastAsia="Courier New" w:hAnsi="Courier New"/>
          <w:sz w:val="11"/>
          <w:szCs w:val="11"/>
          <w:color w:val="auto"/>
        </w:rPr>
        <w:t>AS PER</w:t>
      </w:r>
    </w:p>
    <w:p>
      <w:pPr>
        <w:jc w:val="both"/>
        <w:ind w:left="4480"/>
        <w:spacing w:after="0"/>
        <w:tabs>
          <w:tab w:leader="none" w:pos="5460" w:val="left"/>
          <w:tab w:leader="none" w:pos="6640" w:val="left"/>
          <w:tab w:leader="none" w:pos="7920" w:val="left"/>
        </w:tabs>
        <w:rPr>
          <w:sz w:val="20"/>
          <w:szCs w:val="20"/>
          <w:color w:val="auto"/>
        </w:rPr>
      </w:pPr>
      <w:r>
        <w:rPr>
          <w:rFonts w:ascii="Courier New" w:cs="Courier New" w:eastAsia="Courier New" w:hAnsi="Courier New"/>
          <w:sz w:val="12"/>
          <w:szCs w:val="12"/>
          <w:color w:val="auto"/>
        </w:rPr>
        <w:t>GAAP</w:t>
      </w:r>
      <w:r>
        <w:rPr>
          <w:sz w:val="20"/>
          <w:szCs w:val="20"/>
          <w:color w:val="auto"/>
        </w:rPr>
        <w:tab/>
      </w:r>
      <w:r>
        <w:rPr>
          <w:rFonts w:ascii="Courier New" w:cs="Courier New" w:eastAsia="Courier New" w:hAnsi="Courier New"/>
          <w:sz w:val="12"/>
          <w:szCs w:val="12"/>
          <w:color w:val="auto"/>
        </w:rPr>
        <w:t>ISRAELI</w:t>
      </w:r>
      <w:r>
        <w:rPr>
          <w:sz w:val="20"/>
          <w:szCs w:val="20"/>
          <w:color w:val="auto"/>
        </w:rPr>
        <w:tab/>
      </w:r>
      <w:r>
        <w:rPr>
          <w:rFonts w:ascii="Courier New" w:cs="Courier New" w:eastAsia="Courier New" w:hAnsi="Courier New"/>
          <w:sz w:val="12"/>
          <w:szCs w:val="12"/>
          <w:color w:val="auto"/>
        </w:rPr>
        <w:t>ADJUST-</w:t>
      </w:r>
      <w:r>
        <w:rPr>
          <w:sz w:val="20"/>
          <w:szCs w:val="20"/>
          <w:color w:val="auto"/>
        </w:rPr>
        <w:tab/>
      </w:r>
      <w:r>
        <w:rPr>
          <w:rFonts w:ascii="Courier New" w:cs="Courier New" w:eastAsia="Courier New" w:hAnsi="Courier New"/>
          <w:sz w:val="11"/>
          <w:szCs w:val="11"/>
          <w:color w:val="auto"/>
        </w:rPr>
        <w:t>U.S.</w:t>
      </w:r>
    </w:p>
    <w:p>
      <w:pPr>
        <w:jc w:val="both"/>
        <w:ind w:left="4420"/>
        <w:spacing w:after="0"/>
        <w:tabs>
          <w:tab w:leader="none" w:pos="5520" w:val="left"/>
          <w:tab w:leader="none" w:pos="6720" w:val="left"/>
          <w:tab w:leader="none" w:pos="7920" w:val="left"/>
        </w:tabs>
        <w:rPr>
          <w:sz w:val="20"/>
          <w:szCs w:val="20"/>
          <w:color w:val="auto"/>
        </w:rPr>
      </w:pPr>
      <w:r>
        <w:rPr>
          <w:rFonts w:ascii="Courier New" w:cs="Courier New" w:eastAsia="Courier New" w:hAnsi="Courier New"/>
          <w:sz w:val="12"/>
          <w:szCs w:val="12"/>
          <w:color w:val="auto"/>
        </w:rPr>
        <w:t>REMARK</w:t>
      </w:r>
      <w:r>
        <w:rPr>
          <w:sz w:val="20"/>
          <w:szCs w:val="20"/>
          <w:color w:val="auto"/>
        </w:rPr>
        <w:tab/>
      </w:r>
      <w:r>
        <w:rPr>
          <w:rFonts w:ascii="Courier New" w:cs="Courier New" w:eastAsia="Courier New" w:hAnsi="Courier New"/>
          <w:sz w:val="12"/>
          <w:szCs w:val="12"/>
          <w:color w:val="auto"/>
        </w:rPr>
        <w:t>GAAP</w:t>
      </w:r>
      <w:r>
        <w:rPr>
          <w:sz w:val="20"/>
          <w:szCs w:val="20"/>
          <w:color w:val="auto"/>
        </w:rPr>
        <w:tab/>
      </w:r>
      <w:r>
        <w:rPr>
          <w:rFonts w:ascii="Courier New" w:cs="Courier New" w:eastAsia="Courier New" w:hAnsi="Courier New"/>
          <w:sz w:val="12"/>
          <w:szCs w:val="12"/>
          <w:color w:val="auto"/>
        </w:rPr>
        <w:t>MENTS</w:t>
      </w:r>
      <w:r>
        <w:rPr>
          <w:sz w:val="20"/>
          <w:szCs w:val="20"/>
          <w:color w:val="auto"/>
        </w:rPr>
        <w:tab/>
      </w:r>
      <w:r>
        <w:rPr>
          <w:rFonts w:ascii="Courier New" w:cs="Courier New" w:eastAsia="Courier New" w:hAnsi="Courier New"/>
          <w:sz w:val="11"/>
          <w:szCs w:val="11"/>
          <w:color w:val="auto"/>
        </w:rPr>
        <w:t>GAAP</w:t>
      </w:r>
    </w:p>
    <w:p>
      <w:pPr>
        <w:ind w:left="4280"/>
        <w:spacing w:after="0"/>
        <w:tabs>
          <w:tab w:leader="none" w:pos="5380" w:val="left"/>
          <w:tab w:leader="none" w:pos="6580" w:val="left"/>
          <w:tab w:leader="none" w:pos="770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 S S E T S</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2"/>
          <w:szCs w:val="12"/>
          <w:color w:val="auto"/>
        </w:rPr>
        <w:t>CURRENT ASSETS</w:t>
      </w:r>
    </w:p>
    <w:p>
      <w:pPr>
        <w:ind w:left="340"/>
        <w:spacing w:after="0"/>
        <w:tabs>
          <w:tab w:leader="none" w:pos="5380" w:val="left"/>
          <w:tab w:leader="none" w:pos="5600" w:val="left"/>
          <w:tab w:leader="none" w:pos="7700" w:val="left"/>
          <w:tab w:leader="none" w:pos="7920" w:val="left"/>
        </w:tabs>
        <w:rPr>
          <w:sz w:val="20"/>
          <w:szCs w:val="20"/>
          <w:color w:val="auto"/>
        </w:rPr>
      </w:pPr>
      <w:r>
        <w:rPr>
          <w:rFonts w:ascii="Courier New" w:cs="Courier New" w:eastAsia="Courier New" w:hAnsi="Courier New"/>
          <w:sz w:val="12"/>
          <w:szCs w:val="12"/>
          <w:color w:val="auto"/>
        </w:rPr>
        <w:t>CASH AND CASH EQUIVALENTS</w:t>
      </w:r>
      <w:r>
        <w:rPr>
          <w:sz w:val="20"/>
          <w:szCs w:val="20"/>
          <w:color w:val="auto"/>
        </w:rPr>
        <w:tab/>
      </w:r>
      <w:r>
        <w:rPr>
          <w:rFonts w:ascii="Courier New" w:cs="Courier New" w:eastAsia="Courier New" w:hAnsi="Courier New"/>
          <w:sz w:val="12"/>
          <w:szCs w:val="12"/>
          <w:color w:val="auto"/>
        </w:rPr>
        <w:t>$</w:t>
        <w:tab/>
        <w:t>39,710</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39,710</w:t>
      </w:r>
    </w:p>
    <w:p>
      <w:pPr>
        <w:ind w:left="340"/>
        <w:spacing w:after="0"/>
        <w:tabs>
          <w:tab w:leader="none" w:pos="5660" w:val="left"/>
          <w:tab w:leader="none" w:pos="7980" w:val="left"/>
        </w:tabs>
        <w:rPr>
          <w:sz w:val="20"/>
          <w:szCs w:val="20"/>
          <w:color w:val="auto"/>
        </w:rPr>
      </w:pPr>
      <w:r>
        <w:rPr>
          <w:rFonts w:ascii="Courier New" w:cs="Courier New" w:eastAsia="Courier New" w:hAnsi="Courier New"/>
          <w:sz w:val="12"/>
          <w:szCs w:val="12"/>
          <w:color w:val="auto"/>
        </w:rPr>
        <w:t>SHORT-TERM INTEREST-BEARING DEPOSITS</w:t>
      </w:r>
      <w:r>
        <w:rPr>
          <w:sz w:val="20"/>
          <w:szCs w:val="20"/>
          <w:color w:val="auto"/>
        </w:rPr>
        <w:tab/>
      </w:r>
      <w:r>
        <w:rPr>
          <w:rFonts w:ascii="Courier New" w:cs="Courier New" w:eastAsia="Courier New" w:hAnsi="Courier New"/>
          <w:sz w:val="12"/>
          <w:szCs w:val="12"/>
          <w:color w:val="auto"/>
        </w:rPr>
        <w:t>1,230</w:t>
      </w:r>
      <w:r>
        <w:rPr>
          <w:sz w:val="20"/>
          <w:szCs w:val="20"/>
          <w:color w:val="auto"/>
        </w:rPr>
        <w:tab/>
      </w:r>
      <w:r>
        <w:rPr>
          <w:rFonts w:ascii="Courier New" w:cs="Courier New" w:eastAsia="Courier New" w:hAnsi="Courier New"/>
          <w:sz w:val="11"/>
          <w:szCs w:val="11"/>
          <w:color w:val="auto"/>
        </w:rPr>
        <w:t>1,230</w:t>
      </w:r>
    </w:p>
    <w:p>
      <w:pPr>
        <w:ind w:left="340"/>
        <w:spacing w:after="0"/>
        <w:rPr>
          <w:sz w:val="20"/>
          <w:szCs w:val="20"/>
          <w:color w:val="auto"/>
        </w:rPr>
      </w:pPr>
      <w:r>
        <w:rPr>
          <w:rFonts w:ascii="Courier New" w:cs="Courier New" w:eastAsia="Courier New" w:hAnsi="Courier New"/>
          <w:sz w:val="12"/>
          <w:szCs w:val="12"/>
          <w:color w:val="auto"/>
        </w:rPr>
        <w:t>DESIGNATED CASH AND SHORT-TERM INTEREST -</w:t>
      </w:r>
    </w:p>
    <w:p>
      <w:pPr>
        <w:ind w:left="420"/>
        <w:spacing w:after="0" w:line="237" w:lineRule="auto"/>
        <w:tabs>
          <w:tab w:leader="none" w:pos="4820" w:val="left"/>
          <w:tab w:leader="none" w:pos="5940" w:val="left"/>
          <w:tab w:leader="none" w:pos="8260" w:val="left"/>
        </w:tabs>
        <w:rPr>
          <w:sz w:val="20"/>
          <w:szCs w:val="20"/>
          <w:color w:val="auto"/>
        </w:rPr>
      </w:pPr>
      <w:r>
        <w:rPr>
          <w:rFonts w:ascii="Courier New" w:cs="Courier New" w:eastAsia="Courier New" w:hAnsi="Courier New"/>
          <w:sz w:val="12"/>
          <w:szCs w:val="12"/>
          <w:color w:val="auto"/>
        </w:rPr>
        <w:t>BEARING DEPOSITS</w:t>
      </w:r>
      <w:r>
        <w:rPr>
          <w:sz w:val="20"/>
          <w:szCs w:val="20"/>
          <w:color w:val="auto"/>
        </w:rPr>
        <w:tab/>
      </w:r>
      <w:r>
        <w:rPr>
          <w:rFonts w:ascii="Courier New" w:cs="Courier New" w:eastAsia="Courier New" w:hAnsi="Courier New"/>
          <w:sz w:val="12"/>
          <w:szCs w:val="12"/>
          <w:color w:val="auto"/>
        </w:rPr>
        <w:t>B</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ind w:left="340"/>
        <w:spacing w:after="0"/>
        <w:rPr>
          <w:sz w:val="20"/>
          <w:szCs w:val="20"/>
          <w:color w:val="auto"/>
        </w:rPr>
      </w:pPr>
      <w:r>
        <w:rPr>
          <w:rFonts w:ascii="Courier New" w:cs="Courier New" w:eastAsia="Courier New" w:hAnsi="Courier New"/>
          <w:sz w:val="12"/>
          <w:szCs w:val="12"/>
          <w:color w:val="auto"/>
        </w:rPr>
        <w:t>TRADE ACCOUNTS RECEIVABLE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AS OF DECEMBER 31, 2005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140"/>
        <w:spacing w:after="0"/>
        <w:tabs>
          <w:tab w:leader="none" w:pos="2440" w:val="left"/>
        </w:tabs>
        <w:rPr>
          <w:sz w:val="20"/>
          <w:szCs w:val="20"/>
          <w:color w:val="auto"/>
        </w:rPr>
      </w:pPr>
      <w:r>
        <w:rPr>
          <w:rFonts w:ascii="Courier New" w:cs="Courier New" w:eastAsia="Courier New" w:hAnsi="Courier New"/>
          <w:sz w:val="12"/>
          <w:szCs w:val="12"/>
          <w:color w:val="auto"/>
        </w:rPr>
        <w:t>AS PER</w:t>
      </w:r>
      <w:r>
        <w:rPr>
          <w:sz w:val="20"/>
          <w:szCs w:val="20"/>
          <w:color w:val="auto"/>
        </w:rPr>
        <w:tab/>
      </w:r>
      <w:r>
        <w:rPr>
          <w:rFonts w:ascii="Courier New" w:cs="Courier New" w:eastAsia="Courier New" w:hAnsi="Courier New"/>
          <w:sz w:val="11"/>
          <w:szCs w:val="11"/>
          <w:color w:val="auto"/>
        </w:rPr>
        <w:t>AS</w:t>
      </w:r>
    </w:p>
    <w:p>
      <w:pPr>
        <w:ind w:left="60"/>
        <w:spacing w:after="0"/>
        <w:tabs>
          <w:tab w:leader="none" w:pos="1240" w:val="left"/>
          <w:tab w:leader="none" w:pos="2500" w:val="left"/>
        </w:tabs>
        <w:rPr>
          <w:sz w:val="20"/>
          <w:szCs w:val="20"/>
          <w:color w:val="auto"/>
        </w:rPr>
      </w:pPr>
      <w:r>
        <w:rPr>
          <w:rFonts w:ascii="Courier New" w:cs="Courier New" w:eastAsia="Courier New" w:hAnsi="Courier New"/>
          <w:sz w:val="12"/>
          <w:szCs w:val="12"/>
          <w:color w:val="auto"/>
        </w:rPr>
        <w:t>ISRAELI</w:t>
      </w:r>
      <w:r>
        <w:rPr>
          <w:sz w:val="20"/>
          <w:szCs w:val="20"/>
          <w:color w:val="auto"/>
        </w:rPr>
        <w:tab/>
      </w:r>
      <w:r>
        <w:rPr>
          <w:rFonts w:ascii="Courier New" w:cs="Courier New" w:eastAsia="Courier New" w:hAnsi="Courier New"/>
          <w:sz w:val="12"/>
          <w:szCs w:val="12"/>
          <w:color w:val="auto"/>
        </w:rPr>
        <w:t>ADJUST-</w:t>
      </w:r>
      <w:r>
        <w:rPr>
          <w:sz w:val="20"/>
          <w:szCs w:val="20"/>
          <w:color w:val="auto"/>
        </w:rPr>
        <w:tab/>
      </w:r>
      <w:r>
        <w:rPr>
          <w:rFonts w:ascii="Courier New" w:cs="Courier New" w:eastAsia="Courier New" w:hAnsi="Courier New"/>
          <w:sz w:val="12"/>
          <w:szCs w:val="12"/>
          <w:color w:val="auto"/>
        </w:rPr>
        <w:t>U</w:t>
      </w:r>
    </w:p>
    <w:p>
      <w:pPr>
        <w:ind w:left="140"/>
        <w:spacing w:after="0" w:line="237" w:lineRule="auto"/>
        <w:tabs>
          <w:tab w:leader="none" w:pos="1300" w:val="left"/>
          <w:tab w:leader="none" w:pos="2500" w:val="left"/>
        </w:tabs>
        <w:rPr>
          <w:sz w:val="20"/>
          <w:szCs w:val="20"/>
          <w:color w:val="auto"/>
        </w:rPr>
      </w:pPr>
      <w:r>
        <w:rPr>
          <w:rFonts w:ascii="Courier New" w:cs="Courier New" w:eastAsia="Courier New" w:hAnsi="Courier New"/>
          <w:sz w:val="12"/>
          <w:szCs w:val="12"/>
          <w:color w:val="auto"/>
        </w:rPr>
        <w:t>GAAP</w:t>
      </w:r>
      <w:r>
        <w:rPr>
          <w:sz w:val="20"/>
          <w:szCs w:val="20"/>
          <w:color w:val="auto"/>
        </w:rPr>
        <w:tab/>
      </w:r>
      <w:r>
        <w:rPr>
          <w:rFonts w:ascii="Courier New" w:cs="Courier New" w:eastAsia="Courier New" w:hAnsi="Courier New"/>
          <w:sz w:val="12"/>
          <w:szCs w:val="12"/>
          <w:color w:val="auto"/>
        </w:rPr>
        <w:t>MENTS</w:t>
      </w:r>
      <w:r>
        <w:rPr>
          <w:sz w:val="20"/>
          <w:szCs w:val="20"/>
          <w:color w:val="auto"/>
        </w:rPr>
        <w:tab/>
      </w:r>
      <w:r>
        <w:rPr>
          <w:rFonts w:ascii="Courier New" w:cs="Courier New" w:eastAsia="Courier New" w:hAnsi="Courier New"/>
          <w:sz w:val="12"/>
          <w:szCs w:val="12"/>
          <w:color w:val="auto"/>
        </w:rPr>
        <w:t>G</w:t>
      </w:r>
    </w:p>
    <w:p>
      <w:pPr>
        <w:spacing w:after="0"/>
        <w:tabs>
          <w:tab w:leader="none" w:pos="1160" w:val="left"/>
          <w:tab w:leader="none" w:pos="23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39" w:lineRule="exact"/>
        <w:rPr>
          <w:sz w:val="20"/>
          <w:szCs w:val="20"/>
          <w:color w:val="auto"/>
        </w:rPr>
      </w:pPr>
    </w:p>
    <w:p>
      <w:pPr>
        <w:spacing w:after="0"/>
        <w:tabs>
          <w:tab w:leader="none" w:pos="260" w:val="left"/>
          <w:tab w:leader="none" w:pos="23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7,337</w:t>
      </w:r>
      <w:r>
        <w:rPr>
          <w:sz w:val="20"/>
          <w:szCs w:val="20"/>
          <w:color w:val="auto"/>
        </w:rPr>
        <w:tab/>
      </w:r>
      <w:r>
        <w:rPr>
          <w:rFonts w:ascii="Courier New" w:cs="Courier New" w:eastAsia="Courier New" w:hAnsi="Courier New"/>
          <w:sz w:val="12"/>
          <w:szCs w:val="12"/>
          <w:color w:val="auto"/>
        </w:rPr>
        <w:t>$</w:t>
      </w:r>
    </w:p>
    <w:p>
      <w:pPr>
        <w:ind w:left="560"/>
        <w:spacing w:after="0"/>
        <w:rPr>
          <w:sz w:val="20"/>
          <w:szCs w:val="20"/>
          <w:color w:val="auto"/>
        </w:rPr>
      </w:pPr>
      <w:r>
        <w:rPr>
          <w:rFonts w:ascii="Courier New" w:cs="Courier New" w:eastAsia="Courier New" w:hAnsi="Courier New"/>
          <w:sz w:val="12"/>
          <w:szCs w:val="12"/>
          <w:color w:val="auto"/>
        </w:rPr>
        <w:t>-</w:t>
      </w:r>
    </w:p>
    <w:p>
      <w:pPr>
        <w:spacing w:after="0" w:line="133" w:lineRule="exact"/>
        <w:rPr>
          <w:sz w:val="20"/>
          <w:szCs w:val="20"/>
          <w:color w:val="auto"/>
        </w:rPr>
      </w:pPr>
    </w:p>
    <w:p>
      <w:pPr>
        <w:ind w:left="200"/>
        <w:spacing w:after="0"/>
        <w:tabs>
          <w:tab w:leader="none" w:pos="1300" w:val="left"/>
        </w:tabs>
        <w:rPr>
          <w:sz w:val="20"/>
          <w:szCs w:val="20"/>
          <w:color w:val="auto"/>
        </w:rPr>
      </w:pPr>
      <w:r>
        <w:rPr>
          <w:rFonts w:ascii="Courier New" w:cs="Courier New" w:eastAsia="Courier New" w:hAnsi="Courier New"/>
          <w:sz w:val="12"/>
          <w:szCs w:val="12"/>
          <w:color w:val="auto"/>
        </w:rPr>
        <w:t>31,661</w:t>
      </w:r>
      <w:r>
        <w:rPr>
          <w:sz w:val="20"/>
          <w:szCs w:val="20"/>
          <w:color w:val="auto"/>
        </w:rPr>
        <w:tab/>
      </w:r>
      <w:r>
        <w:rPr>
          <w:rFonts w:ascii="Courier New" w:cs="Courier New" w:eastAsia="Courier New" w:hAnsi="Courier New"/>
          <w:sz w:val="12"/>
          <w:szCs w:val="12"/>
          <w:color w:val="auto"/>
        </w:rPr>
        <w:t>(31,661)</w:t>
      </w:r>
    </w:p>
    <w:p>
      <w:pPr>
        <w:sectPr>
          <w:pgSz w:w="11900" w:h="16838" w:orient="portrait"/>
          <w:cols w:equalWidth="0" w:num="2">
            <w:col w:w="8360" w:space="560"/>
            <w:col w:w="2600"/>
          </w:cols>
          <w:pgMar w:left="220" w:top="272" w:right="159" w:bottom="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36"/>
        </w:trPr>
        <w:tc>
          <w:tcPr>
            <w:tcW w:w="4000" w:type="dxa"/>
            <w:vAlign w:val="bottom"/>
          </w:tcPr>
          <w:p>
            <w:pPr>
              <w:ind w:left="420"/>
              <w:spacing w:after="0"/>
              <w:rPr>
                <w:sz w:val="20"/>
                <w:szCs w:val="20"/>
                <w:color w:val="auto"/>
              </w:rPr>
            </w:pPr>
            <w:r>
              <w:rPr>
                <w:rFonts w:ascii="Courier New" w:cs="Courier New" w:eastAsia="Courier New" w:hAnsi="Courier New"/>
                <w:sz w:val="12"/>
                <w:szCs w:val="12"/>
                <w:color w:val="auto"/>
              </w:rPr>
              <w:t>RELATED PARTIES</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13,625</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13,625</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5,309</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420"/>
              <w:spacing w:after="0"/>
              <w:rPr>
                <w:sz w:val="20"/>
                <w:szCs w:val="20"/>
                <w:color w:val="auto"/>
              </w:rPr>
            </w:pPr>
            <w:r>
              <w:rPr>
                <w:rFonts w:ascii="Courier New" w:cs="Courier New" w:eastAsia="Courier New" w:hAnsi="Courier New"/>
                <w:sz w:val="12"/>
                <w:szCs w:val="12"/>
                <w:color w:val="auto"/>
              </w:rPr>
              <w:t>OTHERS</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17,873</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17,873</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11,467</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OTHER RECEIVABLES</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5,425</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5,425</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9,043</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INVENTORIES</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41,101</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41,101</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24,376</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OTHER CURRENT ASSETS</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1,473</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1,473</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1,048</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000" w:type="dxa"/>
            <w:vAlign w:val="bottom"/>
          </w:tcPr>
          <w:p>
            <w:pPr>
              <w:ind w:left="480"/>
              <w:spacing w:after="0"/>
              <w:rPr>
                <w:sz w:val="20"/>
                <w:szCs w:val="20"/>
                <w:color w:val="auto"/>
              </w:rPr>
            </w:pPr>
            <w:r>
              <w:rPr>
                <w:rFonts w:ascii="Courier New" w:cs="Courier New" w:eastAsia="Courier New" w:hAnsi="Courier New"/>
                <w:sz w:val="12"/>
                <w:szCs w:val="12"/>
                <w:color w:val="auto"/>
              </w:rPr>
              <w:t>TOTAL CURRENT ASSETS</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120,437</w:t>
            </w:r>
          </w:p>
        </w:tc>
        <w:tc>
          <w:tcPr>
            <w:tcW w:w="34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120,437</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90,241</w:t>
            </w:r>
          </w:p>
        </w:tc>
        <w:tc>
          <w:tcPr>
            <w:tcW w:w="360" w:type="dxa"/>
            <w:vAlign w:val="bottom"/>
          </w:tcPr>
          <w:p>
            <w:pPr>
              <w:spacing w:after="0"/>
              <w:rPr>
                <w:sz w:val="11"/>
                <w:szCs w:val="11"/>
                <w:color w:val="auto"/>
              </w:rPr>
            </w:pP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(31,661)</w:t>
            </w:r>
          </w:p>
        </w:tc>
        <w:tc>
          <w:tcPr>
            <w:tcW w:w="46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LONG-TERM INVESTMENTS</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C,D</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15,325</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15,325</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15,425</w:t>
            </w:r>
          </w:p>
        </w:tc>
        <w:tc>
          <w:tcPr>
            <w:tcW w:w="46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PROPERTY AND EQUIPMENT, NET</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D,F</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532,954</w:t>
            </w:r>
          </w:p>
        </w:tc>
        <w:tc>
          <w:tcPr>
            <w:tcW w:w="34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(1,745)</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531,209</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510,645</w:t>
            </w:r>
          </w:p>
        </w:tc>
        <w:tc>
          <w:tcPr>
            <w:tcW w:w="360" w:type="dxa"/>
            <w:vAlign w:val="bottom"/>
          </w:tcPr>
          <w:p>
            <w:pPr>
              <w:spacing w:after="0"/>
              <w:rPr>
                <w:sz w:val="11"/>
                <w:szCs w:val="11"/>
                <w:color w:val="auto"/>
              </w:rPr>
            </w:pP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(3,291)</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DESIGNATED CASH AND SHORT-TERM</w:t>
            </w:r>
          </w:p>
        </w:tc>
        <w:tc>
          <w:tcPr>
            <w:tcW w:w="1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4000" w:type="dxa"/>
            <w:vAlign w:val="bottom"/>
          </w:tcPr>
          <w:p>
            <w:pPr>
              <w:ind w:left="420"/>
              <w:spacing w:after="0"/>
              <w:rPr>
                <w:sz w:val="20"/>
                <w:szCs w:val="20"/>
                <w:color w:val="auto"/>
              </w:rPr>
            </w:pPr>
            <w:r>
              <w:rPr>
                <w:rFonts w:ascii="Courier New" w:cs="Courier New" w:eastAsia="Courier New" w:hAnsi="Courier New"/>
                <w:sz w:val="12"/>
                <w:szCs w:val="12"/>
                <w:color w:val="auto"/>
              </w:rPr>
              <w:t>INTEREST-BEARING DEPOSITS</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B</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31,661</w:t>
            </w:r>
          </w:p>
        </w:tc>
        <w:tc>
          <w:tcPr>
            <w:tcW w:w="46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INTANGIBLE ASSETS, NET</w:t>
            </w:r>
          </w:p>
        </w:tc>
        <w:tc>
          <w:tcPr>
            <w:tcW w:w="148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44,981</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44,981</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61,441</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OTHER ASSETS, NET</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F</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1,346</w:t>
            </w:r>
          </w:p>
        </w:tc>
        <w:tc>
          <w:tcPr>
            <w:tcW w:w="340" w:type="dxa"/>
            <w:vAlign w:val="bottom"/>
          </w:tcPr>
          <w:p>
            <w:pPr>
              <w:spacing w:after="0"/>
              <w:rPr>
                <w:sz w:val="23"/>
                <w:szCs w:val="23"/>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834</w:t>
            </w:r>
          </w:p>
        </w:tc>
        <w:tc>
          <w:tcPr>
            <w:tcW w:w="30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2,180</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16,359</w:t>
            </w:r>
          </w:p>
        </w:tc>
        <w:tc>
          <w:tcPr>
            <w:tcW w:w="360" w:type="dxa"/>
            <w:vAlign w:val="bottom"/>
          </w:tcPr>
          <w:p>
            <w:pPr>
              <w:spacing w:after="0"/>
              <w:rPr>
                <w:sz w:val="23"/>
                <w:szCs w:val="23"/>
                <w:color w:val="auto"/>
              </w:rPr>
            </w:pP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(196)</w:t>
            </w:r>
          </w:p>
        </w:tc>
        <w:tc>
          <w:tcPr>
            <w:tcW w:w="460" w:type="dxa"/>
            <w:vAlign w:val="bottom"/>
          </w:tcPr>
          <w:p>
            <w:pPr>
              <w:spacing w:after="0"/>
              <w:rPr>
                <w:sz w:val="23"/>
                <w:szCs w:val="23"/>
                <w:color w:val="auto"/>
              </w:rPr>
            </w:pP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000" w:type="dxa"/>
            <w:vAlign w:val="bottom"/>
          </w:tcPr>
          <w:p>
            <w:pPr>
              <w:ind w:left="560"/>
              <w:spacing w:after="0"/>
              <w:rPr>
                <w:sz w:val="20"/>
                <w:szCs w:val="20"/>
                <w:color w:val="auto"/>
              </w:rPr>
            </w:pPr>
            <w:r>
              <w:rPr>
                <w:rFonts w:ascii="Courier New" w:cs="Courier New" w:eastAsia="Courier New" w:hAnsi="Courier New"/>
                <w:sz w:val="12"/>
                <w:szCs w:val="12"/>
                <w:color w:val="auto"/>
              </w:rPr>
              <w:t>TOTAL ASSETS</w:t>
            </w: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$ 699,718</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14,414</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$ 714,132</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$ 678,686</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11,938</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$ 6</w:t>
            </w: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000" w:type="dxa"/>
            <w:vAlign w:val="bottom"/>
          </w:tcPr>
          <w:p>
            <w:pPr>
              <w:spacing w:after="0"/>
              <w:rPr>
                <w:sz w:val="20"/>
                <w:szCs w:val="20"/>
                <w:color w:val="auto"/>
              </w:rPr>
            </w:pPr>
            <w:r>
              <w:rPr>
                <w:rFonts w:ascii="Courier New" w:cs="Courier New" w:eastAsia="Courier New" w:hAnsi="Courier New"/>
                <w:sz w:val="12"/>
                <w:szCs w:val="12"/>
                <w:color w:val="auto"/>
              </w:rPr>
              <w:t>LIABILITIES AND</w:t>
            </w:r>
          </w:p>
        </w:tc>
        <w:tc>
          <w:tcPr>
            <w:tcW w:w="1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4000" w:type="dxa"/>
            <w:vAlign w:val="bottom"/>
          </w:tcPr>
          <w:p>
            <w:pPr>
              <w:spacing w:after="0"/>
              <w:rPr>
                <w:sz w:val="20"/>
                <w:szCs w:val="20"/>
                <w:color w:val="auto"/>
              </w:rPr>
            </w:pPr>
            <w:r>
              <w:rPr>
                <w:rFonts w:ascii="Courier New" w:cs="Courier New" w:eastAsia="Courier New" w:hAnsi="Courier New"/>
                <w:sz w:val="12"/>
                <w:szCs w:val="12"/>
                <w:color w:val="auto"/>
              </w:rPr>
              <w:t>SHAREHOLDERS' EQUITY</w:t>
            </w:r>
          </w:p>
        </w:tc>
        <w:tc>
          <w:tcPr>
            <w:tcW w:w="1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70"/>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CURRENT LIABILITIES</w:t>
            </w:r>
          </w:p>
        </w:tc>
        <w:tc>
          <w:tcPr>
            <w:tcW w:w="1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CURRENT MATURITIES OF LONG TERM DEBT</w:t>
            </w:r>
          </w:p>
        </w:tc>
        <w:tc>
          <w:tcPr>
            <w:tcW w:w="1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21,103</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F</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6,632</w:t>
            </w:r>
          </w:p>
        </w:tc>
        <w:tc>
          <w:tcPr>
            <w:tcW w:w="34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270</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6,902</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6,453</w:t>
            </w:r>
          </w:p>
        </w:tc>
        <w:tc>
          <w:tcPr>
            <w:tcW w:w="360" w:type="dxa"/>
            <w:vAlign w:val="bottom"/>
          </w:tcPr>
          <w:p>
            <w:pPr>
              <w:spacing w:after="0"/>
              <w:rPr>
                <w:sz w:val="11"/>
                <w:szCs w:val="11"/>
                <w:color w:val="auto"/>
              </w:rPr>
            </w:pP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(640)</w:t>
            </w: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TRADE ACCOUNTS PAYABLE</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55,128</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55,128</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59,741</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OTHER CURRENT LIABILITIES</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22,096</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22,096</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8,972</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000" w:type="dxa"/>
            <w:vAlign w:val="bottom"/>
          </w:tcPr>
          <w:p>
            <w:pPr>
              <w:ind w:left="560"/>
              <w:spacing w:after="0"/>
              <w:rPr>
                <w:sz w:val="20"/>
                <w:szCs w:val="20"/>
                <w:color w:val="auto"/>
              </w:rPr>
            </w:pPr>
            <w:r>
              <w:rPr>
                <w:rFonts w:ascii="Courier New" w:cs="Courier New" w:eastAsia="Courier New" w:hAnsi="Courier New"/>
                <w:sz w:val="12"/>
                <w:szCs w:val="12"/>
                <w:color w:val="auto"/>
              </w:rPr>
              <w:t>TOTAL CURRENT LIABILITIES</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83,856</w:t>
            </w:r>
          </w:p>
        </w:tc>
        <w:tc>
          <w:tcPr>
            <w:tcW w:w="34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270</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84,126</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96,269</w:t>
            </w:r>
          </w:p>
        </w:tc>
        <w:tc>
          <w:tcPr>
            <w:tcW w:w="360" w:type="dxa"/>
            <w:vAlign w:val="bottom"/>
          </w:tcPr>
          <w:p>
            <w:pPr>
              <w:spacing w:after="0"/>
              <w:rPr>
                <w:sz w:val="11"/>
                <w:szCs w:val="11"/>
                <w:color w:val="auto"/>
              </w:rPr>
            </w:pP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(640)</w:t>
            </w:r>
          </w:p>
        </w:tc>
        <w:tc>
          <w:tcPr>
            <w:tcW w:w="460" w:type="dxa"/>
            <w:vAlign w:val="bottom"/>
          </w:tcPr>
          <w:p>
            <w:pPr>
              <w:spacing w:after="0"/>
              <w:rPr>
                <w:sz w:val="11"/>
                <w:szCs w:val="11"/>
                <w:color w:val="auto"/>
              </w:rPr>
            </w:pPr>
          </w:p>
        </w:tc>
      </w:tr>
      <w:tr>
        <w:trPr>
          <w:trHeight w:val="135"/>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LONG-TERM DEBT FROM BANKS</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I</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356,947</w:t>
            </w:r>
          </w:p>
        </w:tc>
        <w:tc>
          <w:tcPr>
            <w:tcW w:w="34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75,483</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432,430</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497,000</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r>
      <w:tr>
        <w:trPr>
          <w:trHeight w:val="270"/>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CONVERTIBLE DEBENTURES</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F</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62,175</w:t>
            </w:r>
          </w:p>
        </w:tc>
        <w:tc>
          <w:tcPr>
            <w:tcW w:w="340" w:type="dxa"/>
            <w:vAlign w:val="bottom"/>
          </w:tcPr>
          <w:p>
            <w:pPr>
              <w:spacing w:after="0"/>
              <w:rPr>
                <w:sz w:val="23"/>
                <w:szCs w:val="23"/>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21,688</w:t>
            </w:r>
          </w:p>
        </w:tc>
        <w:tc>
          <w:tcPr>
            <w:tcW w:w="30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83,863</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19,358</w:t>
            </w:r>
          </w:p>
        </w:tc>
        <w:tc>
          <w:tcPr>
            <w:tcW w:w="360" w:type="dxa"/>
            <w:vAlign w:val="bottom"/>
          </w:tcPr>
          <w:p>
            <w:pPr>
              <w:spacing w:after="0"/>
              <w:rPr>
                <w:sz w:val="23"/>
                <w:szCs w:val="23"/>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23,574</w:t>
            </w:r>
          </w:p>
        </w:tc>
        <w:tc>
          <w:tcPr>
            <w:tcW w:w="460" w:type="dxa"/>
            <w:vAlign w:val="bottom"/>
          </w:tcPr>
          <w:p>
            <w:pPr>
              <w:spacing w:after="0"/>
              <w:rPr>
                <w:sz w:val="23"/>
                <w:szCs w:val="23"/>
                <w:color w:val="auto"/>
              </w:rPr>
            </w:pPr>
          </w:p>
        </w:tc>
      </w:tr>
      <w:tr>
        <w:trPr>
          <w:trHeight w:val="270"/>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LONG-TERM CUSTOMERS' ADVANCES</w:t>
            </w:r>
          </w:p>
        </w:tc>
        <w:tc>
          <w:tcPr>
            <w:tcW w:w="148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46,042</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46,042</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59,621</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OTHER LONG-TERM LIABILITIES</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C,G</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17,708</w:t>
            </w:r>
          </w:p>
        </w:tc>
        <w:tc>
          <w:tcPr>
            <w:tcW w:w="340" w:type="dxa"/>
            <w:vAlign w:val="bottom"/>
          </w:tcPr>
          <w:p>
            <w:pPr>
              <w:spacing w:after="0"/>
              <w:rPr>
                <w:sz w:val="23"/>
                <w:szCs w:val="23"/>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10,447</w:t>
            </w:r>
          </w:p>
        </w:tc>
        <w:tc>
          <w:tcPr>
            <w:tcW w:w="30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28,155</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11,012</w:t>
            </w:r>
          </w:p>
        </w:tc>
        <w:tc>
          <w:tcPr>
            <w:tcW w:w="360" w:type="dxa"/>
            <w:vAlign w:val="bottom"/>
          </w:tcPr>
          <w:p>
            <w:pPr>
              <w:spacing w:after="0"/>
              <w:rPr>
                <w:sz w:val="23"/>
                <w:szCs w:val="23"/>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13,658</w:t>
            </w:r>
          </w:p>
        </w:tc>
        <w:tc>
          <w:tcPr>
            <w:tcW w:w="460" w:type="dxa"/>
            <w:vAlign w:val="bottom"/>
          </w:tcPr>
          <w:p>
            <w:pPr>
              <w:spacing w:after="0"/>
              <w:rPr>
                <w:sz w:val="23"/>
                <w:szCs w:val="23"/>
                <w:color w:val="auto"/>
              </w:rPr>
            </w:pP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000" w:type="dxa"/>
            <w:vAlign w:val="bottom"/>
          </w:tcPr>
          <w:p>
            <w:pPr>
              <w:ind w:left="560"/>
              <w:spacing w:after="0"/>
              <w:rPr>
                <w:sz w:val="20"/>
                <w:szCs w:val="20"/>
                <w:color w:val="auto"/>
              </w:rPr>
            </w:pPr>
            <w:r>
              <w:rPr>
                <w:rFonts w:ascii="Courier New" w:cs="Courier New" w:eastAsia="Courier New" w:hAnsi="Courier New"/>
                <w:sz w:val="12"/>
                <w:szCs w:val="12"/>
                <w:color w:val="auto"/>
              </w:rPr>
              <w:t>TOTAL LIABILITIES</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566,728</w:t>
            </w:r>
          </w:p>
        </w:tc>
        <w:tc>
          <w:tcPr>
            <w:tcW w:w="34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9"/>
              </w:rPr>
              <w:t>107,888</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674,616</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683,260</w:t>
            </w:r>
          </w:p>
        </w:tc>
        <w:tc>
          <w:tcPr>
            <w:tcW w:w="36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36,592</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CONVERTIBLE DEBENTURES</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F</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23"/>
                <w:szCs w:val="23"/>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23"/>
                <w:szCs w:val="23"/>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25,493</w:t>
            </w:r>
          </w:p>
        </w:tc>
        <w:tc>
          <w:tcPr>
            <w:tcW w:w="360" w:type="dxa"/>
            <w:vAlign w:val="bottom"/>
          </w:tcPr>
          <w:p>
            <w:pPr>
              <w:spacing w:after="0"/>
              <w:rPr>
                <w:sz w:val="23"/>
                <w:szCs w:val="23"/>
                <w:color w:val="auto"/>
              </w:rPr>
            </w:pP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(25,493)</w:t>
            </w:r>
          </w:p>
        </w:tc>
        <w:tc>
          <w:tcPr>
            <w:tcW w:w="460" w:type="dxa"/>
            <w:vAlign w:val="bottom"/>
          </w:tcPr>
          <w:p>
            <w:pPr>
              <w:spacing w:after="0"/>
              <w:rPr>
                <w:sz w:val="23"/>
                <w:szCs w:val="23"/>
                <w:color w:val="auto"/>
              </w:rPr>
            </w:pP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000" w:type="dxa"/>
            <w:vAlign w:val="bottom"/>
          </w:tcPr>
          <w:p>
            <w:pPr>
              <w:ind w:left="200"/>
              <w:spacing w:after="0"/>
              <w:rPr>
                <w:sz w:val="20"/>
                <w:szCs w:val="20"/>
                <w:color w:val="auto"/>
              </w:rPr>
            </w:pPr>
            <w:r>
              <w:rPr>
                <w:rFonts w:ascii="Courier New" w:cs="Courier New" w:eastAsia="Courier New" w:hAnsi="Courier New"/>
                <w:sz w:val="12"/>
                <w:szCs w:val="12"/>
                <w:color w:val="auto"/>
              </w:rPr>
              <w:t>SHAREHOLDERS' EQUITY (DEFICIT)</w:t>
            </w:r>
          </w:p>
        </w:tc>
        <w:tc>
          <w:tcPr>
            <w:tcW w:w="1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ORDINARY SHARES, NIS 1 PAR VALUE -</w:t>
            </w:r>
          </w:p>
        </w:tc>
        <w:tc>
          <w:tcPr>
            <w:tcW w:w="1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AUTHORIZED 800,000,000 AND 500,000,000</w:t>
            </w:r>
          </w:p>
        </w:tc>
        <w:tc>
          <w:tcPr>
            <w:tcW w:w="1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SHARES RESPECTIVELY; ISSUED 102,052,767</w:t>
            </w:r>
          </w:p>
        </w:tc>
        <w:tc>
          <w:tcPr>
            <w:tcW w:w="1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AND 68,232,056 SHARES, RESPECTIVELY</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24,187</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24,187</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16,548</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ADDITIONAL PAID-IN CAPITAL</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F,G</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564,580</w:t>
            </w:r>
          </w:p>
        </w:tc>
        <w:tc>
          <w:tcPr>
            <w:tcW w:w="34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6,404</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570,984</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522,237</w:t>
            </w:r>
          </w:p>
        </w:tc>
        <w:tc>
          <w:tcPr>
            <w:tcW w:w="36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2,363</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CAPITAL NOTES</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176,401</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176,401</w:t>
            </w: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420"/>
              <w:spacing w:after="0"/>
              <w:rPr>
                <w:sz w:val="20"/>
                <w:szCs w:val="20"/>
                <w:color w:val="auto"/>
              </w:rPr>
            </w:pPr>
            <w:r>
              <w:rPr>
                <w:rFonts w:ascii="Courier New" w:cs="Courier New" w:eastAsia="Courier New" w:hAnsi="Courier New"/>
                <w:sz w:val="12"/>
                <w:szCs w:val="12"/>
                <w:color w:val="auto"/>
              </w:rPr>
              <w:t>AND CUMULATIVE STOCK BASED COMPENSATION</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F,H</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23,576</w:t>
            </w:r>
          </w:p>
        </w:tc>
        <w:tc>
          <w:tcPr>
            <w:tcW w:w="34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(18,706)</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4,870</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(26)</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ACCUMULATED OTHER COMPREHENSIVE LOSS</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D</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(203)</w:t>
            </w:r>
          </w:p>
        </w:tc>
        <w:tc>
          <w:tcPr>
            <w:tcW w:w="300" w:type="dxa"/>
            <w:vAlign w:val="bottom"/>
          </w:tcPr>
          <w:p>
            <w:pPr>
              <w:spacing w:after="0"/>
              <w:rPr>
                <w:sz w:val="11"/>
                <w:szCs w:val="11"/>
                <w:color w:val="auto"/>
              </w:rPr>
            </w:pPr>
          </w:p>
        </w:tc>
        <w:tc>
          <w:tcPr>
            <w:tcW w:w="8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(203)</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(1,554)</w:t>
            </w:r>
          </w:p>
        </w:tc>
        <w:tc>
          <w:tcPr>
            <w:tcW w:w="460" w:type="dxa"/>
            <w:vAlign w:val="bottom"/>
          </w:tcPr>
          <w:p>
            <w:pPr>
              <w:spacing w:after="0"/>
              <w:rPr>
                <w:sz w:val="11"/>
                <w:szCs w:val="11"/>
                <w:color w:val="auto"/>
              </w:rPr>
            </w:pP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ACCUMULATED DEFICIT</w:t>
            </w:r>
          </w:p>
        </w:tc>
        <w:tc>
          <w:tcPr>
            <w:tcW w:w="14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F,H,I</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2"/>
              </w:rPr>
              <w:t>(646,682)</w:t>
            </w:r>
          </w:p>
        </w:tc>
        <w:tc>
          <w:tcPr>
            <w:tcW w:w="34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(80,969)</w:t>
            </w:r>
          </w:p>
        </w:tc>
        <w:tc>
          <w:tcPr>
            <w:tcW w:w="300" w:type="dxa"/>
            <w:vAlign w:val="bottom"/>
          </w:tcPr>
          <w:p>
            <w:pPr>
              <w:spacing w:after="0"/>
              <w:rPr>
                <w:sz w:val="11"/>
                <w:szCs w:val="11"/>
                <w:color w:val="auto"/>
              </w:rPr>
            </w:pPr>
          </w:p>
        </w:tc>
        <w:tc>
          <w:tcPr>
            <w:tcW w:w="8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2"/>
              </w:rPr>
              <w:t>(727,651)</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(559,754)</w:t>
            </w:r>
          </w:p>
        </w:tc>
        <w:tc>
          <w:tcPr>
            <w:tcW w:w="36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142,062</w:t>
            </w:r>
          </w:p>
        </w:tc>
        <w:tc>
          <w:tcPr>
            <w:tcW w:w="34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(93,474)</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48,588</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(20,995)</w:t>
            </w:r>
          </w:p>
        </w:tc>
        <w:tc>
          <w:tcPr>
            <w:tcW w:w="36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839</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000" w:type="dxa"/>
            <w:vAlign w:val="bottom"/>
          </w:tcPr>
          <w:p>
            <w:pPr>
              <w:ind w:left="340"/>
              <w:spacing w:after="0"/>
              <w:rPr>
                <w:sz w:val="20"/>
                <w:szCs w:val="20"/>
                <w:color w:val="auto"/>
              </w:rPr>
            </w:pPr>
            <w:r>
              <w:rPr>
                <w:rFonts w:ascii="Courier New" w:cs="Courier New" w:eastAsia="Courier New" w:hAnsi="Courier New"/>
                <w:sz w:val="12"/>
                <w:szCs w:val="12"/>
                <w:color w:val="auto"/>
              </w:rPr>
              <w:t>TREASURY STOCK, AT COST - 1,300,000 SHARES</w:t>
            </w:r>
          </w:p>
        </w:tc>
        <w:tc>
          <w:tcPr>
            <w:tcW w:w="1480" w:type="dxa"/>
            <w:vAlign w:val="bottom"/>
          </w:tcPr>
          <w:p>
            <w:pPr>
              <w:spacing w:after="0"/>
              <w:rPr>
                <w:sz w:val="11"/>
                <w:szCs w:val="11"/>
                <w:color w:val="auto"/>
              </w:rPr>
            </w:pP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(9,072)</w:t>
            </w:r>
          </w:p>
        </w:tc>
        <w:tc>
          <w:tcPr>
            <w:tcW w:w="34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spacing w:after="0"/>
              <w:rPr>
                <w:sz w:val="11"/>
                <w:szCs w:val="11"/>
                <w:color w:val="auto"/>
              </w:rPr>
            </w:pPr>
          </w:p>
        </w:tc>
        <w:tc>
          <w:tcPr>
            <w:tcW w:w="8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(9,072)</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(9,072)</w:t>
            </w:r>
          </w:p>
        </w:tc>
        <w:tc>
          <w:tcPr>
            <w:tcW w:w="36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000" w:type="dxa"/>
            <w:vAlign w:val="bottom"/>
          </w:tcPr>
          <w:p>
            <w:pPr>
              <w:ind w:left="560"/>
              <w:spacing w:after="0"/>
              <w:rPr>
                <w:sz w:val="20"/>
                <w:szCs w:val="20"/>
                <w:color w:val="auto"/>
              </w:rPr>
            </w:pPr>
            <w:r>
              <w:rPr>
                <w:rFonts w:ascii="Courier New" w:cs="Courier New" w:eastAsia="Courier New" w:hAnsi="Courier New"/>
                <w:sz w:val="12"/>
                <w:szCs w:val="12"/>
                <w:color w:val="auto"/>
              </w:rPr>
              <w:t>TOTAL SHAREHOLDERS' EQUITY (DEFICIT)</w:t>
            </w:r>
          </w:p>
        </w:tc>
        <w:tc>
          <w:tcPr>
            <w:tcW w:w="14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132,990</w:t>
            </w:r>
          </w:p>
        </w:tc>
        <w:tc>
          <w:tcPr>
            <w:tcW w:w="34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(93,474)</w:t>
            </w:r>
          </w:p>
        </w:tc>
        <w:tc>
          <w:tcPr>
            <w:tcW w:w="300" w:type="dxa"/>
            <w:vAlign w:val="bottom"/>
          </w:tcPr>
          <w:p>
            <w:pPr>
              <w:spacing w:after="0"/>
              <w:rPr>
                <w:sz w:val="11"/>
                <w:szCs w:val="11"/>
                <w:color w:val="auto"/>
              </w:rPr>
            </w:pPr>
          </w:p>
        </w:tc>
        <w:tc>
          <w:tcPr>
            <w:tcW w:w="8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39,516</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(30,067)</w:t>
            </w:r>
          </w:p>
        </w:tc>
        <w:tc>
          <w:tcPr>
            <w:tcW w:w="36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839</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000" w:type="dxa"/>
            <w:vAlign w:val="bottom"/>
          </w:tcPr>
          <w:p>
            <w:pPr>
              <w:ind w:left="560"/>
              <w:spacing w:after="0"/>
              <w:rPr>
                <w:sz w:val="20"/>
                <w:szCs w:val="20"/>
                <w:color w:val="auto"/>
              </w:rPr>
            </w:pPr>
            <w:r>
              <w:rPr>
                <w:rFonts w:ascii="Courier New" w:cs="Courier New" w:eastAsia="Courier New" w:hAnsi="Courier New"/>
                <w:sz w:val="12"/>
                <w:szCs w:val="12"/>
                <w:color w:val="auto"/>
              </w:rPr>
              <w:t>TOTAL LIABILITIES AND</w:t>
            </w:r>
          </w:p>
        </w:tc>
        <w:tc>
          <w:tcPr>
            <w:tcW w:w="1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4000" w:type="dxa"/>
            <w:vAlign w:val="bottom"/>
          </w:tcPr>
          <w:p>
            <w:pPr>
              <w:ind w:left="840"/>
              <w:spacing w:after="0"/>
              <w:rPr>
                <w:sz w:val="20"/>
                <w:szCs w:val="20"/>
                <w:color w:val="auto"/>
              </w:rPr>
            </w:pPr>
            <w:r>
              <w:rPr>
                <w:rFonts w:ascii="Courier New" w:cs="Courier New" w:eastAsia="Courier New" w:hAnsi="Courier New"/>
                <w:sz w:val="12"/>
                <w:szCs w:val="12"/>
                <w:color w:val="auto"/>
              </w:rPr>
              <w:t>SHAREHOLDERS' EQUITY</w:t>
            </w: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$ 699,718</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14,414</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$ 714,132</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$ 678,686</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11,938</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$ 6</w:t>
            </w:r>
          </w:p>
        </w:tc>
      </w:tr>
      <w:tr>
        <w:trPr>
          <w:trHeight w:val="135"/>
        </w:trPr>
        <w:tc>
          <w:tcPr>
            <w:tcW w:w="4000" w:type="dxa"/>
            <w:vAlign w:val="bottom"/>
          </w:tcPr>
          <w:p>
            <w:pPr>
              <w:spacing w:after="0"/>
              <w:rPr>
                <w:sz w:val="11"/>
                <w:szCs w:val="11"/>
                <w:color w:val="auto"/>
              </w:rPr>
            </w:pPr>
          </w:p>
        </w:tc>
        <w:tc>
          <w:tcPr>
            <w:tcW w:w="23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4000" w:type="dxa"/>
            <w:vAlign w:val="bottom"/>
          </w:tcPr>
          <w:p>
            <w:pPr>
              <w:ind w:left="2600"/>
              <w:spacing w:after="0"/>
              <w:rPr>
                <w:sz w:val="20"/>
                <w:szCs w:val="20"/>
                <w:color w:val="auto"/>
              </w:rPr>
            </w:pPr>
            <w:r>
              <w:rPr>
                <w:rFonts w:ascii="Courier New" w:cs="Courier New" w:eastAsia="Courier New" w:hAnsi="Courier New"/>
                <w:sz w:val="12"/>
                <w:szCs w:val="12"/>
                <w:color w:val="auto"/>
              </w:rPr>
              <w:t>F - 71</w:t>
            </w: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OPERATIONS IN ACCORDANCE WITH U.S. GAAP</w:t>
      </w:r>
    </w:p>
    <w:p>
      <w:pPr>
        <w:spacing w:after="0" w:line="138" w:lineRule="exact"/>
        <w:rPr>
          <w:rFonts w:ascii="Courier New" w:cs="Courier New" w:eastAsia="Courier New" w:hAnsi="Courier New"/>
          <w:sz w:val="12"/>
          <w:szCs w:val="12"/>
          <w:color w:val="auto"/>
        </w:rPr>
      </w:pPr>
    </w:p>
    <w:p>
      <w:pPr>
        <w:ind w:left="700" w:right="6040"/>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FASB No. 15 (I above), SFAS 133 (D above), APB 14 (F above) and SFAS 123R (H above) would have resulted in an increase in the loss for the year ended December 31, 2006 in the amount of $80,999, mainly due to the difference in accounting for the debt modification under Israeli GAAP. Giving effect to all the above, the loss for the year ended December 31, 2006 would be $167,927. No material effect on the result of operation for the years ended December 31, 2005 and 2004.</w:t>
      </w:r>
    </w:p>
    <w:p>
      <w:pPr>
        <w:spacing w:after="0" w:line="13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IN ACCORDANCE WITH U.S. GAAP (SFAS 130)</w:t>
      </w:r>
    </w:p>
    <w:p>
      <w:pPr>
        <w:spacing w:after="0" w:line="138" w:lineRule="exact"/>
        <w:rPr>
          <w:rFonts w:ascii="Courier New" w:cs="Courier New" w:eastAsia="Courier New" w:hAnsi="Courier New"/>
          <w:sz w:val="12"/>
          <w:szCs w:val="12"/>
          <w:color w:val="auto"/>
        </w:rPr>
      </w:pPr>
    </w:p>
    <w:p>
      <w:pPr>
        <w:ind w:left="700" w:right="5900"/>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2"/>
                <w:szCs w:val="12"/>
                <w:color w:val="auto"/>
                <w:w w:val="96"/>
              </w:rPr>
              <w:t>Year ended December 31,</w:t>
            </w:r>
          </w:p>
        </w:tc>
        <w:tc>
          <w:tcPr>
            <w:tcW w:w="74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3340" w:type="dxa"/>
            <w:vAlign w:val="bottom"/>
            <w:gridSpan w:val="3"/>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2006</w:t>
            </w:r>
          </w:p>
        </w:tc>
        <w:tc>
          <w:tcPr>
            <w:tcW w:w="1640" w:type="dxa"/>
            <w:vAlign w:val="bottom"/>
          </w:tcPr>
          <w:p>
            <w:pPr>
              <w:jc w:val="right"/>
              <w:ind w:right="601"/>
              <w:spacing w:after="0"/>
              <w:rPr>
                <w:sz w:val="20"/>
                <w:szCs w:val="20"/>
                <w:color w:val="auto"/>
              </w:rPr>
            </w:pPr>
            <w:r>
              <w:rPr>
                <w:rFonts w:ascii="Courier New" w:cs="Courier New" w:eastAsia="Courier New" w:hAnsi="Courier New"/>
                <w:sz w:val="12"/>
                <w:szCs w:val="12"/>
                <w:color w:val="auto"/>
              </w:rPr>
              <w:t>2005</w:t>
            </w:r>
          </w:p>
        </w:tc>
        <w:tc>
          <w:tcPr>
            <w:tcW w:w="7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040" w:type="dxa"/>
            <w:vAlign w:val="bottom"/>
          </w:tcPr>
          <w:p>
            <w:pPr>
              <w:spacing w:after="0"/>
              <w:rPr>
                <w:sz w:val="20"/>
                <w:szCs w:val="20"/>
                <w:color w:val="auto"/>
              </w:rPr>
            </w:pPr>
            <w:r>
              <w:rPr>
                <w:rFonts w:ascii="Courier New" w:cs="Courier New" w:eastAsia="Courier New" w:hAnsi="Courier New"/>
                <w:sz w:val="12"/>
                <w:szCs w:val="12"/>
                <w:color w:val="auto"/>
              </w:rPr>
              <w:t>Loss for the year according to U.S. GAAP</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$(167,927)</w:t>
            </w:r>
          </w:p>
        </w:tc>
        <w:tc>
          <w:tcPr>
            <w:tcW w:w="16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$(203,082)</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$(137,768)</w:t>
            </w:r>
          </w:p>
        </w:tc>
      </w:tr>
      <w:tr>
        <w:trPr>
          <w:trHeight w:val="270"/>
        </w:trPr>
        <w:tc>
          <w:tcPr>
            <w:tcW w:w="304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Amortization of unrealized</w:t>
            </w:r>
          </w:p>
        </w:tc>
        <w:tc>
          <w:tcPr>
            <w:tcW w:w="9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losses on derivatives</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1,328</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1,328</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1,328</w:t>
            </w: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Unrealized gains on derivatives</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23</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4,173</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7,514</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Net comprehensive loss for the year</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$(166,576)</w:t>
            </w:r>
          </w:p>
        </w:tc>
        <w:tc>
          <w:tcPr>
            <w:tcW w:w="16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$(197,581)</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$(128,926)</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1520"/>
          </w:cols>
          <w:pgMar w:left="220" w:top="137" w:right="159" w:bottom="0" w:gutter="0" w:footer="0" w:header="0"/>
        </w:sectPr>
      </w:pPr>
    </w:p>
    <w:bookmarkStart w:id="86" w:name="page87"/>
    <w:bookmarkEnd w:id="86"/>
    <w:p>
      <w:pPr>
        <w:ind w:left="2600"/>
        <w:spacing w:after="0"/>
        <w:rPr>
          <w:sz w:val="20"/>
          <w:szCs w:val="20"/>
          <w:color w:val="auto"/>
        </w:rPr>
      </w:pPr>
      <w:r>
        <w:rPr>
          <w:rFonts w:ascii="Courier New" w:cs="Courier New" w:eastAsia="Courier New" w:hAnsi="Courier New"/>
          <w:sz w:val="12"/>
          <w:szCs w:val="12"/>
          <w:color w:val="auto"/>
        </w:rPr>
        <w:t>F - 72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DATA IN ACCORDANCE WITH U.S. GAAP (SFAS 128)</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accordance with U.S. GAAP, SFAS 128, the basic and diluted loss per</w:t>
      </w:r>
    </w:p>
    <w:p>
      <w:pPr>
        <w:ind w:left="700"/>
        <w:spacing w:after="0"/>
        <w:rPr>
          <w:sz w:val="20"/>
          <w:szCs w:val="20"/>
          <w:color w:val="auto"/>
        </w:rPr>
      </w:pPr>
      <w:r>
        <w:rPr>
          <w:rFonts w:ascii="Courier New" w:cs="Courier New" w:eastAsia="Courier New" w:hAnsi="Courier New"/>
          <w:sz w:val="12"/>
          <w:szCs w:val="12"/>
          <w:color w:val="auto"/>
        </w:rPr>
        <w:t>share would be: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6"/>
              </w:rPr>
              <w:t>Year ended December 31,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3120" w:type="dxa"/>
            <w:vAlign w:val="bottom"/>
            <w:gridSpan w:val="6"/>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1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0"/>
              </w:rPr>
              <w:t>2006</w:t>
            </w:r>
          </w:p>
        </w:tc>
        <w:tc>
          <w:tcPr>
            <w:tcW w:w="600" w:type="dxa"/>
            <w:vAlign w:val="bottom"/>
          </w:tcPr>
          <w:p>
            <w:pPr>
              <w:spacing w:after="0"/>
              <w:rPr>
                <w:sz w:val="11"/>
                <w:szCs w:val="11"/>
                <w:color w:val="auto"/>
              </w:rPr>
            </w:pPr>
          </w:p>
        </w:tc>
        <w:tc>
          <w:tcPr>
            <w:tcW w:w="102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2005</w:t>
            </w:r>
          </w:p>
        </w:tc>
        <w:tc>
          <w:tcPr>
            <w:tcW w:w="100" w:type="dxa"/>
            <w:vAlign w:val="bottom"/>
          </w:tcPr>
          <w:p>
            <w:pPr>
              <w:spacing w:after="0"/>
              <w:rPr>
                <w:sz w:val="11"/>
                <w:szCs w:val="11"/>
                <w:color w:val="auto"/>
              </w:rPr>
            </w:pP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1780" w:type="dxa"/>
            <w:vAlign w:val="bottom"/>
          </w:tcPr>
          <w:p>
            <w:pPr>
              <w:spacing w:after="0"/>
              <w:rPr>
                <w:sz w:val="11"/>
                <w:szCs w:val="11"/>
                <w:color w:val="auto"/>
              </w:rPr>
            </w:pP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3"/>
              </w:rPr>
              <w:t>--------</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(2.03)</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(3.06)</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r>
      <w:tr>
        <w:trPr>
          <w:trHeight w:val="135"/>
        </w:trPr>
        <w:tc>
          <w:tcPr>
            <w:tcW w:w="1780" w:type="dxa"/>
            <w:vAlign w:val="bottom"/>
          </w:tcPr>
          <w:p>
            <w:pPr>
              <w:spacing w:after="0"/>
              <w:rPr>
                <w:sz w:val="11"/>
                <w:szCs w:val="11"/>
                <w:color w:val="auto"/>
              </w:rPr>
            </w:pP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3"/>
              </w:rPr>
              <w:t>========</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Diluted loss per share</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(2.03)</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(3.06)</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r>
      <w:tr>
        <w:trPr>
          <w:trHeight w:val="135"/>
        </w:trPr>
        <w:tc>
          <w:tcPr>
            <w:tcW w:w="1780" w:type="dxa"/>
            <w:vAlign w:val="bottom"/>
          </w:tcPr>
          <w:p>
            <w:pPr>
              <w:spacing w:after="0"/>
              <w:rPr>
                <w:sz w:val="11"/>
                <w:szCs w:val="11"/>
                <w:color w:val="auto"/>
              </w:rPr>
            </w:pP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3"/>
              </w:rPr>
              <w:t>========</w:t>
            </w:r>
          </w:p>
        </w:tc>
      </w:tr>
    </w:tbl>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following tables provide the numerators and denominators of the</w:t>
      </w:r>
    </w:p>
    <w:p>
      <w:pPr>
        <w:ind w:left="700"/>
        <w:spacing w:after="0"/>
        <w:rPr>
          <w:sz w:val="20"/>
          <w:szCs w:val="20"/>
          <w:color w:val="auto"/>
        </w:rPr>
      </w:pPr>
      <w:r>
        <w:rPr>
          <w:rFonts w:ascii="Courier New" w:cs="Courier New" w:eastAsia="Courier New" w:hAnsi="Courier New"/>
          <w:sz w:val="12"/>
          <w:szCs w:val="12"/>
          <w:color w:val="auto"/>
        </w:rPr>
        <w:t>basic and diluted per share computations for 2006, 2005,and 2004 in</w:t>
      </w:r>
    </w:p>
    <w:p>
      <w:pPr>
        <w:ind w:left="700"/>
        <w:spacing w:after="0" w:line="237" w:lineRule="auto"/>
        <w:rPr>
          <w:sz w:val="20"/>
          <w:szCs w:val="20"/>
          <w:color w:val="auto"/>
        </w:rPr>
      </w:pPr>
      <w:r>
        <w:rPr>
          <w:rFonts w:ascii="Courier New" w:cs="Courier New" w:eastAsia="Courier New" w:hAnsi="Courier New"/>
          <w:sz w:val="12"/>
          <w:szCs w:val="12"/>
          <w:color w:val="auto"/>
        </w:rPr>
        <w:t>accordance with U.S. GAAP. The loss per share for 2006, 2005 and 2004</w:t>
      </w:r>
    </w:p>
    <w:p>
      <w:pPr>
        <w:ind w:left="700"/>
        <w:spacing w:after="0"/>
        <w:rPr>
          <w:sz w:val="20"/>
          <w:szCs w:val="20"/>
          <w:color w:val="auto"/>
        </w:rPr>
      </w:pPr>
      <w:r>
        <w:rPr>
          <w:rFonts w:ascii="Courier New" w:cs="Courier New" w:eastAsia="Courier New" w:hAnsi="Courier New"/>
          <w:sz w:val="12"/>
          <w:szCs w:val="12"/>
          <w:color w:val="auto"/>
        </w:rPr>
        <w:t>according to U.S. GAAP differs from the corresponding amount under</w:t>
      </w:r>
    </w:p>
    <w:p>
      <w:pPr>
        <w:ind w:left="700"/>
        <w:spacing w:after="0" w:line="237" w:lineRule="auto"/>
        <w:rPr>
          <w:sz w:val="20"/>
          <w:szCs w:val="20"/>
          <w:color w:val="auto"/>
        </w:rPr>
      </w:pPr>
      <w:r>
        <w:rPr>
          <w:rFonts w:ascii="Courier New" w:cs="Courier New" w:eastAsia="Courier New" w:hAnsi="Courier New"/>
          <w:sz w:val="12"/>
          <w:szCs w:val="12"/>
          <w:color w:val="auto"/>
        </w:rPr>
        <w:t>Israeli GAAP due to different methods for determining the loss used to</w:t>
      </w:r>
    </w:p>
    <w:p>
      <w:pPr>
        <w:ind w:left="700"/>
        <w:spacing w:after="0"/>
        <w:rPr>
          <w:sz w:val="20"/>
          <w:szCs w:val="20"/>
          <w:color w:val="auto"/>
        </w:rPr>
      </w:pPr>
      <w:r>
        <w:rPr>
          <w:rFonts w:ascii="Courier New" w:cs="Courier New" w:eastAsia="Courier New" w:hAnsi="Courier New"/>
          <w:sz w:val="12"/>
          <w:szCs w:val="12"/>
          <w:color w:val="auto"/>
        </w:rPr>
        <w:t>compute loss per share.</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RECONCILIATION FOR 2006:</w:t>
      </w:r>
    </w:p>
    <w:p>
      <w:pPr>
        <w:spacing w:after="0" w:line="134" w:lineRule="exact"/>
        <w:rPr>
          <w:sz w:val="20"/>
          <w:szCs w:val="20"/>
          <w:color w:val="auto"/>
        </w:rPr>
      </w:pPr>
    </w:p>
    <w:p>
      <w:pPr>
        <w:ind w:left="3860"/>
        <w:spacing w:after="0"/>
        <w:rPr>
          <w:sz w:val="20"/>
          <w:szCs w:val="20"/>
          <w:color w:val="auto"/>
        </w:rPr>
      </w:pPr>
      <w:r>
        <w:rPr>
          <w:rFonts w:ascii="Courier New" w:cs="Courier New" w:eastAsia="Courier New" w:hAnsi="Courier New"/>
          <w:sz w:val="12"/>
          <w:szCs w:val="12"/>
          <w:color w:val="auto"/>
        </w:rPr>
        <w:t>Year ended December 31, 2006</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4620"/>
        <w:spacing w:after="0"/>
        <w:rPr>
          <w:sz w:val="20"/>
          <w:szCs w:val="20"/>
          <w:color w:val="auto"/>
        </w:rPr>
      </w:pPr>
      <w:r>
        <w:rPr>
          <w:rFonts w:ascii="Courier New" w:cs="Courier New" w:eastAsia="Courier New" w:hAnsi="Courier New"/>
          <w:sz w:val="12"/>
          <w:szCs w:val="12"/>
          <w:color w:val="auto"/>
        </w:rPr>
        <w:t>Shares</w:t>
      </w:r>
    </w:p>
    <w:p>
      <w:pPr>
        <w:ind w:left="3500"/>
        <w:spacing w:after="0"/>
        <w:tabs>
          <w:tab w:leader="none" w:pos="4400" w:val="left"/>
          <w:tab w:leader="none" w:pos="5660" w:val="left"/>
        </w:tabs>
        <w:rPr>
          <w:sz w:val="20"/>
          <w:szCs w:val="20"/>
          <w:color w:val="auto"/>
        </w:rPr>
      </w:pPr>
      <w:r>
        <w:rPr>
          <w:rFonts w:ascii="Courier New" w:cs="Courier New" w:eastAsia="Courier New" w:hAnsi="Courier New"/>
          <w:sz w:val="12"/>
          <w:szCs w:val="12"/>
          <w:color w:val="auto"/>
        </w:rPr>
        <w:t>Loss</w:t>
      </w:r>
      <w:r>
        <w:rPr>
          <w:sz w:val="20"/>
          <w:szCs w:val="20"/>
          <w:color w:val="auto"/>
        </w:rPr>
        <w:tab/>
      </w:r>
      <w:r>
        <w:rPr>
          <w:rFonts w:ascii="Courier New" w:cs="Courier New" w:eastAsia="Courier New" w:hAnsi="Courier New"/>
          <w:sz w:val="12"/>
          <w:szCs w:val="12"/>
          <w:color w:val="auto"/>
        </w:rPr>
        <w:t>(in thousands)</w:t>
      </w:r>
      <w:r>
        <w:rPr>
          <w:sz w:val="20"/>
          <w:szCs w:val="20"/>
          <w:color w:val="auto"/>
        </w:rPr>
        <w:tab/>
      </w:r>
      <w:r>
        <w:rPr>
          <w:rFonts w:ascii="Courier New" w:cs="Courier New" w:eastAsia="Courier New" w:hAnsi="Courier New"/>
          <w:sz w:val="11"/>
          <w:szCs w:val="11"/>
          <w:color w:val="auto"/>
        </w:rPr>
        <w:t>Per-share</w:t>
      </w:r>
    </w:p>
    <w:p>
      <w:pPr>
        <w:ind w:left="3300"/>
        <w:spacing w:after="0"/>
        <w:tabs>
          <w:tab w:leader="none" w:pos="4400" w:val="left"/>
          <w:tab w:leader="none" w:pos="5800" w:val="left"/>
        </w:tabs>
        <w:rPr>
          <w:sz w:val="20"/>
          <w:szCs w:val="20"/>
          <w:color w:val="auto"/>
        </w:rPr>
      </w:pPr>
      <w:r>
        <w:rPr>
          <w:rFonts w:ascii="Courier New" w:cs="Courier New" w:eastAsia="Courier New" w:hAnsi="Courier New"/>
          <w:sz w:val="12"/>
          <w:szCs w:val="12"/>
          <w:color w:val="auto"/>
        </w:rPr>
        <w:t>(Numerator)</w:t>
      </w:r>
      <w:r>
        <w:rPr>
          <w:sz w:val="20"/>
          <w:szCs w:val="20"/>
          <w:color w:val="auto"/>
        </w:rPr>
        <w:tab/>
      </w:r>
      <w:r>
        <w:rPr>
          <w:rFonts w:ascii="Courier New" w:cs="Courier New" w:eastAsia="Courier New" w:hAnsi="Courier New"/>
          <w:sz w:val="12"/>
          <w:szCs w:val="12"/>
          <w:color w:val="auto"/>
        </w:rPr>
        <w:t>(Denominator)</w:t>
      </w:r>
      <w:r>
        <w:rPr>
          <w:sz w:val="20"/>
          <w:szCs w:val="20"/>
          <w:color w:val="auto"/>
        </w:rPr>
        <w:tab/>
      </w:r>
      <w:r>
        <w:rPr>
          <w:rFonts w:ascii="Courier New" w:cs="Courier New" w:eastAsia="Courier New" w:hAnsi="Courier New"/>
          <w:sz w:val="11"/>
          <w:szCs w:val="11"/>
          <w:color w:val="auto"/>
        </w:rPr>
        <w:t>Amount</w:t>
      </w:r>
    </w:p>
    <w:p>
      <w:pPr>
        <w:ind w:left="3360"/>
        <w:spacing w:after="0"/>
        <w:tabs>
          <w:tab w:leader="none" w:pos="4540" w:val="left"/>
          <w:tab w:leader="none" w:pos="56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BASIC LOSS PER SHARE</w:t>
      </w:r>
    </w:p>
    <w:p>
      <w:pPr>
        <w:sectPr>
          <w:pgSz w:w="11900" w:h="16838" w:orient="portrait"/>
          <w:cols w:equalWidth="0" w:num="1">
            <w:col w:w="10239"/>
          </w:cols>
          <w:pgMar w:left="220" w:top="272"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$(167,927)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82,581</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(2.03)</w:t>
      </w:r>
    </w:p>
    <w:p>
      <w:pPr>
        <w:spacing w:after="0" w:line="145" w:lineRule="exact"/>
        <w:rPr>
          <w:sz w:val="20"/>
          <w:szCs w:val="20"/>
          <w:color w:val="auto"/>
        </w:rPr>
      </w:pPr>
    </w:p>
    <w:p>
      <w:pPr>
        <w:sectPr>
          <w:pgSz w:w="11900" w:h="16838" w:orient="portrait"/>
          <w:cols w:equalWidth="0" w:num="4">
            <w:col w:w="2740" w:space="620"/>
            <w:col w:w="700" w:space="700"/>
            <w:col w:w="440" w:space="480"/>
            <w:col w:w="4559"/>
          </w:cols>
          <w:pgMar w:left="220" w:top="272"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EFFECT OF DILUTIVE SECURITIES</w:t>
      </w:r>
    </w:p>
    <w:p>
      <w:pPr>
        <w:sectPr>
          <w:pgSz w:w="11900" w:h="16838" w:orient="portrait"/>
          <w:cols w:equalWidth="0" w:num="1">
            <w:col w:w="10239"/>
          </w:cols>
          <w:pgMar w:left="220" w:top="272"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Convertible debentures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Options and warrants</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2"/>
          <w:szCs w:val="12"/>
          <w:color w:val="auto"/>
        </w:rPr>
        <w:t>-</w:t>
      </w:r>
    </w:p>
    <w:p>
      <w:pPr>
        <w:ind w:left="56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2"/>
          <w:szCs w:val="12"/>
          <w:color w:val="auto"/>
        </w:rPr>
        <w:t>-</w:t>
      </w:r>
    </w:p>
    <w:p>
      <w:pPr>
        <w:jc w:val="right"/>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jc w:val="right"/>
        <w:ind w:right="3919"/>
        <w:spacing w:after="0"/>
        <w:rPr>
          <w:sz w:val="20"/>
          <w:szCs w:val="20"/>
          <w:color w:val="auto"/>
        </w:rPr>
      </w:pPr>
      <w:r>
        <w:rPr>
          <w:rFonts w:ascii="Courier New" w:cs="Courier New" w:eastAsia="Courier New" w:hAnsi="Courier New"/>
          <w:sz w:val="12"/>
          <w:szCs w:val="12"/>
          <w:color w:val="auto"/>
        </w:rPr>
        <w:t>-</w:t>
      </w:r>
    </w:p>
    <w:p>
      <w:pPr>
        <w:jc w:val="right"/>
        <w:ind w:right="3919"/>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jc w:val="right"/>
        <w:ind w:right="3919"/>
        <w:spacing w:after="0"/>
        <w:rPr>
          <w:sz w:val="20"/>
          <w:szCs w:val="20"/>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sectPr>
          <w:pgSz w:w="11900" w:h="16838" w:orient="portrait"/>
          <w:cols w:equalWidth="0" w:num="4">
            <w:col w:w="2640" w:space="720"/>
            <w:col w:w="640" w:space="560"/>
            <w:col w:w="640" w:space="480"/>
            <w:col w:w="4559"/>
          </w:cols>
          <w:pgMar w:left="220" w:top="272"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DILUTED LOSS 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available to ordinary</w:t>
      </w:r>
    </w:p>
    <w:p>
      <w:pPr>
        <w:sectPr>
          <w:pgSz w:w="11900" w:h="16838" w:orient="portrait"/>
          <w:cols w:equalWidth="0" w:num="1">
            <w:col w:w="10239"/>
          </w:cols>
          <w:pgMar w:left="220" w:top="272" w:right="1440" w:bottom="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1"/>
          <w:szCs w:val="11"/>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$(167,927)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2"/>
          <w:szCs w:val="12"/>
          <w:color w:val="auto"/>
        </w:rPr>
        <w:t>82,581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(2.03)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34" w:lineRule="exact"/>
        <w:rPr>
          <w:sz w:val="20"/>
          <w:szCs w:val="20"/>
          <w:color w:val="auto"/>
        </w:rPr>
      </w:pPr>
    </w:p>
    <w:p>
      <w:pPr>
        <w:sectPr>
          <w:pgSz w:w="11900" w:h="16838" w:orient="portrait"/>
          <w:cols w:equalWidth="0" w:num="4">
            <w:col w:w="2880" w:space="480"/>
            <w:col w:w="700" w:space="500"/>
            <w:col w:w="640" w:space="480"/>
            <w:col w:w="4559"/>
          </w:cols>
          <w:pgMar w:left="220" w:top="272" w:right="1440" w:bottom="0" w:gutter="0" w:footer="0" w:header="0"/>
          <w:type w:val="continuous"/>
        </w:sectPr>
      </w:pPr>
    </w:p>
    <w:p>
      <w:pPr>
        <w:ind w:left="700"/>
        <w:spacing w:after="0"/>
        <w:rPr>
          <w:sz w:val="20"/>
          <w:szCs w:val="20"/>
          <w:color w:val="auto"/>
        </w:rPr>
      </w:pPr>
      <w:r>
        <w:rPr>
          <w:rFonts w:ascii="Courier New" w:cs="Courier New" w:eastAsia="Courier New" w:hAnsi="Courier New"/>
          <w:sz w:val="12"/>
          <w:szCs w:val="12"/>
          <w:color w:val="auto"/>
        </w:rPr>
        <w:t>Options and warrants to purchase 43,842,508 Ordinary Shares at an</w:t>
      </w:r>
    </w:p>
    <w:p>
      <w:pPr>
        <w:ind w:left="700"/>
        <w:spacing w:after="0"/>
        <w:rPr>
          <w:sz w:val="20"/>
          <w:szCs w:val="20"/>
          <w:color w:val="auto"/>
        </w:rPr>
      </w:pPr>
      <w:r>
        <w:rPr>
          <w:rFonts w:ascii="Courier New" w:cs="Courier New" w:eastAsia="Courier New" w:hAnsi="Courier New"/>
          <w:sz w:val="12"/>
          <w:szCs w:val="12"/>
          <w:color w:val="auto"/>
        </w:rPr>
        <w:t>average exercise price of $1.92 per share were outstanding as of</w:t>
      </w:r>
    </w:p>
    <w:p>
      <w:pPr>
        <w:ind w:left="700"/>
        <w:spacing w:after="0" w:line="237" w:lineRule="auto"/>
        <w:rPr>
          <w:sz w:val="20"/>
          <w:szCs w:val="20"/>
          <w:color w:val="auto"/>
        </w:rPr>
      </w:pPr>
      <w:r>
        <w:rPr>
          <w:rFonts w:ascii="Courier New" w:cs="Courier New" w:eastAsia="Courier New" w:hAnsi="Courier New"/>
          <w:sz w:val="12"/>
          <w:szCs w:val="12"/>
          <w:color w:val="auto"/>
        </w:rPr>
        <w:t>December 31, 2006 but were not included in the computation of diluted</w:t>
      </w:r>
    </w:p>
    <w:p>
      <w:pPr>
        <w:ind w:left="700"/>
        <w:spacing w:after="0"/>
        <w:rPr>
          <w:sz w:val="20"/>
          <w:szCs w:val="20"/>
          <w:color w:val="auto"/>
        </w:rPr>
      </w:pPr>
      <w:r>
        <w:rPr>
          <w:rFonts w:ascii="Courier New" w:cs="Courier New" w:eastAsia="Courier New" w:hAnsi="Courier New"/>
          <w:sz w:val="12"/>
          <w:szCs w:val="12"/>
          <w:color w:val="auto"/>
        </w:rPr>
        <w:t>loss per share because their effect was anti-dilutive. Convertible</w:t>
      </w:r>
    </w:p>
    <w:p>
      <w:pPr>
        <w:ind w:left="700"/>
        <w:spacing w:after="0" w:line="237" w:lineRule="auto"/>
        <w:rPr>
          <w:sz w:val="20"/>
          <w:szCs w:val="20"/>
          <w:color w:val="auto"/>
        </w:rPr>
      </w:pPr>
      <w:r>
        <w:rPr>
          <w:rFonts w:ascii="Courier New" w:cs="Courier New" w:eastAsia="Courier New" w:hAnsi="Courier New"/>
          <w:sz w:val="12"/>
          <w:szCs w:val="12"/>
          <w:color w:val="auto"/>
        </w:rPr>
        <w:t>debentures, convertible into 53,314,471 Ordinary Shares, were</w:t>
      </w:r>
    </w:p>
    <w:p>
      <w:pPr>
        <w:ind w:left="700"/>
        <w:spacing w:after="0"/>
        <w:rPr>
          <w:sz w:val="20"/>
          <w:szCs w:val="20"/>
          <w:color w:val="auto"/>
        </w:rPr>
      </w:pPr>
      <w:r>
        <w:rPr>
          <w:rFonts w:ascii="Courier New" w:cs="Courier New" w:eastAsia="Courier New" w:hAnsi="Courier New"/>
          <w:sz w:val="12"/>
          <w:szCs w:val="12"/>
          <w:color w:val="auto"/>
        </w:rPr>
        <w:t>outstanding as of December 31, 2006 but were not included in the</w:t>
      </w:r>
    </w:p>
    <w:p>
      <w:pPr>
        <w:ind w:left="700"/>
        <w:spacing w:after="0" w:line="237" w:lineRule="auto"/>
        <w:rPr>
          <w:sz w:val="20"/>
          <w:szCs w:val="20"/>
          <w:color w:val="auto"/>
        </w:rPr>
      </w:pPr>
      <w:r>
        <w:rPr>
          <w:rFonts w:ascii="Courier New" w:cs="Courier New" w:eastAsia="Courier New" w:hAnsi="Courier New"/>
          <w:sz w:val="12"/>
          <w:szCs w:val="12"/>
          <w:color w:val="auto"/>
        </w:rPr>
        <w:t>computation of diluted loss per share since their effect is</w:t>
      </w:r>
    </w:p>
    <w:p>
      <w:pPr>
        <w:ind w:left="700"/>
        <w:spacing w:after="0"/>
        <w:rPr>
          <w:sz w:val="20"/>
          <w:szCs w:val="20"/>
          <w:color w:val="auto"/>
        </w:rPr>
      </w:pPr>
      <w:r>
        <w:rPr>
          <w:rFonts w:ascii="Courier New" w:cs="Courier New" w:eastAsia="Courier New" w:hAnsi="Courier New"/>
          <w:sz w:val="12"/>
          <w:szCs w:val="12"/>
          <w:color w:val="auto"/>
        </w:rPr>
        <w:t>anti-dilutive. Capital notes, convertible into 117,763,158 Ordinary</w:t>
      </w:r>
    </w:p>
    <w:p>
      <w:pPr>
        <w:ind w:left="700"/>
        <w:spacing w:after="0" w:line="237" w:lineRule="auto"/>
        <w:rPr>
          <w:sz w:val="20"/>
          <w:szCs w:val="20"/>
          <w:color w:val="auto"/>
        </w:rPr>
      </w:pPr>
      <w:r>
        <w:rPr>
          <w:rFonts w:ascii="Courier New" w:cs="Courier New" w:eastAsia="Courier New" w:hAnsi="Courier New"/>
          <w:sz w:val="12"/>
          <w:szCs w:val="12"/>
          <w:color w:val="auto"/>
        </w:rPr>
        <w:t>Shares, were outstanding as of December 31, 2006 but were not included</w:t>
      </w:r>
    </w:p>
    <w:p>
      <w:pPr>
        <w:ind w:left="700"/>
        <w:spacing w:after="0"/>
        <w:rPr>
          <w:sz w:val="20"/>
          <w:szCs w:val="20"/>
          <w:color w:val="auto"/>
        </w:rPr>
      </w:pPr>
      <w:r>
        <w:rPr>
          <w:rFonts w:ascii="Courier New" w:cs="Courier New" w:eastAsia="Courier New" w:hAnsi="Courier New"/>
          <w:sz w:val="12"/>
          <w:szCs w:val="12"/>
          <w:color w:val="auto"/>
        </w:rPr>
        <w:t>in the computation of diluted loss per share since their effect is</w:t>
      </w:r>
    </w:p>
    <w:p>
      <w:pPr>
        <w:ind w:left="700"/>
        <w:spacing w:after="0" w:line="237" w:lineRule="auto"/>
        <w:rPr>
          <w:sz w:val="20"/>
          <w:szCs w:val="20"/>
          <w:color w:val="auto"/>
        </w:rPr>
      </w:pPr>
      <w:r>
        <w:rPr>
          <w:rFonts w:ascii="Courier New" w:cs="Courier New" w:eastAsia="Courier New" w:hAnsi="Courier New"/>
          <w:sz w:val="12"/>
          <w:szCs w:val="12"/>
          <w:color w:val="auto"/>
        </w:rPr>
        <w:t>anti-dilutive.</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9" w:lineRule="exact"/>
        <w:rPr>
          <w:sz w:val="20"/>
          <w:szCs w:val="20"/>
          <w:color w:val="auto"/>
        </w:rPr>
      </w:pPr>
    </w:p>
    <w:p>
      <w:pPr>
        <w:ind w:left="340" w:right="4839" w:firstLine="3"/>
        <w:spacing w:after="0" w:line="469" w:lineRule="auto"/>
        <w:tabs>
          <w:tab w:leader="none" w:pos="691" w:val="left"/>
        </w:tabs>
        <w:numPr>
          <w:ilvl w:val="0"/>
          <w:numId w:val="1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DATA IN ACCORDANCE WITH U.S. GAAP (SFAS 128) (cont.) RECONCILIATION FOR 2005: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00" w:type="dxa"/>
            <w:vAlign w:val="bottom"/>
          </w:tcPr>
          <w:p>
            <w:pPr>
              <w:spacing w:after="0"/>
              <w:rPr>
                <w:sz w:val="11"/>
                <w:szCs w:val="11"/>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Year ended December 31,</w:t>
            </w:r>
          </w:p>
        </w:tc>
        <w:tc>
          <w:tcPr>
            <w:tcW w:w="7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3400" w:type="dxa"/>
            <w:vAlign w:val="bottom"/>
          </w:tcPr>
          <w:p>
            <w:pPr>
              <w:spacing w:after="0"/>
              <w:rPr>
                <w:sz w:val="11"/>
                <w:szCs w:val="11"/>
                <w:color w:val="auto"/>
              </w:rPr>
            </w:pPr>
          </w:p>
        </w:tc>
        <w:tc>
          <w:tcPr>
            <w:tcW w:w="306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Shares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3400" w:type="dxa"/>
            <w:vAlign w:val="bottom"/>
          </w:tcPr>
          <w:p>
            <w:pPr>
              <w:spacing w:after="0"/>
              <w:rPr>
                <w:sz w:val="11"/>
                <w:szCs w:val="11"/>
                <w:color w:val="auto"/>
              </w:rPr>
            </w:pPr>
          </w:p>
        </w:tc>
        <w:tc>
          <w:tcPr>
            <w:tcW w:w="112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Loss</w:t>
            </w:r>
          </w:p>
        </w:tc>
        <w:tc>
          <w:tcPr>
            <w:tcW w:w="12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(in Thousands)</w:t>
            </w:r>
          </w:p>
        </w:tc>
        <w:tc>
          <w:tcPr>
            <w:tcW w:w="7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8"/>
              </w:rPr>
              <w:t>Per-share</w:t>
            </w:r>
          </w:p>
        </w:tc>
      </w:tr>
      <w:tr>
        <w:trPr>
          <w:trHeight w:val="135"/>
        </w:trPr>
        <w:tc>
          <w:tcPr>
            <w:tcW w:w="3400" w:type="dxa"/>
            <w:vAlign w:val="bottom"/>
          </w:tcPr>
          <w:p>
            <w:pPr>
              <w:spacing w:after="0"/>
              <w:rPr>
                <w:sz w:val="11"/>
                <w:szCs w:val="11"/>
                <w:color w:val="auto"/>
              </w:rPr>
            </w:pPr>
          </w:p>
        </w:tc>
        <w:tc>
          <w:tcPr>
            <w:tcW w:w="11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(Numerator)</w:t>
            </w:r>
          </w:p>
        </w:tc>
        <w:tc>
          <w:tcPr>
            <w:tcW w:w="12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(Denominator)</w:t>
            </w:r>
          </w:p>
        </w:tc>
        <w:tc>
          <w:tcPr>
            <w:tcW w:w="14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amount</w:t>
            </w:r>
          </w:p>
        </w:tc>
      </w:tr>
      <w:tr>
        <w:trPr>
          <w:trHeight w:val="135"/>
        </w:trPr>
        <w:tc>
          <w:tcPr>
            <w:tcW w:w="3400" w:type="dxa"/>
            <w:vAlign w:val="bottom"/>
          </w:tcPr>
          <w:p>
            <w:pPr>
              <w:spacing w:after="0"/>
              <w:rPr>
                <w:sz w:val="11"/>
                <w:szCs w:val="11"/>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8"/>
              </w:rPr>
              <w:t>---------</w:t>
            </w:r>
          </w:p>
        </w:tc>
      </w:tr>
      <w:tr>
        <w:trPr>
          <w:trHeight w:val="270"/>
        </w:trPr>
        <w:tc>
          <w:tcPr>
            <w:tcW w:w="340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Loss available to ordinary shareholders</w:t>
            </w:r>
          </w:p>
        </w:tc>
        <w:tc>
          <w:tcPr>
            <w:tcW w:w="11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66,371</w:t>
            </w:r>
          </w:p>
        </w:tc>
        <w:tc>
          <w:tcPr>
            <w:tcW w:w="14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(3.06)</w:t>
            </w:r>
          </w:p>
        </w:tc>
      </w:tr>
      <w:tr>
        <w:trPr>
          <w:trHeight w:val="270"/>
        </w:trPr>
        <w:tc>
          <w:tcPr>
            <w:tcW w:w="3400" w:type="dxa"/>
            <w:vAlign w:val="bottom"/>
          </w:tcPr>
          <w:p>
            <w:pPr>
              <w:spacing w:after="0"/>
              <w:rPr>
                <w:sz w:val="20"/>
                <w:szCs w:val="20"/>
                <w:color w:val="auto"/>
              </w:rPr>
            </w:pPr>
            <w:r>
              <w:rPr>
                <w:rFonts w:ascii="Courier New" w:cs="Courier New" w:eastAsia="Courier New" w:hAnsi="Courier New"/>
                <w:sz w:val="12"/>
                <w:szCs w:val="12"/>
                <w:color w:val="auto"/>
              </w:rPr>
              <w:t>EFFECT OF DILUTIVE SECURITIES</w:t>
            </w: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Convertible debentures</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Options and warrants</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400" w:type="dxa"/>
            <w:vAlign w:val="bottom"/>
          </w:tcPr>
          <w:p>
            <w:pPr>
              <w:spacing w:after="0"/>
              <w:rPr>
                <w:sz w:val="11"/>
                <w:szCs w:val="11"/>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8"/>
              </w:rPr>
              <w:t>---------</w:t>
            </w:r>
          </w:p>
        </w:tc>
      </w:tr>
      <w:tr>
        <w:trPr>
          <w:trHeight w:val="270"/>
        </w:trPr>
        <w:tc>
          <w:tcPr>
            <w:tcW w:w="3400" w:type="dxa"/>
            <w:vAlign w:val="bottom"/>
          </w:tcPr>
          <w:p>
            <w:pPr>
              <w:spacing w:after="0"/>
              <w:rPr>
                <w:sz w:val="20"/>
                <w:szCs w:val="20"/>
                <w:color w:val="auto"/>
              </w:rPr>
            </w:pPr>
            <w:r>
              <w:rPr>
                <w:rFonts w:ascii="Courier New" w:cs="Courier New" w:eastAsia="Courier New" w:hAnsi="Courier New"/>
                <w:sz w:val="12"/>
                <w:szCs w:val="12"/>
                <w:color w:val="auto"/>
              </w:rPr>
              <w:t>DILUTED LOSS PER SHARE</w:t>
            </w: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Loss available to ordinary shareholders after</w:t>
            </w: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assumed conversions</w:t>
            </w:r>
          </w:p>
        </w:tc>
        <w:tc>
          <w:tcPr>
            <w:tcW w:w="11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66,371</w:t>
            </w:r>
          </w:p>
        </w:tc>
        <w:tc>
          <w:tcPr>
            <w:tcW w:w="14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(3.06)</w:t>
            </w:r>
          </w:p>
        </w:tc>
      </w:tr>
      <w:tr>
        <w:trPr>
          <w:trHeight w:val="135"/>
        </w:trPr>
        <w:tc>
          <w:tcPr>
            <w:tcW w:w="3400" w:type="dxa"/>
            <w:vAlign w:val="bottom"/>
          </w:tcPr>
          <w:p>
            <w:pPr>
              <w:spacing w:after="0"/>
              <w:rPr>
                <w:sz w:val="11"/>
                <w:szCs w:val="11"/>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8"/>
              </w:rPr>
              <w:t>=========</w:t>
            </w:r>
          </w:p>
        </w:tc>
      </w:tr>
    </w:tbl>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Options and warrants to purchase 28,437,207 Ordinary Shares at an</w:t>
      </w:r>
    </w:p>
    <w:p>
      <w:pPr>
        <w:ind w:left="700"/>
        <w:spacing w:after="0"/>
        <w:rPr>
          <w:sz w:val="20"/>
          <w:szCs w:val="20"/>
          <w:color w:val="auto"/>
        </w:rPr>
      </w:pPr>
      <w:r>
        <w:rPr>
          <w:rFonts w:ascii="Courier New" w:cs="Courier New" w:eastAsia="Courier New" w:hAnsi="Courier New"/>
          <w:sz w:val="12"/>
          <w:szCs w:val="12"/>
          <w:color w:val="auto"/>
        </w:rPr>
        <w:t>average exercise price of $4.23 per share were outstanding as of</w:t>
      </w:r>
    </w:p>
    <w:p>
      <w:pPr>
        <w:ind w:left="700"/>
        <w:spacing w:after="0" w:line="237" w:lineRule="auto"/>
        <w:rPr>
          <w:sz w:val="20"/>
          <w:szCs w:val="20"/>
          <w:color w:val="auto"/>
        </w:rPr>
      </w:pPr>
      <w:r>
        <w:rPr>
          <w:rFonts w:ascii="Courier New" w:cs="Courier New" w:eastAsia="Courier New" w:hAnsi="Courier New"/>
          <w:sz w:val="12"/>
          <w:szCs w:val="12"/>
          <w:color w:val="auto"/>
        </w:rPr>
        <w:t>December 31, 2005 but were not included in the computation of diluted</w:t>
      </w:r>
    </w:p>
    <w:p>
      <w:pPr>
        <w:ind w:left="700"/>
        <w:spacing w:after="0"/>
        <w:rPr>
          <w:sz w:val="20"/>
          <w:szCs w:val="20"/>
          <w:color w:val="auto"/>
        </w:rPr>
      </w:pPr>
      <w:r>
        <w:rPr>
          <w:rFonts w:ascii="Courier New" w:cs="Courier New" w:eastAsia="Courier New" w:hAnsi="Courier New"/>
          <w:sz w:val="12"/>
          <w:szCs w:val="12"/>
          <w:color w:val="auto"/>
        </w:rPr>
        <w:t>loss per share because their effect was anti-dilutive. Convertible</w:t>
      </w:r>
    </w:p>
    <w:p>
      <w:pPr>
        <w:ind w:left="700"/>
        <w:spacing w:after="0" w:line="237" w:lineRule="auto"/>
        <w:rPr>
          <w:sz w:val="20"/>
          <w:szCs w:val="20"/>
          <w:color w:val="auto"/>
        </w:rPr>
      </w:pPr>
      <w:r>
        <w:rPr>
          <w:rFonts w:ascii="Courier New" w:cs="Courier New" w:eastAsia="Courier New" w:hAnsi="Courier New"/>
          <w:sz w:val="12"/>
          <w:szCs w:val="12"/>
          <w:color w:val="auto"/>
        </w:rPr>
        <w:t>debentures, convertible into 25,872,523 Ordinary Shares, were</w:t>
      </w:r>
    </w:p>
    <w:p>
      <w:pPr>
        <w:ind w:left="700"/>
        <w:spacing w:after="0"/>
        <w:rPr>
          <w:sz w:val="20"/>
          <w:szCs w:val="20"/>
          <w:color w:val="auto"/>
        </w:rPr>
      </w:pPr>
      <w:r>
        <w:rPr>
          <w:rFonts w:ascii="Courier New" w:cs="Courier New" w:eastAsia="Courier New" w:hAnsi="Courier New"/>
          <w:sz w:val="12"/>
          <w:szCs w:val="12"/>
          <w:color w:val="auto"/>
        </w:rPr>
        <w:t>outstanding as of December 31, 2005 but were not included in the</w:t>
      </w:r>
    </w:p>
    <w:p>
      <w:pPr>
        <w:ind w:left="700"/>
        <w:spacing w:after="0" w:line="237" w:lineRule="auto"/>
        <w:rPr>
          <w:sz w:val="20"/>
          <w:szCs w:val="20"/>
          <w:color w:val="auto"/>
        </w:rPr>
      </w:pPr>
      <w:r>
        <w:rPr>
          <w:rFonts w:ascii="Courier New" w:cs="Courier New" w:eastAsia="Courier New" w:hAnsi="Courier New"/>
          <w:sz w:val="12"/>
          <w:szCs w:val="12"/>
          <w:color w:val="auto"/>
        </w:rPr>
        <w:t>computation of diluted loss per share since their effect is</w:t>
      </w:r>
    </w:p>
    <w:p>
      <w:pPr>
        <w:ind w:left="700"/>
        <w:spacing w:after="0"/>
        <w:rPr>
          <w:sz w:val="20"/>
          <w:szCs w:val="20"/>
          <w:color w:val="auto"/>
        </w:rPr>
      </w:pPr>
      <w:r>
        <w:rPr>
          <w:rFonts w:ascii="Courier New" w:cs="Courier New" w:eastAsia="Courier New" w:hAnsi="Courier New"/>
          <w:sz w:val="12"/>
          <w:szCs w:val="12"/>
          <w:color w:val="auto"/>
        </w:rPr>
        <w:t>anti-dilutive.</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RECONCILIATION FOR 2004:</w:t>
      </w:r>
    </w:p>
    <w:p>
      <w:pPr>
        <w:spacing w:after="0" w:line="134"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2"/>
          <w:szCs w:val="12"/>
          <w:color w:val="auto"/>
        </w:rPr>
        <w:t>Year ended December 31, 2004</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3580" w:type="dxa"/>
        <w:tblCellMar>
          <w:top w:w="0" w:type="dxa"/>
          <w:left w:w="0" w:type="dxa"/>
          <w:bottom w:w="0" w:type="dxa"/>
          <w:right w:w="0" w:type="dxa"/>
        </w:tblCellMar>
      </w:tblPr>
      <w:tr>
        <w:trPr>
          <w:trHeight w:val="136"/>
        </w:trPr>
        <w:tc>
          <w:tcPr>
            <w:tcW w:w="940" w:type="dxa"/>
            <w:vAlign w:val="bottom"/>
          </w:tcPr>
          <w:p>
            <w:pPr>
              <w:spacing w:after="0"/>
              <w:rPr>
                <w:sz w:val="11"/>
                <w:szCs w:val="11"/>
                <w:color w:val="auto"/>
              </w:rPr>
            </w:pPr>
          </w:p>
        </w:tc>
        <w:tc>
          <w:tcPr>
            <w:tcW w:w="1300" w:type="dxa"/>
            <w:vAlign w:val="bottom"/>
          </w:tcPr>
          <w:p>
            <w:pPr>
              <w:ind w:left="460"/>
              <w:spacing w:after="0"/>
              <w:rPr>
                <w:sz w:val="20"/>
                <w:szCs w:val="20"/>
                <w:color w:val="auto"/>
              </w:rPr>
            </w:pPr>
            <w:r>
              <w:rPr>
                <w:rFonts w:ascii="Courier New" w:cs="Courier New" w:eastAsia="Courier New" w:hAnsi="Courier New"/>
                <w:sz w:val="12"/>
                <w:szCs w:val="12"/>
                <w:color w:val="auto"/>
              </w:rPr>
              <w:t>Shares</w:t>
            </w:r>
          </w:p>
        </w:tc>
        <w:tc>
          <w:tcPr>
            <w:tcW w:w="780" w:type="dxa"/>
            <w:vAlign w:val="bottom"/>
          </w:tcPr>
          <w:p>
            <w:pPr>
              <w:spacing w:after="0"/>
              <w:rPr>
                <w:sz w:val="11"/>
                <w:szCs w:val="11"/>
                <w:color w:val="auto"/>
              </w:rPr>
            </w:pPr>
          </w:p>
        </w:tc>
      </w:tr>
      <w:tr>
        <w:trPr>
          <w:trHeight w:val="135"/>
        </w:trPr>
        <w:tc>
          <w:tcPr>
            <w:tcW w:w="940" w:type="dxa"/>
            <w:vAlign w:val="bottom"/>
          </w:tcPr>
          <w:p>
            <w:pPr>
              <w:ind w:left="280"/>
              <w:spacing w:after="0"/>
              <w:rPr>
                <w:sz w:val="20"/>
                <w:szCs w:val="20"/>
                <w:color w:val="auto"/>
              </w:rPr>
            </w:pPr>
            <w:r>
              <w:rPr>
                <w:rFonts w:ascii="Courier New" w:cs="Courier New" w:eastAsia="Courier New" w:hAnsi="Courier New"/>
                <w:sz w:val="12"/>
                <w:szCs w:val="12"/>
                <w:color w:val="auto"/>
              </w:rPr>
              <w:t>Loss</w:t>
            </w:r>
          </w:p>
        </w:tc>
        <w:tc>
          <w:tcPr>
            <w:tcW w:w="1300" w:type="dxa"/>
            <w:vAlign w:val="bottom"/>
          </w:tcPr>
          <w:p>
            <w:pPr>
              <w:ind w:left="180"/>
              <w:spacing w:after="0"/>
              <w:rPr>
                <w:sz w:val="20"/>
                <w:szCs w:val="20"/>
                <w:color w:val="auto"/>
              </w:rPr>
            </w:pPr>
            <w:r>
              <w:rPr>
                <w:rFonts w:ascii="Courier New" w:cs="Courier New" w:eastAsia="Courier New" w:hAnsi="Courier New"/>
                <w:sz w:val="12"/>
                <w:szCs w:val="12"/>
                <w:color w:val="auto"/>
              </w:rPr>
              <w:t>(in Thousands)</w:t>
            </w:r>
          </w:p>
        </w:tc>
        <w:tc>
          <w:tcPr>
            <w:tcW w:w="780" w:type="dxa"/>
            <w:vAlign w:val="bottom"/>
          </w:tcPr>
          <w:p>
            <w:pPr>
              <w:ind w:left="140"/>
              <w:spacing w:after="0"/>
              <w:rPr>
                <w:sz w:val="20"/>
                <w:szCs w:val="20"/>
                <w:color w:val="auto"/>
              </w:rPr>
            </w:pPr>
            <w:r>
              <w:rPr>
                <w:rFonts w:ascii="Courier New" w:cs="Courier New" w:eastAsia="Courier New" w:hAnsi="Courier New"/>
                <w:sz w:val="12"/>
                <w:szCs w:val="12"/>
                <w:color w:val="auto"/>
                <w:w w:val="95"/>
              </w:rPr>
              <w:t>Per-share</w:t>
            </w:r>
          </w:p>
        </w:tc>
      </w:tr>
      <w:tr>
        <w:trPr>
          <w:trHeight w:val="135"/>
        </w:trPr>
        <w:tc>
          <w:tcPr>
            <w:tcW w:w="940" w:type="dxa"/>
            <w:vAlign w:val="bottom"/>
          </w:tcPr>
          <w:p>
            <w:pPr>
              <w:jc w:val="center"/>
              <w:ind w:right="121"/>
              <w:spacing w:after="0"/>
              <w:rPr>
                <w:sz w:val="20"/>
                <w:szCs w:val="20"/>
                <w:color w:val="auto"/>
              </w:rPr>
            </w:pPr>
            <w:r>
              <w:rPr>
                <w:rFonts w:ascii="Courier New" w:cs="Courier New" w:eastAsia="Courier New" w:hAnsi="Courier New"/>
                <w:sz w:val="12"/>
                <w:szCs w:val="12"/>
                <w:color w:val="auto"/>
                <w:w w:val="95"/>
              </w:rPr>
              <w:t>(Numerator)</w:t>
            </w:r>
          </w:p>
        </w:tc>
        <w:tc>
          <w:tcPr>
            <w:tcW w:w="1300" w:type="dxa"/>
            <w:vAlign w:val="bottom"/>
          </w:tcPr>
          <w:p>
            <w:pPr>
              <w:ind w:left="180"/>
              <w:spacing w:after="0"/>
              <w:rPr>
                <w:sz w:val="20"/>
                <w:szCs w:val="20"/>
                <w:color w:val="auto"/>
              </w:rPr>
            </w:pPr>
            <w:r>
              <w:rPr>
                <w:rFonts w:ascii="Courier New" w:cs="Courier New" w:eastAsia="Courier New" w:hAnsi="Courier New"/>
                <w:sz w:val="12"/>
                <w:szCs w:val="12"/>
                <w:color w:val="auto"/>
              </w:rPr>
              <w:t>(Denominator)</w:t>
            </w:r>
          </w:p>
        </w:tc>
        <w:tc>
          <w:tcPr>
            <w:tcW w:w="780" w:type="dxa"/>
            <w:vAlign w:val="bottom"/>
          </w:tcPr>
          <w:p>
            <w:pPr>
              <w:ind w:left="280"/>
              <w:spacing w:after="0"/>
              <w:rPr>
                <w:sz w:val="20"/>
                <w:szCs w:val="20"/>
                <w:color w:val="auto"/>
              </w:rPr>
            </w:pPr>
            <w:r>
              <w:rPr>
                <w:rFonts w:ascii="Courier New" w:cs="Courier New" w:eastAsia="Courier New" w:hAnsi="Courier New"/>
                <w:sz w:val="12"/>
                <w:szCs w:val="12"/>
                <w:color w:val="auto"/>
              </w:rPr>
              <w:t>amount</w:t>
            </w:r>
          </w:p>
        </w:tc>
      </w:tr>
      <w:tr>
        <w:trPr>
          <w:trHeight w:val="135"/>
        </w:trPr>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2"/>
                <w:szCs w:val="12"/>
                <w:color w:val="auto"/>
                <w:w w:val="95"/>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BASIC LOSS PER SHARE</w:t>
      </w:r>
    </w:p>
    <w:p>
      <w:pPr>
        <w:sectPr>
          <w:pgSz w:w="11900" w:h="16838" w:orient="portrait"/>
          <w:cols w:equalWidth="0" w:num="1">
            <w:col w:w="10239"/>
          </w:cols>
          <w:pgMar w:left="220" w:top="272" w:right="1440"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36"/>
        </w:trPr>
        <w:tc>
          <w:tcPr>
            <w:tcW w:w="3400" w:type="dxa"/>
            <w:vAlign w:val="bottom"/>
          </w:tcPr>
          <w:p>
            <w:pPr>
              <w:spacing w:after="0"/>
              <w:rPr>
                <w:sz w:val="20"/>
                <w:szCs w:val="20"/>
                <w:color w:val="auto"/>
              </w:rPr>
            </w:pPr>
            <w:r>
              <w:rPr>
                <w:rFonts w:ascii="Courier New" w:cs="Courier New" w:eastAsia="Courier New" w:hAnsi="Courier New"/>
                <w:sz w:val="12"/>
                <w:szCs w:val="12"/>
                <w:color w:val="auto"/>
              </w:rPr>
              <w:t>Loss available to ordinary shareholders</w:t>
            </w:r>
          </w:p>
        </w:tc>
        <w:tc>
          <w:tcPr>
            <w:tcW w:w="12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$(137,768)</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64,633</w:t>
            </w:r>
          </w:p>
        </w:tc>
      </w:tr>
      <w:tr>
        <w:trPr>
          <w:trHeight w:val="270"/>
        </w:trPr>
        <w:tc>
          <w:tcPr>
            <w:tcW w:w="3400" w:type="dxa"/>
            <w:vAlign w:val="bottom"/>
          </w:tcPr>
          <w:p>
            <w:pPr>
              <w:spacing w:after="0"/>
              <w:rPr>
                <w:sz w:val="20"/>
                <w:szCs w:val="20"/>
                <w:color w:val="auto"/>
              </w:rPr>
            </w:pPr>
            <w:r>
              <w:rPr>
                <w:rFonts w:ascii="Courier New" w:cs="Courier New" w:eastAsia="Courier New" w:hAnsi="Courier New"/>
                <w:sz w:val="12"/>
                <w:szCs w:val="12"/>
                <w:color w:val="auto"/>
              </w:rPr>
              <w:t>EFFECT OF DILUTIVE SECURITIES</w:t>
            </w: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Convertible debentures</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Options and warrants</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40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400" w:type="dxa"/>
            <w:vAlign w:val="bottom"/>
          </w:tcPr>
          <w:p>
            <w:pPr>
              <w:spacing w:after="0"/>
              <w:rPr>
                <w:sz w:val="20"/>
                <w:szCs w:val="20"/>
                <w:color w:val="auto"/>
              </w:rPr>
            </w:pPr>
            <w:r>
              <w:rPr>
                <w:rFonts w:ascii="Courier New" w:cs="Courier New" w:eastAsia="Courier New" w:hAnsi="Courier New"/>
                <w:sz w:val="12"/>
                <w:szCs w:val="12"/>
                <w:color w:val="auto"/>
              </w:rPr>
              <w:t>DILUTED LOSS PER SHARE</w:t>
            </w: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Loss available to ordinary Shareholders after</w:t>
            </w: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assumed conversions</w:t>
            </w:r>
          </w:p>
        </w:tc>
        <w:tc>
          <w:tcPr>
            <w:tcW w:w="12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$(137,768)</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64,633</w:t>
            </w:r>
          </w:p>
        </w:tc>
      </w:tr>
      <w:tr>
        <w:trPr>
          <w:trHeight w:val="135"/>
        </w:trPr>
        <w:tc>
          <w:tcPr>
            <w:tcW w:w="340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1040"/>
        <w:spacing w:after="0" w:line="237" w:lineRule="auto"/>
        <w:rPr>
          <w:sz w:val="20"/>
          <w:szCs w:val="20"/>
          <w:color w:val="auto"/>
        </w:rPr>
      </w:pPr>
      <w:r>
        <w:rPr>
          <w:rFonts w:ascii="Courier New" w:cs="Courier New" w:eastAsia="Courier New" w:hAnsi="Courier New"/>
          <w:sz w:val="12"/>
          <w:szCs w:val="12"/>
          <w:color w:val="auto"/>
        </w:rPr>
        <w:t>Options and warrants to purchase 17,374,088 Ordinary Shares at an average exercise price of $6.61 per share were outstanding as of December 31, 2004 but were not included in the computation of diluted loss per share because their effect was anti-dilutive. Convertible debentures, convertible into 2,697,068 Ordinary Shares, were outstanding as of December 31, 2004 but were not included in the computation of diluted loss per share since their effect is anti-dilutive.</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CASH FLOWS IN ACCORDANCE WITH U.S. GAAP (SFAS 95)</w:t>
      </w:r>
    </w:p>
    <w:p>
      <w:pPr>
        <w:spacing w:after="0" w:line="139" w:lineRule="exact"/>
        <w:rPr>
          <w:sz w:val="20"/>
          <w:szCs w:val="20"/>
          <w:color w:val="auto"/>
        </w:rPr>
      </w:pPr>
    </w:p>
    <w:p>
      <w:pPr>
        <w:jc w:val="both"/>
        <w:ind w:left="700" w:right="220"/>
        <w:spacing w:after="0" w:line="236" w:lineRule="auto"/>
        <w:rPr>
          <w:sz w:val="20"/>
          <w:szCs w:val="20"/>
          <w:color w:val="auto"/>
        </w:rPr>
      </w:pPr>
      <w:r>
        <w:rPr>
          <w:rFonts w:ascii="Courier New" w:cs="Courier New" w:eastAsia="Courier New" w:hAnsi="Courier New"/>
          <w:sz w:val="12"/>
          <w:szCs w:val="12"/>
          <w:color w:val="auto"/>
        </w:rPr>
        <w:t>Complying with SFAS 95 would not have materially affected the cash flows of the Company for each of the years ended December 31, 2006, 2005 and 2004.</w:t>
      </w:r>
    </w:p>
    <w:p>
      <w:pPr>
        <w:spacing w:after="0" w:line="13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- 75</w:t>
      </w:r>
    </w:p>
    <w:p>
      <w:pPr>
        <w:spacing w:after="0" w:line="20" w:lineRule="exact"/>
        <w:rPr>
          <w:sz w:val="20"/>
          <w:szCs w:val="20"/>
          <w:color w:val="auto"/>
        </w:rPr>
      </w:pPr>
      <w:r>
        <w:rPr>
          <w:sz w:val="20"/>
          <w:szCs w:val="20"/>
          <w:color w:val="auto"/>
        </w:rPr>
        <w:br w:type="column"/>
      </w:r>
    </w:p>
    <w:p>
      <w:pPr>
        <w:ind w:left="280" w:hanging="276"/>
        <w:spacing w:after="0"/>
        <w:tabs>
          <w:tab w:leader="none" w:pos="280" w:val="left"/>
        </w:tabs>
        <w:numPr>
          <w:ilvl w:val="0"/>
          <w:numId w:val="154"/>
        </w:numPr>
        <w:rPr>
          <w:rFonts w:ascii="Courier New" w:cs="Courier New" w:eastAsia="Courier New" w:hAnsi="Courier New"/>
          <w:sz w:val="11"/>
          <w:szCs w:val="11"/>
          <w:color w:val="auto"/>
        </w:rPr>
      </w:pPr>
      <w:r>
        <w:rPr>
          <w:rFonts w:ascii="Courier New" w:cs="Courier New" w:eastAsia="Courier New" w:hAnsi="Courier New"/>
          <w:sz w:val="11"/>
          <w:szCs w:val="11"/>
          <w:color w:val="auto"/>
        </w:rPr>
        <w:t>(2.13)</w:t>
      </w:r>
    </w:p>
    <w:p>
      <w:pPr>
        <w:spacing w:after="0" w:line="276"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w:t>
      </w:r>
    </w:p>
    <w:p>
      <w:pPr>
        <w:ind w:left="560"/>
        <w:spacing w:after="0"/>
        <w:rPr>
          <w:sz w:val="20"/>
          <w:szCs w:val="20"/>
          <w:color w:val="auto"/>
        </w:rPr>
      </w:pP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209" w:lineRule="exact"/>
        <w:rPr>
          <w:sz w:val="20"/>
          <w:szCs w:val="20"/>
          <w:color w:val="auto"/>
        </w:rPr>
      </w:pPr>
    </w:p>
    <w:p>
      <w:pPr>
        <w:ind w:left="280" w:hanging="276"/>
        <w:spacing w:after="0"/>
        <w:tabs>
          <w:tab w:leader="none" w:pos="280" w:val="left"/>
        </w:tabs>
        <w:numPr>
          <w:ilvl w:val="0"/>
          <w:numId w:val="1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(2.13)</w:t>
      </w:r>
    </w:p>
    <w:p>
      <w:pPr>
        <w:spacing w:after="0" w:line="6" w:lineRule="exact"/>
        <w:rPr>
          <w:rFonts w:ascii="Courier New" w:cs="Courier New" w:eastAsia="Courier New" w:hAnsi="Courier New"/>
          <w:sz w:val="11"/>
          <w:szCs w:val="11"/>
          <w:color w:val="auto"/>
        </w:rPr>
      </w:pPr>
    </w:p>
    <w:p>
      <w:pPr>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ectPr>
          <w:pgSz w:w="11900" w:h="16838" w:orient="portrait"/>
          <w:cols w:equalWidth="0" w:num="2">
            <w:col w:w="5620" w:space="340"/>
            <w:col w:w="4279"/>
          </w:cols>
          <w:pgMar w:left="220" w:top="137" w:right="1440" w:bottom="1440" w:gutter="0" w:footer="0" w:header="0"/>
        </w:sectPr>
      </w:pPr>
    </w:p>
    <w:bookmarkStart w:id="88" w:name="page89"/>
    <w:bookmarkEnd w:id="88"/>
    <w:p>
      <w:pPr>
        <w:ind w:left="4768"/>
        <w:spacing w:after="0"/>
        <w:rPr>
          <w:sz w:val="20"/>
          <w:szCs w:val="20"/>
          <w:color w:val="auto"/>
        </w:rPr>
      </w:pPr>
      <w:r>
        <w:rPr>
          <w:rFonts w:ascii="Courier New" w:cs="Courier New" w:eastAsia="Courier New" w:hAnsi="Courier New"/>
          <w:sz w:val="11"/>
          <w:szCs w:val="11"/>
          <w:color w:val="auto"/>
        </w:rPr>
        <w:t>EXHIBIT 4.81</w:t>
      </w:r>
    </w:p>
    <w:p>
      <w:pPr>
        <w:spacing w:after="0" w:line="146" w:lineRule="exact"/>
        <w:rPr>
          <w:sz w:val="20"/>
          <w:szCs w:val="20"/>
          <w:color w:val="auto"/>
        </w:rPr>
      </w:pPr>
    </w:p>
    <w:p>
      <w:pPr>
        <w:ind w:left="8" w:right="4759"/>
        <w:spacing w:after="0" w:line="273" w:lineRule="auto"/>
        <w:rPr>
          <w:sz w:val="20"/>
          <w:szCs w:val="20"/>
          <w:color w:val="auto"/>
        </w:rPr>
      </w:pPr>
      <w:r>
        <w:rPr>
          <w:rFonts w:ascii="Courier New" w:cs="Courier New" w:eastAsia="Courier New" w:hAnsi="Courier New"/>
          <w:sz w:val="11"/>
          <w:szCs w:val="11"/>
          <w:color w:val="auto"/>
        </w:rPr>
        <w:t>CONFIDENTIAL PORTIONS OF THIS AGREEMENT HAVE BEEN OMITTED AND FILED SEPARATELY WITH THE COMMISSION PURSUANT TO A REQUEST FOR CONFIDENTIAL TREATMENT.</w:t>
      </w:r>
    </w:p>
    <w:p>
      <w:pPr>
        <w:spacing w:after="0" w:line="117"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LOAN AGREEMENT</w:t>
      </w:r>
    </w:p>
    <w:p>
      <w:pPr>
        <w:spacing w:after="0" w:line="139" w:lineRule="exact"/>
        <w:rPr>
          <w:sz w:val="20"/>
          <w:szCs w:val="20"/>
          <w:color w:val="auto"/>
        </w:rPr>
      </w:pPr>
    </w:p>
    <w:p>
      <w:pPr>
        <w:ind w:left="8" w:right="4619"/>
        <w:spacing w:after="0" w:line="235" w:lineRule="auto"/>
        <w:rPr>
          <w:sz w:val="20"/>
          <w:szCs w:val="20"/>
          <w:color w:val="auto"/>
        </w:rPr>
      </w:pPr>
      <w:r>
        <w:rPr>
          <w:rFonts w:ascii="Courier New" w:cs="Courier New" w:eastAsia="Courier New" w:hAnsi="Courier New"/>
          <w:sz w:val="12"/>
          <w:szCs w:val="12"/>
          <w:color w:val="auto"/>
        </w:rPr>
        <w:t>This Loan Agreement is made and entered into as of this 10th day of August, 2006 by and between</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SanDisk Corporation, a Delaware corporation with offices at 601 McCarthy Blvd.</w:t>
      </w:r>
    </w:p>
    <w:p>
      <w:pPr>
        <w:ind w:left="8"/>
        <w:spacing w:after="0"/>
        <w:rPr>
          <w:sz w:val="20"/>
          <w:szCs w:val="20"/>
          <w:color w:val="auto"/>
        </w:rPr>
      </w:pPr>
      <w:r>
        <w:rPr>
          <w:rFonts w:ascii="Courier New" w:cs="Courier New" w:eastAsia="Courier New" w:hAnsi="Courier New"/>
          <w:sz w:val="12"/>
          <w:szCs w:val="12"/>
          <w:color w:val="auto"/>
        </w:rPr>
        <w:t>Milpitas, CA 95035 USA (the "LENDER")</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 -AND-</w:t>
      </w:r>
    </w:p>
    <w:p>
      <w:pPr>
        <w:spacing w:after="0" w:line="139" w:lineRule="exact"/>
        <w:rPr>
          <w:sz w:val="20"/>
          <w:szCs w:val="20"/>
          <w:color w:val="auto"/>
        </w:rPr>
      </w:pPr>
    </w:p>
    <w:p>
      <w:pPr>
        <w:ind w:left="8" w:right="4619"/>
        <w:spacing w:after="0" w:line="236" w:lineRule="auto"/>
        <w:rPr>
          <w:sz w:val="20"/>
          <w:szCs w:val="20"/>
          <w:color w:val="auto"/>
        </w:rPr>
      </w:pPr>
      <w:r>
        <w:rPr>
          <w:rFonts w:ascii="Courier New" w:cs="Courier New" w:eastAsia="Courier New" w:hAnsi="Courier New"/>
          <w:sz w:val="12"/>
          <w:szCs w:val="12"/>
          <w:color w:val="auto"/>
        </w:rPr>
        <w:t>Tower Semiconductor Ltd., a company organized and existing under the laws of the Israel ("ISRAEL") of P.O Box 619, Migdal Haemek 23105, Israel ("TOWER" or the "BORROWER").</w:t>
      </w:r>
    </w:p>
    <w:p>
      <w:pPr>
        <w:spacing w:after="0" w:line="139" w:lineRule="exact"/>
        <w:rPr>
          <w:sz w:val="20"/>
          <w:szCs w:val="20"/>
          <w:color w:val="auto"/>
        </w:rPr>
      </w:pPr>
    </w:p>
    <w:p>
      <w:pPr>
        <w:ind w:left="8" w:right="4759"/>
        <w:spacing w:after="0" w:line="237" w:lineRule="auto"/>
        <w:rPr>
          <w:sz w:val="20"/>
          <w:szCs w:val="20"/>
          <w:color w:val="auto"/>
        </w:rPr>
      </w:pPr>
      <w:r>
        <w:rPr>
          <w:rFonts w:ascii="Courier New" w:cs="Courier New" w:eastAsia="Courier New" w:hAnsi="Courier New"/>
          <w:sz w:val="12"/>
          <w:szCs w:val="12"/>
          <w:color w:val="auto"/>
        </w:rPr>
        <w:t>WHEREAS, the Borrower has requested the Lender to provide Borrower with a Loan in funds denominated in US$ not to exceed, in the aggregate, the principal amount of ten million US Dollars (US$10,000,000) (the "AMOUNT OF THE LOAN" or the "LOAN"), for the purpose of financing the purchase of the equipment listed on ANNEX B hereto (the "EQUIPMENT") to be supplied by Applied Materials, Inc. (the "SUPPLIER") pursuant to a separate equipment purchase order executed by Supplier and dated July 21, 2006 (the "EQUIPMENT PURCHASE ORDER") as such Equipment Purchase Order has been assigned by Supplier to, and assumed by, Borrower; and</w:t>
      </w:r>
    </w:p>
    <w:p>
      <w:pPr>
        <w:spacing w:after="0" w:line="143" w:lineRule="exact"/>
        <w:rPr>
          <w:sz w:val="20"/>
          <w:szCs w:val="20"/>
          <w:color w:val="auto"/>
        </w:rPr>
      </w:pPr>
    </w:p>
    <w:p>
      <w:pPr>
        <w:ind w:left="8" w:right="4699"/>
        <w:spacing w:after="0" w:line="237" w:lineRule="auto"/>
        <w:rPr>
          <w:sz w:val="20"/>
          <w:szCs w:val="20"/>
          <w:color w:val="auto"/>
        </w:rPr>
      </w:pPr>
      <w:r>
        <w:rPr>
          <w:rFonts w:ascii="Courier New" w:cs="Courier New" w:eastAsia="Courier New" w:hAnsi="Courier New"/>
          <w:sz w:val="12"/>
          <w:szCs w:val="12"/>
          <w:color w:val="auto"/>
        </w:rPr>
        <w:t>WHEREAS, the Borrower acknowledges that the proceeds of the Loan shall upon their receipt by the Borrower, be paid to the Supplier in satisfaction of the assumed obligations of the Borrower under the Equipment Purchase Order and equipment purchase agreement between the Borrower and Supplier, and that the Loan is to be considered an extension of credit for the purchase of assets in accordance with and taking advantage of the provisions of Section 169(d) of the Israel Companies Ordinance in respect of the Lien on the Equipment granted herein by the Borrower to the Lender; and</w:t>
      </w:r>
    </w:p>
    <w:p>
      <w:pPr>
        <w:spacing w:after="0" w:line="142" w:lineRule="exact"/>
        <w:rPr>
          <w:sz w:val="20"/>
          <w:szCs w:val="20"/>
          <w:color w:val="auto"/>
        </w:rPr>
      </w:pPr>
    </w:p>
    <w:p>
      <w:pPr>
        <w:ind w:left="8" w:right="4619"/>
        <w:spacing w:after="0" w:line="235" w:lineRule="auto"/>
        <w:rPr>
          <w:sz w:val="20"/>
          <w:szCs w:val="20"/>
          <w:color w:val="auto"/>
        </w:rPr>
      </w:pPr>
      <w:r>
        <w:rPr>
          <w:rFonts w:ascii="Courier New" w:cs="Courier New" w:eastAsia="Courier New" w:hAnsi="Courier New"/>
          <w:sz w:val="12"/>
          <w:szCs w:val="12"/>
          <w:color w:val="auto"/>
        </w:rPr>
        <w:t>WHEREAS, subject to the terms of this Agreement, the Lender has agreed to extend the Loan to the Borrower;</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NOW, THEREFORE, it is hereby agreed as follows:</w:t>
      </w:r>
    </w:p>
    <w:p>
      <w:pPr>
        <w:spacing w:after="0" w:line="134" w:lineRule="exact"/>
        <w:rPr>
          <w:sz w:val="20"/>
          <w:szCs w:val="20"/>
          <w:color w:val="auto"/>
        </w:rPr>
      </w:pPr>
    </w:p>
    <w:p>
      <w:pPr>
        <w:ind w:left="348" w:hanging="348"/>
        <w:spacing w:after="0"/>
        <w:tabs>
          <w:tab w:leader="none" w:pos="348" w:val="left"/>
        </w:tabs>
        <w:numPr>
          <w:ilvl w:val="0"/>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PRELIMINARIES AND DEFINITIONS</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1.1  The preamble to this Agreement forms an integral part thereof.</w:t>
      </w:r>
    </w:p>
    <w:p>
      <w:pPr>
        <w:spacing w:after="0" w:line="139" w:lineRule="exact"/>
        <w:rPr>
          <w:sz w:val="20"/>
          <w:szCs w:val="20"/>
          <w:color w:val="auto"/>
        </w:rPr>
      </w:pPr>
    </w:p>
    <w:p>
      <w:pPr>
        <w:ind w:left="708" w:right="4699" w:hanging="350"/>
        <w:spacing w:after="0" w:line="266" w:lineRule="auto"/>
        <w:tabs>
          <w:tab w:leader="none" w:pos="688" w:val="left"/>
        </w:tabs>
        <w:rPr>
          <w:sz w:val="20"/>
          <w:szCs w:val="20"/>
          <w:color w:val="auto"/>
        </w:rPr>
      </w:pPr>
      <w:r>
        <w:rPr>
          <w:rFonts w:ascii="Courier New" w:cs="Courier New" w:eastAsia="Courier New" w:hAnsi="Courier New"/>
          <w:sz w:val="12"/>
          <w:szCs w:val="12"/>
          <w:color w:val="auto"/>
        </w:rPr>
        <w:t>1.2</w:t>
      </w:r>
      <w:r>
        <w:rPr>
          <w:sz w:val="20"/>
          <w:szCs w:val="20"/>
          <w:color w:val="auto"/>
        </w:rPr>
        <w:tab/>
      </w:r>
      <w:r>
        <w:rPr>
          <w:rFonts w:ascii="Courier New" w:cs="Courier New" w:eastAsia="Courier New" w:hAnsi="Courier New"/>
          <w:sz w:val="11"/>
          <w:szCs w:val="11"/>
          <w:color w:val="auto"/>
        </w:rPr>
        <w:t>In addition to the terms defined above, as used herein, the following terms shall have the meanings set forth below, which shall include both the singular and plural thereof unless otherwise noted herein:</w:t>
      </w:r>
    </w:p>
    <w:p>
      <w:pPr>
        <w:spacing w:after="0" w:line="126"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AGREEMENT - shall mean this Agreement and any and all annexes thereto.</w:t>
      </w:r>
    </w:p>
    <w:p>
      <w:pPr>
        <w:spacing w:after="0" w:line="146"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ANCILLARY EQUIPMENT - shall mean the ancillary equipment purchased by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Borrower for use with the Equipment under a separate equipment</w:t>
      </w:r>
    </w:p>
    <w:p>
      <w:pPr>
        <w:ind w:left="708"/>
        <w:spacing w:after="0"/>
        <w:rPr>
          <w:sz w:val="20"/>
          <w:szCs w:val="20"/>
          <w:color w:val="auto"/>
        </w:rPr>
      </w:pPr>
      <w:r>
        <w:rPr>
          <w:rFonts w:ascii="Courier New" w:cs="Courier New" w:eastAsia="Courier New" w:hAnsi="Courier New"/>
          <w:sz w:val="12"/>
          <w:szCs w:val="12"/>
          <w:color w:val="auto"/>
        </w:rPr>
        <w:t>purchase contract.</w:t>
      </w:r>
    </w:p>
    <w:p>
      <w:pPr>
        <w:spacing w:after="0" w:line="200" w:lineRule="exact"/>
        <w:rPr>
          <w:sz w:val="20"/>
          <w:szCs w:val="20"/>
          <w:color w:val="auto"/>
        </w:rPr>
      </w:pPr>
    </w:p>
    <w:p>
      <w:pPr>
        <w:spacing w:after="0" w:line="339"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ANCILLARY EQUIPMENT PURCHASE CONTRACT - shall mean the agreement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executed by the Borrower for the purchase of the Ancillary Equipment,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having delivery dates for the Ancillary Equipment not later than the</w:t>
      </w:r>
    </w:p>
    <w:p>
      <w:pPr>
        <w:ind w:left="708"/>
        <w:spacing w:after="0"/>
        <w:rPr>
          <w:sz w:val="20"/>
          <w:szCs w:val="20"/>
          <w:color w:val="auto"/>
        </w:rPr>
      </w:pPr>
      <w:r>
        <w:rPr>
          <w:rFonts w:ascii="Courier New" w:cs="Courier New" w:eastAsia="Courier New" w:hAnsi="Courier New"/>
          <w:sz w:val="12"/>
          <w:szCs w:val="12"/>
          <w:color w:val="auto"/>
        </w:rPr>
        <w:t>earlier of (a) August, 2006, and (b) the scheduled delivery date of</w:t>
      </w:r>
    </w:p>
    <w:p>
      <w:pPr>
        <w:ind w:left="708"/>
        <w:spacing w:after="0" w:line="237" w:lineRule="auto"/>
        <w:rPr>
          <w:sz w:val="20"/>
          <w:szCs w:val="20"/>
          <w:color w:val="auto"/>
        </w:rPr>
      </w:pPr>
      <w:r>
        <w:rPr>
          <w:rFonts w:ascii="Courier New" w:cs="Courier New" w:eastAsia="Courier New" w:hAnsi="Courier New"/>
          <w:sz w:val="12"/>
          <w:szCs w:val="12"/>
          <w:color w:val="auto"/>
        </w:rPr>
        <w:t>the last piece of the Equipment necessary for the complete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installation of the Equipment, along with a bank guarantee, letter of</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credit or other evidence or monies designated by Borrower for payment</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of the amounts owing under the Ancillary Equipment Purchase Contract.</w:t>
      </w:r>
    </w:p>
    <w:p>
      <w:pPr>
        <w:spacing w:after="0" w:line="146"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APPROVAL PERIOD - shall mean the period between the execution of this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Agreement by the last of the parties hereto to execute, and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earlier of (i) the date that the Lender notifies the Borrower that all</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the conditions under Section 3.1 to be satisfied by the Borrower</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have been satisfied or waived by the Lender, and (ii) August 31, 2006.</w:t>
      </w:r>
    </w:p>
    <w:p>
      <w:pPr>
        <w:spacing w:after="0" w:line="141"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ASSUMPTION AGREEMENT - shall mean the agreement executed by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Lender, pursuant to which (i) the Lender transfers and assigns to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Borrower all of its rights and obligations under the Equipment</w:t>
      </w:r>
    </w:p>
    <w:p>
      <w:pPr>
        <w:ind w:left="708"/>
        <w:spacing w:after="0"/>
        <w:rPr>
          <w:sz w:val="20"/>
          <w:szCs w:val="20"/>
          <w:color w:val="auto"/>
        </w:rPr>
      </w:pPr>
      <w:r>
        <w:rPr>
          <w:rFonts w:ascii="Courier New" w:cs="Courier New" w:eastAsia="Courier New" w:hAnsi="Courier New"/>
          <w:sz w:val="12"/>
          <w:szCs w:val="12"/>
          <w:color w:val="auto"/>
        </w:rPr>
        <w:t>Purchase Order, and (ii) the Borrower assumes all of such rights and</w:t>
      </w:r>
    </w:p>
    <w:p>
      <w:pPr>
        <w:ind w:left="708"/>
        <w:spacing w:after="0" w:line="237" w:lineRule="auto"/>
        <w:rPr>
          <w:sz w:val="20"/>
          <w:szCs w:val="20"/>
          <w:color w:val="auto"/>
        </w:rPr>
      </w:pPr>
      <w:r>
        <w:rPr>
          <w:rFonts w:ascii="Courier New" w:cs="Courier New" w:eastAsia="Courier New" w:hAnsi="Courier New"/>
          <w:sz w:val="12"/>
          <w:szCs w:val="12"/>
          <w:color w:val="auto"/>
        </w:rPr>
        <w:t>obligations.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AVAILABILITY PERIOD - shall mean (subject always to fulfillment of all</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conditions precedent) the period commencing on the Date of Entry into</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Force of this Agreement and ending, as the case may be, at the</w:t>
      </w:r>
    </w:p>
    <w:p>
      <w:pPr>
        <w:ind w:left="708"/>
        <w:spacing w:after="0"/>
        <w:rPr>
          <w:sz w:val="20"/>
          <w:szCs w:val="20"/>
          <w:color w:val="auto"/>
        </w:rPr>
      </w:pPr>
      <w:r>
        <w:rPr>
          <w:rFonts w:ascii="Courier New" w:cs="Courier New" w:eastAsia="Courier New" w:hAnsi="Courier New"/>
          <w:sz w:val="12"/>
          <w:szCs w:val="12"/>
          <w:color w:val="auto"/>
        </w:rPr>
        <w:t>earliest of.</w:t>
      </w:r>
    </w:p>
    <w:p>
      <w:pPr>
        <w:spacing w:after="0" w:line="133" w:lineRule="exact"/>
        <w:rPr>
          <w:sz w:val="20"/>
          <w:szCs w:val="20"/>
          <w:color w:val="auto"/>
        </w:rPr>
      </w:pPr>
    </w:p>
    <w:p>
      <w:pPr>
        <w:ind w:left="1408" w:hanging="354"/>
        <w:spacing w:after="0"/>
        <w:tabs>
          <w:tab w:leader="none" w:pos="1408" w:val="left"/>
        </w:tabs>
        <w:numPr>
          <w:ilvl w:val="0"/>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August 31, 2006, or</w:t>
      </w:r>
    </w:p>
    <w:p>
      <w:pPr>
        <w:spacing w:after="0" w:line="134" w:lineRule="exact"/>
        <w:rPr>
          <w:rFonts w:ascii="Courier New" w:cs="Courier New" w:eastAsia="Courier New" w:hAnsi="Courier New"/>
          <w:sz w:val="12"/>
          <w:szCs w:val="12"/>
          <w:color w:val="auto"/>
        </w:rPr>
      </w:pPr>
    </w:p>
    <w:p>
      <w:pPr>
        <w:ind w:left="1408" w:hanging="354"/>
        <w:spacing w:after="0"/>
        <w:tabs>
          <w:tab w:leader="none" w:pos="1408" w:val="left"/>
        </w:tabs>
        <w:numPr>
          <w:ilvl w:val="0"/>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when the Amount of the Loan is fully utilized.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BUSINESS DAY - shall mean a day on which banks are open for business</w:t>
      </w:r>
    </w:p>
    <w:p>
      <w:pPr>
        <w:ind w:left="708"/>
        <w:spacing w:after="0"/>
        <w:rPr>
          <w:sz w:val="20"/>
          <w:szCs w:val="20"/>
          <w:color w:val="auto"/>
        </w:rPr>
      </w:pPr>
      <w:r>
        <w:rPr>
          <w:rFonts w:ascii="Courier New" w:cs="Courier New" w:eastAsia="Courier New" w:hAnsi="Courier New"/>
          <w:sz w:val="12"/>
          <w:szCs w:val="12"/>
          <w:color w:val="auto"/>
        </w:rPr>
        <w:t>in Tel-Aviv and New York City.</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COMMITMENT - shall mean the commitment of the Lender to maintain the</w:t>
      </w:r>
    </w:p>
    <w:p>
      <w:pPr>
        <w:ind w:left="708"/>
        <w:spacing w:after="0"/>
        <w:rPr>
          <w:sz w:val="20"/>
          <w:szCs w:val="20"/>
          <w:color w:val="auto"/>
        </w:rPr>
      </w:pPr>
      <w:r>
        <w:rPr>
          <w:rFonts w:ascii="Courier New" w:cs="Courier New" w:eastAsia="Courier New" w:hAnsi="Courier New"/>
          <w:sz w:val="12"/>
          <w:szCs w:val="12"/>
          <w:color w:val="auto"/>
        </w:rPr>
        <w:t>Loan available to the Borrower during the Availability Period, upon</w:t>
      </w:r>
    </w:p>
    <w:p>
      <w:pPr>
        <w:ind w:left="708"/>
        <w:spacing w:after="0" w:line="237" w:lineRule="auto"/>
        <w:rPr>
          <w:sz w:val="20"/>
          <w:szCs w:val="20"/>
          <w:color w:val="auto"/>
        </w:rPr>
      </w:pPr>
      <w:r>
        <w:rPr>
          <w:rFonts w:ascii="Courier New" w:cs="Courier New" w:eastAsia="Courier New" w:hAnsi="Courier New"/>
          <w:sz w:val="12"/>
          <w:szCs w:val="12"/>
          <w:color w:val="auto"/>
        </w:rPr>
        <w:t>the terms and subject to the conditions of this Agreement.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DATE OF DISBURSEMENT - shall mean the date designated in a Request for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Disbursement for the making by the Lender of a Disbursement on behalf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the Borrower.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DATE OF ENTRY INTO FORCE - shall mean the last day of the Approval</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Period provided that such a day is a Business Day, otherwise the Date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Entry into Force shall be the first Business Day falling</w:t>
      </w:r>
    </w:p>
    <w:p>
      <w:pPr>
        <w:ind w:left="708"/>
        <w:spacing w:after="0"/>
        <w:rPr>
          <w:sz w:val="20"/>
          <w:szCs w:val="20"/>
          <w:color w:val="auto"/>
        </w:rPr>
      </w:pPr>
      <w:r>
        <w:rPr>
          <w:rFonts w:ascii="Courier New" w:cs="Courier New" w:eastAsia="Courier New" w:hAnsi="Courier New"/>
          <w:sz w:val="12"/>
          <w:szCs w:val="12"/>
          <w:color w:val="auto"/>
        </w:rPr>
        <w:t>immediately after the last day of the Approval Period.</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DEFAULT PERIOD - shall mean with respect to any overdue amount, each</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period of 1 (one), 2 (two) or 3 (three) months, as shall be determined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by the Lender from time to time with respect to each overdue amount,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first of which shall commence on the due date for payment of such</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overdue amount pursuant to this Agreement.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DELIVERY EVENT - shall mean a date designated under the Equipment</w:t>
      </w:r>
    </w:p>
    <w:p>
      <w:pPr>
        <w:ind w:left="708"/>
        <w:spacing w:after="0"/>
        <w:rPr>
          <w:sz w:val="20"/>
          <w:szCs w:val="20"/>
          <w:color w:val="auto"/>
        </w:rPr>
      </w:pPr>
      <w:r>
        <w:rPr>
          <w:rFonts w:ascii="Courier New" w:cs="Courier New" w:eastAsia="Courier New" w:hAnsi="Courier New"/>
          <w:sz w:val="12"/>
          <w:szCs w:val="12"/>
          <w:color w:val="auto"/>
        </w:rPr>
        <w:t>Purchase Order for the payment by the Borrower of amounts due under</w:t>
      </w:r>
    </w:p>
    <w:p>
      <w:pPr>
        <w:ind w:left="708"/>
        <w:spacing w:after="0" w:line="237" w:lineRule="auto"/>
        <w:rPr>
          <w:sz w:val="20"/>
          <w:szCs w:val="20"/>
          <w:color w:val="auto"/>
        </w:rPr>
      </w:pPr>
      <w:r>
        <w:rPr>
          <w:rFonts w:ascii="Courier New" w:cs="Courier New" w:eastAsia="Courier New" w:hAnsi="Courier New"/>
          <w:sz w:val="12"/>
          <w:szCs w:val="12"/>
          <w:color w:val="auto"/>
        </w:rPr>
        <w:t>the Equipment Purchase Order.</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DISBURSEMENT - shall mean each or any disbursement made by the Lender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to the Borrower to be paid to the Supplier under the Equipment</w:t>
      </w:r>
    </w:p>
    <w:p>
      <w:pPr>
        <w:ind w:left="708"/>
        <w:spacing w:after="0"/>
        <w:rPr>
          <w:sz w:val="20"/>
          <w:szCs w:val="20"/>
          <w:color w:val="auto"/>
        </w:rPr>
      </w:pPr>
      <w:r>
        <w:rPr>
          <w:rFonts w:ascii="Courier New" w:cs="Courier New" w:eastAsia="Courier New" w:hAnsi="Courier New"/>
          <w:sz w:val="12"/>
          <w:szCs w:val="12"/>
          <w:color w:val="auto"/>
        </w:rPr>
        <w:t>Purchase Order in the framework of the Loan pursuant to the terms of</w:t>
      </w:r>
    </w:p>
    <w:p>
      <w:pPr>
        <w:ind w:left="708"/>
        <w:spacing w:after="0" w:line="237" w:lineRule="auto"/>
        <w:rPr>
          <w:sz w:val="20"/>
          <w:szCs w:val="20"/>
          <w:color w:val="auto"/>
        </w:rPr>
      </w:pPr>
      <w:r>
        <w:rPr>
          <w:rFonts w:ascii="Courier New" w:cs="Courier New" w:eastAsia="Courier New" w:hAnsi="Courier New"/>
          <w:sz w:val="12"/>
          <w:szCs w:val="12"/>
          <w:color w:val="auto"/>
        </w:rPr>
        <w:t>this Agreement.</w:t>
      </w:r>
    </w:p>
    <w:p>
      <w:pPr>
        <w:sectPr>
          <w:pgSz w:w="11900" w:h="16838" w:orient="portrait"/>
          <w:cols w:equalWidth="0" w:num="1">
            <w:col w:w="10247"/>
          </w:cols>
          <w:pgMar w:left="212" w:top="411" w:right="1440" w:bottom="0" w:gutter="0" w:footer="0" w:header="0"/>
        </w:sectPr>
      </w:pPr>
    </w:p>
    <w:bookmarkStart w:id="89" w:name="page90"/>
    <w:bookmarkEnd w:id="89"/>
    <w:p>
      <w:pPr>
        <w:ind w:left="2608"/>
        <w:spacing w:after="0"/>
        <w:rPr>
          <w:sz w:val="20"/>
          <w:szCs w:val="20"/>
          <w:color w:val="auto"/>
        </w:rPr>
      </w:pPr>
      <w:r>
        <w:rPr>
          <w:rFonts w:ascii="Courier New" w:cs="Courier New" w:eastAsia="Courier New" w:hAnsi="Courier New"/>
          <w:sz w:val="12"/>
          <w:szCs w:val="12"/>
          <w:color w:val="auto"/>
        </w:rPr>
        <w:t>- 2 -</w:t>
      </w:r>
    </w:p>
    <w:p>
      <w:pPr>
        <w:spacing w:after="0" w:line="200" w:lineRule="exact"/>
        <w:rPr>
          <w:sz w:val="20"/>
          <w:szCs w:val="20"/>
          <w:color w:val="auto"/>
        </w:rPr>
      </w:pPr>
    </w:p>
    <w:p>
      <w:pPr>
        <w:spacing w:after="0" w:line="20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ENCUMBRANCE - shall mean any mortgage, pledge, lien, charge,</w:t>
      </w:r>
    </w:p>
    <w:p>
      <w:pPr>
        <w:ind w:left="708"/>
        <w:spacing w:after="0"/>
        <w:rPr>
          <w:sz w:val="20"/>
          <w:szCs w:val="20"/>
          <w:color w:val="auto"/>
        </w:rPr>
      </w:pPr>
      <w:r>
        <w:rPr>
          <w:rFonts w:ascii="Courier New" w:cs="Courier New" w:eastAsia="Courier New" w:hAnsi="Courier New"/>
          <w:sz w:val="12"/>
          <w:szCs w:val="12"/>
          <w:color w:val="auto"/>
        </w:rPr>
        <w:t>assignment, hypothecation, security interest, tax lien, conditional</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sale or title retention arrangement or other agreement or arrangement,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effect of any of which is the creation of security interest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binding upon the Borrower or on any of its assets and/or designated to</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secure the repayment of any indebtedness, whether arising by agreement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or under any statute or law.</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EVENT OF DEFAULT - shall have the meaning set forth in Clause 14.</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FACILITY AGREEMENT - shall mean the Restated Facility Agreement,</w:t>
      </w:r>
    </w:p>
    <w:p>
      <w:pPr>
        <w:ind w:left="708"/>
        <w:spacing w:after="0"/>
        <w:rPr>
          <w:sz w:val="20"/>
          <w:szCs w:val="20"/>
          <w:color w:val="auto"/>
        </w:rPr>
      </w:pPr>
      <w:r>
        <w:rPr>
          <w:rFonts w:ascii="Courier New" w:cs="Courier New" w:eastAsia="Courier New" w:hAnsi="Courier New"/>
          <w:sz w:val="12"/>
          <w:szCs w:val="12"/>
          <w:color w:val="auto"/>
        </w:rPr>
        <w:t>originally dated January 18, 2001 between the Borrower and each of</w:t>
      </w:r>
    </w:p>
    <w:p>
      <w:pPr>
        <w:ind w:left="708"/>
        <w:spacing w:after="0" w:line="237" w:lineRule="auto"/>
        <w:rPr>
          <w:sz w:val="20"/>
          <w:szCs w:val="20"/>
          <w:color w:val="auto"/>
        </w:rPr>
      </w:pPr>
      <w:r>
        <w:rPr>
          <w:rFonts w:ascii="Courier New" w:cs="Courier New" w:eastAsia="Courier New" w:hAnsi="Courier New"/>
          <w:sz w:val="12"/>
          <w:szCs w:val="12"/>
          <w:color w:val="auto"/>
        </w:rPr>
        <w:t>Bank Hapoalim B.M. and Bank Leumi B.M., as such agreement may be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amended, supplement or assigned prior to or following the date hereof.</w:t>
      </w:r>
    </w:p>
    <w:p>
      <w:pPr>
        <w:spacing w:after="0" w:line="141"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FOUNDRY AGREEMENT - shall mean the Agreement between SanDisk</w:t>
      </w:r>
    </w:p>
    <w:p>
      <w:pPr>
        <w:ind w:left="708"/>
        <w:spacing w:after="0"/>
        <w:rPr>
          <w:sz w:val="20"/>
          <w:szCs w:val="20"/>
          <w:color w:val="auto"/>
        </w:rPr>
      </w:pPr>
      <w:r>
        <w:rPr>
          <w:rFonts w:ascii="Courier New" w:cs="Courier New" w:eastAsia="Courier New" w:hAnsi="Courier New"/>
          <w:sz w:val="12"/>
          <w:szCs w:val="12"/>
          <w:color w:val="auto"/>
        </w:rPr>
        <w:t>Corporation and Tower Semiconductor Ltd., dated July 4, 2000 for the</w:t>
      </w:r>
    </w:p>
    <w:p>
      <w:pPr>
        <w:ind w:left="708"/>
        <w:spacing w:after="0" w:line="237" w:lineRule="auto"/>
        <w:rPr>
          <w:sz w:val="20"/>
          <w:szCs w:val="20"/>
          <w:color w:val="auto"/>
        </w:rPr>
      </w:pPr>
      <w:r>
        <w:rPr>
          <w:rFonts w:ascii="Courier New" w:cs="Courier New" w:eastAsia="Courier New" w:hAnsi="Courier New"/>
          <w:sz w:val="12"/>
          <w:szCs w:val="12"/>
          <w:color w:val="auto"/>
        </w:rPr>
        <w:t>supply of wafers, along with the supplements and amendments thereto,</w:t>
      </w:r>
    </w:p>
    <w:p>
      <w:pPr>
        <w:ind w:left="708"/>
        <w:spacing w:after="0"/>
        <w:rPr>
          <w:sz w:val="20"/>
          <w:szCs w:val="20"/>
          <w:color w:val="auto"/>
        </w:rPr>
      </w:pPr>
      <w:r>
        <w:rPr>
          <w:rFonts w:ascii="Courier New" w:cs="Courier New" w:eastAsia="Courier New" w:hAnsi="Courier New"/>
          <w:sz w:val="12"/>
          <w:szCs w:val="12"/>
          <w:color w:val="auto"/>
        </w:rPr>
        <w:t>including without limitation the amendment executed on even date</w:t>
      </w:r>
    </w:p>
    <w:p>
      <w:pPr>
        <w:ind w:left="708"/>
        <w:spacing w:after="0" w:line="237" w:lineRule="auto"/>
        <w:rPr>
          <w:sz w:val="20"/>
          <w:szCs w:val="20"/>
          <w:color w:val="auto"/>
        </w:rPr>
      </w:pPr>
      <w:r>
        <w:rPr>
          <w:rFonts w:ascii="Courier New" w:cs="Courier New" w:eastAsia="Courier New" w:hAnsi="Courier New"/>
          <w:sz w:val="12"/>
          <w:szCs w:val="12"/>
          <w:color w:val="auto"/>
        </w:rPr>
        <w:t>herewith and covering the supply by Tower of 0.13um wafers to be</w:t>
      </w:r>
    </w:p>
    <w:p>
      <w:pPr>
        <w:ind w:left="708"/>
        <w:spacing w:after="0"/>
        <w:rPr>
          <w:sz w:val="20"/>
          <w:szCs w:val="20"/>
          <w:color w:val="auto"/>
        </w:rPr>
      </w:pPr>
      <w:r>
        <w:rPr>
          <w:rFonts w:ascii="Courier New" w:cs="Courier New" w:eastAsia="Courier New" w:hAnsi="Courier New"/>
          <w:sz w:val="12"/>
          <w:szCs w:val="12"/>
          <w:color w:val="auto"/>
        </w:rPr>
        <w:t>produced by the Equipment entitled Amendment 1 to Foundry Agreement</w:t>
      </w:r>
    </w:p>
    <w:p>
      <w:pPr>
        <w:ind w:left="708"/>
        <w:spacing w:after="0" w:line="237" w:lineRule="auto"/>
        <w:rPr>
          <w:sz w:val="20"/>
          <w:szCs w:val="20"/>
          <w:color w:val="auto"/>
        </w:rPr>
      </w:pPr>
      <w:r>
        <w:rPr>
          <w:rFonts w:ascii="Courier New" w:cs="Courier New" w:eastAsia="Courier New" w:hAnsi="Courier New"/>
          <w:sz w:val="12"/>
          <w:szCs w:val="12"/>
          <w:color w:val="auto"/>
        </w:rPr>
        <w:t>(the "Amendment 1 to Foundry Agreement").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POLICY - shall mean the insurance policy covering the equipment and</w:t>
      </w:r>
    </w:p>
    <w:p>
      <w:pPr>
        <w:ind w:left="708"/>
        <w:spacing w:after="0"/>
        <w:rPr>
          <w:sz w:val="20"/>
          <w:szCs w:val="20"/>
          <w:color w:val="auto"/>
        </w:rPr>
      </w:pPr>
      <w:r>
        <w:rPr>
          <w:rFonts w:ascii="Courier New" w:cs="Courier New" w:eastAsia="Courier New" w:hAnsi="Courier New"/>
          <w:sz w:val="12"/>
          <w:szCs w:val="12"/>
          <w:color w:val="auto"/>
        </w:rPr>
        <w:t>satisfying the requirements of Clause 13.7 hereto.</w:t>
      </w:r>
    </w:p>
    <w:p>
      <w:pPr>
        <w:spacing w:after="0" w:line="138"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INSTALLMENT - shall mean an amount of principal of the Loan to be paid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by the Borrower to the Lender on a particular Installment Repayment</w:t>
      </w:r>
    </w:p>
    <w:p>
      <w:pPr>
        <w:ind w:left="708"/>
        <w:spacing w:after="0"/>
        <w:rPr>
          <w:sz w:val="20"/>
          <w:szCs w:val="20"/>
          <w:color w:val="auto"/>
        </w:rPr>
      </w:pPr>
      <w:r>
        <w:rPr>
          <w:rFonts w:ascii="Courier New" w:cs="Courier New" w:eastAsia="Courier New" w:hAnsi="Courier New"/>
          <w:sz w:val="12"/>
          <w:szCs w:val="12"/>
          <w:color w:val="auto"/>
        </w:rPr>
        <w:t>Date as such amounts are listed or calculated on the Repayment</w:t>
      </w:r>
    </w:p>
    <w:p>
      <w:pPr>
        <w:ind w:left="708"/>
        <w:spacing w:after="0" w:line="237" w:lineRule="auto"/>
        <w:rPr>
          <w:sz w:val="20"/>
          <w:szCs w:val="20"/>
          <w:color w:val="auto"/>
        </w:rPr>
      </w:pPr>
      <w:r>
        <w:rPr>
          <w:rFonts w:ascii="Courier New" w:cs="Courier New" w:eastAsia="Courier New" w:hAnsi="Courier New"/>
          <w:sz w:val="12"/>
          <w:szCs w:val="12"/>
          <w:color w:val="auto"/>
        </w:rPr>
        <w:t>Schedule.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INSTALLMENT REPAYMENT DATE - shall mean (i) in respect of the first</w:t>
      </w:r>
    </w:p>
    <w:p>
      <w:pPr>
        <w:ind w:left="708"/>
        <w:spacing w:after="0"/>
        <w:rPr>
          <w:sz w:val="20"/>
          <w:szCs w:val="20"/>
          <w:color w:val="auto"/>
        </w:rPr>
      </w:pPr>
      <w:r>
        <w:rPr>
          <w:rFonts w:ascii="Courier New" w:cs="Courier New" w:eastAsia="Courier New" w:hAnsi="Courier New"/>
          <w:sz w:val="12"/>
          <w:szCs w:val="12"/>
          <w:color w:val="auto"/>
        </w:rPr>
        <w:t>Installment Repayment Date, the last Business Day of the calendar</w:t>
      </w:r>
    </w:p>
    <w:p>
      <w:pPr>
        <w:ind w:left="708"/>
        <w:spacing w:after="0" w:line="237" w:lineRule="auto"/>
        <w:rPr>
          <w:sz w:val="20"/>
          <w:szCs w:val="20"/>
          <w:color w:val="auto"/>
        </w:rPr>
      </w:pPr>
      <w:r>
        <w:rPr>
          <w:rFonts w:ascii="Courier New" w:cs="Courier New" w:eastAsia="Courier New" w:hAnsi="Courier New"/>
          <w:sz w:val="12"/>
          <w:szCs w:val="12"/>
          <w:color w:val="auto"/>
        </w:rPr>
        <w:t>quarter in which the "Upgraded Supply Capability Date" (as such term</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is defined in the Amendment 1 to Foundry Agreement) falls, and (ii) in</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respect of the second through eighth Installment Repayment Dates,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last Business Day of each of the subsequent calendar quarters.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INTEREST RATE - shall mean a fixed rate LIBOR plus 1.1% per annum.</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INTEREST PAYMENT DATE - shall mean each Installment Repayment Date.</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INTEREST PERIOD - shall mean: (i) initially - the period commencing on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date of the first Disbursement and ending on the first Interest</w:t>
      </w:r>
    </w:p>
    <w:p>
      <w:pPr>
        <w:ind w:left="708"/>
        <w:spacing w:after="0"/>
        <w:rPr>
          <w:sz w:val="20"/>
          <w:szCs w:val="20"/>
          <w:color w:val="auto"/>
        </w:rPr>
      </w:pPr>
      <w:r>
        <w:rPr>
          <w:rFonts w:ascii="Courier New" w:cs="Courier New" w:eastAsia="Courier New" w:hAnsi="Courier New"/>
          <w:sz w:val="12"/>
          <w:szCs w:val="12"/>
          <w:color w:val="auto"/>
        </w:rPr>
        <w:t>Payment Date, and (ii) thereafter each period commencing on the</w:t>
      </w:r>
    </w:p>
    <w:p>
      <w:pPr>
        <w:ind w:left="708"/>
        <w:spacing w:after="0" w:line="237" w:lineRule="auto"/>
        <w:rPr>
          <w:sz w:val="20"/>
          <w:szCs w:val="20"/>
          <w:color w:val="auto"/>
        </w:rPr>
      </w:pPr>
      <w:r>
        <w:rPr>
          <w:rFonts w:ascii="Courier New" w:cs="Courier New" w:eastAsia="Courier New" w:hAnsi="Courier New"/>
          <w:sz w:val="12"/>
          <w:szCs w:val="12"/>
          <w:color w:val="auto"/>
        </w:rPr>
        <w:t>preceding Interest Payment Date and ending on the next succeeding</w:t>
      </w:r>
    </w:p>
    <w:p>
      <w:pPr>
        <w:ind w:left="708"/>
        <w:spacing w:after="0"/>
        <w:rPr>
          <w:sz w:val="20"/>
          <w:szCs w:val="20"/>
          <w:color w:val="auto"/>
        </w:rPr>
      </w:pPr>
      <w:r>
        <w:rPr>
          <w:rFonts w:ascii="Courier New" w:cs="Courier New" w:eastAsia="Courier New" w:hAnsi="Courier New"/>
          <w:sz w:val="12"/>
          <w:szCs w:val="12"/>
          <w:color w:val="auto"/>
        </w:rPr>
        <w:t>Interest Payment Date.</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INDEBTEDNESS - shall mean any and all indebtedness incurred by the</w:t>
      </w:r>
    </w:p>
    <w:p>
      <w:pPr>
        <w:ind w:left="708"/>
        <w:spacing w:after="0"/>
        <w:rPr>
          <w:sz w:val="20"/>
          <w:szCs w:val="20"/>
          <w:color w:val="auto"/>
        </w:rPr>
      </w:pPr>
      <w:r>
        <w:rPr>
          <w:rFonts w:ascii="Courier New" w:cs="Courier New" w:eastAsia="Courier New" w:hAnsi="Courier New"/>
          <w:sz w:val="12"/>
          <w:szCs w:val="12"/>
          <w:color w:val="auto"/>
        </w:rPr>
        <w:t>Borrower or obligations of the Borrower in respect of (i) money</w:t>
      </w:r>
    </w:p>
    <w:p>
      <w:pPr>
        <w:ind w:left="708"/>
        <w:spacing w:after="0" w:line="237" w:lineRule="auto"/>
        <w:rPr>
          <w:sz w:val="20"/>
          <w:szCs w:val="20"/>
          <w:color w:val="auto"/>
        </w:rPr>
      </w:pPr>
      <w:r>
        <w:rPr>
          <w:rFonts w:ascii="Courier New" w:cs="Courier New" w:eastAsia="Courier New" w:hAnsi="Courier New"/>
          <w:sz w:val="12"/>
          <w:szCs w:val="12"/>
          <w:color w:val="auto"/>
        </w:rPr>
        <w:t>borrowed or raised, (ii) any note, loan, bonds, debenture or similar</w:t>
      </w:r>
    </w:p>
    <w:p>
      <w:pPr>
        <w:ind w:left="708"/>
        <w:spacing w:after="0"/>
        <w:rPr>
          <w:sz w:val="20"/>
          <w:szCs w:val="20"/>
          <w:color w:val="auto"/>
        </w:rPr>
      </w:pPr>
      <w:r>
        <w:rPr>
          <w:rFonts w:ascii="Courier New" w:cs="Courier New" w:eastAsia="Courier New" w:hAnsi="Courier New"/>
          <w:sz w:val="12"/>
          <w:szCs w:val="12"/>
          <w:color w:val="auto"/>
        </w:rPr>
        <w:t>instruments, including obligations incurred in connection with the</w:t>
      </w:r>
    </w:p>
    <w:p>
      <w:pPr>
        <w:ind w:left="708"/>
        <w:spacing w:after="0" w:line="237" w:lineRule="auto"/>
        <w:rPr>
          <w:sz w:val="20"/>
          <w:szCs w:val="20"/>
          <w:color w:val="auto"/>
        </w:rPr>
      </w:pPr>
      <w:r>
        <w:rPr>
          <w:rFonts w:ascii="Courier New" w:cs="Courier New" w:eastAsia="Courier New" w:hAnsi="Courier New"/>
          <w:sz w:val="12"/>
          <w:szCs w:val="12"/>
          <w:color w:val="auto"/>
        </w:rPr>
        <w:t>acquisition of property, assets or business, (iii) deferred payments</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for assets or services acquired (but excluding trade accounts payable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or accrued liabilities arising in the ordinary course of business),</w:t>
      </w:r>
    </w:p>
    <w:p>
      <w:pPr>
        <w:spacing w:after="0" w:line="4" w:lineRule="exact"/>
        <w:rPr>
          <w:sz w:val="20"/>
          <w:szCs w:val="20"/>
          <w:color w:val="auto"/>
        </w:rPr>
      </w:pPr>
    </w:p>
    <w:p>
      <w:pPr>
        <w:ind w:left="708" w:right="4619" w:hanging="5"/>
        <w:spacing w:after="0" w:line="261" w:lineRule="auto"/>
        <w:tabs>
          <w:tab w:leader="none" w:pos="1059" w:val="left"/>
        </w:tabs>
        <w:numPr>
          <w:ilvl w:val="0"/>
          <w:numId w:val="1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reimbursement, guarantee, letter of credit, banker's acceptance or other instrument issued in support of Indebtedness or on account of the Borrower, (v) each and any obligation to pay rent or other payment amounts of the Borrower with respect to any sale and leaseback transaction to which the Borrower is a party, (vii) every obligation of the type referred to in sub-clauses (i)-(v) of another person or entity whatsoever, the payment of which is guaranteed by the Borrower or for which the Borrower is responsible, directly or indirectly, with respect thereof, as obligor, guarantor or otherwise.</w:t>
      </w:r>
    </w:p>
    <w:p>
      <w:pPr>
        <w:spacing w:after="0" w:line="262" w:lineRule="exact"/>
        <w:rPr>
          <w:rFonts w:ascii="Courier New" w:cs="Courier New" w:eastAsia="Courier New" w:hAnsi="Courier New"/>
          <w:sz w:val="11"/>
          <w:szCs w:val="11"/>
          <w:color w:val="auto"/>
        </w:rPr>
      </w:pPr>
    </w:p>
    <w:p>
      <w:pPr>
        <w:ind w:left="2748" w:hanging="149"/>
        <w:spacing w:after="0"/>
        <w:tabs>
          <w:tab w:leader="none" w:pos="2748" w:val="left"/>
        </w:tabs>
        <w:numPr>
          <w:ilvl w:val="1"/>
          <w:numId w:val="1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3 -</w:t>
      </w:r>
    </w:p>
    <w:p>
      <w:pPr>
        <w:spacing w:after="0" w:line="200" w:lineRule="exact"/>
        <w:rPr>
          <w:sz w:val="20"/>
          <w:szCs w:val="20"/>
          <w:color w:val="auto"/>
        </w:rPr>
      </w:pPr>
    </w:p>
    <w:p>
      <w:pPr>
        <w:spacing w:after="0" w:line="20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LIEN - shall mean the pledge, charge, mortgage or security interest</w:t>
      </w:r>
    </w:p>
    <w:p>
      <w:pPr>
        <w:ind w:left="708"/>
        <w:spacing w:after="0"/>
        <w:rPr>
          <w:sz w:val="20"/>
          <w:szCs w:val="20"/>
          <w:color w:val="auto"/>
        </w:rPr>
      </w:pPr>
      <w:r>
        <w:rPr>
          <w:rFonts w:ascii="Courier New" w:cs="Courier New" w:eastAsia="Courier New" w:hAnsi="Courier New"/>
          <w:sz w:val="12"/>
          <w:szCs w:val="12"/>
          <w:color w:val="auto"/>
        </w:rPr>
        <w:t>granted or imposed hereunder or under the Loan Documents</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LIBOR - shall mean the average of the rate shown on the display</w:t>
      </w:r>
    </w:p>
    <w:p>
      <w:pPr>
        <w:ind w:left="708"/>
        <w:spacing w:after="0"/>
        <w:rPr>
          <w:sz w:val="20"/>
          <w:szCs w:val="20"/>
          <w:color w:val="auto"/>
        </w:rPr>
      </w:pPr>
      <w:r>
        <w:rPr>
          <w:rFonts w:ascii="Courier New" w:cs="Courier New" w:eastAsia="Courier New" w:hAnsi="Courier New"/>
          <w:sz w:val="12"/>
          <w:szCs w:val="12"/>
          <w:color w:val="auto"/>
        </w:rPr>
        <w:t>designated as page "LIBOR" on the Reuters Monitor System (or such</w:t>
      </w:r>
    </w:p>
    <w:p>
      <w:pPr>
        <w:ind w:left="708"/>
        <w:spacing w:after="0" w:line="237" w:lineRule="auto"/>
        <w:rPr>
          <w:sz w:val="20"/>
          <w:szCs w:val="20"/>
          <w:color w:val="auto"/>
        </w:rPr>
      </w:pPr>
      <w:r>
        <w:rPr>
          <w:rFonts w:ascii="Courier New" w:cs="Courier New" w:eastAsia="Courier New" w:hAnsi="Courier New"/>
          <w:sz w:val="12"/>
          <w:szCs w:val="12"/>
          <w:color w:val="auto"/>
        </w:rPr>
        <w:t>other page as may replace page "LIBOR" on that system) as being the</w:t>
      </w:r>
    </w:p>
    <w:p>
      <w:pPr>
        <w:ind w:left="708"/>
        <w:spacing w:after="0"/>
        <w:rPr>
          <w:sz w:val="20"/>
          <w:szCs w:val="20"/>
          <w:color w:val="auto"/>
        </w:rPr>
      </w:pPr>
      <w:r>
        <w:rPr>
          <w:rFonts w:ascii="Courier New" w:cs="Courier New" w:eastAsia="Courier New" w:hAnsi="Courier New"/>
          <w:sz w:val="12"/>
          <w:szCs w:val="12"/>
          <w:color w:val="auto"/>
        </w:rPr>
        <w:t>rate per annum at which deposits in US$ are offered in the London</w:t>
      </w:r>
    </w:p>
    <w:p>
      <w:pPr>
        <w:ind w:left="708"/>
        <w:spacing w:after="0" w:line="237" w:lineRule="auto"/>
        <w:rPr>
          <w:sz w:val="20"/>
          <w:szCs w:val="20"/>
          <w:color w:val="auto"/>
        </w:rPr>
      </w:pPr>
      <w:r>
        <w:rPr>
          <w:rFonts w:ascii="Courier New" w:cs="Courier New" w:eastAsia="Courier New" w:hAnsi="Courier New"/>
          <w:sz w:val="12"/>
          <w:szCs w:val="12"/>
          <w:color w:val="auto"/>
        </w:rPr>
        <w:t>Interbank Market for a period equal to the Interest Period.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LOAN DOCUMENTS - shall mean each of this Agreement, the Assumption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Agreement, each and any Request for Disbursement and any agreements or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documents executed or delivered or to be executed or delivered</w:t>
      </w:r>
    </w:p>
    <w:p>
      <w:pPr>
        <w:ind w:left="708"/>
        <w:spacing w:after="0"/>
        <w:rPr>
          <w:sz w:val="20"/>
          <w:szCs w:val="20"/>
          <w:color w:val="auto"/>
        </w:rPr>
      </w:pPr>
      <w:r>
        <w:rPr>
          <w:rFonts w:ascii="Courier New" w:cs="Courier New" w:eastAsia="Courier New" w:hAnsi="Courier New"/>
          <w:sz w:val="12"/>
          <w:szCs w:val="12"/>
          <w:color w:val="auto"/>
        </w:rPr>
        <w:t>pursuant to this Agreement.</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NOTICE - shall mean every notice, request, demand or other</w:t>
      </w:r>
    </w:p>
    <w:p>
      <w:pPr>
        <w:ind w:left="708"/>
        <w:spacing w:after="0"/>
        <w:rPr>
          <w:sz w:val="20"/>
          <w:szCs w:val="20"/>
          <w:color w:val="auto"/>
        </w:rPr>
      </w:pPr>
      <w:r>
        <w:rPr>
          <w:rFonts w:ascii="Courier New" w:cs="Courier New" w:eastAsia="Courier New" w:hAnsi="Courier New"/>
          <w:sz w:val="12"/>
          <w:szCs w:val="12"/>
          <w:color w:val="auto"/>
        </w:rPr>
        <w:t>communication to be made under this Agreement.</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PROCEEDINGS - shall mean any suit, action or proceedings arising out</w:t>
      </w:r>
    </w:p>
    <w:p>
      <w:pPr>
        <w:ind w:left="708"/>
        <w:spacing w:after="0"/>
        <w:rPr>
          <w:sz w:val="20"/>
          <w:szCs w:val="20"/>
          <w:color w:val="auto"/>
        </w:rPr>
      </w:pPr>
      <w:r>
        <w:rPr>
          <w:rFonts w:ascii="Courier New" w:cs="Courier New" w:eastAsia="Courier New" w:hAnsi="Courier New"/>
          <w:sz w:val="12"/>
          <w:szCs w:val="12"/>
          <w:color w:val="auto"/>
        </w:rPr>
        <w:t>of, or in connection, with this Agreement.</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REPAYMENT SCHEDULE - shall mean the schedule attached as APPENDIX A</w:t>
      </w:r>
    </w:p>
    <w:p>
      <w:pPr>
        <w:ind w:left="708"/>
        <w:spacing w:after="0"/>
        <w:rPr>
          <w:sz w:val="20"/>
          <w:szCs w:val="20"/>
          <w:color w:val="auto"/>
        </w:rPr>
      </w:pPr>
      <w:r>
        <w:rPr>
          <w:rFonts w:ascii="Courier New" w:cs="Courier New" w:eastAsia="Courier New" w:hAnsi="Courier New"/>
          <w:sz w:val="12"/>
          <w:szCs w:val="12"/>
          <w:color w:val="auto"/>
        </w:rPr>
        <w:t>hereto.</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TAXES - includes all present and future taxes, levies, withholdings,</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duties, fees or charges, of whatsoever nature, together with interest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thereon, imposed by or within Israel or any political subdivision or</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taxing authority thereof or therein, or in the country from which any</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payment due under this Agreement is effected by the Borrower except on</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taxes which may be imposed in Israel or in the USA on the overall</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net income of the Lender.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US$ OR UNITED STATES DOLLAR'S - shall mean the currency which is the</w:t>
      </w:r>
    </w:p>
    <w:p>
      <w:pPr>
        <w:ind w:left="708"/>
        <w:spacing w:after="0"/>
        <w:rPr>
          <w:sz w:val="20"/>
          <w:szCs w:val="20"/>
          <w:color w:val="auto"/>
        </w:rPr>
      </w:pPr>
      <w:r>
        <w:rPr>
          <w:rFonts w:ascii="Courier New" w:cs="Courier New" w:eastAsia="Courier New" w:hAnsi="Courier New"/>
          <w:sz w:val="12"/>
          <w:szCs w:val="12"/>
          <w:color w:val="auto"/>
        </w:rPr>
        <w:t>legal tender of the United States of America during the duration of</w:t>
      </w:r>
    </w:p>
    <w:p>
      <w:pPr>
        <w:ind w:left="708"/>
        <w:spacing w:after="0" w:line="237" w:lineRule="auto"/>
        <w:rPr>
          <w:sz w:val="20"/>
          <w:szCs w:val="20"/>
          <w:color w:val="auto"/>
        </w:rPr>
      </w:pPr>
      <w:r>
        <w:rPr>
          <w:rFonts w:ascii="Courier New" w:cs="Courier New" w:eastAsia="Courier New" w:hAnsi="Courier New"/>
          <w:sz w:val="12"/>
          <w:szCs w:val="12"/>
          <w:color w:val="auto"/>
        </w:rPr>
        <w:t>this Agreement.</w:t>
      </w:r>
    </w:p>
    <w:p>
      <w:pPr>
        <w:spacing w:after="0" w:line="139" w:lineRule="exact"/>
        <w:rPr>
          <w:sz w:val="20"/>
          <w:szCs w:val="20"/>
          <w:color w:val="auto"/>
        </w:rPr>
      </w:pPr>
    </w:p>
    <w:p>
      <w:pPr>
        <w:ind w:left="708" w:right="4699" w:hanging="350"/>
        <w:spacing w:after="0" w:line="235" w:lineRule="auto"/>
        <w:tabs>
          <w:tab w:leader="none" w:pos="688" w:val="left"/>
        </w:tabs>
        <w:rPr>
          <w:sz w:val="20"/>
          <w:szCs w:val="20"/>
          <w:color w:val="auto"/>
        </w:rPr>
      </w:pPr>
      <w:r>
        <w:rPr>
          <w:rFonts w:ascii="Courier New" w:cs="Courier New" w:eastAsia="Courier New" w:hAnsi="Courier New"/>
          <w:sz w:val="12"/>
          <w:szCs w:val="12"/>
          <w:color w:val="auto"/>
        </w:rPr>
        <w:t>1.3</w:t>
        <w:tab/>
        <w:t>A reference to a Section, Clause, Appendix or an Annex is a reference to a Section, Clause, Appendix or an Annex hereto.</w:t>
      </w:r>
    </w:p>
    <w:p>
      <w:pPr>
        <w:spacing w:after="0" w:line="139" w:lineRule="exact"/>
        <w:rPr>
          <w:sz w:val="20"/>
          <w:szCs w:val="20"/>
          <w:color w:val="auto"/>
        </w:rPr>
      </w:pPr>
    </w:p>
    <w:p>
      <w:pPr>
        <w:ind w:left="708" w:right="4759" w:hanging="350"/>
        <w:spacing w:after="0" w:line="273" w:lineRule="auto"/>
        <w:tabs>
          <w:tab w:leader="none" w:pos="688" w:val="left"/>
        </w:tabs>
        <w:rPr>
          <w:sz w:val="20"/>
          <w:szCs w:val="20"/>
          <w:color w:val="auto"/>
        </w:rPr>
      </w:pPr>
      <w:r>
        <w:rPr>
          <w:rFonts w:ascii="Courier New" w:cs="Courier New" w:eastAsia="Courier New" w:hAnsi="Courier New"/>
          <w:sz w:val="12"/>
          <w:szCs w:val="12"/>
          <w:color w:val="auto"/>
        </w:rPr>
        <w:t>1.4</w:t>
      </w:r>
      <w:r>
        <w:rPr>
          <w:sz w:val="20"/>
          <w:szCs w:val="20"/>
          <w:color w:val="auto"/>
        </w:rPr>
        <w:tab/>
      </w:r>
      <w:r>
        <w:rPr>
          <w:rFonts w:ascii="Courier New" w:cs="Courier New" w:eastAsia="Courier New" w:hAnsi="Courier New"/>
          <w:sz w:val="11"/>
          <w:szCs w:val="11"/>
          <w:color w:val="auto"/>
        </w:rPr>
        <w:t>All headings are for ease of reference only and shall be disregarded in the construction or interpretations of this Agreement.</w:t>
      </w:r>
    </w:p>
    <w:p>
      <w:pPr>
        <w:spacing w:after="0" w:line="117" w:lineRule="exact"/>
        <w:rPr>
          <w:sz w:val="20"/>
          <w:szCs w:val="20"/>
          <w:color w:val="auto"/>
        </w:rPr>
      </w:pPr>
    </w:p>
    <w:p>
      <w:pPr>
        <w:ind w:left="348" w:hanging="348"/>
        <w:spacing w:after="0"/>
        <w:tabs>
          <w:tab w:leader="none" w:pos="348" w:val="left"/>
        </w:tabs>
        <w:numPr>
          <w:ilvl w:val="0"/>
          <w:numId w:val="1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LOAN AVAILABILITY PERIOD AND LIEN</w:t>
      </w:r>
    </w:p>
    <w:p>
      <w:pPr>
        <w:spacing w:after="0" w:line="138" w:lineRule="exact"/>
        <w:rPr>
          <w:rFonts w:ascii="Courier New" w:cs="Courier New" w:eastAsia="Courier New" w:hAnsi="Courier New"/>
          <w:sz w:val="12"/>
          <w:szCs w:val="12"/>
          <w:color w:val="auto"/>
        </w:rPr>
      </w:pPr>
    </w:p>
    <w:p>
      <w:pPr>
        <w:ind w:left="708" w:right="4619" w:hanging="351"/>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2.1. Subject to the terms and conditions of this Agreement, the Borrower hereby agrees to borrow from the Lender and the Lender, relying upon the representations and warranties contained in this Agreement, hereby</w:t>
      </w:r>
    </w:p>
    <w:p>
      <w:pPr>
        <w:sectPr>
          <w:pgSz w:w="11900" w:h="16838" w:orient="portrait"/>
          <w:cols w:equalWidth="0" w:num="1">
            <w:col w:w="10247"/>
          </w:cols>
          <w:pgMar w:left="212" w:top="407" w:right="1440" w:bottom="0" w:gutter="0" w:footer="0" w:header="0"/>
        </w:sectPr>
      </w:pPr>
    </w:p>
    <w:bookmarkStart w:id="90" w:name="page91"/>
    <w:bookmarkEnd w:id="90"/>
    <w:p>
      <w:pPr>
        <w:ind w:left="708"/>
        <w:spacing w:after="0"/>
        <w:rPr>
          <w:sz w:val="20"/>
          <w:szCs w:val="20"/>
          <w:color w:val="auto"/>
        </w:rPr>
      </w:pPr>
      <w:r>
        <w:rPr>
          <w:rFonts w:ascii="Courier New" w:cs="Courier New" w:eastAsia="Courier New" w:hAnsi="Courier New"/>
          <w:sz w:val="12"/>
          <w:szCs w:val="12"/>
          <w:color w:val="auto"/>
        </w:rPr>
        <w:t>agrees to make available to the Borrower, the Loan, which shall be</w:t>
      </w:r>
    </w:p>
    <w:p>
      <w:pPr>
        <w:ind w:left="708"/>
        <w:spacing w:after="0"/>
        <w:rPr>
          <w:sz w:val="20"/>
          <w:szCs w:val="20"/>
          <w:color w:val="auto"/>
        </w:rPr>
      </w:pPr>
      <w:r>
        <w:rPr>
          <w:rFonts w:ascii="Courier New" w:cs="Courier New" w:eastAsia="Courier New" w:hAnsi="Courier New"/>
          <w:sz w:val="12"/>
          <w:szCs w:val="12"/>
          <w:color w:val="auto"/>
        </w:rPr>
        <w:t>effected in Disbursements, for the purpose of financing the purchase</w:t>
      </w:r>
    </w:p>
    <w:p>
      <w:pPr>
        <w:ind w:left="708"/>
        <w:spacing w:after="0" w:line="237" w:lineRule="auto"/>
        <w:rPr>
          <w:sz w:val="20"/>
          <w:szCs w:val="20"/>
          <w:color w:val="auto"/>
        </w:rPr>
      </w:pPr>
      <w:r>
        <w:rPr>
          <w:rFonts w:ascii="Courier New" w:cs="Courier New" w:eastAsia="Courier New" w:hAnsi="Courier New"/>
          <w:sz w:val="12"/>
          <w:szCs w:val="12"/>
          <w:color w:val="auto"/>
        </w:rPr>
        <w:t>of the Equipment to be supplied by the Supplier pursuant to the</w:t>
      </w:r>
    </w:p>
    <w:p>
      <w:pPr>
        <w:ind w:left="708"/>
        <w:spacing w:after="0"/>
        <w:rPr>
          <w:sz w:val="20"/>
          <w:szCs w:val="20"/>
          <w:color w:val="auto"/>
        </w:rPr>
      </w:pPr>
      <w:r>
        <w:rPr>
          <w:rFonts w:ascii="Courier New" w:cs="Courier New" w:eastAsia="Courier New" w:hAnsi="Courier New"/>
          <w:sz w:val="12"/>
          <w:szCs w:val="12"/>
          <w:color w:val="auto"/>
        </w:rPr>
        <w:t>Equipment Purchase Order that has been assumed by Borrower.</w:t>
      </w:r>
    </w:p>
    <w:p>
      <w:pPr>
        <w:spacing w:after="0" w:line="138" w:lineRule="exact"/>
        <w:rPr>
          <w:sz w:val="20"/>
          <w:szCs w:val="20"/>
          <w:color w:val="auto"/>
        </w:rPr>
      </w:pPr>
    </w:p>
    <w:p>
      <w:pPr>
        <w:ind w:left="708" w:right="4699" w:hanging="350"/>
        <w:spacing w:after="0" w:line="236" w:lineRule="auto"/>
        <w:rPr>
          <w:sz w:val="20"/>
          <w:szCs w:val="20"/>
          <w:color w:val="auto"/>
        </w:rPr>
      </w:pPr>
      <w:r>
        <w:rPr>
          <w:rFonts w:ascii="Courier New" w:cs="Courier New" w:eastAsia="Courier New" w:hAnsi="Courier New"/>
          <w:sz w:val="12"/>
          <w:szCs w:val="12"/>
          <w:color w:val="auto"/>
        </w:rPr>
        <w:t>2.2. Disbursements in the framework of the Loan shall be effected by the Lender subject always to the terms herein stipulated, only during the Availability Period.</w:t>
      </w:r>
    </w:p>
    <w:p>
      <w:pPr>
        <w:spacing w:after="0" w:line="270"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- 4 -</w:t>
      </w:r>
    </w:p>
    <w:p>
      <w:pPr>
        <w:spacing w:after="0" w:line="200" w:lineRule="exact"/>
        <w:rPr>
          <w:sz w:val="20"/>
          <w:szCs w:val="20"/>
          <w:color w:val="auto"/>
        </w:rPr>
      </w:pPr>
    </w:p>
    <w:p>
      <w:pPr>
        <w:spacing w:after="0" w:line="209" w:lineRule="exact"/>
        <w:rPr>
          <w:sz w:val="20"/>
          <w:szCs w:val="20"/>
          <w:color w:val="auto"/>
        </w:rPr>
      </w:pPr>
    </w:p>
    <w:p>
      <w:pPr>
        <w:ind w:left="708" w:right="4619" w:hanging="350"/>
        <w:spacing w:after="0" w:line="238" w:lineRule="auto"/>
        <w:rPr>
          <w:sz w:val="20"/>
          <w:szCs w:val="20"/>
          <w:color w:val="auto"/>
        </w:rPr>
      </w:pPr>
      <w:r>
        <w:rPr>
          <w:rFonts w:ascii="Courier New" w:cs="Courier New" w:eastAsia="Courier New" w:hAnsi="Courier New"/>
          <w:sz w:val="12"/>
          <w:szCs w:val="12"/>
          <w:color w:val="auto"/>
        </w:rPr>
        <w:t>2.3. In support of any and all of the obligations and undertakings of the Borrower herein and in the Loan Documents, Borrower hereby grants to Lender a specific charge and security interest and Lien on the Equipment and on all rights therein and proceeds therefrom, and consents to the filing, registration and perfection of such specific, charge, security interest and Lien on the Equipment in and with any and all registrars or other governmental or administrative offices as shall be necessary or desirable for such perfection. The charge on the Equipment shall secure any and all amounts due under the Loan Documents at any time up to and not to exceed the fair market value of the Equipment, such value to be determined at the time of any Event of Default under the Loan Documents. At the discretion of the Lender as shall be notified to the Borrower in writing following any such Event of Default, the Lender may exercise the rights granted under the specific charge on the Equipment through the possession of the Equipment.</w:t>
      </w:r>
    </w:p>
    <w:p>
      <w:pPr>
        <w:spacing w:after="0" w:line="136" w:lineRule="exact"/>
        <w:rPr>
          <w:sz w:val="20"/>
          <w:szCs w:val="20"/>
          <w:color w:val="auto"/>
        </w:rPr>
      </w:pPr>
    </w:p>
    <w:p>
      <w:pPr>
        <w:ind w:left="348" w:hanging="348"/>
        <w:spacing w:after="0"/>
        <w:tabs>
          <w:tab w:leader="none" w:pos="348" w:val="left"/>
        </w:tabs>
        <w:numPr>
          <w:ilvl w:val="0"/>
          <w:numId w:val="1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ENTRY INTO FORCE AND CONDITIONS PRECEDENT</w:t>
      </w:r>
    </w:p>
    <w:p>
      <w:pPr>
        <w:spacing w:after="0" w:line="134" w:lineRule="exact"/>
        <w:rPr>
          <w:sz w:val="20"/>
          <w:szCs w:val="20"/>
          <w:color w:val="auto"/>
        </w:rPr>
      </w:pPr>
    </w:p>
    <w:p>
      <w:pPr>
        <w:ind w:left="348"/>
        <w:spacing w:after="0"/>
        <w:tabs>
          <w:tab w:leader="none" w:pos="688" w:val="left"/>
        </w:tabs>
        <w:rPr>
          <w:sz w:val="20"/>
          <w:szCs w:val="20"/>
          <w:color w:val="auto"/>
        </w:rPr>
      </w:pPr>
      <w:r>
        <w:rPr>
          <w:rFonts w:ascii="Courier New" w:cs="Courier New" w:eastAsia="Courier New" w:hAnsi="Courier New"/>
          <w:sz w:val="12"/>
          <w:szCs w:val="12"/>
          <w:color w:val="auto"/>
        </w:rPr>
        <w:t>3.1</w:t>
      </w:r>
      <w:r>
        <w:rPr>
          <w:sz w:val="20"/>
          <w:szCs w:val="20"/>
          <w:color w:val="auto"/>
        </w:rPr>
        <w:tab/>
      </w:r>
      <w:r>
        <w:rPr>
          <w:rFonts w:ascii="Courier New" w:cs="Courier New" w:eastAsia="Courier New" w:hAnsi="Courier New"/>
          <w:sz w:val="11"/>
          <w:szCs w:val="11"/>
          <w:color w:val="auto"/>
        </w:rPr>
        <w:t>ENTRY INTO FORCE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obligations of the Lender to provide the Loan shall enter into</w:t>
      </w:r>
    </w:p>
    <w:p>
      <w:pPr>
        <w:ind w:left="708"/>
        <w:spacing w:after="0"/>
        <w:rPr>
          <w:sz w:val="20"/>
          <w:szCs w:val="20"/>
          <w:color w:val="auto"/>
        </w:rPr>
      </w:pPr>
      <w:r>
        <w:rPr>
          <w:rFonts w:ascii="Courier New" w:cs="Courier New" w:eastAsia="Courier New" w:hAnsi="Courier New"/>
          <w:sz w:val="12"/>
          <w:szCs w:val="12"/>
          <w:color w:val="auto"/>
        </w:rPr>
        <w:t>force upon the receipt by the Lender of each and all of the herein</w:t>
      </w:r>
    </w:p>
    <w:p>
      <w:pPr>
        <w:ind w:left="708"/>
        <w:spacing w:after="0" w:line="237" w:lineRule="auto"/>
        <w:rPr>
          <w:sz w:val="20"/>
          <w:szCs w:val="20"/>
          <w:color w:val="auto"/>
        </w:rPr>
      </w:pPr>
      <w:r>
        <w:rPr>
          <w:rFonts w:ascii="Courier New" w:cs="Courier New" w:eastAsia="Courier New" w:hAnsi="Courier New"/>
          <w:sz w:val="12"/>
          <w:szCs w:val="12"/>
          <w:color w:val="auto"/>
        </w:rPr>
        <w:t>below specified documents, payments and conditions to be received by</w:t>
      </w:r>
    </w:p>
    <w:p>
      <w:pPr>
        <w:ind w:left="708"/>
        <w:spacing w:after="0"/>
        <w:rPr>
          <w:sz w:val="20"/>
          <w:szCs w:val="20"/>
          <w:color w:val="auto"/>
        </w:rPr>
      </w:pPr>
      <w:r>
        <w:rPr>
          <w:rFonts w:ascii="Courier New" w:cs="Courier New" w:eastAsia="Courier New" w:hAnsi="Courier New"/>
          <w:sz w:val="12"/>
          <w:szCs w:val="12"/>
          <w:color w:val="auto"/>
        </w:rPr>
        <w:t>the Lender or, as the case may be, fulfilled by the Borrower, to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Lender's full satisfaction (except as may be expressly approved by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Lender):</w:t>
      </w:r>
    </w:p>
    <w:p>
      <w:pPr>
        <w:spacing w:after="0" w:line="139" w:lineRule="exact"/>
        <w:rPr>
          <w:sz w:val="20"/>
          <w:szCs w:val="20"/>
          <w:color w:val="auto"/>
        </w:rPr>
      </w:pPr>
    </w:p>
    <w:p>
      <w:pPr>
        <w:ind w:left="1048" w:right="4619" w:hanging="345"/>
        <w:spacing w:after="0" w:line="261" w:lineRule="auto"/>
        <w:tabs>
          <w:tab w:leader="none" w:pos="1048" w:val="left"/>
        </w:tabs>
        <w:numPr>
          <w:ilvl w:val="0"/>
          <w:numId w:val="1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Photocopies, each certified to be true and correct by the Secretary of the Borrower, of the resolution(s) of the Borrower's board of directors (and/or of such other relevant committee or authority of the Borrower, the resolution(s) of which are necessary for the purpose herein contemplated, according to the Borrower's constitutional documents, approving, to the full satisfaction of the Lender, the execution, delivery and performance of this Agreement and the other Loan Documents to be furnished by the Borrower and the transactions contemplated herein and therein, and nominating and authorizing the person(s) to sign this Agreement and any other relevant Loan Document to be issued by the Borrower in the name and on behalf of the Borrower.</w:t>
      </w:r>
    </w:p>
    <w:p>
      <w:pPr>
        <w:spacing w:after="0" w:line="130" w:lineRule="exact"/>
        <w:rPr>
          <w:rFonts w:ascii="Courier New" w:cs="Courier New" w:eastAsia="Courier New" w:hAnsi="Courier New"/>
          <w:sz w:val="11"/>
          <w:szCs w:val="11"/>
          <w:color w:val="auto"/>
        </w:rPr>
      </w:pPr>
    </w:p>
    <w:p>
      <w:pPr>
        <w:ind w:left="1048" w:right="4619" w:hanging="345"/>
        <w:spacing w:after="0" w:line="261" w:lineRule="auto"/>
        <w:tabs>
          <w:tab w:leader="none" w:pos="1048" w:val="left"/>
        </w:tabs>
        <w:numPr>
          <w:ilvl w:val="0"/>
          <w:numId w:val="1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certificate, issued and signed by the Secretary of the Borrower, certifying the names of the officers of the Borrower authorized to sign this Agreement and any other relevant Loan Document to be issued by the Borrower and such other documents or certificates to be delivered by the Borrower hereunder or thereunder, and attaching their specimen of signature certified by the Secretary of the Borrower. The Lender may conclusively rely on such certificate until the Lender shall receive a further certificate of the Secretary of the Borrower (accompanied by appropriate resolutions of the Borrower) canceling or amending the prior certificate and submitting the specimen of signatures of the officer(s) named in such certificate.</w:t>
      </w:r>
    </w:p>
    <w:p>
      <w:pPr>
        <w:spacing w:after="0" w:line="396" w:lineRule="exact"/>
        <w:rPr>
          <w:rFonts w:ascii="Courier New" w:cs="Courier New" w:eastAsia="Courier New" w:hAnsi="Courier New"/>
          <w:sz w:val="11"/>
          <w:szCs w:val="11"/>
          <w:color w:val="auto"/>
        </w:rPr>
      </w:pPr>
    </w:p>
    <w:p>
      <w:pPr>
        <w:ind w:left="2748" w:hanging="149"/>
        <w:spacing w:after="0"/>
        <w:tabs>
          <w:tab w:leader="none" w:pos="2748" w:val="left"/>
        </w:tabs>
        <w:numPr>
          <w:ilvl w:val="1"/>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pacing w:after="0" w:line="200" w:lineRule="exact"/>
        <w:rPr>
          <w:rFonts w:ascii="Courier New" w:cs="Courier New" w:eastAsia="Courier New" w:hAnsi="Courier New"/>
          <w:sz w:val="12"/>
          <w:szCs w:val="12"/>
          <w:color w:val="auto"/>
        </w:rPr>
      </w:pPr>
    </w:p>
    <w:p>
      <w:pPr>
        <w:spacing w:after="0" w:line="208" w:lineRule="exact"/>
        <w:rPr>
          <w:rFonts w:ascii="Courier New" w:cs="Courier New" w:eastAsia="Courier New" w:hAnsi="Courier New"/>
          <w:sz w:val="12"/>
          <w:szCs w:val="12"/>
          <w:color w:val="auto"/>
        </w:rPr>
      </w:pPr>
    </w:p>
    <w:p>
      <w:pPr>
        <w:ind w:left="1048" w:right="4699" w:hanging="345"/>
        <w:spacing w:after="0" w:line="261" w:lineRule="auto"/>
        <w:tabs>
          <w:tab w:leader="none" w:pos="1048" w:val="left"/>
        </w:tabs>
        <w:numPr>
          <w:ilvl w:val="0"/>
          <w:numId w:val="1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certificate, issued and signed by a duly authorized officer of the Borrower, stating that the annual financial reports of the Borrower, which includes audited balance sheet and profit and loss statement, for the fiscal year which ended on December 31, 2005 and the unaudited financial statements for the quarterly period which ended March 31, 2006, and which have been furnished to the Lender by the Borrower, fairly present the financial condition of the Borrower and that, as of the date thereof there are no obligations, liabilities, or Indebtedness (including contingent and indirect liabilities and obligations) of the Borrower which are (separately or in the aggregate) material and are not reflected in said financial reports and no changes, having a material adverse effect upon the financial condition or business operations of the Borrower and/or which may have a material adverse effect on the Borrower's ability to perform its obligations under this Agreement have occurred.</w:t>
      </w:r>
    </w:p>
    <w:p>
      <w:pPr>
        <w:spacing w:after="0" w:line="264" w:lineRule="exact"/>
        <w:rPr>
          <w:rFonts w:ascii="Courier New" w:cs="Courier New" w:eastAsia="Courier New" w:hAnsi="Courier New"/>
          <w:sz w:val="11"/>
          <w:szCs w:val="11"/>
          <w:color w:val="auto"/>
        </w:rPr>
      </w:pPr>
    </w:p>
    <w:p>
      <w:pPr>
        <w:ind w:left="1048" w:right="5179" w:hanging="345"/>
        <w:spacing w:after="0" w:line="235" w:lineRule="auto"/>
        <w:tabs>
          <w:tab w:leader="none" w:pos="1048"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Assumption Agreement executed by the Borrower and the Supplier.</w:t>
      </w:r>
    </w:p>
    <w:p>
      <w:pPr>
        <w:spacing w:after="0" w:line="139" w:lineRule="exact"/>
        <w:rPr>
          <w:rFonts w:ascii="Courier New" w:cs="Courier New" w:eastAsia="Courier New" w:hAnsi="Courier New"/>
          <w:sz w:val="12"/>
          <w:szCs w:val="12"/>
          <w:color w:val="auto"/>
        </w:rPr>
      </w:pPr>
    </w:p>
    <w:p>
      <w:pPr>
        <w:ind w:left="1048" w:right="4699" w:hanging="345"/>
        <w:spacing w:after="0" w:line="236" w:lineRule="auto"/>
        <w:tabs>
          <w:tab w:leader="none" w:pos="1048"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Ancillary Equipment Purchase Contract executed by the Borrower and the supplier of the Ancillary Equipment, along with evidence of the designation for payment by the Borrower of funds owing under such contract.</w:t>
      </w:r>
    </w:p>
    <w:p>
      <w:pPr>
        <w:spacing w:after="0" w:line="140" w:lineRule="exact"/>
        <w:rPr>
          <w:rFonts w:ascii="Courier New" w:cs="Courier New" w:eastAsia="Courier New" w:hAnsi="Courier New"/>
          <w:sz w:val="12"/>
          <w:szCs w:val="12"/>
          <w:color w:val="auto"/>
        </w:rPr>
      </w:pPr>
    </w:p>
    <w:p>
      <w:pPr>
        <w:ind w:left="1048" w:right="4619" w:hanging="345"/>
        <w:spacing w:after="0" w:line="264" w:lineRule="auto"/>
        <w:tabs>
          <w:tab w:leader="none" w:pos="1048" w:val="left"/>
        </w:tabs>
        <w:numPr>
          <w:ilvl w:val="0"/>
          <w:numId w:val="1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Evidence of the filing of this Agreement and any other Loan Documents with the Israel Companies Registrar and any other government office as is required to perfect the Lien on the Equipment under Section 169(d) of the Israel Companies Ordinance.</w:t>
      </w:r>
    </w:p>
    <w:p>
      <w:pPr>
        <w:spacing w:after="0" w:line="127" w:lineRule="exact"/>
        <w:rPr>
          <w:rFonts w:ascii="Courier New" w:cs="Courier New" w:eastAsia="Courier New" w:hAnsi="Courier New"/>
          <w:sz w:val="11"/>
          <w:szCs w:val="11"/>
          <w:color w:val="auto"/>
        </w:rPr>
      </w:pPr>
    </w:p>
    <w:p>
      <w:pPr>
        <w:ind w:left="1048" w:right="5039" w:hanging="345"/>
        <w:spacing w:after="0" w:line="273" w:lineRule="auto"/>
        <w:tabs>
          <w:tab w:leader="none" w:pos="1048" w:val="left"/>
        </w:tabs>
        <w:numPr>
          <w:ilvl w:val="0"/>
          <w:numId w:val="1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form of the Policy, ready for authorization by the issuer thereof when the Equipment is delivered to the Borrower.</w:t>
      </w:r>
    </w:p>
    <w:p>
      <w:pPr>
        <w:spacing w:after="0" w:line="121" w:lineRule="exact"/>
        <w:rPr>
          <w:rFonts w:ascii="Courier New" w:cs="Courier New" w:eastAsia="Courier New" w:hAnsi="Courier New"/>
          <w:sz w:val="11"/>
          <w:szCs w:val="11"/>
          <w:color w:val="auto"/>
        </w:rPr>
      </w:pPr>
    </w:p>
    <w:p>
      <w:pPr>
        <w:ind w:left="1048" w:right="4759" w:hanging="345"/>
        <w:spacing w:after="0" w:line="236" w:lineRule="auto"/>
        <w:tabs>
          <w:tab w:leader="none" w:pos="1048"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Consent of the Banks under the Facility Agreement, to the execution and performance by the Borrower of this Agreement and the Loan Documents.</w:t>
      </w:r>
    </w:p>
    <w:p>
      <w:pPr>
        <w:spacing w:after="0" w:line="139" w:lineRule="exact"/>
        <w:rPr>
          <w:rFonts w:ascii="Courier New" w:cs="Courier New" w:eastAsia="Courier New" w:hAnsi="Courier New"/>
          <w:sz w:val="12"/>
          <w:szCs w:val="12"/>
          <w:color w:val="auto"/>
        </w:rPr>
      </w:pPr>
    </w:p>
    <w:p>
      <w:pPr>
        <w:ind w:left="1048" w:right="4619" w:hanging="345"/>
        <w:spacing w:after="0" w:line="261" w:lineRule="auto"/>
        <w:tabs>
          <w:tab w:leader="none" w:pos="1048" w:val="left"/>
        </w:tabs>
        <w:numPr>
          <w:ilvl w:val="0"/>
          <w:numId w:val="1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certificate, issued and signed by the secretary of the Borrower, stating that except as may have been disclosed by the Borrower to the Lender in writing prior to the signing of this Agreement - no litigation, investigation or proceeding before or by any arbitrator and/or governmental (or any political subdivision or jurisdiction thereof), court bureau, agency or other governmental authority, is continuing or threatened against the Borrower, (i) with respect to this Agreement or any of the transactions contemplated hereby, (ii) with respect to the Equipment Purchase Order and any of the transactions contemplated thereby (iii) which may have a material adverse effect whatsoever upon the validity, performance or enforceability of this</w:t>
      </w:r>
    </w:p>
    <w:p>
      <w:pPr>
        <w:sectPr>
          <w:pgSz w:w="11900" w:h="16838" w:orient="portrait"/>
          <w:cols w:equalWidth="0" w:num="1">
            <w:col w:w="10247"/>
          </w:cols>
          <w:pgMar w:left="212" w:top="137" w:right="1440" w:bottom="0" w:gutter="0" w:footer="0" w:header="0"/>
        </w:sectPr>
      </w:pPr>
    </w:p>
    <w:bookmarkStart w:id="91" w:name="page92"/>
    <w:bookmarkEnd w:id="91"/>
    <w:p>
      <w:pPr>
        <w:ind w:left="1048"/>
        <w:spacing w:after="0"/>
        <w:rPr>
          <w:sz w:val="20"/>
          <w:szCs w:val="20"/>
          <w:color w:val="auto"/>
        </w:rPr>
      </w:pPr>
      <w:r>
        <w:rPr>
          <w:rFonts w:ascii="Courier New" w:cs="Courier New" w:eastAsia="Courier New" w:hAnsi="Courier New"/>
          <w:sz w:val="12"/>
          <w:szCs w:val="12"/>
          <w:color w:val="auto"/>
        </w:rPr>
        <w:t>Agreement or any other relevant Loan Document which may have a</w:t>
      </w:r>
    </w:p>
    <w:p>
      <w:pPr>
        <w:ind w:left="1048"/>
        <w:spacing w:after="0"/>
        <w:rPr>
          <w:sz w:val="20"/>
          <w:szCs w:val="20"/>
          <w:color w:val="auto"/>
        </w:rPr>
      </w:pPr>
      <w:r>
        <w:rPr>
          <w:rFonts w:ascii="Courier New" w:cs="Courier New" w:eastAsia="Courier New" w:hAnsi="Courier New"/>
          <w:sz w:val="12"/>
          <w:szCs w:val="12"/>
          <w:color w:val="auto"/>
        </w:rPr>
        <w:t>material adverse effect upon the ability of the Borrower to</w:t>
      </w:r>
    </w:p>
    <w:p>
      <w:pPr>
        <w:ind w:left="1048"/>
        <w:spacing w:after="0" w:line="237" w:lineRule="auto"/>
        <w:rPr>
          <w:sz w:val="20"/>
          <w:szCs w:val="20"/>
          <w:color w:val="auto"/>
        </w:rPr>
      </w:pPr>
      <w:r>
        <w:rPr>
          <w:rFonts w:ascii="Courier New" w:cs="Courier New" w:eastAsia="Courier New" w:hAnsi="Courier New"/>
          <w:sz w:val="12"/>
          <w:szCs w:val="12"/>
          <w:color w:val="auto"/>
        </w:rPr>
        <w:t>fulfill its obligations under this Agreement.</w:t>
      </w:r>
    </w:p>
    <w:p>
      <w:pPr>
        <w:spacing w:after="0" w:line="139" w:lineRule="exact"/>
        <w:rPr>
          <w:sz w:val="20"/>
          <w:szCs w:val="20"/>
          <w:color w:val="auto"/>
        </w:rPr>
      </w:pPr>
    </w:p>
    <w:p>
      <w:pPr>
        <w:ind w:left="1048" w:right="4619" w:hanging="345"/>
        <w:spacing w:after="0" w:line="236" w:lineRule="auto"/>
        <w:tabs>
          <w:tab w:leader="none" w:pos="1048" w:val="left"/>
        </w:tabs>
        <w:numPr>
          <w:ilvl w:val="0"/>
          <w:numId w:val="1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legal opinion, addressed to the Lender, issued by a legal counsel acceptable to the Lender and dated the date hereof in the wording of APPENDIX 3.1 (K) attached hereto.</w:t>
      </w:r>
    </w:p>
    <w:p>
      <w:pPr>
        <w:spacing w:after="0" w:line="139" w:lineRule="exact"/>
        <w:rPr>
          <w:rFonts w:ascii="Courier New" w:cs="Courier New" w:eastAsia="Courier New" w:hAnsi="Courier New"/>
          <w:sz w:val="12"/>
          <w:szCs w:val="12"/>
          <w:color w:val="auto"/>
        </w:rPr>
      </w:pPr>
    </w:p>
    <w:p>
      <w:pPr>
        <w:ind w:left="1048" w:right="4619" w:hanging="345"/>
        <w:spacing w:after="0" w:line="237" w:lineRule="auto"/>
        <w:tabs>
          <w:tab w:leader="none" w:pos="1048" w:val="left"/>
        </w:tabs>
        <w:numPr>
          <w:ilvl w:val="0"/>
          <w:numId w:val="1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declaration addressed to the Lender and signed by the Secretary of the Borrower stating that the Ancillary Equipment Purchase Contract is in full force and effect and that no amendments thereto have been made after the date of signature thereof which would delay the delivery or installation of the Ancillary Equipment to the extent that such delay would interfere with the timely installation of the Equipment.</w:t>
      </w:r>
    </w:p>
    <w:p>
      <w:pPr>
        <w:spacing w:after="0" w:line="271"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pacing w:after="0" w:line="200" w:lineRule="exact"/>
        <w:rPr>
          <w:sz w:val="20"/>
          <w:szCs w:val="20"/>
          <w:color w:val="auto"/>
        </w:rPr>
      </w:pPr>
    </w:p>
    <w:p>
      <w:pPr>
        <w:spacing w:after="0" w:line="209" w:lineRule="exact"/>
        <w:rPr>
          <w:sz w:val="20"/>
          <w:szCs w:val="20"/>
          <w:color w:val="auto"/>
        </w:rPr>
      </w:pPr>
    </w:p>
    <w:p>
      <w:pPr>
        <w:ind w:left="708" w:right="4619" w:hanging="350"/>
        <w:spacing w:after="0" w:line="237" w:lineRule="auto"/>
        <w:tabs>
          <w:tab w:leader="none" w:pos="688" w:val="left"/>
        </w:tabs>
        <w:rPr>
          <w:sz w:val="20"/>
          <w:szCs w:val="20"/>
          <w:color w:val="auto"/>
        </w:rPr>
      </w:pPr>
      <w:r>
        <w:rPr>
          <w:rFonts w:ascii="Courier New" w:cs="Courier New" w:eastAsia="Courier New" w:hAnsi="Courier New"/>
          <w:sz w:val="12"/>
          <w:szCs w:val="12"/>
          <w:color w:val="auto"/>
        </w:rPr>
        <w:t>3.2</w:t>
        <w:tab/>
        <w:t>After receipt by the Lender, to its full satisfaction, of all of the above mentioned documents, the Lender shall notify the Borrower of the entry into force of this Agreement on the Date of Entry into Force. If one or more of the above documents has/have not been received by the Lender until the last day of the Approval Period, or if same or any part thereof have been received but not found by the Lender to be to its full satisfaction, at the Lender's sole discretion, then, unless otherwise agreed by the Lender in writing, the Lender shall notify the Borrower in writing to that effect and this Agreement shall be considered null and void-and the Lender's Commitment shall be immediately and automatically canceled.</w:t>
      </w:r>
    </w:p>
    <w:p>
      <w:pPr>
        <w:spacing w:after="0" w:line="140" w:lineRule="exact"/>
        <w:rPr>
          <w:sz w:val="20"/>
          <w:szCs w:val="20"/>
          <w:color w:val="auto"/>
        </w:rPr>
      </w:pPr>
    </w:p>
    <w:p>
      <w:pPr>
        <w:ind w:left="348"/>
        <w:spacing w:after="0"/>
        <w:tabs>
          <w:tab w:leader="none" w:pos="688" w:val="left"/>
        </w:tabs>
        <w:rPr>
          <w:sz w:val="20"/>
          <w:szCs w:val="20"/>
          <w:color w:val="auto"/>
        </w:rPr>
      </w:pPr>
      <w:r>
        <w:rPr>
          <w:rFonts w:ascii="Courier New" w:cs="Courier New" w:eastAsia="Courier New" w:hAnsi="Courier New"/>
          <w:sz w:val="12"/>
          <w:szCs w:val="12"/>
          <w:color w:val="auto"/>
        </w:rPr>
        <w:t>3.3</w:t>
      </w:r>
      <w:r>
        <w:rPr>
          <w:sz w:val="20"/>
          <w:szCs w:val="20"/>
          <w:color w:val="auto"/>
        </w:rPr>
        <w:tab/>
      </w:r>
      <w:r>
        <w:rPr>
          <w:rFonts w:ascii="Courier New" w:cs="Courier New" w:eastAsia="Courier New" w:hAnsi="Courier New"/>
          <w:sz w:val="11"/>
          <w:szCs w:val="11"/>
          <w:color w:val="auto"/>
        </w:rPr>
        <w:t>CONDITIONS PRECEDENT FOR EACH DISBURSEMENT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Lender's obligations to make each and any Disbursement (including,</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inter alia, the first Disbursement) available to the Borrower pursuant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to the terms of this Agreement is subject to the fulfillment, to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full satisfaction of the Lender of each and all of the following terms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and conditions:</w:t>
      </w:r>
    </w:p>
    <w:p>
      <w:pPr>
        <w:spacing w:after="0" w:line="139" w:lineRule="exact"/>
        <w:rPr>
          <w:sz w:val="20"/>
          <w:szCs w:val="20"/>
          <w:color w:val="auto"/>
        </w:rPr>
      </w:pPr>
    </w:p>
    <w:p>
      <w:pPr>
        <w:ind w:left="1048" w:right="4619" w:hanging="345"/>
        <w:spacing w:after="0" w:line="236" w:lineRule="auto"/>
        <w:tabs>
          <w:tab w:leader="none" w:pos="1048" w:val="left"/>
        </w:tabs>
        <w:numPr>
          <w:ilvl w:val="1"/>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no Event of Default or an event which, but for the giving of a notice or the lapse of time or both, shall constitute an Event of Default has occurred and is continuing.</w:t>
      </w:r>
    </w:p>
    <w:p>
      <w:pPr>
        <w:spacing w:after="0" w:line="139" w:lineRule="exact"/>
        <w:rPr>
          <w:rFonts w:ascii="Courier New" w:cs="Courier New" w:eastAsia="Courier New" w:hAnsi="Courier New"/>
          <w:sz w:val="12"/>
          <w:szCs w:val="12"/>
          <w:color w:val="auto"/>
        </w:rPr>
      </w:pPr>
    </w:p>
    <w:p>
      <w:pPr>
        <w:ind w:left="1048" w:right="4759" w:hanging="345"/>
        <w:spacing w:after="0" w:line="236" w:lineRule="auto"/>
        <w:tabs>
          <w:tab w:leader="none" w:pos="1048" w:val="left"/>
        </w:tabs>
        <w:numPr>
          <w:ilvl w:val="1"/>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the Lender shall have received the respective Request for Disbursement, corresponding to said Disbursement, stating the amount for such Disbursement to be paid by it until the Date of Disbursement.</w:t>
      </w:r>
    </w:p>
    <w:p>
      <w:pPr>
        <w:spacing w:after="0" w:line="140" w:lineRule="exact"/>
        <w:rPr>
          <w:rFonts w:ascii="Courier New" w:cs="Courier New" w:eastAsia="Courier New" w:hAnsi="Courier New"/>
          <w:sz w:val="12"/>
          <w:szCs w:val="12"/>
          <w:color w:val="auto"/>
        </w:rPr>
      </w:pPr>
    </w:p>
    <w:p>
      <w:pPr>
        <w:ind w:left="1048" w:right="4699" w:hanging="345"/>
        <w:spacing w:after="0" w:line="237" w:lineRule="auto"/>
        <w:tabs>
          <w:tab w:leader="none" w:pos="1048" w:val="left"/>
        </w:tabs>
        <w:numPr>
          <w:ilvl w:val="1"/>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the Borrower shall have performed and complied with all the terms and conditions contained in this Agreement, and the other Loan Documents, which are required to be performed or complied with by the Borrower before or on the Date of Disbursement of such respective Disbursement.</w:t>
      </w:r>
    </w:p>
    <w:p>
      <w:pPr>
        <w:spacing w:after="0" w:line="139" w:lineRule="exact"/>
        <w:rPr>
          <w:rFonts w:ascii="Courier New" w:cs="Courier New" w:eastAsia="Courier New" w:hAnsi="Courier New"/>
          <w:sz w:val="12"/>
          <w:szCs w:val="12"/>
          <w:color w:val="auto"/>
        </w:rPr>
      </w:pPr>
    </w:p>
    <w:p>
      <w:pPr>
        <w:ind w:left="1048" w:right="4839" w:hanging="345"/>
        <w:spacing w:after="0" w:line="266" w:lineRule="auto"/>
        <w:tabs>
          <w:tab w:leader="none" w:pos="1048" w:val="left"/>
        </w:tabs>
        <w:numPr>
          <w:ilvl w:val="1"/>
          <w:numId w:val="16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That no event shall have occurred since the prior Disbursement which could materially effect the capacity or ability of the Borrower to fulfill its obligations under the Loan Documents.</w:t>
      </w:r>
    </w:p>
    <w:p>
      <w:pPr>
        <w:spacing w:after="0" w:line="126" w:lineRule="exact"/>
        <w:rPr>
          <w:rFonts w:ascii="Courier New" w:cs="Courier New" w:eastAsia="Courier New" w:hAnsi="Courier New"/>
          <w:sz w:val="11"/>
          <w:szCs w:val="11"/>
          <w:color w:val="auto"/>
        </w:rPr>
      </w:pPr>
    </w:p>
    <w:p>
      <w:pPr>
        <w:ind w:left="1048" w:right="4619" w:hanging="345"/>
        <w:spacing w:after="0" w:line="236" w:lineRule="auto"/>
        <w:tabs>
          <w:tab w:leader="none" w:pos="1048" w:val="left"/>
        </w:tabs>
        <w:numPr>
          <w:ilvl w:val="1"/>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That there shall be no legal or other impediment which may affect or otherwise prejudice the transfer of the proceeds of the respective Disbursement directly to the Supplier.</w:t>
      </w:r>
    </w:p>
    <w:p>
      <w:pPr>
        <w:spacing w:after="0" w:line="139" w:lineRule="exact"/>
        <w:rPr>
          <w:rFonts w:ascii="Courier New" w:cs="Courier New" w:eastAsia="Courier New" w:hAnsi="Courier New"/>
          <w:sz w:val="12"/>
          <w:szCs w:val="12"/>
          <w:color w:val="auto"/>
        </w:rPr>
      </w:pPr>
    </w:p>
    <w:p>
      <w:pPr>
        <w:ind w:left="1048" w:right="4619" w:hanging="345"/>
        <w:spacing w:after="0" w:line="262" w:lineRule="auto"/>
        <w:tabs>
          <w:tab w:leader="none" w:pos="1048" w:val="left"/>
        </w:tabs>
        <w:numPr>
          <w:ilvl w:val="1"/>
          <w:numId w:val="16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That none of the Borrower, the Supplier or the supplier under the Ancillary Equipment Purchase Contract has given a written notice to the Lender to the effect that there has been a material default under the Equipment Purchase Order or the Ancillary Equipment Purchase Contract or that the Equipment Purchase Order, or the Ancillary Equipment Purchase Contract have been canceled.</w:t>
      </w:r>
    </w:p>
    <w:p>
      <w:pPr>
        <w:spacing w:after="0" w:line="12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DISBURSEMENTS</w:t>
      </w:r>
    </w:p>
    <w:p>
      <w:pPr>
        <w:spacing w:after="0" w:line="138" w:lineRule="exact"/>
        <w:rPr>
          <w:rFonts w:ascii="Courier New" w:cs="Courier New" w:eastAsia="Courier New" w:hAnsi="Courier New"/>
          <w:sz w:val="12"/>
          <w:szCs w:val="12"/>
          <w:color w:val="auto"/>
        </w:rPr>
      </w:pPr>
    </w:p>
    <w:p>
      <w:pPr>
        <w:ind w:left="708" w:right="4699" w:hanging="351"/>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4.1 Subject always to the terms and conditions of this Agreement, Disbursements in the framework of the Loan shall be effected pursuant to the following terms:</w:t>
      </w:r>
    </w:p>
    <w:p>
      <w:pPr>
        <w:spacing w:after="0" w:line="139" w:lineRule="exact"/>
        <w:rPr>
          <w:rFonts w:ascii="Courier New" w:cs="Courier New" w:eastAsia="Courier New" w:hAnsi="Courier New"/>
          <w:sz w:val="12"/>
          <w:szCs w:val="12"/>
          <w:color w:val="auto"/>
        </w:rPr>
      </w:pPr>
    </w:p>
    <w:p>
      <w:pPr>
        <w:ind w:left="1048" w:right="4759" w:hanging="345"/>
        <w:spacing w:after="0" w:line="261" w:lineRule="auto"/>
        <w:tabs>
          <w:tab w:leader="none" w:pos="1048" w:val="left"/>
        </w:tabs>
        <w:numPr>
          <w:ilvl w:val="1"/>
          <w:numId w:val="1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Not less than seven days prior to a Date of Disbursement Date, the Borrower shall provide to the Lender a Request for Disbursement in the form set forth on APPENDIX 4.1 (A) hereto, indicating the satisfaction by the Supplier of a Delivery Event under the Equipment Purchase Order, and the amounts payable by the Borrower to the Supplier in respect of such Delivery Event. Such notice shall be accompanied by an invoice issued by the Supplier to the Borrower under the Equipment Purchase Order attesting to the satisfaction by the Supplier of the Delivery Event in respect of the Equipment and the amount payable by the Borrower in respect of such Delivery Event.</w:t>
      </w:r>
    </w:p>
    <w:p>
      <w:pPr>
        <w:spacing w:after="0" w:line="261" w:lineRule="exact"/>
        <w:rPr>
          <w:rFonts w:ascii="Courier New" w:cs="Courier New" w:eastAsia="Courier New" w:hAnsi="Courier New"/>
          <w:sz w:val="11"/>
          <w:szCs w:val="11"/>
          <w:color w:val="auto"/>
        </w:rPr>
      </w:pPr>
    </w:p>
    <w:p>
      <w:pPr>
        <w:ind w:left="2748" w:hanging="149"/>
        <w:spacing w:after="0"/>
        <w:tabs>
          <w:tab w:leader="none" w:pos="2748" w:val="left"/>
        </w:tabs>
        <w:numPr>
          <w:ilvl w:val="2"/>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7 -</w:t>
      </w:r>
    </w:p>
    <w:p>
      <w:pPr>
        <w:spacing w:after="0" w:line="200" w:lineRule="exact"/>
        <w:rPr>
          <w:rFonts w:ascii="Courier New" w:cs="Courier New" w:eastAsia="Courier New" w:hAnsi="Courier New"/>
          <w:sz w:val="12"/>
          <w:szCs w:val="12"/>
          <w:color w:val="auto"/>
        </w:rPr>
      </w:pPr>
    </w:p>
    <w:p>
      <w:pPr>
        <w:spacing w:after="0" w:line="208" w:lineRule="exact"/>
        <w:rPr>
          <w:rFonts w:ascii="Courier New" w:cs="Courier New" w:eastAsia="Courier New" w:hAnsi="Courier New"/>
          <w:sz w:val="12"/>
          <w:szCs w:val="12"/>
          <w:color w:val="auto"/>
        </w:rPr>
      </w:pPr>
    </w:p>
    <w:p>
      <w:pPr>
        <w:ind w:left="1048" w:right="4619" w:hanging="345"/>
        <w:spacing w:after="0" w:line="236" w:lineRule="auto"/>
        <w:tabs>
          <w:tab w:leader="none" w:pos="1048" w:val="left"/>
        </w:tabs>
        <w:numPr>
          <w:ilvl w:val="1"/>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Disbursements shall be effected only up to and so long as the principal amount extended prior to such Disbursement is less than the principal amount of the Loan and only during the Availability Period.</w:t>
      </w:r>
    </w:p>
    <w:p>
      <w:pPr>
        <w:spacing w:after="0" w:line="140" w:lineRule="exact"/>
        <w:rPr>
          <w:rFonts w:ascii="Courier New" w:cs="Courier New" w:eastAsia="Courier New" w:hAnsi="Courier New"/>
          <w:sz w:val="12"/>
          <w:szCs w:val="12"/>
          <w:color w:val="auto"/>
        </w:rPr>
      </w:pPr>
    </w:p>
    <w:p>
      <w:pPr>
        <w:ind w:left="1048" w:right="4619" w:hanging="345"/>
        <w:spacing w:after="0" w:line="237" w:lineRule="auto"/>
        <w:tabs>
          <w:tab w:leader="none" w:pos="1048" w:val="left"/>
        </w:tabs>
        <w:numPr>
          <w:ilvl w:val="1"/>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soon as practicable after each Date of Disbursement, the Lender shall notify the Borrower thereof, detailing the amount of the Disbursement, the Date of Disbursement thereof and such other particulars as the Lender shall deem necessary, or as may be reasonably requested by the Borrower.</w:t>
      </w:r>
    </w:p>
    <w:p>
      <w:pPr>
        <w:spacing w:after="0" w:line="139" w:lineRule="exact"/>
        <w:rPr>
          <w:rFonts w:ascii="Courier New" w:cs="Courier New" w:eastAsia="Courier New" w:hAnsi="Courier New"/>
          <w:sz w:val="12"/>
          <w:szCs w:val="12"/>
          <w:color w:val="auto"/>
        </w:rPr>
      </w:pPr>
    </w:p>
    <w:p>
      <w:pPr>
        <w:ind w:left="1048" w:right="4699" w:hanging="345"/>
        <w:spacing w:after="0" w:line="237" w:lineRule="auto"/>
        <w:tabs>
          <w:tab w:leader="none" w:pos="1048" w:val="left"/>
        </w:tabs>
        <w:numPr>
          <w:ilvl w:val="1"/>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Lender is under no obligation whatsoever to examine any documentation or other evidence of the occurrence of a Delivery Event, nor is the Lender hereby or by way of any Loan Documentation or Disbursement accepting any obligation as a surety or guarantor of the Equipment Purchase Order. All of such obligations are of the Borrower. The Lender is under no obligation to comply with the payment terms included in the Equipment Purchase Order.</w:t>
      </w:r>
    </w:p>
    <w:p>
      <w:pPr>
        <w:spacing w:after="0" w:line="142" w:lineRule="exact"/>
        <w:rPr>
          <w:sz w:val="20"/>
          <w:szCs w:val="20"/>
          <w:color w:val="auto"/>
        </w:rPr>
      </w:pPr>
    </w:p>
    <w:p>
      <w:pPr>
        <w:ind w:left="708" w:right="4759" w:hanging="350"/>
        <w:spacing w:after="0" w:line="262" w:lineRule="auto"/>
        <w:tabs>
          <w:tab w:leader="none" w:pos="688" w:val="left"/>
        </w:tabs>
        <w:rPr>
          <w:sz w:val="20"/>
          <w:szCs w:val="20"/>
          <w:color w:val="auto"/>
        </w:rPr>
      </w:pPr>
      <w:r>
        <w:rPr>
          <w:rFonts w:ascii="Courier New" w:cs="Courier New" w:eastAsia="Courier New" w:hAnsi="Courier New"/>
          <w:sz w:val="12"/>
          <w:szCs w:val="12"/>
          <w:color w:val="auto"/>
        </w:rPr>
        <w:t>4.2</w:t>
      </w:r>
      <w:r>
        <w:rPr>
          <w:sz w:val="20"/>
          <w:szCs w:val="20"/>
          <w:color w:val="auto"/>
        </w:rPr>
        <w:tab/>
      </w:r>
      <w:r>
        <w:rPr>
          <w:rFonts w:ascii="Courier New" w:cs="Courier New" w:eastAsia="Courier New" w:hAnsi="Courier New"/>
          <w:sz w:val="11"/>
          <w:szCs w:val="11"/>
          <w:color w:val="auto"/>
        </w:rPr>
        <w:t>The principal amount owing under the Loan shall be the aggregate of all Disbursements theretofore made to the Borrower hereunder. All Disbursements effected during the Availability Period shall be consolidated to one amount immediately after each respective Disbursement, and as soon as practicable thereafter the Lender shall furnish the Borrower with a consolidated Repayment Schedule in the form set forth as APPENDIX A detailing the Interest Repayment Dates, and the amounts of interest and principal to be paid on each such</w:t>
      </w:r>
    </w:p>
    <w:p>
      <w:pPr>
        <w:sectPr>
          <w:pgSz w:w="11900" w:h="16838" w:orient="portrait"/>
          <w:cols w:equalWidth="0" w:num="1">
            <w:col w:w="10247"/>
          </w:cols>
          <w:pgMar w:left="212" w:top="137" w:right="1440" w:bottom="0" w:gutter="0" w:footer="0" w:header="0"/>
        </w:sectPr>
      </w:pPr>
    </w:p>
    <w:bookmarkStart w:id="92" w:name="page93"/>
    <w:bookmarkEnd w:id="92"/>
    <w:p>
      <w:pPr>
        <w:ind w:left="708"/>
        <w:spacing w:after="0"/>
        <w:rPr>
          <w:sz w:val="20"/>
          <w:szCs w:val="20"/>
          <w:color w:val="auto"/>
        </w:rPr>
      </w:pPr>
      <w:r>
        <w:rPr>
          <w:rFonts w:ascii="Courier New" w:cs="Courier New" w:eastAsia="Courier New" w:hAnsi="Courier New"/>
          <w:sz w:val="11"/>
          <w:szCs w:val="11"/>
          <w:color w:val="auto"/>
        </w:rPr>
        <w:t>Installment Repayment Date. The Repayment Schedule shall constitute an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integral part of this Agreement and, unless in the event of manifest</w:t>
      </w:r>
    </w:p>
    <w:p>
      <w:pPr>
        <w:ind w:left="708"/>
        <w:spacing w:after="0"/>
        <w:rPr>
          <w:sz w:val="20"/>
          <w:szCs w:val="20"/>
          <w:color w:val="auto"/>
        </w:rPr>
      </w:pPr>
      <w:r>
        <w:rPr>
          <w:rFonts w:ascii="Courier New" w:cs="Courier New" w:eastAsia="Courier New" w:hAnsi="Courier New"/>
          <w:sz w:val="12"/>
          <w:szCs w:val="12"/>
          <w:color w:val="auto"/>
        </w:rPr>
        <w:t>error, be binding and conclusive.</w:t>
      </w:r>
    </w:p>
    <w:p>
      <w:pPr>
        <w:spacing w:after="0" w:line="133" w:lineRule="exact"/>
        <w:rPr>
          <w:sz w:val="20"/>
          <w:szCs w:val="20"/>
          <w:color w:val="auto"/>
        </w:rPr>
      </w:pPr>
    </w:p>
    <w:p>
      <w:pPr>
        <w:ind w:left="348" w:hanging="348"/>
        <w:spacing w:after="0"/>
        <w:tabs>
          <w:tab w:leader="none" w:pos="348" w:val="left"/>
        </w:tabs>
        <w:numPr>
          <w:ilvl w:val="0"/>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 OF PRINCIPAL</w:t>
      </w:r>
    </w:p>
    <w:p>
      <w:pPr>
        <w:spacing w:after="0" w:line="138" w:lineRule="exact"/>
        <w:rPr>
          <w:rFonts w:ascii="Courier New" w:cs="Courier New" w:eastAsia="Courier New" w:hAnsi="Courier New"/>
          <w:sz w:val="12"/>
          <w:szCs w:val="12"/>
          <w:color w:val="auto"/>
        </w:rPr>
      </w:pPr>
    </w:p>
    <w:p>
      <w:pPr>
        <w:ind w:left="708" w:right="4619" w:hanging="351"/>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5.1. The Borrower shall pay the Installments on each of the Installment Repayment Dates as stipulated in the Repayment Schedule, in the amount therein stated. Installments repaid may not be re-borrowed.</w:t>
      </w:r>
    </w:p>
    <w:p>
      <w:pPr>
        <w:spacing w:after="0" w:line="139" w:lineRule="exact"/>
        <w:rPr>
          <w:rFonts w:ascii="Courier New" w:cs="Courier New" w:eastAsia="Courier New" w:hAnsi="Courier New"/>
          <w:sz w:val="12"/>
          <w:szCs w:val="12"/>
          <w:color w:val="auto"/>
        </w:rPr>
      </w:pPr>
    </w:p>
    <w:p>
      <w:pPr>
        <w:ind w:left="708" w:right="4699" w:hanging="351"/>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5.2. If the aggregate of all Disbursements made prior to a first or any subsequent Installment Repayment Date and not repaid in any prior Installment is less than the amount of an Installment to be paid on such Installment Repayment Date, the amount of such Installment shall be reduced to the aggregate of all such Disbursements made prior to such Installment Repayment Date, and the amount of such reduction shall be added to the Installment to be paid on the next Installment Repayment Date.</w:t>
      </w:r>
    </w:p>
    <w:p>
      <w:pPr>
        <w:spacing w:after="0" w:line="272" w:lineRule="exact"/>
        <w:rPr>
          <w:rFonts w:ascii="Courier New" w:cs="Courier New" w:eastAsia="Courier New" w:hAnsi="Courier New"/>
          <w:sz w:val="12"/>
          <w:szCs w:val="12"/>
          <w:color w:val="auto"/>
        </w:rPr>
      </w:pPr>
    </w:p>
    <w:p>
      <w:pPr>
        <w:ind w:left="2748" w:hanging="149"/>
        <w:spacing w:after="0"/>
        <w:tabs>
          <w:tab w:leader="none" w:pos="2748" w:val="left"/>
        </w:tabs>
        <w:numPr>
          <w:ilvl w:val="2"/>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8 -</w:t>
      </w:r>
    </w:p>
    <w:p>
      <w:pPr>
        <w:spacing w:after="0" w:line="200" w:lineRule="exact"/>
        <w:rPr>
          <w:rFonts w:ascii="Courier New" w:cs="Courier New" w:eastAsia="Courier New" w:hAnsi="Courier New"/>
          <w:sz w:val="12"/>
          <w:szCs w:val="12"/>
          <w:color w:val="auto"/>
        </w:rPr>
      </w:pPr>
    </w:p>
    <w:p>
      <w:pPr>
        <w:spacing w:after="0" w:line="204"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RATE AND INTEREST PAYMENT</w:t>
      </w:r>
    </w:p>
    <w:p>
      <w:pPr>
        <w:spacing w:after="0" w:line="138" w:lineRule="exact"/>
        <w:rPr>
          <w:rFonts w:ascii="Courier New" w:cs="Courier New" w:eastAsia="Courier New" w:hAnsi="Courier New"/>
          <w:sz w:val="12"/>
          <w:szCs w:val="12"/>
          <w:color w:val="auto"/>
        </w:rPr>
      </w:pPr>
    </w:p>
    <w:p>
      <w:pPr>
        <w:ind w:left="708" w:right="4699" w:hanging="351"/>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6.1. The Principal Amount of the Loan that has been subject to a Disbursement and not repaid hereunder shall bear interest during each Interest Period, at the Interest Rate.</w:t>
      </w:r>
    </w:p>
    <w:p>
      <w:pPr>
        <w:spacing w:after="0" w:line="139" w:lineRule="exact"/>
        <w:rPr>
          <w:rFonts w:ascii="Courier New" w:cs="Courier New" w:eastAsia="Courier New" w:hAnsi="Courier New"/>
          <w:sz w:val="12"/>
          <w:szCs w:val="12"/>
          <w:color w:val="auto"/>
        </w:rPr>
      </w:pPr>
    </w:p>
    <w:p>
      <w:pPr>
        <w:ind w:left="708" w:right="4699" w:hanging="351"/>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6.2. Interest on the Principal Amount of the Loan that has been subject to a Disbursement and not repaid hereunder, at the Interest rate, shall be paid by the Borrower for each respective Interest Period, on each respective Installment Payment Date.</w:t>
      </w:r>
    </w:p>
    <w:p>
      <w:pPr>
        <w:spacing w:after="0" w:line="140" w:lineRule="exact"/>
        <w:rPr>
          <w:rFonts w:ascii="Courier New" w:cs="Courier New" w:eastAsia="Courier New" w:hAnsi="Courier New"/>
          <w:sz w:val="12"/>
          <w:szCs w:val="12"/>
          <w:color w:val="auto"/>
        </w:rPr>
      </w:pPr>
    </w:p>
    <w:p>
      <w:pPr>
        <w:ind w:left="348"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shall accrue from day to day and shall be calculated on the basis of actual number of days elapsed and a 360 day year. For the purpose of calculating the amount of Interest due with respect to each Interest Period, the first day of the respective Interest Period or the respective Date of Disbursement, as the case may be, shall be included and the last day of each Interest Period shall be excluded</w:t>
      </w:r>
    </w:p>
    <w:p>
      <w:pPr>
        <w:spacing w:after="0" w:line="135"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EARLY PREPAYMENT</w:t>
      </w:r>
    </w:p>
    <w:p>
      <w:pPr>
        <w:spacing w:after="0" w:line="138" w:lineRule="exact"/>
        <w:rPr>
          <w:rFonts w:ascii="Courier New" w:cs="Courier New" w:eastAsia="Courier New" w:hAnsi="Courier New"/>
          <w:sz w:val="12"/>
          <w:szCs w:val="12"/>
          <w:color w:val="auto"/>
        </w:rPr>
      </w:pPr>
    </w:p>
    <w:p>
      <w:pPr>
        <w:ind w:left="708" w:right="4619" w:hanging="351"/>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7.1. The Borrower may prepay the outstanding principal amount of the Loan or any part thereof, prior to any Installment Repayment Date, provided that:</w:t>
      </w:r>
    </w:p>
    <w:p>
      <w:pPr>
        <w:spacing w:after="0" w:line="139" w:lineRule="exact"/>
        <w:rPr>
          <w:rFonts w:ascii="Courier New" w:cs="Courier New" w:eastAsia="Courier New" w:hAnsi="Courier New"/>
          <w:sz w:val="12"/>
          <w:szCs w:val="12"/>
          <w:color w:val="auto"/>
        </w:rPr>
      </w:pPr>
    </w:p>
    <w:p>
      <w:pPr>
        <w:ind w:left="1048" w:right="4619" w:hanging="345"/>
        <w:spacing w:after="0" w:line="237" w:lineRule="auto"/>
        <w:tabs>
          <w:tab w:leader="none" w:pos="1048" w:val="left"/>
        </w:tabs>
        <w:numPr>
          <w:ilvl w:val="1"/>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shall have given the Lender at least ten (10) days prior notice thereof, in writing, which notice shall state the amount to be prepaid (which shall be not less than US$[***] or an integral multiple thereof) and the date of prepayment, such notice to be irrevocable.</w:t>
      </w:r>
    </w:p>
    <w:p>
      <w:pPr>
        <w:spacing w:after="0" w:line="139" w:lineRule="exact"/>
        <w:rPr>
          <w:rFonts w:ascii="Courier New" w:cs="Courier New" w:eastAsia="Courier New" w:hAnsi="Courier New"/>
          <w:sz w:val="12"/>
          <w:szCs w:val="12"/>
          <w:color w:val="auto"/>
        </w:rPr>
      </w:pPr>
    </w:p>
    <w:p>
      <w:pPr>
        <w:ind w:left="1048" w:right="4699" w:hanging="345"/>
        <w:spacing w:after="0" w:line="236" w:lineRule="auto"/>
        <w:tabs>
          <w:tab w:leader="none" w:pos="1048" w:val="left"/>
        </w:tabs>
        <w:numPr>
          <w:ilvl w:val="1"/>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shall pay to the Lender any and all amounts on account of Interest accrued and account upon said prepaid amount until actual date of prepayment and such other payments payable to the Lender pursuant to this Agreement.</w:t>
      </w:r>
    </w:p>
    <w:p>
      <w:pPr>
        <w:spacing w:after="0" w:line="140" w:lineRule="exact"/>
        <w:rPr>
          <w:rFonts w:ascii="Courier New" w:cs="Courier New" w:eastAsia="Courier New" w:hAnsi="Courier New"/>
          <w:sz w:val="12"/>
          <w:szCs w:val="12"/>
          <w:color w:val="auto"/>
        </w:rPr>
      </w:pPr>
    </w:p>
    <w:p>
      <w:pPr>
        <w:ind w:left="1048" w:right="4979" w:hanging="345"/>
        <w:spacing w:after="0" w:line="235" w:lineRule="auto"/>
        <w:tabs>
          <w:tab w:leader="none" w:pos="1048" w:val="left"/>
        </w:tabs>
        <w:numPr>
          <w:ilvl w:val="1"/>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Amounts prepaid shall be applied to the Installment in their inverse order of maturity.</w:t>
      </w:r>
    </w:p>
    <w:p>
      <w:pPr>
        <w:spacing w:after="0" w:line="139" w:lineRule="exact"/>
        <w:rPr>
          <w:rFonts w:ascii="Courier New" w:cs="Courier New" w:eastAsia="Courier New" w:hAnsi="Courier New"/>
          <w:sz w:val="12"/>
          <w:szCs w:val="12"/>
          <w:color w:val="auto"/>
        </w:rPr>
      </w:pPr>
    </w:p>
    <w:p>
      <w:pPr>
        <w:ind w:left="1048" w:right="4619" w:hanging="345"/>
        <w:spacing w:after="0" w:line="236" w:lineRule="auto"/>
        <w:tabs>
          <w:tab w:leader="none" w:pos="1048" w:val="left"/>
        </w:tabs>
        <w:numPr>
          <w:ilvl w:val="1"/>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Prepayment of the Loan shall have no effect on the obligations of Tower under the Foundry Agreement or the time-tables set forth therein for the supply or pricing of wafers.</w:t>
      </w:r>
    </w:p>
    <w:p>
      <w:pPr>
        <w:spacing w:after="0" w:line="135"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7.2. Amounts prepaid or repaid may not be re-borrowed.</w:t>
      </w:r>
    </w:p>
    <w:p>
      <w:pPr>
        <w:spacing w:after="0" w:line="134" w:lineRule="exact"/>
        <w:rPr>
          <w:sz w:val="20"/>
          <w:szCs w:val="20"/>
          <w:color w:val="auto"/>
        </w:rPr>
      </w:pPr>
    </w:p>
    <w:p>
      <w:pPr>
        <w:ind w:left="348" w:hanging="348"/>
        <w:spacing w:after="0"/>
        <w:tabs>
          <w:tab w:leader="none" w:pos="348" w:val="left"/>
        </w:tabs>
        <w:numPr>
          <w:ilvl w:val="0"/>
          <w:numId w:val="1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COSTS AND EXPENSES FEES</w:t>
      </w:r>
    </w:p>
    <w:p>
      <w:pPr>
        <w:spacing w:after="0" w:line="138" w:lineRule="exact"/>
        <w:rPr>
          <w:rFonts w:ascii="Courier New" w:cs="Courier New" w:eastAsia="Courier New" w:hAnsi="Courier New"/>
          <w:sz w:val="12"/>
          <w:szCs w:val="12"/>
          <w:color w:val="auto"/>
        </w:rPr>
      </w:pPr>
    </w:p>
    <w:p>
      <w:pPr>
        <w:ind w:left="708" w:right="4619" w:hanging="351"/>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8.1. The Borrower shall pay, immediately when due, all present and future stamp and other like duties and Taxes and all registration, recording and other like fees, if any, to which this Agreement or any other Loan Document referred to herein, may be subject or give rise.</w:t>
      </w:r>
    </w:p>
    <w:p>
      <w:pPr>
        <w:spacing w:after="0" w:line="122"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INDEMNITIES</w:t>
      </w:r>
    </w:p>
    <w:p>
      <w:pPr>
        <w:spacing w:after="0" w:line="138" w:lineRule="exact"/>
        <w:rPr>
          <w:rFonts w:ascii="Courier New" w:cs="Courier New" w:eastAsia="Courier New" w:hAnsi="Courier New"/>
          <w:sz w:val="12"/>
          <w:szCs w:val="12"/>
          <w:color w:val="auto"/>
        </w:rPr>
      </w:pPr>
    </w:p>
    <w:p>
      <w:pPr>
        <w:ind w:left="708" w:right="4619" w:hanging="351"/>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9.1. The Borrower shall indemnify the Lender against any loss and expenses which the Lender shall sustain or incur as a result of any payment due to be effected by the Borrower hereunder on account of the Installment, Interest being made (for any reason whatsoever including, without limitation, as a consequence of acceleration) on a date which is not an Installment Payment Date or the last day of a Default Period, as the case may be, or in liquidating or reemploying funds to effect or maintain such amount, the Loan, or any part thereof.</w:t>
      </w:r>
    </w:p>
    <w:p>
      <w:pPr>
        <w:spacing w:after="0" w:line="258"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pacing w:after="0" w:line="200" w:lineRule="exact"/>
        <w:rPr>
          <w:sz w:val="20"/>
          <w:szCs w:val="20"/>
          <w:color w:val="auto"/>
        </w:rPr>
      </w:pPr>
    </w:p>
    <w:p>
      <w:pPr>
        <w:spacing w:after="0" w:line="209" w:lineRule="exact"/>
        <w:rPr>
          <w:sz w:val="20"/>
          <w:szCs w:val="20"/>
          <w:color w:val="auto"/>
        </w:rPr>
      </w:pPr>
    </w:p>
    <w:p>
      <w:pPr>
        <w:ind w:left="708" w:right="4699" w:hanging="350"/>
        <w:spacing w:after="0" w:line="237" w:lineRule="auto"/>
        <w:rPr>
          <w:sz w:val="20"/>
          <w:szCs w:val="20"/>
          <w:color w:val="auto"/>
        </w:rPr>
      </w:pPr>
      <w:r>
        <w:rPr>
          <w:rFonts w:ascii="Courier New" w:cs="Courier New" w:eastAsia="Courier New" w:hAnsi="Courier New"/>
          <w:sz w:val="12"/>
          <w:szCs w:val="12"/>
          <w:color w:val="auto"/>
        </w:rPr>
        <w:t>9.2. The Borrower shall indemnify and hold harmless the Lender from and against any and all losses, claims, damages and liabilities caused by any untrue or misleading statements, representations or warranties, made by the Borrower, its officers or representatives in respect of the Agreement or any Loan Document, or deemed, or caused by any omission of a material fact necessary to make the statements so made not misleading.</w:t>
      </w:r>
    </w:p>
    <w:p>
      <w:pPr>
        <w:spacing w:after="0" w:line="137" w:lineRule="exact"/>
        <w:rPr>
          <w:sz w:val="20"/>
          <w:szCs w:val="20"/>
          <w:color w:val="auto"/>
        </w:rPr>
      </w:pPr>
    </w:p>
    <w:p>
      <w:pPr>
        <w:ind w:left="348" w:hanging="348"/>
        <w:spacing w:after="0"/>
        <w:tabs>
          <w:tab w:leader="none" w:pos="348" w:val="left"/>
        </w:tabs>
        <w:numPr>
          <w:ilvl w:val="0"/>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OF LAW- INCREASED COSTS</w:t>
      </w:r>
    </w:p>
    <w:p>
      <w:pPr>
        <w:spacing w:after="0" w:line="138" w:lineRule="exact"/>
        <w:rPr>
          <w:rFonts w:ascii="Courier New" w:cs="Courier New" w:eastAsia="Courier New" w:hAnsi="Courier New"/>
          <w:sz w:val="12"/>
          <w:szCs w:val="12"/>
          <w:color w:val="auto"/>
        </w:rPr>
      </w:pPr>
    </w:p>
    <w:p>
      <w:pPr>
        <w:ind w:left="708" w:right="4619" w:hanging="351"/>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10.1. Notwithstanding any other provision herein contained, in the event that any change in any applicable law, rule or regulation, or in the interpretation or administration thereof by any governmental authority charged with the interpretation or administration thereof, shall make it unlawful for the Lender to (i) honor its Commitment or (ii) maintain the Loan or any part thereof, then the Commitment shall be immediately canceled with respect to any Disbursement not yet effected and the Borrower shall, forthwith upon the Lender's first demand, prepay the then outstanding Principal Amount of the Loan together with Interest, at the Interest Rate, accrued and accruing thereon as well as such other amounts due to be paid by it pursuant to this Agreement including, without limitation, any and all amounts as shall be notified by the Lender to the Borrower in writing, which shall fully compensate and reimburse the Lender against losses and expenses incurred by the Lender in liquidating or re-employing funds acquired to effect or maintain the Loan, or any respective part thereof.</w:t>
      </w:r>
    </w:p>
    <w:p>
      <w:pPr>
        <w:spacing w:after="0" w:line="124"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MANNER AND APPLICATION OF PAYMENTS. TAXES</w:t>
      </w:r>
    </w:p>
    <w:p>
      <w:pPr>
        <w:spacing w:after="0" w:line="138" w:lineRule="exact"/>
        <w:rPr>
          <w:rFonts w:ascii="Courier New" w:cs="Courier New" w:eastAsia="Courier New" w:hAnsi="Courier New"/>
          <w:sz w:val="12"/>
          <w:szCs w:val="12"/>
          <w:color w:val="auto"/>
        </w:rPr>
      </w:pPr>
    </w:p>
    <w:p>
      <w:pPr>
        <w:ind w:left="708" w:right="4759" w:hanging="351"/>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11.1. All payments to be made by the Borrower to the Lender under this Agreement shall be made in freely and transferable US$, before 11:00</w:t>
      </w:r>
    </w:p>
    <w:p>
      <w:pPr>
        <w:sectPr>
          <w:pgSz w:w="11900" w:h="16838" w:orient="portrait"/>
          <w:cols w:equalWidth="0" w:num="1">
            <w:col w:w="10247"/>
          </w:cols>
          <w:pgMar w:left="212" w:top="141" w:right="1440" w:bottom="0" w:gutter="0" w:footer="0" w:header="0"/>
        </w:sectPr>
      </w:pPr>
    </w:p>
    <w:bookmarkStart w:id="93" w:name="page94"/>
    <w:bookmarkEnd w:id="93"/>
    <w:p>
      <w:pPr>
        <w:ind w:left="708"/>
        <w:spacing w:after="0"/>
        <w:rPr>
          <w:sz w:val="20"/>
          <w:szCs w:val="20"/>
          <w:color w:val="auto"/>
        </w:rPr>
      </w:pPr>
      <w:r>
        <w:rPr>
          <w:rFonts w:ascii="Courier New" w:cs="Courier New" w:eastAsia="Courier New" w:hAnsi="Courier New"/>
          <w:sz w:val="12"/>
          <w:szCs w:val="12"/>
          <w:color w:val="auto"/>
        </w:rPr>
        <w:t>AM Israel time, on the respective due date thereof, to the credit of</w:t>
      </w:r>
    </w:p>
    <w:p>
      <w:pPr>
        <w:ind w:left="708"/>
        <w:spacing w:after="0"/>
        <w:rPr>
          <w:sz w:val="20"/>
          <w:szCs w:val="20"/>
          <w:color w:val="auto"/>
        </w:rPr>
      </w:pPr>
      <w:r>
        <w:rPr>
          <w:rFonts w:ascii="Courier New" w:cs="Courier New" w:eastAsia="Courier New" w:hAnsi="Courier New"/>
          <w:sz w:val="12"/>
          <w:szCs w:val="12"/>
          <w:color w:val="auto"/>
        </w:rPr>
        <w:t>SanDisk Corporation, Account No. [***] ABA: [***], SWIFT: [***], of</w:t>
      </w:r>
    </w:p>
    <w:p>
      <w:pPr>
        <w:spacing w:after="0" w:line="3" w:lineRule="exact"/>
        <w:rPr>
          <w:sz w:val="20"/>
          <w:szCs w:val="20"/>
          <w:color w:val="auto"/>
        </w:rPr>
      </w:pPr>
    </w:p>
    <w:p>
      <w:pPr>
        <w:ind w:left="708" w:right="4619" w:hanging="5"/>
        <w:spacing w:after="0" w:line="236" w:lineRule="auto"/>
        <w:tabs>
          <w:tab w:leader="none" w:pos="1130" w:val="left"/>
        </w:tabs>
        <w:numPr>
          <w:ilvl w:val="0"/>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 , San Jose, CA 95113 USA: " Loan Agreement", or to such other account of the Lender at such other place as the Lender may have notified the Borrower from time to time in writing.</w:t>
      </w:r>
    </w:p>
    <w:p>
      <w:pPr>
        <w:spacing w:after="0" w:line="139" w:lineRule="exact"/>
        <w:rPr>
          <w:sz w:val="20"/>
          <w:szCs w:val="20"/>
          <w:color w:val="auto"/>
        </w:rPr>
      </w:pPr>
    </w:p>
    <w:p>
      <w:pPr>
        <w:ind w:left="1048" w:right="4699" w:hanging="701"/>
        <w:spacing w:after="0" w:line="266" w:lineRule="auto"/>
        <w:tabs>
          <w:tab w:leader="none" w:pos="1028" w:val="left"/>
        </w:tabs>
        <w:rPr>
          <w:sz w:val="20"/>
          <w:szCs w:val="20"/>
          <w:color w:val="auto"/>
        </w:rPr>
      </w:pPr>
      <w:r>
        <w:rPr>
          <w:rFonts w:ascii="Courier New" w:cs="Courier New" w:eastAsia="Courier New" w:hAnsi="Courier New"/>
          <w:sz w:val="12"/>
          <w:szCs w:val="12"/>
          <w:color w:val="auto"/>
        </w:rPr>
        <w:t>11.2.(a)</w:t>
      </w:r>
      <w:r>
        <w:rPr>
          <w:sz w:val="20"/>
          <w:szCs w:val="20"/>
          <w:color w:val="auto"/>
        </w:rPr>
        <w:tab/>
      </w:r>
      <w:r>
        <w:rPr>
          <w:rFonts w:ascii="Courier New" w:cs="Courier New" w:eastAsia="Courier New" w:hAnsi="Courier New"/>
          <w:sz w:val="11"/>
          <w:szCs w:val="11"/>
          <w:color w:val="auto"/>
        </w:rPr>
        <w:t>If any Installment Repayment Date shall fall, on a date which is not a Business Day, then, the respective Installment Repayment Date shall be postponed to the next day which is a Business Day.</w:t>
      </w:r>
    </w:p>
    <w:p>
      <w:pPr>
        <w:spacing w:after="0" w:line="126" w:lineRule="exact"/>
        <w:rPr>
          <w:sz w:val="20"/>
          <w:szCs w:val="20"/>
          <w:color w:val="auto"/>
        </w:rPr>
      </w:pPr>
    </w:p>
    <w:p>
      <w:pPr>
        <w:ind w:left="1048" w:right="4699" w:hanging="345"/>
        <w:spacing w:after="0" w:line="266" w:lineRule="auto"/>
        <w:tabs>
          <w:tab w:leader="none" w:pos="1048" w:val="left"/>
        </w:tabs>
        <w:numPr>
          <w:ilvl w:val="1"/>
          <w:numId w:val="1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any Interest Payment Date has been changed due to the reasons mentioned in sub-clause (a), above, the corresponding Interest Period shall be either prolonged or shortened accordingly.</w:t>
      </w:r>
    </w:p>
    <w:p>
      <w:pPr>
        <w:spacing w:after="0" w:line="121"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979" w:hanging="8"/>
        <w:spacing w:after="0" w:line="273" w:lineRule="auto"/>
        <w:tabs>
          <w:tab w:leader="none" w:pos="430" w:val="left"/>
        </w:tabs>
        <w:numPr>
          <w:ilvl w:val="0"/>
          <w:numId w:val="17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2" w:lineRule="exact"/>
        <w:rPr>
          <w:rFonts w:ascii="Courier New" w:cs="Courier New" w:eastAsia="Courier New" w:hAnsi="Courier New"/>
          <w:sz w:val="11"/>
          <w:szCs w:val="11"/>
          <w:color w:val="auto"/>
        </w:rPr>
      </w:pPr>
    </w:p>
    <w:p>
      <w:pPr>
        <w:ind w:left="2748" w:hanging="149"/>
        <w:spacing w:after="0"/>
        <w:tabs>
          <w:tab w:leader="none" w:pos="2748" w:val="left"/>
        </w:tabs>
        <w:numPr>
          <w:ilvl w:val="1"/>
          <w:numId w:val="1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pacing w:after="0" w:line="200" w:lineRule="exact"/>
        <w:rPr>
          <w:sz w:val="20"/>
          <w:szCs w:val="20"/>
          <w:color w:val="auto"/>
        </w:rPr>
      </w:pPr>
    </w:p>
    <w:p>
      <w:pPr>
        <w:spacing w:after="0" w:line="209" w:lineRule="exact"/>
        <w:rPr>
          <w:sz w:val="20"/>
          <w:szCs w:val="20"/>
          <w:color w:val="auto"/>
        </w:rPr>
      </w:pPr>
    </w:p>
    <w:p>
      <w:pPr>
        <w:ind w:left="1048" w:right="4619" w:hanging="701"/>
        <w:spacing w:after="0" w:line="260" w:lineRule="auto"/>
        <w:tabs>
          <w:tab w:leader="none" w:pos="1028" w:val="left"/>
        </w:tabs>
        <w:rPr>
          <w:sz w:val="20"/>
          <w:szCs w:val="20"/>
          <w:color w:val="auto"/>
        </w:rPr>
      </w:pPr>
      <w:r>
        <w:rPr>
          <w:rFonts w:ascii="Courier New" w:cs="Courier New" w:eastAsia="Courier New" w:hAnsi="Courier New"/>
          <w:sz w:val="12"/>
          <w:szCs w:val="12"/>
          <w:color w:val="auto"/>
        </w:rPr>
        <w:t>11.3.(a)</w:t>
      </w:r>
      <w:r>
        <w:rPr>
          <w:sz w:val="20"/>
          <w:szCs w:val="20"/>
          <w:color w:val="auto"/>
        </w:rPr>
        <w:tab/>
      </w:r>
      <w:r>
        <w:rPr>
          <w:rFonts w:ascii="Courier New" w:cs="Courier New" w:eastAsia="Courier New" w:hAnsi="Courier New"/>
          <w:sz w:val="11"/>
          <w:szCs w:val="11"/>
          <w:color w:val="auto"/>
        </w:rPr>
        <w:t>Any and all payments by the Borrower hereunder shall be made, in accordance with Clause 11.1, free and clear of and without deduction for, any and all present or future Taxes, transfer fees or other costs, except to the extent provided in subparagraph</w:t>
      </w:r>
    </w:p>
    <w:p>
      <w:pPr>
        <w:ind w:left="1048"/>
        <w:spacing w:after="0" w:line="233" w:lineRule="auto"/>
        <w:rPr>
          <w:sz w:val="20"/>
          <w:szCs w:val="20"/>
          <w:color w:val="auto"/>
        </w:rPr>
      </w:pPr>
      <w:r>
        <w:rPr>
          <w:rFonts w:ascii="Courier New" w:cs="Courier New" w:eastAsia="Courier New" w:hAnsi="Courier New"/>
          <w:sz w:val="12"/>
          <w:szCs w:val="12"/>
          <w:color w:val="auto"/>
        </w:rPr>
        <w:t>(b).</w:t>
      </w:r>
    </w:p>
    <w:p>
      <w:pPr>
        <w:spacing w:after="0" w:line="139" w:lineRule="exact"/>
        <w:rPr>
          <w:sz w:val="20"/>
          <w:szCs w:val="20"/>
          <w:color w:val="auto"/>
        </w:rPr>
      </w:pPr>
    </w:p>
    <w:p>
      <w:pPr>
        <w:ind w:left="1048" w:right="4619" w:hanging="345"/>
        <w:spacing w:after="0" w:line="262" w:lineRule="auto"/>
        <w:tabs>
          <w:tab w:leader="none" w:pos="1048" w:val="left"/>
        </w:tabs>
        <w:numPr>
          <w:ilvl w:val="0"/>
          <w:numId w:val="171"/>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the Borrower shall be required by law to deduct any Taxes from or in respect of, any sum payable hereunder otherwise payable to Lender, then Borrower shall withhold such Taxes from such sum as required by law and shall pay such Taxes on Lender's behalf, and Borrower shall provide Lender with tax receipts sufficient to establish that such Taxes have been paid and are available to Lender for credit for income tax and other appropriate purposes.</w:t>
      </w:r>
    </w:p>
    <w:p>
      <w:pPr>
        <w:spacing w:after="0" w:line="124" w:lineRule="exact"/>
        <w:rPr>
          <w:sz w:val="20"/>
          <w:szCs w:val="20"/>
          <w:color w:val="auto"/>
        </w:rPr>
      </w:pPr>
    </w:p>
    <w:p>
      <w:pPr>
        <w:jc w:val="right"/>
        <w:ind w:right="4979"/>
        <w:spacing w:after="0"/>
        <w:rPr>
          <w:sz w:val="20"/>
          <w:szCs w:val="20"/>
          <w:color w:val="auto"/>
        </w:rPr>
      </w:pPr>
      <w:r>
        <w:rPr>
          <w:rFonts w:ascii="Courier New" w:cs="Courier New" w:eastAsia="Courier New" w:hAnsi="Courier New"/>
          <w:sz w:val="12"/>
          <w:szCs w:val="12"/>
          <w:color w:val="auto"/>
        </w:rPr>
        <w:t>11.4. All payments received by the Lender from the Borrower under this</w:t>
      </w:r>
    </w:p>
    <w:p>
      <w:pPr>
        <w:jc w:val="right"/>
        <w:ind w:right="4979"/>
        <w:spacing w:after="0"/>
        <w:rPr>
          <w:sz w:val="20"/>
          <w:szCs w:val="20"/>
          <w:color w:val="auto"/>
        </w:rPr>
      </w:pPr>
      <w:r>
        <w:rPr>
          <w:rFonts w:ascii="Courier New" w:cs="Courier New" w:eastAsia="Courier New" w:hAnsi="Courier New"/>
          <w:sz w:val="12"/>
          <w:szCs w:val="12"/>
          <w:color w:val="auto"/>
        </w:rPr>
        <w:t>Agreement shall be applied by the Lender in the following manner:</w:t>
      </w:r>
    </w:p>
    <w:p>
      <w:pPr>
        <w:spacing w:after="0" w:line="138" w:lineRule="exact"/>
        <w:rPr>
          <w:sz w:val="20"/>
          <w:szCs w:val="20"/>
          <w:color w:val="auto"/>
        </w:rPr>
      </w:pPr>
    </w:p>
    <w:p>
      <w:pPr>
        <w:ind w:left="1048" w:right="4899" w:hanging="345"/>
        <w:spacing w:after="0" w:line="236" w:lineRule="auto"/>
        <w:tabs>
          <w:tab w:leader="none" w:pos="1048" w:val="left"/>
        </w:tabs>
        <w:numPr>
          <w:ilvl w:val="1"/>
          <w:numId w:val="1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or towards payment to the Lender of all costs, charges or expenses, inter alia, incurred by the Lender in enforcing its rights hereunder;</w:t>
      </w:r>
    </w:p>
    <w:p>
      <w:pPr>
        <w:spacing w:after="0" w:line="135" w:lineRule="exact"/>
        <w:rPr>
          <w:rFonts w:ascii="Courier New" w:cs="Courier New" w:eastAsia="Courier New" w:hAnsi="Courier New"/>
          <w:sz w:val="12"/>
          <w:szCs w:val="12"/>
          <w:color w:val="auto"/>
        </w:rPr>
      </w:pPr>
    </w:p>
    <w:p>
      <w:pPr>
        <w:ind w:left="1048" w:hanging="345"/>
        <w:spacing w:after="0"/>
        <w:tabs>
          <w:tab w:leader="none" w:pos="1048" w:val="left"/>
        </w:tabs>
        <w:numPr>
          <w:ilvl w:val="1"/>
          <w:numId w:val="1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or towards Interest; and</w:t>
      </w:r>
    </w:p>
    <w:p>
      <w:pPr>
        <w:spacing w:after="0" w:line="134" w:lineRule="exact"/>
        <w:rPr>
          <w:rFonts w:ascii="Courier New" w:cs="Courier New" w:eastAsia="Courier New" w:hAnsi="Courier New"/>
          <w:sz w:val="12"/>
          <w:szCs w:val="12"/>
          <w:color w:val="auto"/>
        </w:rPr>
      </w:pPr>
    </w:p>
    <w:p>
      <w:pPr>
        <w:ind w:left="1048" w:hanging="345"/>
        <w:spacing w:after="0"/>
        <w:tabs>
          <w:tab w:leader="none" w:pos="1048" w:val="left"/>
        </w:tabs>
        <w:numPr>
          <w:ilvl w:val="1"/>
          <w:numId w:val="1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or towards repayment of Installments.</w:t>
      </w:r>
    </w:p>
    <w:p>
      <w:pPr>
        <w:spacing w:after="0" w:line="134"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w:t>
      </w:r>
    </w:p>
    <w:p>
      <w:pPr>
        <w:spacing w:after="0" w:line="138" w:lineRule="exact"/>
        <w:rPr>
          <w:rFonts w:ascii="Courier New" w:cs="Courier New" w:eastAsia="Courier New" w:hAnsi="Courier New"/>
          <w:sz w:val="12"/>
          <w:szCs w:val="12"/>
          <w:color w:val="auto"/>
        </w:rPr>
      </w:pPr>
    </w:p>
    <w:p>
      <w:pPr>
        <w:ind w:left="708" w:right="4759" w:hanging="351"/>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12.1. To induce the Lender to grant the Loan, the Borrower represents and warrants to the Lender that:</w:t>
      </w:r>
    </w:p>
    <w:p>
      <w:pPr>
        <w:spacing w:after="0" w:line="139" w:lineRule="exact"/>
        <w:rPr>
          <w:rFonts w:ascii="Courier New" w:cs="Courier New" w:eastAsia="Courier New" w:hAnsi="Courier New"/>
          <w:sz w:val="12"/>
          <w:szCs w:val="12"/>
          <w:color w:val="auto"/>
        </w:rPr>
      </w:pPr>
    </w:p>
    <w:p>
      <w:pPr>
        <w:ind w:left="1048" w:right="4619" w:hanging="345"/>
        <w:spacing w:after="0" w:line="237" w:lineRule="auto"/>
        <w:tabs>
          <w:tab w:leader="none" w:pos="1048" w:val="left"/>
        </w:tabs>
        <w:numPr>
          <w:ilvl w:val="1"/>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is a corporation duly organized, validly existing and in good standing under the laws of Israel, is qualified or registered and has the corporate power and authority to own its properties and assets and to transact the business in which it is engaged.</w:t>
      </w:r>
    </w:p>
    <w:p>
      <w:pPr>
        <w:spacing w:after="0" w:line="139" w:lineRule="exact"/>
        <w:rPr>
          <w:rFonts w:ascii="Courier New" w:cs="Courier New" w:eastAsia="Courier New" w:hAnsi="Courier New"/>
          <w:sz w:val="12"/>
          <w:szCs w:val="12"/>
          <w:color w:val="auto"/>
        </w:rPr>
      </w:pPr>
    </w:p>
    <w:p>
      <w:pPr>
        <w:ind w:left="1048" w:right="4619" w:hanging="345"/>
        <w:spacing w:after="0" w:line="238" w:lineRule="auto"/>
        <w:tabs>
          <w:tab w:leader="none" w:pos="1048" w:val="left"/>
        </w:tabs>
        <w:numPr>
          <w:ilvl w:val="1"/>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has full legal right and has the corporate power and requisite authority to execute, deliver and perform this Agreement and each of the Loan Documents to be furnished by it hereunder, inter alia, to obtain the Loan in US$, and to effect, in US$, all payments required to be made under this Agreement or under any other Loan Document to be furnished by the Borrower. The Borrower has taken all corporate actions necessary to authorize the execution, delivery and performance of this Agreement and the Loan Documents in accordance with their terms and to authorize respective persons to execute, sign and deliver this Agreement and the Loan Documents in the name and on behalf of the Borrower.</w:t>
      </w:r>
    </w:p>
    <w:p>
      <w:pPr>
        <w:spacing w:after="0" w:line="138" w:lineRule="exact"/>
        <w:rPr>
          <w:rFonts w:ascii="Courier New" w:cs="Courier New" w:eastAsia="Courier New" w:hAnsi="Courier New"/>
          <w:sz w:val="12"/>
          <w:szCs w:val="12"/>
          <w:color w:val="auto"/>
        </w:rPr>
      </w:pPr>
    </w:p>
    <w:p>
      <w:pPr>
        <w:ind w:left="1048" w:right="4619" w:hanging="345"/>
        <w:spacing w:after="0" w:line="261" w:lineRule="auto"/>
        <w:tabs>
          <w:tab w:leader="none" w:pos="1048" w:val="left"/>
        </w:tabs>
        <w:numPr>
          <w:ilvl w:val="1"/>
          <w:numId w:val="1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Neither the execution and delivery of this Agreement or the Loan documents nor the consummation of any of the transactions herein or therein contemplated, nor compliance with the terms and provisions thereof, will violate, contravene or conflict with (i) any provision of law, statute or regulation to which the Borrower is subject or (ii) any judgment, license, order or permit applicable to the Borrower or (iii) any Encumbrance or any provision of any document creating an Indebtedness, to which the Borrower is a party or by which the Borrower and any of its property or assets may be bound, or to which the Borrower and any of its property or assets may be subject or (iv) any provision of the Memorandum or Articles of Association of the Borrower or (v) any of the Borrower's business permits and/or licenses required for the operation of the Borrower's business, other than the Investment Center; all except as would not have a material adverse effect on the ability of the Borrower to pay, when due, amounts due to the Lender under this Agreement.</w:t>
      </w:r>
    </w:p>
    <w:p>
      <w:pPr>
        <w:spacing w:after="0" w:line="394" w:lineRule="exact"/>
        <w:rPr>
          <w:rFonts w:ascii="Courier New" w:cs="Courier New" w:eastAsia="Courier New" w:hAnsi="Courier New"/>
          <w:sz w:val="11"/>
          <w:szCs w:val="11"/>
          <w:color w:val="auto"/>
        </w:rPr>
      </w:pPr>
    </w:p>
    <w:p>
      <w:pPr>
        <w:ind w:left="2748" w:hanging="149"/>
        <w:spacing w:after="0"/>
        <w:tabs>
          <w:tab w:leader="none" w:pos="2748" w:val="left"/>
        </w:tabs>
        <w:numPr>
          <w:ilvl w:val="2"/>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11 -</w:t>
      </w:r>
    </w:p>
    <w:p>
      <w:pPr>
        <w:spacing w:after="0" w:line="200" w:lineRule="exact"/>
        <w:rPr>
          <w:rFonts w:ascii="Courier New" w:cs="Courier New" w:eastAsia="Courier New" w:hAnsi="Courier New"/>
          <w:sz w:val="12"/>
          <w:szCs w:val="12"/>
          <w:color w:val="auto"/>
        </w:rPr>
      </w:pPr>
    </w:p>
    <w:p>
      <w:pPr>
        <w:spacing w:after="0" w:line="208" w:lineRule="exact"/>
        <w:rPr>
          <w:rFonts w:ascii="Courier New" w:cs="Courier New" w:eastAsia="Courier New" w:hAnsi="Courier New"/>
          <w:sz w:val="12"/>
          <w:szCs w:val="12"/>
          <w:color w:val="auto"/>
        </w:rPr>
      </w:pPr>
    </w:p>
    <w:p>
      <w:pPr>
        <w:ind w:left="1048" w:right="4619" w:hanging="345"/>
        <w:spacing w:after="0" w:line="262" w:lineRule="auto"/>
        <w:tabs>
          <w:tab w:leader="none" w:pos="1048" w:val="left"/>
        </w:tabs>
        <w:numPr>
          <w:ilvl w:val="1"/>
          <w:numId w:val="1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No further consents, licenses, approvals, authorizations, declarations, filings or registration are required to be obtained by the Borrower for the valid execution and delivery of this Agreement and Loan Documents or for the consummation of the transactions contemplated hereby or thereby except as would not have a material adverse effect on the ability of the Borrower to pay, when due, amounts due to the Lender under this Agreement.</w:t>
      </w:r>
    </w:p>
    <w:p>
      <w:pPr>
        <w:spacing w:after="0" w:line="128" w:lineRule="exact"/>
        <w:rPr>
          <w:rFonts w:ascii="Courier New" w:cs="Courier New" w:eastAsia="Courier New" w:hAnsi="Courier New"/>
          <w:sz w:val="11"/>
          <w:szCs w:val="11"/>
          <w:color w:val="auto"/>
        </w:rPr>
      </w:pPr>
    </w:p>
    <w:p>
      <w:pPr>
        <w:ind w:left="1048" w:right="4619" w:hanging="345"/>
        <w:spacing w:after="0" w:line="237" w:lineRule="auto"/>
        <w:tabs>
          <w:tab w:leader="none" w:pos="1048" w:val="left"/>
        </w:tabs>
        <w:numPr>
          <w:ilvl w:val="1"/>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and the Loan Documents have been, and when executed shall be, duly executed and delivered by the Borrower as appropriate, and constitute the legal and binding obligations of the Borrower, enforceable against the Borrower in accordance with their respective terms.</w:t>
      </w:r>
    </w:p>
    <w:p>
      <w:pPr>
        <w:spacing w:after="0" w:line="139" w:lineRule="exact"/>
        <w:rPr>
          <w:rFonts w:ascii="Courier New" w:cs="Courier New" w:eastAsia="Courier New" w:hAnsi="Courier New"/>
          <w:sz w:val="12"/>
          <w:szCs w:val="12"/>
          <w:color w:val="auto"/>
        </w:rPr>
      </w:pPr>
    </w:p>
    <w:p>
      <w:pPr>
        <w:ind w:left="1048" w:right="4619" w:hanging="345"/>
        <w:spacing w:after="0" w:line="236" w:lineRule="auto"/>
        <w:tabs>
          <w:tab w:leader="none" w:pos="1048" w:val="left"/>
        </w:tabs>
        <w:numPr>
          <w:ilvl w:val="1"/>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Equipment and the rights assumed by the Borrower under the Assumption Agreement are free and clear of any Encumbrance and/or other adverse claims of any nature, and the Borrower has good and marketable title to its properties and assets.</w:t>
      </w:r>
    </w:p>
    <w:p>
      <w:pPr>
        <w:spacing w:after="0" w:line="140" w:lineRule="exact"/>
        <w:rPr>
          <w:rFonts w:ascii="Courier New" w:cs="Courier New" w:eastAsia="Courier New" w:hAnsi="Courier New"/>
          <w:sz w:val="12"/>
          <w:szCs w:val="12"/>
          <w:color w:val="auto"/>
        </w:rPr>
      </w:pPr>
    </w:p>
    <w:p>
      <w:pPr>
        <w:ind w:left="1048" w:right="4619" w:hanging="345"/>
        <w:spacing w:after="0" w:line="262" w:lineRule="auto"/>
        <w:tabs>
          <w:tab w:leader="none" w:pos="1048" w:val="left"/>
        </w:tabs>
        <w:numPr>
          <w:ilvl w:val="1"/>
          <w:numId w:val="1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annual financial report of the Borrower, which includes audited balance sheet and profit and loss statement, for the fiscal year which ended on December 31, 2005, and the unaudited quarterly financial statements for the period ending March 31, 2005 which have been furnished by the Borrower to the Lender, fairly present the financial condition of the Borrower as of such date and have been prepared in accordance with generally accepted</w:t>
      </w:r>
    </w:p>
    <w:p>
      <w:pPr>
        <w:sectPr>
          <w:pgSz w:w="11900" w:h="16838" w:orient="portrait"/>
          <w:cols w:equalWidth="0" w:num="1">
            <w:col w:w="10247"/>
          </w:cols>
          <w:pgMar w:left="212" w:top="137" w:right="1440" w:bottom="0" w:gutter="0" w:footer="0" w:header="0"/>
        </w:sectPr>
      </w:pPr>
    </w:p>
    <w:bookmarkStart w:id="94" w:name="page95"/>
    <w:bookmarkEnd w:id="94"/>
    <w:p>
      <w:pPr>
        <w:ind w:left="1048"/>
        <w:spacing w:after="0"/>
        <w:rPr>
          <w:sz w:val="20"/>
          <w:szCs w:val="20"/>
          <w:color w:val="auto"/>
        </w:rPr>
      </w:pPr>
      <w:r>
        <w:rPr>
          <w:rFonts w:ascii="Courier New" w:cs="Courier New" w:eastAsia="Courier New" w:hAnsi="Courier New"/>
          <w:sz w:val="11"/>
          <w:szCs w:val="11"/>
          <w:color w:val="auto"/>
        </w:rPr>
        <w:t>accounting principles in Israel and, as of the date hereof, there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are no obligations, liabilities or Indebtedness (including</w:t>
      </w:r>
    </w:p>
    <w:p>
      <w:pPr>
        <w:ind w:left="1048"/>
        <w:spacing w:after="0"/>
        <w:rPr>
          <w:sz w:val="20"/>
          <w:szCs w:val="20"/>
          <w:color w:val="auto"/>
        </w:rPr>
      </w:pPr>
      <w:r>
        <w:rPr>
          <w:rFonts w:ascii="Courier New" w:cs="Courier New" w:eastAsia="Courier New" w:hAnsi="Courier New"/>
          <w:sz w:val="12"/>
          <w:szCs w:val="12"/>
          <w:color w:val="auto"/>
        </w:rPr>
        <w:t>contingent and indirect liabilities and obligations) of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Borrower which are (separately or in the aggregate) material not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reflected in such annual financial report.</w:t>
      </w:r>
    </w:p>
    <w:p>
      <w:pPr>
        <w:spacing w:after="0" w:line="139" w:lineRule="exact"/>
        <w:rPr>
          <w:sz w:val="20"/>
          <w:szCs w:val="20"/>
          <w:color w:val="auto"/>
        </w:rPr>
      </w:pPr>
    </w:p>
    <w:p>
      <w:pPr>
        <w:ind w:left="1048" w:right="4699" w:hanging="345"/>
        <w:spacing w:after="0" w:line="266" w:lineRule="auto"/>
        <w:tabs>
          <w:tab w:leader="none" w:pos="1048" w:val="left"/>
        </w:tabs>
        <w:numPr>
          <w:ilvl w:val="0"/>
          <w:numId w:val="1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No event or circumstances which constitutes, or which, with the giving of a notice or the lapse of time or both would constitute an Event of Default, has occurred and is continuing.</w:t>
      </w:r>
    </w:p>
    <w:p>
      <w:pPr>
        <w:spacing w:after="0" w:line="126" w:lineRule="exact"/>
        <w:rPr>
          <w:rFonts w:ascii="Courier New" w:cs="Courier New" w:eastAsia="Courier New" w:hAnsi="Courier New"/>
          <w:sz w:val="11"/>
          <w:szCs w:val="11"/>
          <w:color w:val="auto"/>
        </w:rPr>
      </w:pPr>
    </w:p>
    <w:p>
      <w:pPr>
        <w:ind w:left="1048" w:right="4619" w:hanging="345"/>
        <w:spacing w:after="0" w:line="238" w:lineRule="auto"/>
        <w:tabs>
          <w:tab w:leader="none" w:pos="1048" w:val="left"/>
        </w:tabs>
        <w:numPr>
          <w:ilvl w:val="0"/>
          <w:numId w:val="1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Except as is described in the submissions of the Borrower to the US Securities and Exchange Commission on Form 20-F, and any subsequent submission under form 6-K except as may have been disclosed by the Borrower to the Lender in writing prior to the signature of this Agreement, there are no actions, suits or legal or equitable arbitration or administrative proceedings pending, or, to the best knowledge of the Borrower, threatened against the Borrower that could, if adversely determined, have a material adverse effect upon the validity, performance or enforceability of this Agreement, the Loan Documents, the Lien on the Equipment or upon the ability of the Borrower to fulfill its obligations under this Agreement and the Loan Documents, inter alia which may impair the ability of the Borrower to pay, when due, amounts due to the Lender under this Agreement.</w:t>
      </w:r>
    </w:p>
    <w:p>
      <w:pPr>
        <w:spacing w:after="0" w:line="134" w:lineRule="exact"/>
        <w:rPr>
          <w:rFonts w:ascii="Courier New" w:cs="Courier New" w:eastAsia="Courier New" w:hAnsi="Courier New"/>
          <w:sz w:val="12"/>
          <w:szCs w:val="12"/>
          <w:color w:val="auto"/>
        </w:rPr>
      </w:pPr>
    </w:p>
    <w:p>
      <w:pPr>
        <w:ind w:left="2748" w:hanging="149"/>
        <w:spacing w:after="0"/>
        <w:tabs>
          <w:tab w:leader="none" w:pos="2748" w:val="left"/>
        </w:tabs>
        <w:numPr>
          <w:ilvl w:val="2"/>
          <w:numId w:val="1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12 -</w:t>
      </w:r>
    </w:p>
    <w:p>
      <w:pPr>
        <w:spacing w:after="0" w:line="200" w:lineRule="exact"/>
        <w:rPr>
          <w:rFonts w:ascii="Courier New" w:cs="Courier New" w:eastAsia="Courier New" w:hAnsi="Courier New"/>
          <w:sz w:val="12"/>
          <w:szCs w:val="12"/>
          <w:color w:val="auto"/>
        </w:rPr>
      </w:pPr>
    </w:p>
    <w:p>
      <w:pPr>
        <w:spacing w:after="0" w:line="208" w:lineRule="exact"/>
        <w:rPr>
          <w:rFonts w:ascii="Courier New" w:cs="Courier New" w:eastAsia="Courier New" w:hAnsi="Courier New"/>
          <w:sz w:val="12"/>
          <w:szCs w:val="12"/>
          <w:color w:val="auto"/>
        </w:rPr>
      </w:pPr>
    </w:p>
    <w:p>
      <w:pPr>
        <w:ind w:left="1048" w:right="4619" w:hanging="345"/>
        <w:spacing w:after="0" w:line="262" w:lineRule="auto"/>
        <w:tabs>
          <w:tab w:leader="none" w:pos="1048" w:val="left"/>
        </w:tabs>
        <w:numPr>
          <w:ilvl w:val="0"/>
          <w:numId w:val="1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All Tax returns required to be filed by the Borrower in any jurisdiction have been filed and all Taxes, assessments, fees and other governmental charges upon the Borrower and/or upon any of its properties, assets or incomes have been paid prior to the such Taxes could give rise to a lien thereon all except as would not have a material adverse effect on the ability of the Borrower to pay, when due, amounts due to the Lender under this Agreement.</w:t>
      </w:r>
    </w:p>
    <w:p>
      <w:pPr>
        <w:spacing w:after="0" w:line="128" w:lineRule="exact"/>
        <w:rPr>
          <w:rFonts w:ascii="Courier New" w:cs="Courier New" w:eastAsia="Courier New" w:hAnsi="Courier New"/>
          <w:sz w:val="11"/>
          <w:szCs w:val="11"/>
          <w:color w:val="auto"/>
        </w:rPr>
      </w:pPr>
    </w:p>
    <w:p>
      <w:pPr>
        <w:ind w:left="1048" w:right="4619" w:hanging="345"/>
        <w:spacing w:after="0" w:line="264" w:lineRule="auto"/>
        <w:tabs>
          <w:tab w:leader="none" w:pos="1048" w:val="left"/>
        </w:tabs>
        <w:numPr>
          <w:ilvl w:val="0"/>
          <w:numId w:val="1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Borrower is in compliance with all laws, rules, regulations, orders and decrees the violation of which would have a material effect on the Borrower's obligations hereunder or the capacity of the Borrower to fulfill its obligations under the Loan Documents.</w:t>
      </w:r>
    </w:p>
    <w:p>
      <w:pPr>
        <w:spacing w:after="0" w:line="127" w:lineRule="exact"/>
        <w:rPr>
          <w:rFonts w:ascii="Courier New" w:cs="Courier New" w:eastAsia="Courier New" w:hAnsi="Courier New"/>
          <w:sz w:val="11"/>
          <w:szCs w:val="11"/>
          <w:color w:val="auto"/>
        </w:rPr>
      </w:pPr>
    </w:p>
    <w:p>
      <w:pPr>
        <w:ind w:left="1048" w:right="4619" w:hanging="345"/>
        <w:spacing w:after="0" w:line="236" w:lineRule="auto"/>
        <w:tabs>
          <w:tab w:leader="none" w:pos="1048" w:val="left"/>
        </w:tabs>
        <w:numPr>
          <w:ilvl w:val="0"/>
          <w:numId w:val="1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is, and after consummation of this Agreement and the Loan Documents and after giving effect to all indebtedness including the indebtedness of the Loan and the Lien on the Equipment will be solvent.</w:t>
      </w:r>
    </w:p>
    <w:p>
      <w:pPr>
        <w:spacing w:after="0" w:line="140" w:lineRule="exact"/>
        <w:rPr>
          <w:rFonts w:ascii="Courier New" w:cs="Courier New" w:eastAsia="Courier New" w:hAnsi="Courier New"/>
          <w:sz w:val="12"/>
          <w:szCs w:val="12"/>
          <w:color w:val="auto"/>
        </w:rPr>
      </w:pPr>
    </w:p>
    <w:p>
      <w:pPr>
        <w:ind w:left="1048" w:right="4759" w:hanging="345"/>
        <w:spacing w:after="0" w:line="237" w:lineRule="auto"/>
        <w:tabs>
          <w:tab w:leader="none" w:pos="1048" w:val="left"/>
        </w:tabs>
        <w:numPr>
          <w:ilvl w:val="0"/>
          <w:numId w:val="1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Except for withholding taxes under the laws of Israel from payment of interest, no Taxes are imposed by withholding or otherwise on any payment to be made by the Borrower under this Agreement and the Loan documents or are imposed on or by virtue of the execution, delivery or performance of this Agreement or any Loan Document.</w:t>
      </w:r>
    </w:p>
    <w:p>
      <w:pPr>
        <w:spacing w:after="0" w:line="140" w:lineRule="exact"/>
        <w:rPr>
          <w:rFonts w:ascii="Courier New" w:cs="Courier New" w:eastAsia="Courier New" w:hAnsi="Courier New"/>
          <w:sz w:val="12"/>
          <w:szCs w:val="12"/>
          <w:color w:val="auto"/>
        </w:rPr>
      </w:pPr>
    </w:p>
    <w:p>
      <w:pPr>
        <w:ind w:left="1048" w:right="4619" w:hanging="345"/>
        <w:spacing w:after="0" w:line="260" w:lineRule="auto"/>
        <w:tabs>
          <w:tab w:leader="none" w:pos="1048" w:val="left"/>
        </w:tabs>
        <w:numPr>
          <w:ilvl w:val="0"/>
          <w:numId w:val="1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There is no restriction in any law, regulation, order, judgment, agreement of other obligation to which the Borrower is subject and that has not been waived that prohibits, restricts or impairs</w:t>
      </w:r>
    </w:p>
    <w:p>
      <w:pPr>
        <w:ind w:left="1048" w:right="4619" w:firstLine="6"/>
        <w:spacing w:after="0" w:line="237" w:lineRule="auto"/>
        <w:tabs>
          <w:tab w:leader="none" w:pos="1329" w:val="left"/>
        </w:tabs>
        <w:numPr>
          <w:ilvl w:val="1"/>
          <w:numId w:val="1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granting by the Borrower to the Lender of the Lien on the Equipment, (ii) the registration and perfection of the Lien on the Equipment with any relevant authority, and (iii) the accrual in respect of such Lien on the Equipment of the rights granted under Section 169(d) of Israel's Companies Ordinance. There is no Encumbrance, on the Equipment that is senior in right or time to the Lien on the Equipment.</w:t>
      </w:r>
    </w:p>
    <w:p>
      <w:pPr>
        <w:spacing w:after="0" w:line="141" w:lineRule="exact"/>
        <w:rPr>
          <w:rFonts w:ascii="Courier New" w:cs="Courier New" w:eastAsia="Courier New" w:hAnsi="Courier New"/>
          <w:sz w:val="12"/>
          <w:szCs w:val="12"/>
          <w:color w:val="auto"/>
        </w:rPr>
      </w:pPr>
    </w:p>
    <w:p>
      <w:pPr>
        <w:ind w:left="1048" w:right="4759" w:hanging="345"/>
        <w:spacing w:after="0" w:line="263" w:lineRule="auto"/>
        <w:tabs>
          <w:tab w:leader="none" w:pos="1048" w:val="left"/>
        </w:tabs>
        <w:numPr>
          <w:ilvl w:val="0"/>
          <w:numId w:val="1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Upon the filing or other registration by the Lender of the Lien on the Equipment with the Companies Registrar, there shall be perfected in favor of the Lender a specific charge covering the Equipment, and such charge shall enjoy the rights granted to a lender under Section 169(d) of Israel's Companies Ordinance.</w:t>
      </w:r>
    </w:p>
    <w:p>
      <w:pPr>
        <w:spacing w:after="0" w:line="258" w:lineRule="exact"/>
        <w:rPr>
          <w:rFonts w:ascii="Courier New" w:cs="Courier New" w:eastAsia="Courier New" w:hAnsi="Courier New"/>
          <w:sz w:val="11"/>
          <w:szCs w:val="11"/>
          <w:color w:val="auto"/>
        </w:rPr>
      </w:pPr>
    </w:p>
    <w:p>
      <w:pPr>
        <w:ind w:left="2748" w:hanging="149"/>
        <w:spacing w:after="0"/>
        <w:tabs>
          <w:tab w:leader="none" w:pos="2748" w:val="left"/>
        </w:tabs>
        <w:numPr>
          <w:ilvl w:val="2"/>
          <w:numId w:val="1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13 -</w:t>
      </w:r>
    </w:p>
    <w:p>
      <w:pPr>
        <w:spacing w:after="0" w:line="200" w:lineRule="exact"/>
        <w:rPr>
          <w:sz w:val="20"/>
          <w:szCs w:val="20"/>
          <w:color w:val="auto"/>
        </w:rPr>
      </w:pPr>
    </w:p>
    <w:p>
      <w:pPr>
        <w:spacing w:after="0" w:line="209" w:lineRule="exact"/>
        <w:rPr>
          <w:sz w:val="20"/>
          <w:szCs w:val="20"/>
          <w:color w:val="auto"/>
        </w:rPr>
      </w:pPr>
    </w:p>
    <w:p>
      <w:pPr>
        <w:ind w:left="708" w:right="4619" w:hanging="350"/>
        <w:spacing w:after="0" w:line="263" w:lineRule="auto"/>
        <w:rPr>
          <w:sz w:val="20"/>
          <w:szCs w:val="20"/>
          <w:color w:val="auto"/>
        </w:rPr>
      </w:pPr>
      <w:r>
        <w:rPr>
          <w:rFonts w:ascii="Courier New" w:cs="Courier New" w:eastAsia="Courier New" w:hAnsi="Courier New"/>
          <w:sz w:val="11"/>
          <w:szCs w:val="11"/>
          <w:color w:val="auto"/>
        </w:rPr>
        <w:t>12.2. Each Request for Disbursement shall constitute, without the necessity of specifically containing a written statement, a representation and warranty by Borrower that no event has occurred since the prior Disbursement that would materially effect the capacity and ability of the Borrower to fulfill its obligations under the Loan Documents.</w:t>
      </w:r>
    </w:p>
    <w:p>
      <w:pPr>
        <w:spacing w:after="0" w:line="128" w:lineRule="exact"/>
        <w:rPr>
          <w:sz w:val="20"/>
          <w:szCs w:val="20"/>
          <w:color w:val="auto"/>
        </w:rPr>
      </w:pPr>
    </w:p>
    <w:p>
      <w:pPr>
        <w:ind w:left="708" w:right="4699" w:hanging="350"/>
        <w:spacing w:after="0" w:line="235" w:lineRule="auto"/>
        <w:rPr>
          <w:sz w:val="20"/>
          <w:szCs w:val="20"/>
          <w:color w:val="auto"/>
        </w:rPr>
      </w:pPr>
      <w:r>
        <w:rPr>
          <w:rFonts w:ascii="Courier New" w:cs="Courier New" w:eastAsia="Courier New" w:hAnsi="Courier New"/>
          <w:sz w:val="12"/>
          <w:szCs w:val="12"/>
          <w:color w:val="auto"/>
        </w:rPr>
        <w:t>12.3. All representations and warranties made by the Borrower herein shall survive the duration of this Agreement.</w:t>
      </w:r>
    </w:p>
    <w:p>
      <w:pPr>
        <w:spacing w:after="0" w:line="135" w:lineRule="exact"/>
        <w:rPr>
          <w:sz w:val="20"/>
          <w:szCs w:val="20"/>
          <w:color w:val="auto"/>
        </w:rPr>
      </w:pPr>
    </w:p>
    <w:p>
      <w:pPr>
        <w:ind w:left="348" w:hanging="348"/>
        <w:spacing w:after="0"/>
        <w:tabs>
          <w:tab w:leader="none" w:pos="348" w:val="left"/>
        </w:tabs>
        <w:numPr>
          <w:ilvl w:val="0"/>
          <w:numId w:val="1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COVENANTS</w:t>
      </w:r>
    </w:p>
    <w:p>
      <w:pPr>
        <w:spacing w:after="0" w:line="138" w:lineRule="exact"/>
        <w:rPr>
          <w:rFonts w:ascii="Courier New" w:cs="Courier New" w:eastAsia="Courier New" w:hAnsi="Courier New"/>
          <w:sz w:val="12"/>
          <w:szCs w:val="12"/>
          <w:color w:val="auto"/>
        </w:rPr>
      </w:pPr>
    </w:p>
    <w:p>
      <w:pPr>
        <w:ind w:left="348" w:right="461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So long as the Loan is outstanding and until payment in full by the Borrower of any and all amounts due to be paid by it hereunder and performance by it of its obligations hereunder, the Borrower undertakes and agrees that the Borrower shall deliver to the Lender each of the following:</w:t>
      </w:r>
    </w:p>
    <w:p>
      <w:pPr>
        <w:spacing w:after="0" w:line="127" w:lineRule="exact"/>
        <w:rPr>
          <w:rFonts w:ascii="Courier New" w:cs="Courier New" w:eastAsia="Courier New" w:hAnsi="Courier New"/>
          <w:sz w:val="12"/>
          <w:szCs w:val="12"/>
          <w:color w:val="auto"/>
        </w:rPr>
      </w:pPr>
    </w:p>
    <w:p>
      <w:pPr>
        <w:ind w:left="708" w:right="4699" w:hanging="351"/>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13.1. The Borrower shall deliver to the Lender such information concerning the business operations, properties or financial condition of the Borrower, as the Lender may from time to time reasonably request.</w:t>
      </w:r>
    </w:p>
    <w:p>
      <w:pPr>
        <w:spacing w:after="0" w:line="126" w:lineRule="exact"/>
        <w:rPr>
          <w:rFonts w:ascii="Courier New" w:cs="Courier New" w:eastAsia="Courier New" w:hAnsi="Courier New"/>
          <w:sz w:val="12"/>
          <w:szCs w:val="12"/>
          <w:color w:val="auto"/>
        </w:rPr>
      </w:pPr>
    </w:p>
    <w:p>
      <w:pPr>
        <w:ind w:left="708" w:right="4619" w:hanging="351"/>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13.2. The Borrower shall pay and discharge when due (i) all Taxes imposed upon its income or profit or upon any property belonging to it and in any event, prior to the date on which penalties may become attached thereto and an Encumbrance on the Equipment may be created as a result of the non payment thereof and (ii) all lawful claims (including claims for labor, materials and supplies), which, if impaired, might give rise to an Encumbrance upon the Equipment.</w:t>
      </w:r>
    </w:p>
    <w:p>
      <w:pPr>
        <w:spacing w:after="0" w:line="141" w:lineRule="exact"/>
        <w:rPr>
          <w:rFonts w:ascii="Courier New" w:cs="Courier New" w:eastAsia="Courier New" w:hAnsi="Courier New"/>
          <w:sz w:val="12"/>
          <w:szCs w:val="12"/>
          <w:color w:val="auto"/>
        </w:rPr>
      </w:pPr>
    </w:p>
    <w:p>
      <w:pPr>
        <w:ind w:left="708" w:right="4619" w:hanging="351"/>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13.3. The Borrower shall preserve and maintain its corporate existence and all of its rights, privileges and franchises necessary or desirable in the normal conduct of its business and conduct its business in an orderly and efficient manner consistent with good business practices and in accordance with all applicable law, rules regulations and orders of any applicable governmental, court, or other governmental authority having jurisdiction over the Borrower or any of its business, operations or properties.</w:t>
      </w:r>
    </w:p>
    <w:p>
      <w:pPr>
        <w:spacing w:after="0" w:line="142" w:lineRule="exact"/>
        <w:rPr>
          <w:rFonts w:ascii="Courier New" w:cs="Courier New" w:eastAsia="Courier New" w:hAnsi="Courier New"/>
          <w:sz w:val="12"/>
          <w:szCs w:val="12"/>
          <w:color w:val="auto"/>
        </w:rPr>
      </w:pPr>
    </w:p>
    <w:p>
      <w:pPr>
        <w:ind w:left="708" w:right="4759" w:hanging="351"/>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13.4. The Borrower shall promptly notify the Lender in writing of (i) any material adverse change in its financial condition or its business,</w:t>
      </w:r>
    </w:p>
    <w:p>
      <w:pPr>
        <w:ind w:left="1048" w:hanging="345"/>
        <w:spacing w:after="0"/>
        <w:tabs>
          <w:tab w:leader="none" w:pos="1048" w:val="left"/>
        </w:tabs>
        <w:numPr>
          <w:ilvl w:val="1"/>
          <w:numId w:val="1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default under any document giving rise to an Indebtedness;</w:t>
      </w:r>
    </w:p>
    <w:p>
      <w:pPr>
        <w:spacing w:after="0" w:line="2" w:lineRule="exact"/>
        <w:rPr>
          <w:rFonts w:ascii="Courier New" w:cs="Courier New" w:eastAsia="Courier New" w:hAnsi="Courier New"/>
          <w:sz w:val="12"/>
          <w:szCs w:val="12"/>
          <w:color w:val="auto"/>
        </w:rPr>
      </w:pPr>
    </w:p>
    <w:p>
      <w:pPr>
        <w:ind w:left="708" w:right="4619" w:hanging="5"/>
        <w:spacing w:after="0" w:line="260" w:lineRule="auto"/>
        <w:tabs>
          <w:tab w:leader="none" w:pos="1130" w:val="left"/>
        </w:tabs>
        <w:numPr>
          <w:ilvl w:val="1"/>
          <w:numId w:val="1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acceleration of the maturity of any Indebtedness and realization procedures of any Encumbrance or other realization procedures against the Borrower's assets or property, (iv) any other matter which has resulted or might result in a material adverse effect on the business operations or financial conditions of the Borrower;</w:t>
      </w:r>
    </w:p>
    <w:p>
      <w:pPr>
        <w:ind w:left="988" w:hanging="285"/>
        <w:spacing w:after="0"/>
        <w:tabs>
          <w:tab w:leader="none" w:pos="988" w:val="left"/>
        </w:tabs>
        <w:numPr>
          <w:ilvl w:val="1"/>
          <w:numId w:val="1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litigation or Proceedings by any or before any governmental</w:t>
      </w:r>
    </w:p>
    <w:p>
      <w:pPr>
        <w:sectPr>
          <w:pgSz w:w="11900" w:h="16838" w:orient="portrait"/>
          <w:cols w:equalWidth="0" w:num="1">
            <w:col w:w="10247"/>
          </w:cols>
          <w:pgMar w:left="212" w:top="141" w:right="1440" w:bottom="0" w:gutter="0" w:footer="0" w:header="0"/>
        </w:sectPr>
      </w:pPr>
    </w:p>
    <w:bookmarkStart w:id="95" w:name="page96"/>
    <w:bookmarkEnd w:id="95"/>
    <w:p>
      <w:pPr>
        <w:ind w:left="700"/>
        <w:spacing w:after="0"/>
        <w:rPr>
          <w:sz w:val="20"/>
          <w:szCs w:val="20"/>
          <w:color w:val="auto"/>
        </w:rPr>
      </w:pPr>
      <w:r>
        <w:rPr>
          <w:rFonts w:ascii="Courier New" w:cs="Courier New" w:eastAsia="Courier New" w:hAnsi="Courier New"/>
          <w:sz w:val="12"/>
          <w:szCs w:val="12"/>
          <w:color w:val="auto"/>
        </w:rPr>
        <w:t>agency, arbitrators or courts and of all disputes concerning the</w:t>
      </w:r>
    </w:p>
    <w:p>
      <w:pPr>
        <w:ind w:left="700"/>
        <w:spacing w:after="0"/>
        <w:rPr>
          <w:sz w:val="20"/>
          <w:szCs w:val="20"/>
          <w:color w:val="auto"/>
        </w:rPr>
      </w:pPr>
      <w:r>
        <w:rPr>
          <w:rFonts w:ascii="Courier New" w:cs="Courier New" w:eastAsia="Courier New" w:hAnsi="Courier New"/>
          <w:sz w:val="12"/>
          <w:szCs w:val="12"/>
          <w:color w:val="auto"/>
        </w:rPr>
        <w:t>Borrower or any of its assets, which, if determined adversely, may</w:t>
      </w:r>
    </w:p>
    <w:p>
      <w:pPr>
        <w:ind w:left="700"/>
        <w:spacing w:after="0" w:line="237" w:lineRule="auto"/>
        <w:rPr>
          <w:sz w:val="20"/>
          <w:szCs w:val="20"/>
          <w:color w:val="auto"/>
        </w:rPr>
      </w:pPr>
      <w:r>
        <w:rPr>
          <w:rFonts w:ascii="Courier New" w:cs="Courier New" w:eastAsia="Courier New" w:hAnsi="Courier New"/>
          <w:sz w:val="12"/>
          <w:szCs w:val="12"/>
          <w:color w:val="auto"/>
        </w:rPr>
        <w:t>have a material adverse effect on the validity, performance or</w:t>
      </w:r>
    </w:p>
    <w:p>
      <w:pPr>
        <w:ind w:left="700"/>
        <w:spacing w:after="0"/>
        <w:rPr>
          <w:sz w:val="20"/>
          <w:szCs w:val="20"/>
          <w:color w:val="auto"/>
        </w:rPr>
      </w:pPr>
      <w:r>
        <w:rPr>
          <w:rFonts w:ascii="Courier New" w:cs="Courier New" w:eastAsia="Courier New" w:hAnsi="Courier New"/>
          <w:sz w:val="12"/>
          <w:szCs w:val="12"/>
          <w:color w:val="auto"/>
        </w:rPr>
        <w:t>enforceability of this Agreement or the Loan Documents, or on the</w:t>
      </w:r>
    </w:p>
    <w:p>
      <w:pPr>
        <w:ind w:left="700"/>
        <w:spacing w:after="0" w:line="237" w:lineRule="auto"/>
        <w:rPr>
          <w:sz w:val="20"/>
          <w:szCs w:val="20"/>
          <w:color w:val="auto"/>
        </w:rPr>
      </w:pPr>
      <w:r>
        <w:rPr>
          <w:rFonts w:ascii="Courier New" w:cs="Courier New" w:eastAsia="Courier New" w:hAnsi="Courier New"/>
          <w:sz w:val="12"/>
          <w:szCs w:val="12"/>
          <w:color w:val="auto"/>
        </w:rPr>
        <w:t>business operations or financial condition of the Borrower; (vi) any</w:t>
      </w:r>
    </w:p>
    <w:p>
      <w:pPr>
        <w:ind w:left="700"/>
        <w:spacing w:after="0"/>
        <w:rPr>
          <w:sz w:val="20"/>
          <w:szCs w:val="20"/>
          <w:color w:val="auto"/>
        </w:rPr>
      </w:pPr>
      <w:r>
        <w:rPr>
          <w:rFonts w:ascii="Courier New" w:cs="Courier New" w:eastAsia="Courier New" w:hAnsi="Courier New"/>
          <w:sz w:val="12"/>
          <w:szCs w:val="12"/>
          <w:color w:val="auto"/>
        </w:rPr>
        <w:t>substantial dispute between the Borrower and any governmental</w:t>
      </w:r>
    </w:p>
    <w:p>
      <w:pPr>
        <w:ind w:left="700"/>
        <w:spacing w:after="0" w:line="237" w:lineRule="auto"/>
        <w:rPr>
          <w:sz w:val="20"/>
          <w:szCs w:val="20"/>
          <w:color w:val="auto"/>
        </w:rPr>
      </w:pPr>
      <w:r>
        <w:rPr>
          <w:rFonts w:ascii="Courier New" w:cs="Courier New" w:eastAsia="Courier New" w:hAnsi="Courier New"/>
          <w:sz w:val="12"/>
          <w:szCs w:val="12"/>
          <w:color w:val="auto"/>
        </w:rPr>
        <w:t>authority with respect to taxes, royalties, tax holidays, grants,</w:t>
      </w:r>
    </w:p>
    <w:p>
      <w:pPr>
        <w:ind w:left="700"/>
        <w:spacing w:after="0"/>
        <w:rPr>
          <w:sz w:val="20"/>
          <w:szCs w:val="20"/>
          <w:color w:val="auto"/>
        </w:rPr>
      </w:pPr>
      <w:r>
        <w:rPr>
          <w:rFonts w:ascii="Courier New" w:cs="Courier New" w:eastAsia="Courier New" w:hAnsi="Courier New"/>
          <w:sz w:val="12"/>
          <w:szCs w:val="12"/>
          <w:color w:val="auto"/>
        </w:rPr>
        <w:t>loans or any other matter including without limitation Israel's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Investment Center; (vii) any loss or damage to properties or assets of</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Borrower resulting from any casualty, if the initial estimated</w:t>
      </w:r>
    </w:p>
    <w:p>
      <w:pPr>
        <w:ind w:left="700"/>
        <w:spacing w:after="0"/>
        <w:rPr>
          <w:sz w:val="20"/>
          <w:szCs w:val="20"/>
          <w:color w:val="auto"/>
        </w:rPr>
      </w:pPr>
      <w:r>
        <w:rPr>
          <w:rFonts w:ascii="Courier New" w:cs="Courier New" w:eastAsia="Courier New" w:hAnsi="Courier New"/>
          <w:sz w:val="12"/>
          <w:szCs w:val="12"/>
          <w:color w:val="auto"/>
        </w:rPr>
        <w:t>cost of repair or replacement in excess of insurance proceeds is</w:t>
      </w:r>
    </w:p>
    <w:p>
      <w:pPr>
        <w:ind w:left="700"/>
        <w:spacing w:after="0" w:line="237" w:lineRule="auto"/>
        <w:rPr>
          <w:sz w:val="20"/>
          <w:szCs w:val="20"/>
          <w:color w:val="auto"/>
        </w:rPr>
      </w:pPr>
      <w:r>
        <w:rPr>
          <w:rFonts w:ascii="Courier New" w:cs="Courier New" w:eastAsia="Courier New" w:hAnsi="Courier New"/>
          <w:sz w:val="12"/>
          <w:szCs w:val="12"/>
          <w:color w:val="auto"/>
        </w:rPr>
        <w:t>greater than US$[***] or its equivalent; (viii) any change in Taxes,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stamps or other duties, filing or other fees imposed by withholding 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otherwise, applicable to any payment to be effected pursuant to this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Agreement the Loan Agreement or applicable to any transaction thereby</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contemplated; all except as would not have a material adverse effect</w:t>
      </w:r>
    </w:p>
    <w:p>
      <w:pPr>
        <w:ind w:left="700"/>
        <w:spacing w:after="0"/>
        <w:rPr>
          <w:sz w:val="20"/>
          <w:szCs w:val="20"/>
          <w:color w:val="auto"/>
        </w:rPr>
      </w:pPr>
      <w:r>
        <w:rPr>
          <w:rFonts w:ascii="Courier New" w:cs="Courier New" w:eastAsia="Courier New" w:hAnsi="Courier New"/>
          <w:sz w:val="12"/>
          <w:szCs w:val="12"/>
          <w:color w:val="auto"/>
        </w:rPr>
        <w:t>on the ability of the Borrower to pay, when due, amounts due to the</w:t>
      </w:r>
    </w:p>
    <w:p>
      <w:pPr>
        <w:ind w:left="700"/>
        <w:spacing w:after="0" w:line="237" w:lineRule="auto"/>
        <w:rPr>
          <w:sz w:val="20"/>
          <w:szCs w:val="20"/>
          <w:color w:val="auto"/>
        </w:rPr>
      </w:pPr>
      <w:r>
        <w:rPr>
          <w:rFonts w:ascii="Courier New" w:cs="Courier New" w:eastAsia="Courier New" w:hAnsi="Courier New"/>
          <w:sz w:val="12"/>
          <w:szCs w:val="12"/>
          <w:color w:val="auto"/>
        </w:rPr>
        <w:t>Lender under this Agreement.</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- 14 -</w:t>
      </w:r>
    </w:p>
    <w:p>
      <w:pPr>
        <w:spacing w:after="0" w:line="200" w:lineRule="exact"/>
        <w:rPr>
          <w:sz w:val="20"/>
          <w:szCs w:val="20"/>
          <w:color w:val="auto"/>
        </w:rPr>
      </w:pPr>
    </w:p>
    <w:p>
      <w:pPr>
        <w:spacing w:after="0" w:line="209" w:lineRule="exact"/>
        <w:rPr>
          <w:sz w:val="20"/>
          <w:szCs w:val="20"/>
          <w:color w:val="auto"/>
        </w:rPr>
      </w:pPr>
    </w:p>
    <w:p>
      <w:pPr>
        <w:ind w:left="700" w:right="4619" w:hanging="350"/>
        <w:spacing w:after="0" w:line="262" w:lineRule="auto"/>
        <w:rPr>
          <w:sz w:val="20"/>
          <w:szCs w:val="20"/>
          <w:color w:val="auto"/>
        </w:rPr>
      </w:pPr>
      <w:r>
        <w:rPr>
          <w:rFonts w:ascii="Courier New" w:cs="Courier New" w:eastAsia="Courier New" w:hAnsi="Courier New"/>
          <w:sz w:val="11"/>
          <w:szCs w:val="11"/>
          <w:color w:val="auto"/>
        </w:rPr>
        <w:t>13.5. The Borrower shall notify the Lender in writing, immediately upon becoming aware of the existence of any condition or event which constitutes an Event of Default or which, but for the giving of a notice or the lapse of time or both would become an Event of Default, specifying the nature and period of existence thereof and the action which the Borrower is taking or proposes to take with respect thereto.</w:t>
      </w:r>
    </w:p>
    <w:p>
      <w:pPr>
        <w:spacing w:after="0" w:line="12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13.6. The Borrower shall promptly comply with any and all covenants and</w:t>
      </w:r>
    </w:p>
    <w:p>
      <w:pPr>
        <w:ind w:left="700"/>
        <w:spacing w:after="0"/>
        <w:rPr>
          <w:sz w:val="20"/>
          <w:szCs w:val="20"/>
          <w:color w:val="auto"/>
        </w:rPr>
      </w:pPr>
      <w:r>
        <w:rPr>
          <w:rFonts w:ascii="Courier New" w:cs="Courier New" w:eastAsia="Courier New" w:hAnsi="Courier New"/>
          <w:sz w:val="12"/>
          <w:szCs w:val="12"/>
          <w:color w:val="auto"/>
        </w:rPr>
        <w:t>provisions of this Agreement and the Loan Documents.</w:t>
      </w:r>
    </w:p>
    <w:p>
      <w:pPr>
        <w:spacing w:after="0" w:line="138" w:lineRule="exact"/>
        <w:rPr>
          <w:sz w:val="20"/>
          <w:szCs w:val="20"/>
          <w:color w:val="auto"/>
        </w:rPr>
      </w:pPr>
    </w:p>
    <w:p>
      <w:pPr>
        <w:jc w:val="both"/>
        <w:ind w:left="700" w:right="4759" w:hanging="350"/>
        <w:spacing w:after="0" w:line="260" w:lineRule="auto"/>
        <w:rPr>
          <w:sz w:val="20"/>
          <w:szCs w:val="20"/>
          <w:color w:val="auto"/>
        </w:rPr>
      </w:pPr>
      <w:r>
        <w:rPr>
          <w:rFonts w:ascii="Courier New" w:cs="Courier New" w:eastAsia="Courier New" w:hAnsi="Courier New"/>
          <w:sz w:val="11"/>
          <w:szCs w:val="11"/>
          <w:color w:val="auto"/>
        </w:rPr>
        <w:t>13.7. The Borrower shall at all times keep the Equipment insured against loss or damage with insurers reasonably satisfactory to the Lender, and in amounts of not less than the purchase price of the Equipment.</w:t>
      </w:r>
    </w:p>
    <w:p>
      <w:pPr>
        <w:ind w:left="700"/>
        <w:spacing w:after="0"/>
        <w:rPr>
          <w:sz w:val="20"/>
          <w:szCs w:val="20"/>
          <w:color w:val="auto"/>
        </w:rPr>
      </w:pPr>
      <w:r>
        <w:rPr>
          <w:rFonts w:ascii="Courier New" w:cs="Courier New" w:eastAsia="Courier New" w:hAnsi="Courier New"/>
          <w:sz w:val="11"/>
          <w:szCs w:val="11"/>
          <w:color w:val="auto"/>
        </w:rPr>
        <w:t>The Lender shall be listed as a third party beneficiary on the Policy.</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Policy shall include an obligation of the insurer to notify the</w:t>
      </w:r>
    </w:p>
    <w:p>
      <w:pPr>
        <w:ind w:left="700"/>
        <w:spacing w:after="0"/>
        <w:rPr>
          <w:sz w:val="20"/>
          <w:szCs w:val="20"/>
          <w:color w:val="auto"/>
        </w:rPr>
      </w:pPr>
      <w:r>
        <w:rPr>
          <w:rFonts w:ascii="Courier New" w:cs="Courier New" w:eastAsia="Courier New" w:hAnsi="Courier New"/>
          <w:sz w:val="12"/>
          <w:szCs w:val="12"/>
          <w:color w:val="auto"/>
        </w:rPr>
        <w:t>Lender not less than 30 days prior to the expiration of the</w:t>
      </w:r>
    </w:p>
    <w:p>
      <w:pPr>
        <w:ind w:left="700"/>
        <w:spacing w:after="0" w:line="237" w:lineRule="auto"/>
        <w:rPr>
          <w:sz w:val="20"/>
          <w:szCs w:val="20"/>
          <w:color w:val="auto"/>
        </w:rPr>
      </w:pPr>
      <w:r>
        <w:rPr>
          <w:rFonts w:ascii="Courier New" w:cs="Courier New" w:eastAsia="Courier New" w:hAnsi="Courier New"/>
          <w:sz w:val="12"/>
          <w:szCs w:val="12"/>
          <w:color w:val="auto"/>
        </w:rPr>
        <w:t>effectiveness of such Policy and the sums due upon renewal thereof.</w:t>
      </w:r>
    </w:p>
    <w:p>
      <w:pPr>
        <w:ind w:left="700"/>
        <w:spacing w:after="0"/>
        <w:rPr>
          <w:sz w:val="20"/>
          <w:szCs w:val="20"/>
          <w:color w:val="auto"/>
        </w:rPr>
      </w:pPr>
      <w:r>
        <w:rPr>
          <w:rFonts w:ascii="Courier New" w:cs="Courier New" w:eastAsia="Courier New" w:hAnsi="Courier New"/>
          <w:sz w:val="12"/>
          <w:szCs w:val="12"/>
          <w:color w:val="auto"/>
        </w:rPr>
        <w:t>The Borrower shall provide Lender with a copy of such Policy and any</w:t>
      </w:r>
    </w:p>
    <w:p>
      <w:pPr>
        <w:ind w:left="700"/>
        <w:spacing w:after="0" w:line="237" w:lineRule="auto"/>
        <w:rPr>
          <w:sz w:val="20"/>
          <w:szCs w:val="20"/>
          <w:color w:val="auto"/>
        </w:rPr>
      </w:pPr>
      <w:r>
        <w:rPr>
          <w:rFonts w:ascii="Courier New" w:cs="Courier New" w:eastAsia="Courier New" w:hAnsi="Courier New"/>
          <w:sz w:val="12"/>
          <w:szCs w:val="12"/>
          <w:color w:val="auto"/>
        </w:rPr>
        <w:t>renewal thereof during the period of the Loan. The Borrower will use</w:t>
      </w:r>
    </w:p>
    <w:p>
      <w:pPr>
        <w:ind w:left="700"/>
        <w:spacing w:after="0"/>
        <w:rPr>
          <w:sz w:val="20"/>
          <w:szCs w:val="20"/>
          <w:color w:val="auto"/>
        </w:rPr>
      </w:pPr>
      <w:r>
        <w:rPr>
          <w:rFonts w:ascii="Courier New" w:cs="Courier New" w:eastAsia="Courier New" w:hAnsi="Courier New"/>
          <w:sz w:val="12"/>
          <w:szCs w:val="12"/>
          <w:color w:val="auto"/>
        </w:rPr>
        <w:t>the proceeds from the Policy to repair, replace or otherwise restore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Equipment or to repay the Loan, such election as the discretion of</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Lender, as shall be notified in writing.</w:t>
      </w:r>
    </w:p>
    <w:p>
      <w:pPr>
        <w:spacing w:after="0" w:line="134"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2"/>
          <w:szCs w:val="12"/>
          <w:color w:val="auto"/>
        </w:rPr>
        <w:t>13.8. The Borrower shall promptly obtain, from time to time and at its own</w:t>
      </w:r>
    </w:p>
    <w:p>
      <w:pPr>
        <w:ind w:left="700"/>
        <w:spacing w:after="0"/>
        <w:rPr>
          <w:sz w:val="20"/>
          <w:szCs w:val="20"/>
          <w:color w:val="auto"/>
        </w:rPr>
      </w:pPr>
      <w:r>
        <w:rPr>
          <w:rFonts w:ascii="Courier New" w:cs="Courier New" w:eastAsia="Courier New" w:hAnsi="Courier New"/>
          <w:sz w:val="12"/>
          <w:szCs w:val="12"/>
          <w:color w:val="auto"/>
        </w:rPr>
        <w:t>expense, and thereafter maintain, all such governmental or other</w:t>
      </w:r>
    </w:p>
    <w:p>
      <w:pPr>
        <w:ind w:left="700"/>
        <w:spacing w:after="0" w:line="237" w:lineRule="auto"/>
        <w:rPr>
          <w:sz w:val="20"/>
          <w:szCs w:val="20"/>
          <w:color w:val="auto"/>
        </w:rPr>
      </w:pPr>
      <w:r>
        <w:rPr>
          <w:rFonts w:ascii="Courier New" w:cs="Courier New" w:eastAsia="Courier New" w:hAnsi="Courier New"/>
          <w:sz w:val="12"/>
          <w:szCs w:val="12"/>
          <w:color w:val="auto"/>
        </w:rPr>
        <w:t>licenses, authorizations, consents permits and approvals as may be</w:t>
      </w:r>
    </w:p>
    <w:p>
      <w:pPr>
        <w:ind w:left="700"/>
        <w:spacing w:after="0"/>
        <w:rPr>
          <w:sz w:val="20"/>
          <w:szCs w:val="20"/>
          <w:color w:val="auto"/>
        </w:rPr>
      </w:pPr>
      <w:r>
        <w:rPr>
          <w:rFonts w:ascii="Courier New" w:cs="Courier New" w:eastAsia="Courier New" w:hAnsi="Courier New"/>
          <w:sz w:val="12"/>
          <w:szCs w:val="12"/>
          <w:color w:val="auto"/>
        </w:rPr>
        <w:t>required to enable the Borrower to comply with each and all of its</w:t>
      </w:r>
    </w:p>
    <w:p>
      <w:pPr>
        <w:ind w:left="700"/>
        <w:spacing w:after="0" w:line="237" w:lineRule="auto"/>
        <w:rPr>
          <w:sz w:val="20"/>
          <w:szCs w:val="20"/>
          <w:color w:val="auto"/>
        </w:rPr>
      </w:pPr>
      <w:r>
        <w:rPr>
          <w:rFonts w:ascii="Courier New" w:cs="Courier New" w:eastAsia="Courier New" w:hAnsi="Courier New"/>
          <w:sz w:val="12"/>
          <w:szCs w:val="12"/>
          <w:color w:val="auto"/>
        </w:rPr>
        <w:t>obligations under this Agreement and the Loan Documents and the</w:t>
      </w:r>
    </w:p>
    <w:p>
      <w:pPr>
        <w:ind w:left="700"/>
        <w:spacing w:after="0"/>
        <w:rPr>
          <w:sz w:val="20"/>
          <w:szCs w:val="20"/>
          <w:color w:val="auto"/>
        </w:rPr>
      </w:pPr>
      <w:r>
        <w:rPr>
          <w:rFonts w:ascii="Courier New" w:cs="Courier New" w:eastAsia="Courier New" w:hAnsi="Courier New"/>
          <w:sz w:val="12"/>
          <w:szCs w:val="12"/>
          <w:color w:val="auto"/>
        </w:rPr>
        <w:t>consummation by the Borrower of any of the transactions therein</w:t>
      </w:r>
    </w:p>
    <w:p>
      <w:pPr>
        <w:ind w:left="700"/>
        <w:spacing w:after="0" w:line="237" w:lineRule="auto"/>
        <w:rPr>
          <w:sz w:val="20"/>
          <w:szCs w:val="20"/>
          <w:color w:val="auto"/>
        </w:rPr>
      </w:pPr>
      <w:r>
        <w:rPr>
          <w:rFonts w:ascii="Courier New" w:cs="Courier New" w:eastAsia="Courier New" w:hAnsi="Courier New"/>
          <w:sz w:val="12"/>
          <w:szCs w:val="12"/>
          <w:color w:val="auto"/>
        </w:rPr>
        <w:t>contemplated including, without limitation, permits regarding or for</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purpose of effecting any and all payments due to be made by it, in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freely and transferable US$ and in the manner as stipulated in this</w:t>
      </w:r>
    </w:p>
    <w:p>
      <w:pPr>
        <w:ind w:left="700"/>
        <w:spacing w:after="0"/>
        <w:rPr>
          <w:sz w:val="20"/>
          <w:szCs w:val="20"/>
          <w:color w:val="auto"/>
        </w:rPr>
      </w:pPr>
      <w:r>
        <w:rPr>
          <w:rFonts w:ascii="Courier New" w:cs="Courier New" w:eastAsia="Courier New" w:hAnsi="Courier New"/>
          <w:sz w:val="12"/>
          <w:szCs w:val="12"/>
          <w:color w:val="auto"/>
        </w:rPr>
        <w:t>Agreement and any permits required to freely transfer the Equipment</w:t>
      </w:r>
    </w:p>
    <w:p>
      <w:pPr>
        <w:ind w:left="700"/>
        <w:spacing w:after="0" w:line="237" w:lineRule="auto"/>
        <w:rPr>
          <w:sz w:val="20"/>
          <w:szCs w:val="20"/>
          <w:color w:val="auto"/>
        </w:rPr>
      </w:pPr>
      <w:r>
        <w:rPr>
          <w:rFonts w:ascii="Courier New" w:cs="Courier New" w:eastAsia="Courier New" w:hAnsi="Courier New"/>
          <w:sz w:val="12"/>
          <w:szCs w:val="12"/>
          <w:color w:val="auto"/>
        </w:rPr>
        <w:t>out of Israel.</w:t>
      </w:r>
    </w:p>
    <w:p>
      <w:pPr>
        <w:spacing w:after="0" w:line="139" w:lineRule="exact"/>
        <w:rPr>
          <w:sz w:val="20"/>
          <w:szCs w:val="20"/>
          <w:color w:val="auto"/>
        </w:rPr>
      </w:pPr>
    </w:p>
    <w:p>
      <w:pPr>
        <w:ind w:left="700" w:right="4759" w:hanging="350"/>
        <w:spacing w:after="0" w:line="237" w:lineRule="auto"/>
        <w:rPr>
          <w:sz w:val="20"/>
          <w:szCs w:val="20"/>
          <w:color w:val="auto"/>
        </w:rPr>
      </w:pPr>
      <w:r>
        <w:rPr>
          <w:rFonts w:ascii="Courier New" w:cs="Courier New" w:eastAsia="Courier New" w:hAnsi="Courier New"/>
          <w:sz w:val="12"/>
          <w:szCs w:val="12"/>
          <w:color w:val="auto"/>
        </w:rPr>
        <w:t>13.9. The Borrower shall not, without the prior written consent of the Lender, transfer, sell, assign, pledge or move the Equipment to the ownership, location or control of any other party, or create, incur, permit or suffer to exist, any Encumbrance upon or in respect of the Equipment other than in accordance with this Agreement and the Loan Documents.</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- 15 -</w:t>
      </w:r>
    </w:p>
    <w:p>
      <w:pPr>
        <w:spacing w:after="0" w:line="200" w:lineRule="exact"/>
        <w:rPr>
          <w:sz w:val="20"/>
          <w:szCs w:val="20"/>
          <w:color w:val="auto"/>
        </w:rPr>
      </w:pPr>
    </w:p>
    <w:p>
      <w:pPr>
        <w:spacing w:after="0" w:line="209" w:lineRule="exact"/>
        <w:rPr>
          <w:sz w:val="20"/>
          <w:szCs w:val="20"/>
          <w:color w:val="auto"/>
        </w:rPr>
      </w:pPr>
    </w:p>
    <w:p>
      <w:pPr>
        <w:ind w:left="700" w:right="4619" w:hanging="350"/>
        <w:spacing w:after="0" w:line="238" w:lineRule="auto"/>
        <w:rPr>
          <w:sz w:val="20"/>
          <w:szCs w:val="20"/>
          <w:color w:val="auto"/>
        </w:rPr>
      </w:pPr>
      <w:r>
        <w:rPr>
          <w:rFonts w:ascii="Courier New" w:cs="Courier New" w:eastAsia="Courier New" w:hAnsi="Courier New"/>
          <w:sz w:val="12"/>
          <w:szCs w:val="12"/>
          <w:color w:val="auto"/>
        </w:rPr>
        <w:t>13.10. The Borrower shall maintain the Equipment in good working order and in accordance with all maintenance schedules and requirements as are prescribed by the Supplier. The Borrower shall operate the Equipment only in accordance with the operation limits prescribed in the operation manual of the Equipment. The Borrower shall notify the Lender of any operational failure of the Equipment that results in an unscheduled shutdown of the Equipment for more than 8 consecutive hours or more than 24 hours in any seven day period, such notification shall be provided in writing by fax or email with hard copy follow up, and shall set forth the reason for such shutdown and the maintenance taken or to be taken to cure the failure. Such notice shall be provided to the Lender within 24 hours of the shutdown. The Borrower shall within 30 days of the end of each year during which the Loan shall be outstanding or more frequently as may be requested by the Lender, deliver a copy of the maintenance and production log of the Equipment certified by an officer of the Borrower as being a true copy thereof.</w:t>
      </w:r>
    </w:p>
    <w:p>
      <w:pPr>
        <w:spacing w:after="0" w:line="140" w:lineRule="exact"/>
        <w:rPr>
          <w:sz w:val="20"/>
          <w:szCs w:val="20"/>
          <w:color w:val="auto"/>
        </w:rPr>
      </w:pPr>
    </w:p>
    <w:p>
      <w:pPr>
        <w:ind w:left="700" w:right="4699" w:hanging="350"/>
        <w:spacing w:after="0" w:line="262" w:lineRule="auto"/>
        <w:rPr>
          <w:sz w:val="20"/>
          <w:szCs w:val="20"/>
          <w:color w:val="auto"/>
        </w:rPr>
      </w:pPr>
      <w:r>
        <w:rPr>
          <w:rFonts w:ascii="Courier New" w:cs="Courier New" w:eastAsia="Courier New" w:hAnsi="Courier New"/>
          <w:sz w:val="11"/>
          <w:szCs w:val="11"/>
          <w:color w:val="auto"/>
        </w:rPr>
        <w:t>13.11. Subject to confidentiality agreements separately entered into between Borrower and Lender, Borrower shall permit the Lender and its representatives at all reasonable times to inspect the facilities, activities, books of account and records of the Borrower, including without limitation those relating to the Equipment, and shall cause its representatives, employees and accountants to give their cooperation and assistance in connection with any such rights of inspection or any financial conference called by the Lender.</w:t>
      </w:r>
    </w:p>
    <w:p>
      <w:pPr>
        <w:spacing w:after="0" w:line="12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13.12. The Borrower shall not, without the prior written consent of the</w:t>
      </w:r>
    </w:p>
    <w:p>
      <w:pPr>
        <w:ind w:left="700"/>
        <w:spacing w:after="0"/>
        <w:rPr>
          <w:sz w:val="20"/>
          <w:szCs w:val="20"/>
          <w:color w:val="auto"/>
        </w:rPr>
      </w:pPr>
      <w:r>
        <w:rPr>
          <w:rFonts w:ascii="Courier New" w:cs="Courier New" w:eastAsia="Courier New" w:hAnsi="Courier New"/>
          <w:sz w:val="12"/>
          <w:szCs w:val="12"/>
          <w:color w:val="auto"/>
        </w:rPr>
        <w:t>Lender, discontinue its wafer fabrication plant business</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13.13. The Borrower shall not amend its Articles of Association if the</w:t>
      </w:r>
    </w:p>
    <w:p>
      <w:pPr>
        <w:ind w:left="700"/>
        <w:spacing w:after="0"/>
        <w:rPr>
          <w:sz w:val="20"/>
          <w:szCs w:val="20"/>
          <w:color w:val="auto"/>
        </w:rPr>
      </w:pPr>
      <w:r>
        <w:rPr>
          <w:rFonts w:ascii="Courier New" w:cs="Courier New" w:eastAsia="Courier New" w:hAnsi="Courier New"/>
          <w:sz w:val="12"/>
          <w:szCs w:val="12"/>
          <w:color w:val="auto"/>
        </w:rPr>
        <w:t>effect would be to make the Borrower unable to comply with its</w:t>
      </w:r>
    </w:p>
    <w:p>
      <w:pPr>
        <w:ind w:left="700"/>
        <w:spacing w:after="0" w:line="237" w:lineRule="auto"/>
        <w:rPr>
          <w:sz w:val="20"/>
          <w:szCs w:val="20"/>
          <w:color w:val="auto"/>
        </w:rPr>
      </w:pPr>
      <w:r>
        <w:rPr>
          <w:rFonts w:ascii="Courier New" w:cs="Courier New" w:eastAsia="Courier New" w:hAnsi="Courier New"/>
          <w:sz w:val="12"/>
          <w:szCs w:val="12"/>
          <w:color w:val="auto"/>
        </w:rPr>
        <w:t>obligations under this Agreement or the Loan Documents.</w:t>
      </w:r>
    </w:p>
    <w:p>
      <w:pPr>
        <w:spacing w:after="0" w:line="139" w:lineRule="exact"/>
        <w:rPr>
          <w:sz w:val="20"/>
          <w:szCs w:val="20"/>
          <w:color w:val="auto"/>
        </w:rPr>
      </w:pPr>
    </w:p>
    <w:p>
      <w:pPr>
        <w:ind w:left="700" w:right="4619" w:hanging="350"/>
        <w:spacing w:after="0" w:line="261" w:lineRule="auto"/>
        <w:rPr>
          <w:sz w:val="20"/>
          <w:szCs w:val="20"/>
          <w:color w:val="auto"/>
        </w:rPr>
      </w:pPr>
      <w:r>
        <w:rPr>
          <w:rFonts w:ascii="Courier New" w:cs="Courier New" w:eastAsia="Courier New" w:hAnsi="Courier New"/>
          <w:sz w:val="11"/>
          <w:szCs w:val="11"/>
          <w:color w:val="auto"/>
        </w:rPr>
        <w:t>13.14. The Borrower shall upon the occurrence of any Event of Default, provide access by the Lender or its agents at all reasonable times to the Equipment for purposes of taking possession of the Equipment and the removal of the Equipment from the facilities of the Borrower. Upon an election by the Lender to take possession of the Equipment, the Borrower shall take all necessary steps as are reasonably requested by the Lender to facilitate such taking of possession, and shall not contest the rights of the Lender to possess the Equipment or in any way hamper, interfere or prevent such taking of possession, provided that the Lender shall not (subject to Lender's legal reporting requirements) make any public announcement of such repossession of the Equipment to any customers of the Borrower, and shall not announce the source of the repossessed Equipment except as may be required for the sale of the Equipment.</w:t>
      </w:r>
    </w:p>
    <w:p>
      <w:pPr>
        <w:spacing w:after="0" w:line="261"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2"/>
          <w:szCs w:val="12"/>
          <w:color w:val="auto"/>
        </w:rPr>
        <w:t>14.</w:t>
        <w:tab/>
        <w:t>EVENTS OF DEFAULT, IMMEDIATE REPAYMENT</w:t>
      </w:r>
    </w:p>
    <w:p>
      <w:pPr>
        <w:sectPr>
          <w:pgSz w:w="11900" w:h="16838" w:orient="portrait"/>
          <w:cols w:equalWidth="0" w:num="1">
            <w:col w:w="10239"/>
          </w:cols>
          <w:pgMar w:left="220" w:top="137" w:right="1440" w:bottom="0" w:gutter="0" w:footer="0" w:header="0"/>
        </w:sectPr>
      </w:pPr>
    </w:p>
    <w:bookmarkStart w:id="96" w:name="page97"/>
    <w:bookmarkEnd w:id="96"/>
    <w:p>
      <w:pPr>
        <w:ind w:left="708" w:right="4619" w:hanging="350"/>
        <w:spacing w:after="0" w:line="235" w:lineRule="auto"/>
        <w:rPr>
          <w:sz w:val="20"/>
          <w:szCs w:val="20"/>
          <w:color w:val="auto"/>
        </w:rPr>
      </w:pPr>
      <w:r>
        <w:rPr>
          <w:rFonts w:ascii="Courier New" w:cs="Courier New" w:eastAsia="Courier New" w:hAnsi="Courier New"/>
          <w:sz w:val="12"/>
          <w:szCs w:val="12"/>
          <w:color w:val="auto"/>
        </w:rPr>
        <w:t>14.1. Each of the following events or occurrences shall constitute an Event of Default under this Agreement:</w:t>
      </w:r>
    </w:p>
    <w:p>
      <w:pPr>
        <w:spacing w:after="0" w:line="270"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- 16 -</w:t>
      </w:r>
    </w:p>
    <w:p>
      <w:pPr>
        <w:spacing w:after="0" w:line="200" w:lineRule="exact"/>
        <w:rPr>
          <w:sz w:val="20"/>
          <w:szCs w:val="20"/>
          <w:color w:val="auto"/>
        </w:rPr>
      </w:pPr>
    </w:p>
    <w:p>
      <w:pPr>
        <w:spacing w:after="0" w:line="209" w:lineRule="exact"/>
        <w:rPr>
          <w:sz w:val="20"/>
          <w:szCs w:val="20"/>
          <w:color w:val="auto"/>
        </w:rPr>
      </w:pPr>
    </w:p>
    <w:p>
      <w:pPr>
        <w:ind w:left="1048" w:right="4619" w:hanging="345"/>
        <w:spacing w:after="0" w:line="236" w:lineRule="auto"/>
        <w:tabs>
          <w:tab w:leader="none" w:pos="1048" w:val="left"/>
        </w:tabs>
        <w:numPr>
          <w:ilvl w:val="1"/>
          <w:numId w:val="1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fails to pay when due any Installment of or Interest on, the Loan or fails to pay when due any fee, expense, cost or other payments required to be made by it hereunder and such non-payment continues for a period of [***].</w:t>
      </w:r>
    </w:p>
    <w:p>
      <w:pPr>
        <w:spacing w:after="0" w:line="140" w:lineRule="exact"/>
        <w:rPr>
          <w:rFonts w:ascii="Courier New" w:cs="Courier New" w:eastAsia="Courier New" w:hAnsi="Courier New"/>
          <w:sz w:val="12"/>
          <w:szCs w:val="12"/>
          <w:color w:val="auto"/>
        </w:rPr>
      </w:pPr>
    </w:p>
    <w:p>
      <w:pPr>
        <w:ind w:left="1048" w:right="4619" w:hanging="345"/>
        <w:spacing w:after="0" w:line="237" w:lineRule="auto"/>
        <w:tabs>
          <w:tab w:leader="none" w:pos="1048" w:val="left"/>
        </w:tabs>
        <w:numPr>
          <w:ilvl w:val="1"/>
          <w:numId w:val="1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representation, warranty or statement made or deemed to be made under this Agreement or any Loan Document, or in any certificate or statement furnished or made to the Lender pursuant hereto or thereto or in connection herewith or therewith, shall prove to be untrue or inaccurate or misleading in any material respect as of the time made, provided that, if capable of being cured, are not cured within a period of [***].</w:t>
      </w:r>
    </w:p>
    <w:p>
      <w:pPr>
        <w:spacing w:after="0" w:line="141" w:lineRule="exact"/>
        <w:rPr>
          <w:rFonts w:ascii="Courier New" w:cs="Courier New" w:eastAsia="Courier New" w:hAnsi="Courier New"/>
          <w:sz w:val="12"/>
          <w:szCs w:val="12"/>
          <w:color w:val="auto"/>
        </w:rPr>
      </w:pPr>
    </w:p>
    <w:p>
      <w:pPr>
        <w:ind w:left="1048" w:right="4759" w:hanging="345"/>
        <w:spacing w:after="0" w:line="266" w:lineRule="auto"/>
        <w:tabs>
          <w:tab w:leader="none" w:pos="1048" w:val="left"/>
        </w:tabs>
        <w:numPr>
          <w:ilvl w:val="1"/>
          <w:numId w:val="1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Borrower fails to perform any of the covenants contained in this Agreement or in any other Loan Documents provided that if capable of being cured is not cured within a period of [***].</w:t>
      </w:r>
    </w:p>
    <w:p>
      <w:pPr>
        <w:spacing w:after="0" w:line="126" w:lineRule="exact"/>
        <w:rPr>
          <w:rFonts w:ascii="Courier New" w:cs="Courier New" w:eastAsia="Courier New" w:hAnsi="Courier New"/>
          <w:sz w:val="11"/>
          <w:szCs w:val="11"/>
          <w:color w:val="auto"/>
        </w:rPr>
      </w:pPr>
    </w:p>
    <w:p>
      <w:pPr>
        <w:ind w:left="1048" w:right="4699" w:hanging="345"/>
        <w:spacing w:after="0" w:line="237" w:lineRule="auto"/>
        <w:tabs>
          <w:tab w:leader="none" w:pos="1048" w:val="left"/>
        </w:tabs>
        <w:numPr>
          <w:ilvl w:val="1"/>
          <w:numId w:val="1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or any other of the Loan Document ceases to be legal, valid and binding agreements enforceable against the Borrower or, as the case may be, the respective parties thereto, in accordance with the respective terms thereof or be, in any manner, terminated or becomes or be declared ineffective or inoperative or ceases, in any way whatsoever, to give or provide the respective rights, interests, remedies, powers or privileges intended to be created thereby.</w:t>
      </w:r>
    </w:p>
    <w:p>
      <w:pPr>
        <w:spacing w:after="0" w:line="142" w:lineRule="exact"/>
        <w:rPr>
          <w:rFonts w:ascii="Courier New" w:cs="Courier New" w:eastAsia="Courier New" w:hAnsi="Courier New"/>
          <w:sz w:val="12"/>
          <w:szCs w:val="12"/>
          <w:color w:val="auto"/>
        </w:rPr>
      </w:pPr>
    </w:p>
    <w:p>
      <w:pPr>
        <w:ind w:left="1048" w:right="4619" w:hanging="345"/>
        <w:spacing w:after="0" w:line="261" w:lineRule="auto"/>
        <w:tabs>
          <w:tab w:leader="none" w:pos="1048" w:val="left"/>
        </w:tabs>
        <w:numPr>
          <w:ilvl w:val="1"/>
          <w:numId w:val="1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Borrower (i) applies for or consents to the appointment of a receiver, trustee, custodian, intervener or liquidator of itself or of its assets whether in whole or partially (ii) files a voluntary petition in bankruptcy, admits in writing that it is unable to pay the Indebtedness or any part thereof as it or they become due (iii) makes a general assignment or enters into any kind of arrangement and/or settlement, re-adjustment of debts or otherwise for the benefit of creditors (general or any class of creditors) (iv) files a petition or answer seeking reorganization or an arrangement with creditors or takes advantage of any bankruptcy or insolvency laws (v) files an answer admitting the allegations of, or consents to, or defaults in, answering a petition filed against it in any bankruptcy, reorganization or insolvency proceedings or (vi) takes corporate actions for the purpose of effecting any of the foregoing.</w:t>
      </w:r>
    </w:p>
    <w:p>
      <w:pPr>
        <w:spacing w:after="0" w:line="264" w:lineRule="exact"/>
        <w:rPr>
          <w:rFonts w:ascii="Courier New" w:cs="Courier New" w:eastAsia="Courier New" w:hAnsi="Courier New"/>
          <w:sz w:val="11"/>
          <w:szCs w:val="11"/>
          <w:color w:val="auto"/>
        </w:rPr>
      </w:pPr>
    </w:p>
    <w:p>
      <w:pPr>
        <w:ind w:left="1048" w:right="4619" w:hanging="345"/>
        <w:spacing w:after="0" w:line="238" w:lineRule="auto"/>
        <w:tabs>
          <w:tab w:leader="none" w:pos="1048" w:val="left"/>
        </w:tabs>
        <w:numPr>
          <w:ilvl w:val="1"/>
          <w:numId w:val="1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involuntary petition or complaint is filed against the Borrower seeking bankruptcy, liquidation or reorganization of the Borrower and same is not discharged within a period of [***] , subject to the Borrower having furnished the Lender with documents evidencing that such petition or complaint is being contested by the Borrower in good faith and the Borrower has substantial legal grounds to believe that such complaint or petition be eventually discharged, such other longer period as shall be requested by the Borrower and agreed by the Lender, or the appointment of a receiver, custodian, trustee, intervener or liquidator of the Borrower or its assets, in whole or partially, or if an order, order for relief, judgment or decree be entered by any court of competent jurisdiction or other competent authority, approving a petition or complaint seeking reorganization of the Borrower or appointing a receiver, custodian, trustee, Intervener or liquidator of the Borrower or of its assets, in whole or partially.</w:t>
      </w:r>
    </w:p>
    <w:p>
      <w:pPr>
        <w:spacing w:after="0" w:line="135" w:lineRule="exact"/>
        <w:rPr>
          <w:rFonts w:ascii="Courier New" w:cs="Courier New" w:eastAsia="Courier New" w:hAnsi="Courier New"/>
          <w:sz w:val="12"/>
          <w:szCs w:val="12"/>
          <w:color w:val="auto"/>
        </w:rPr>
      </w:pPr>
    </w:p>
    <w:p>
      <w:pPr>
        <w:ind w:left="148" w:hanging="148"/>
        <w:spacing w:after="0"/>
        <w:tabs>
          <w:tab w:leader="none" w:pos="148" w:val="left"/>
        </w:tabs>
        <w:numPr>
          <w:ilvl w:val="0"/>
          <w:numId w:val="1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979" w:hanging="8"/>
        <w:spacing w:after="0" w:line="273" w:lineRule="auto"/>
        <w:tabs>
          <w:tab w:leader="none" w:pos="430" w:val="left"/>
        </w:tabs>
        <w:numPr>
          <w:ilvl w:val="0"/>
          <w:numId w:val="17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2" w:lineRule="exact"/>
        <w:rPr>
          <w:rFonts w:ascii="Courier New" w:cs="Courier New" w:eastAsia="Courier New" w:hAnsi="Courier New"/>
          <w:sz w:val="11"/>
          <w:szCs w:val="11"/>
          <w:color w:val="auto"/>
        </w:rPr>
      </w:pPr>
    </w:p>
    <w:p>
      <w:pPr>
        <w:ind w:left="2748" w:hanging="149"/>
        <w:spacing w:after="0"/>
        <w:tabs>
          <w:tab w:leader="none" w:pos="2748" w:val="left"/>
        </w:tabs>
        <w:numPr>
          <w:ilvl w:val="2"/>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17 -</w:t>
      </w:r>
    </w:p>
    <w:p>
      <w:pPr>
        <w:spacing w:after="0" w:line="200" w:lineRule="exact"/>
        <w:rPr>
          <w:rFonts w:ascii="Courier New" w:cs="Courier New" w:eastAsia="Courier New" w:hAnsi="Courier New"/>
          <w:sz w:val="12"/>
          <w:szCs w:val="12"/>
          <w:color w:val="auto"/>
        </w:rPr>
      </w:pPr>
    </w:p>
    <w:p>
      <w:pPr>
        <w:spacing w:after="0" w:line="208" w:lineRule="exact"/>
        <w:rPr>
          <w:rFonts w:ascii="Courier New" w:cs="Courier New" w:eastAsia="Courier New" w:hAnsi="Courier New"/>
          <w:sz w:val="12"/>
          <w:szCs w:val="12"/>
          <w:color w:val="auto"/>
        </w:rPr>
      </w:pPr>
    </w:p>
    <w:p>
      <w:pPr>
        <w:ind w:left="1048" w:right="4699" w:hanging="345"/>
        <w:spacing w:after="0" w:line="235" w:lineRule="auto"/>
        <w:tabs>
          <w:tab w:leader="none" w:pos="1048"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declares a general moratorium on the payment of its Indebtedness.</w:t>
      </w:r>
    </w:p>
    <w:p>
      <w:pPr>
        <w:spacing w:after="0" w:line="139" w:lineRule="exact"/>
        <w:rPr>
          <w:rFonts w:ascii="Courier New" w:cs="Courier New" w:eastAsia="Courier New" w:hAnsi="Courier New"/>
          <w:sz w:val="12"/>
          <w:szCs w:val="12"/>
          <w:color w:val="auto"/>
        </w:rPr>
      </w:pPr>
    </w:p>
    <w:p>
      <w:pPr>
        <w:ind w:left="1048" w:right="4699" w:hanging="345"/>
        <w:spacing w:after="0" w:line="236" w:lineRule="auto"/>
        <w:tabs>
          <w:tab w:leader="none" w:pos="1048"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assets, rights or revenues of the Borrower, in the aggregate amount exceeding US $[***] United States Dollars) be attached or detained upon, or the same become subject, at any time, to any order of court or other process.</w:t>
      </w:r>
    </w:p>
    <w:p>
      <w:pPr>
        <w:spacing w:after="0" w:line="140" w:lineRule="exact"/>
        <w:rPr>
          <w:rFonts w:ascii="Courier New" w:cs="Courier New" w:eastAsia="Courier New" w:hAnsi="Courier New"/>
          <w:sz w:val="12"/>
          <w:szCs w:val="12"/>
          <w:color w:val="auto"/>
        </w:rPr>
      </w:pPr>
    </w:p>
    <w:p>
      <w:pPr>
        <w:ind w:left="1048" w:right="4619" w:hanging="345"/>
        <w:spacing w:after="0" w:line="236" w:lineRule="auto"/>
        <w:tabs>
          <w:tab w:leader="none" w:pos="1048"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ceases its operation as a wafer fabrication plant or declares its intention so to do, or threatens so to do, or if the Borrower ceases or declares its intention to cease or threatens to cease its operation as a wafer fabrication plant.</w:t>
      </w:r>
    </w:p>
    <w:p>
      <w:pPr>
        <w:spacing w:after="0" w:line="140" w:lineRule="exact"/>
        <w:rPr>
          <w:rFonts w:ascii="Courier New" w:cs="Courier New" w:eastAsia="Courier New" w:hAnsi="Courier New"/>
          <w:sz w:val="12"/>
          <w:szCs w:val="12"/>
          <w:color w:val="auto"/>
        </w:rPr>
      </w:pPr>
    </w:p>
    <w:p>
      <w:pPr>
        <w:ind w:left="1048" w:right="4619" w:hanging="345"/>
        <w:spacing w:after="0" w:line="261" w:lineRule="auto"/>
        <w:tabs>
          <w:tab w:leader="none" w:pos="1048" w:val="left"/>
        </w:tabs>
        <w:numPr>
          <w:ilvl w:val="1"/>
          <w:numId w:val="178"/>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consent, authorization, license or approval of, or registration with, or declaration to, any governmental, public or other body, authority or court required to be obtained or made by the Borrower in connection with the execution, delivery, validity, enforceability or admissibility in evidence of this Agreement, or the performance by the Borrower of its respective obligations thereunder or the consummation by the Borrower of the transactions therein contemplated, is modified, or not granted, or revoked or terminated or expires or otherwise ceases to be in full force and effect and the result thereof is to make the Borrower unable to comply with any of its obligations thereunder.</w:t>
      </w:r>
    </w:p>
    <w:p>
      <w:pPr>
        <w:spacing w:after="0" w:line="126" w:lineRule="exact"/>
        <w:rPr>
          <w:rFonts w:ascii="Courier New" w:cs="Courier New" w:eastAsia="Courier New" w:hAnsi="Courier New"/>
          <w:sz w:val="11"/>
          <w:szCs w:val="11"/>
          <w:color w:val="auto"/>
        </w:rPr>
      </w:pPr>
    </w:p>
    <w:p>
      <w:pPr>
        <w:ind w:left="1048" w:hanging="345"/>
        <w:spacing w:after="0"/>
        <w:tabs>
          <w:tab w:leader="none" w:pos="1048"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material breach of the Foundry Agreement;</w:t>
      </w:r>
    </w:p>
    <w:p>
      <w:pPr>
        <w:spacing w:after="0" w:line="138" w:lineRule="exact"/>
        <w:rPr>
          <w:rFonts w:ascii="Courier New" w:cs="Courier New" w:eastAsia="Courier New" w:hAnsi="Courier New"/>
          <w:sz w:val="12"/>
          <w:szCs w:val="12"/>
          <w:color w:val="auto"/>
        </w:rPr>
      </w:pPr>
    </w:p>
    <w:p>
      <w:pPr>
        <w:ind w:left="1048" w:right="5039" w:hanging="345"/>
        <w:spacing w:after="0" w:line="235" w:lineRule="auto"/>
        <w:tabs>
          <w:tab w:leader="none" w:pos="1048"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material breach by the Supplier of the Equipment Purchase Order.</w:t>
      </w:r>
    </w:p>
    <w:p>
      <w:pPr>
        <w:spacing w:after="0" w:line="139" w:lineRule="exact"/>
        <w:rPr>
          <w:rFonts w:ascii="Courier New" w:cs="Courier New" w:eastAsia="Courier New" w:hAnsi="Courier New"/>
          <w:sz w:val="12"/>
          <w:szCs w:val="12"/>
          <w:color w:val="auto"/>
        </w:rPr>
      </w:pPr>
    </w:p>
    <w:p>
      <w:pPr>
        <w:ind w:left="1048" w:right="4759" w:hanging="345"/>
        <w:spacing w:after="0" w:line="236" w:lineRule="auto"/>
        <w:tabs>
          <w:tab w:leader="none" w:pos="1048" w:val="left"/>
        </w:tabs>
        <w:numPr>
          <w:ilvl w:val="1"/>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Failure of the Borrower to maintain the Equipment in accordance with the schedule prescribed by the Supplier in any material respect.</w:t>
      </w:r>
    </w:p>
    <w:p>
      <w:pPr>
        <w:spacing w:after="0" w:line="139" w:lineRule="exact"/>
        <w:rPr>
          <w:rFonts w:ascii="Courier New" w:cs="Courier New" w:eastAsia="Courier New" w:hAnsi="Courier New"/>
          <w:sz w:val="12"/>
          <w:szCs w:val="12"/>
          <w:color w:val="auto"/>
        </w:rPr>
      </w:pPr>
    </w:p>
    <w:p>
      <w:pPr>
        <w:ind w:left="1048" w:hanging="345"/>
        <w:spacing w:after="0"/>
        <w:tabs>
          <w:tab w:leader="none" w:pos="1048" w:val="left"/>
        </w:tabs>
        <w:numPr>
          <w:ilvl w:val="1"/>
          <w:numId w:val="17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accrual or registration of any Encumbrance on the Equipment.</w:t>
      </w:r>
    </w:p>
    <w:p>
      <w:pPr>
        <w:spacing w:after="0" w:line="146"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If and when an Event of Default shall occur and be continuing then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Lender may exercise one or more of the following rights and remedies</w:t>
      </w:r>
    </w:p>
    <w:p>
      <w:pPr>
        <w:ind w:left="708"/>
        <w:spacing w:after="0"/>
        <w:rPr>
          <w:sz w:val="20"/>
          <w:szCs w:val="20"/>
          <w:color w:val="auto"/>
        </w:rPr>
      </w:pPr>
      <w:r>
        <w:rPr>
          <w:rFonts w:ascii="Courier New" w:cs="Courier New" w:eastAsia="Courier New" w:hAnsi="Courier New"/>
          <w:sz w:val="12"/>
          <w:szCs w:val="12"/>
          <w:color w:val="auto"/>
        </w:rPr>
        <w:t>and any other remedies provided by any applicable law, as the Lender</w:t>
      </w:r>
    </w:p>
    <w:p>
      <w:pPr>
        <w:ind w:left="708"/>
        <w:spacing w:after="0" w:line="237" w:lineRule="auto"/>
        <w:rPr>
          <w:sz w:val="20"/>
          <w:szCs w:val="20"/>
          <w:color w:val="auto"/>
        </w:rPr>
      </w:pPr>
      <w:r>
        <w:rPr>
          <w:rFonts w:ascii="Courier New" w:cs="Courier New" w:eastAsia="Courier New" w:hAnsi="Courier New"/>
          <w:sz w:val="12"/>
          <w:szCs w:val="12"/>
          <w:color w:val="auto"/>
        </w:rPr>
        <w:t>shall deem necessary or desirable:</w:t>
      </w:r>
    </w:p>
    <w:p>
      <w:pPr>
        <w:spacing w:after="0" w:line="139" w:lineRule="exact"/>
        <w:rPr>
          <w:sz w:val="20"/>
          <w:szCs w:val="20"/>
          <w:color w:val="auto"/>
        </w:rPr>
      </w:pPr>
    </w:p>
    <w:p>
      <w:pPr>
        <w:ind w:left="1048" w:right="4699" w:hanging="345"/>
        <w:spacing w:after="0" w:line="235" w:lineRule="auto"/>
        <w:tabs>
          <w:tab w:leader="none" w:pos="1048" w:val="left"/>
        </w:tabs>
        <w:numPr>
          <w:ilvl w:val="0"/>
          <w:numId w:val="1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By notice to the Borrower in writing - terminate, with immediate effect, the Commitment;</w:t>
      </w:r>
    </w:p>
    <w:p>
      <w:pPr>
        <w:sectPr>
          <w:pgSz w:w="11900" w:h="16838" w:orient="portrait"/>
          <w:cols w:equalWidth="0" w:num="1">
            <w:col w:w="10247"/>
          </w:cols>
          <w:pgMar w:left="212" w:top="141" w:right="1440" w:bottom="0" w:gutter="0" w:footer="0" w:header="0"/>
        </w:sectPr>
      </w:pPr>
    </w:p>
    <w:bookmarkStart w:id="97" w:name="page98"/>
    <w:bookmarkEnd w:id="97"/>
    <w:p>
      <w:pPr>
        <w:ind w:left="1048" w:right="4839" w:hanging="345"/>
        <w:spacing w:after="0" w:line="237" w:lineRule="auto"/>
        <w:tabs>
          <w:tab w:leader="none" w:pos="1048" w:val="left"/>
        </w:tabs>
        <w:numPr>
          <w:ilvl w:val="1"/>
          <w:numId w:val="1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By notice to the Borrower in writing, declare the principal amount outstanding of the Loan and all Interest accrued on the Loan and any other liabilities of the Borrower under this Agreement to be forthwith due and payable, whereupon the same shall become so payable;</w:t>
      </w:r>
    </w:p>
    <w:p>
      <w:pPr>
        <w:spacing w:after="0" w:line="135" w:lineRule="exact"/>
        <w:rPr>
          <w:rFonts w:ascii="Courier New" w:cs="Courier New" w:eastAsia="Courier New" w:hAnsi="Courier New"/>
          <w:sz w:val="12"/>
          <w:szCs w:val="12"/>
          <w:color w:val="auto"/>
        </w:rPr>
      </w:pPr>
    </w:p>
    <w:p>
      <w:pPr>
        <w:ind w:left="148" w:hanging="148"/>
        <w:spacing w:after="0"/>
        <w:tabs>
          <w:tab w:leader="none" w:pos="148" w:val="left"/>
        </w:tabs>
        <w:numPr>
          <w:ilvl w:val="0"/>
          <w:numId w:val="1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979" w:hanging="8"/>
        <w:spacing w:after="0" w:line="273" w:lineRule="auto"/>
        <w:tabs>
          <w:tab w:leader="none" w:pos="430" w:val="left"/>
        </w:tabs>
        <w:numPr>
          <w:ilvl w:val="0"/>
          <w:numId w:val="18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2" w:lineRule="exact"/>
        <w:rPr>
          <w:rFonts w:ascii="Courier New" w:cs="Courier New" w:eastAsia="Courier New" w:hAnsi="Courier New"/>
          <w:sz w:val="11"/>
          <w:szCs w:val="11"/>
          <w:color w:val="auto"/>
        </w:rPr>
      </w:pPr>
    </w:p>
    <w:p>
      <w:pPr>
        <w:ind w:left="2748" w:hanging="149"/>
        <w:spacing w:after="0"/>
        <w:tabs>
          <w:tab w:leader="none" w:pos="2748" w:val="left"/>
        </w:tabs>
        <w:numPr>
          <w:ilvl w:val="2"/>
          <w:numId w:val="1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18 -</w:t>
      </w:r>
    </w:p>
    <w:p>
      <w:pPr>
        <w:spacing w:after="0" w:line="200" w:lineRule="exact"/>
        <w:rPr>
          <w:rFonts w:ascii="Courier New" w:cs="Courier New" w:eastAsia="Courier New" w:hAnsi="Courier New"/>
          <w:sz w:val="12"/>
          <w:szCs w:val="12"/>
          <w:color w:val="auto"/>
        </w:rPr>
      </w:pPr>
    </w:p>
    <w:p>
      <w:pPr>
        <w:spacing w:after="0" w:line="208" w:lineRule="exact"/>
        <w:rPr>
          <w:rFonts w:ascii="Courier New" w:cs="Courier New" w:eastAsia="Courier New" w:hAnsi="Courier New"/>
          <w:sz w:val="12"/>
          <w:szCs w:val="12"/>
          <w:color w:val="auto"/>
        </w:rPr>
      </w:pPr>
    </w:p>
    <w:p>
      <w:pPr>
        <w:ind w:left="1048" w:right="5179" w:hanging="345"/>
        <w:spacing w:after="0" w:line="235" w:lineRule="auto"/>
        <w:tabs>
          <w:tab w:leader="none" w:pos="1048" w:val="left"/>
        </w:tabs>
        <w:numPr>
          <w:ilvl w:val="1"/>
          <w:numId w:val="1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Foreclose on the Equipment and remove or have removed the Equipment from the premises of the Borrower; and</w:t>
      </w:r>
    </w:p>
    <w:p>
      <w:pPr>
        <w:spacing w:after="0" w:line="139" w:lineRule="exact"/>
        <w:rPr>
          <w:rFonts w:ascii="Courier New" w:cs="Courier New" w:eastAsia="Courier New" w:hAnsi="Courier New"/>
          <w:sz w:val="12"/>
          <w:szCs w:val="12"/>
          <w:color w:val="auto"/>
        </w:rPr>
      </w:pPr>
    </w:p>
    <w:p>
      <w:pPr>
        <w:ind w:left="1048" w:right="4979" w:hanging="345"/>
        <w:spacing w:after="0" w:line="235" w:lineRule="auto"/>
        <w:tabs>
          <w:tab w:leader="none" w:pos="1048" w:val="left"/>
        </w:tabs>
        <w:numPr>
          <w:ilvl w:val="1"/>
          <w:numId w:val="1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Suspend the performance of its obligations under the Foundry Agreement.</w:t>
      </w:r>
    </w:p>
    <w:p>
      <w:pPr>
        <w:spacing w:after="0" w:line="139" w:lineRule="exact"/>
        <w:rPr>
          <w:sz w:val="20"/>
          <w:szCs w:val="20"/>
          <w:color w:val="auto"/>
        </w:rPr>
      </w:pPr>
    </w:p>
    <w:p>
      <w:pPr>
        <w:ind w:left="708" w:right="4699" w:hanging="350"/>
        <w:spacing w:after="0" w:line="237" w:lineRule="auto"/>
        <w:rPr>
          <w:sz w:val="20"/>
          <w:szCs w:val="20"/>
          <w:color w:val="auto"/>
        </w:rPr>
      </w:pPr>
      <w:r>
        <w:rPr>
          <w:rFonts w:ascii="Courier New" w:cs="Courier New" w:eastAsia="Courier New" w:hAnsi="Courier New"/>
          <w:sz w:val="12"/>
          <w:szCs w:val="12"/>
          <w:color w:val="auto"/>
        </w:rPr>
        <w:t>14.3 Upon an Event of Default, the Lender shall provide written notice to the Borrower of its election to exercise the rights granted under the specific charge on the Equipment through the possession of the Equipment. Amounts that remain outstanding following the exercise of the rights of the Lender under the specific charge on the Equipment shall not be subject to the lien of the specific charge on the Equipment, but shall be deemed an unsecured, immediately payable obligation of the Borrower to the Lender and the Lender shall not commence liquidation or similar insolvency proceedings for the recovery of such obligation.</w:t>
      </w:r>
    </w:p>
    <w:p>
      <w:pPr>
        <w:spacing w:after="0" w:line="139" w:lineRule="exact"/>
        <w:rPr>
          <w:sz w:val="20"/>
          <w:szCs w:val="20"/>
          <w:color w:val="auto"/>
        </w:rPr>
      </w:pPr>
    </w:p>
    <w:p>
      <w:pPr>
        <w:ind w:left="348" w:hanging="348"/>
        <w:spacing w:after="0"/>
        <w:tabs>
          <w:tab w:leader="none" w:pos="348" w:val="left"/>
        </w:tabs>
        <w:numPr>
          <w:ilvl w:val="0"/>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ASSIGNMENT</w:t>
      </w:r>
    </w:p>
    <w:p>
      <w:pPr>
        <w:spacing w:after="0" w:line="138" w:lineRule="exact"/>
        <w:rPr>
          <w:rFonts w:ascii="Courier New" w:cs="Courier New" w:eastAsia="Courier New" w:hAnsi="Courier New"/>
          <w:sz w:val="12"/>
          <w:szCs w:val="12"/>
          <w:color w:val="auto"/>
        </w:rPr>
      </w:pPr>
    </w:p>
    <w:p>
      <w:pPr>
        <w:ind w:left="708" w:right="4839" w:hanging="351"/>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15.1. This Agreement shall be binding upon the parties hereto, and inure for the benefit of the Lender and its successors and assignees.</w:t>
      </w:r>
    </w:p>
    <w:p>
      <w:pPr>
        <w:spacing w:after="0" w:line="121" w:lineRule="exact"/>
        <w:rPr>
          <w:rFonts w:ascii="Courier New" w:cs="Courier New" w:eastAsia="Courier New" w:hAnsi="Courier New"/>
          <w:sz w:val="12"/>
          <w:szCs w:val="12"/>
          <w:color w:val="auto"/>
        </w:rPr>
      </w:pPr>
    </w:p>
    <w:p>
      <w:pPr>
        <w:ind w:left="708" w:right="4619" w:hanging="351"/>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15.2. The Borrower may not assign or transfer any of its rights or obligations under this Agreement, without the prior written consent of the Lender.</w:t>
      </w:r>
    </w:p>
    <w:p>
      <w:pPr>
        <w:spacing w:after="0" w:line="139" w:lineRule="exact"/>
        <w:rPr>
          <w:rFonts w:ascii="Courier New" w:cs="Courier New" w:eastAsia="Courier New" w:hAnsi="Courier New"/>
          <w:sz w:val="12"/>
          <w:szCs w:val="12"/>
          <w:color w:val="auto"/>
        </w:rPr>
      </w:pPr>
    </w:p>
    <w:p>
      <w:pPr>
        <w:ind w:left="708" w:right="4619" w:hanging="351"/>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15.3. The Lender may assign, from time to time, all or any of its rights, benefits or obligations under this Agreement or the Loan Documents to any of its wholly owned subsidiaries or to a third party acquiring all or substantially all of the assets of the Lender.</w:t>
      </w:r>
    </w:p>
    <w:p>
      <w:pPr>
        <w:spacing w:after="0" w:line="136"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GOVERNING LAW AND JURISDICTION</w:t>
      </w:r>
    </w:p>
    <w:p>
      <w:pPr>
        <w:spacing w:after="0" w:line="138"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1"/>
          <w:szCs w:val="11"/>
          <w:color w:val="auto"/>
        </w:rPr>
        <w:t>16.1. This Agreement and the Loan Document and the Notes shall be governed</w:t>
      </w:r>
    </w:p>
    <w:p>
      <w:pPr>
        <w:spacing w:after="0" w:line="10" w:lineRule="exact"/>
        <w:rPr>
          <w:rFonts w:ascii="Courier New" w:cs="Courier New" w:eastAsia="Courier New" w:hAnsi="Courier New"/>
          <w:sz w:val="12"/>
          <w:szCs w:val="12"/>
          <w:color w:val="auto"/>
        </w:rPr>
      </w:pPr>
    </w:p>
    <w:p>
      <w:pPr>
        <w:ind w:left="708" w:right="475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by and construed in accordance with the laws of Israel. Disputes arising under or in connection with this Agreement the Loan Document shall be adjudicated in the District Court of Tel Aviv - Yafo.</w:t>
      </w:r>
    </w:p>
    <w:p>
      <w:pPr>
        <w:spacing w:after="0" w:line="126" w:lineRule="exact"/>
        <w:rPr>
          <w:rFonts w:ascii="Courier New" w:cs="Courier New" w:eastAsia="Courier New" w:hAnsi="Courier New"/>
          <w:sz w:val="12"/>
          <w:szCs w:val="12"/>
          <w:color w:val="auto"/>
        </w:rPr>
      </w:pPr>
    </w:p>
    <w:p>
      <w:pPr>
        <w:ind w:left="708" w:right="4619" w:hanging="351"/>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16.2. The Borrower waives any objection it may have now, or hereafter have, to the laying of venue in any action or proceeding and any claim it may have that such action or proceeding has been brought in an inconvenient forum, including, without limitation, to the making, enforcement or execution against any property whatsoever, of any order or judgment which may be made or given in such action or proceeding.</w:t>
      </w:r>
    </w:p>
    <w:p>
      <w:pPr>
        <w:spacing w:after="0" w:line="125"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38" w:lineRule="exact"/>
        <w:rPr>
          <w:rFonts w:ascii="Courier New" w:cs="Courier New" w:eastAsia="Courier New" w:hAnsi="Courier New"/>
          <w:sz w:val="12"/>
          <w:szCs w:val="12"/>
          <w:color w:val="auto"/>
        </w:rPr>
      </w:pPr>
    </w:p>
    <w:p>
      <w:pPr>
        <w:ind w:left="708" w:right="4619" w:hanging="351"/>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17.1. No failure to exercise, or delay in exercising, on the part of the Lender, of any power, right or remedy hereunder or under the Loan Documents, shall operate as a waiver thereof, nor shall any single or partial exercise of any power, right or remedy, preclude any other or further exercise thereof, or the exercise of any other power, right or remedy. The rights and remedies herein provided are cumulative and not exclusive of any rights or remedies provided by law</w:t>
      </w:r>
    </w:p>
    <w:p>
      <w:pPr>
        <w:spacing w:after="0" w:line="259"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19 -</w:t>
      </w:r>
    </w:p>
    <w:p>
      <w:pPr>
        <w:spacing w:after="0" w:line="200" w:lineRule="exact"/>
        <w:rPr>
          <w:sz w:val="20"/>
          <w:szCs w:val="20"/>
          <w:color w:val="auto"/>
        </w:rPr>
      </w:pPr>
    </w:p>
    <w:p>
      <w:pPr>
        <w:spacing w:after="0" w:line="209" w:lineRule="exact"/>
        <w:rPr>
          <w:sz w:val="20"/>
          <w:szCs w:val="20"/>
          <w:color w:val="auto"/>
        </w:rPr>
      </w:pPr>
    </w:p>
    <w:p>
      <w:pPr>
        <w:ind w:left="708" w:right="4619" w:hanging="350"/>
        <w:spacing w:after="0" w:line="262" w:lineRule="auto"/>
        <w:rPr>
          <w:sz w:val="20"/>
          <w:szCs w:val="20"/>
          <w:color w:val="auto"/>
        </w:rPr>
      </w:pPr>
      <w:r>
        <w:rPr>
          <w:rFonts w:ascii="Courier New" w:cs="Courier New" w:eastAsia="Courier New" w:hAnsi="Courier New"/>
          <w:sz w:val="11"/>
          <w:szCs w:val="11"/>
          <w:color w:val="auto"/>
        </w:rPr>
        <w:t>17.2. The obligation of the Borrower under this Agreement is unconditional and irrevocable and shall not be in any way, affected or discharged by reason of any matter affecting the Equipment Purchase Order including, without limitation, the performance, frustration or validity of the same, the insolvency or dissolution of the Supplier or the destruction, non-completion or non-functioning of Equipment supplied or services rendered under the Equipment Purchase Order.</w:t>
      </w:r>
    </w:p>
    <w:p>
      <w:pPr>
        <w:spacing w:after="0" w:line="129" w:lineRule="exact"/>
        <w:rPr>
          <w:sz w:val="20"/>
          <w:szCs w:val="20"/>
          <w:color w:val="auto"/>
        </w:rPr>
      </w:pPr>
    </w:p>
    <w:p>
      <w:pPr>
        <w:ind w:left="708" w:right="4619" w:hanging="350"/>
        <w:spacing w:after="0" w:line="237" w:lineRule="auto"/>
        <w:rPr>
          <w:sz w:val="20"/>
          <w:szCs w:val="20"/>
          <w:color w:val="auto"/>
        </w:rPr>
      </w:pPr>
      <w:r>
        <w:rPr>
          <w:rFonts w:ascii="Courier New" w:cs="Courier New" w:eastAsia="Courier New" w:hAnsi="Courier New"/>
          <w:sz w:val="12"/>
          <w:szCs w:val="12"/>
          <w:color w:val="auto"/>
        </w:rPr>
        <w:t>17.3. If any provision of this Agreement or of any of the Loan Documents is held to be illegal, invalid or unenforceable under present or future laws, said provision shall be fully severable. This Agreement and the Loan Documents shall be construed and enforced as if such illegal, invalid or unenforceable provision had never comprised a part of this Agreement or of the Loan Documents, and the remaining provisions shall remain in full force and effect.</w:t>
      </w:r>
    </w:p>
    <w:p>
      <w:pPr>
        <w:spacing w:after="0" w:line="141" w:lineRule="exact"/>
        <w:rPr>
          <w:sz w:val="20"/>
          <w:szCs w:val="20"/>
          <w:color w:val="auto"/>
        </w:rPr>
      </w:pPr>
    </w:p>
    <w:p>
      <w:pPr>
        <w:ind w:left="708" w:right="4619" w:hanging="350"/>
        <w:spacing w:after="0" w:line="262" w:lineRule="auto"/>
        <w:rPr>
          <w:sz w:val="20"/>
          <w:szCs w:val="20"/>
          <w:color w:val="auto"/>
        </w:rPr>
      </w:pPr>
      <w:r>
        <w:rPr>
          <w:rFonts w:ascii="Courier New" w:cs="Courier New" w:eastAsia="Courier New" w:hAnsi="Courier New"/>
          <w:sz w:val="11"/>
          <w:szCs w:val="11"/>
          <w:color w:val="auto"/>
        </w:rPr>
        <w:t>17.4. The relationship between Borrower and Lender under and pursuant to this Agreement and any Loan Document, is and shall at all times remain, solely that of borrower and lender, and the Lender neither undertakes nor assumes any responsibility or duty to the Borrower to review, observe, inspect, supervise, pass judgment upon, or inform the Borrower of any matter in connection with any phase of the Borrower's business, operations or condition, financial or otherwise.</w:t>
      </w:r>
    </w:p>
    <w:p>
      <w:pPr>
        <w:spacing w:after="0" w:line="129" w:lineRule="exact"/>
        <w:rPr>
          <w:sz w:val="20"/>
          <w:szCs w:val="20"/>
          <w:color w:val="auto"/>
        </w:rPr>
      </w:pPr>
    </w:p>
    <w:p>
      <w:pPr>
        <w:ind w:left="708" w:right="4699" w:hanging="350"/>
        <w:spacing w:after="0" w:line="237" w:lineRule="auto"/>
        <w:rPr>
          <w:sz w:val="20"/>
          <w:szCs w:val="20"/>
          <w:color w:val="auto"/>
        </w:rPr>
      </w:pPr>
      <w:r>
        <w:rPr>
          <w:rFonts w:ascii="Courier New" w:cs="Courier New" w:eastAsia="Courier New" w:hAnsi="Courier New"/>
          <w:sz w:val="12"/>
          <w:szCs w:val="12"/>
          <w:color w:val="auto"/>
        </w:rPr>
        <w:t>17.5. This Agreement and the Loan Documents and the documents referred to herein or therein constitute the entire obligations of the parties hereto or thereto with respect to the subject matter and shall supersede any prior expressions of intent or understanding with respect to the matters herein or therein contemplated. Any amendments hereto or thereto shall be in writing.</w:t>
      </w:r>
    </w:p>
    <w:p>
      <w:pPr>
        <w:spacing w:after="0" w:line="140" w:lineRule="exact"/>
        <w:rPr>
          <w:sz w:val="20"/>
          <w:szCs w:val="20"/>
          <w:color w:val="auto"/>
        </w:rPr>
      </w:pPr>
    </w:p>
    <w:p>
      <w:pPr>
        <w:ind w:left="708" w:right="4699" w:hanging="350"/>
        <w:spacing w:after="0" w:line="237" w:lineRule="auto"/>
        <w:rPr>
          <w:sz w:val="20"/>
          <w:szCs w:val="20"/>
          <w:color w:val="auto"/>
        </w:rPr>
      </w:pPr>
      <w:r>
        <w:rPr>
          <w:rFonts w:ascii="Courier New" w:cs="Courier New" w:eastAsia="Courier New" w:hAnsi="Courier New"/>
          <w:sz w:val="12"/>
          <w:szCs w:val="12"/>
          <w:color w:val="auto"/>
        </w:rPr>
        <w:t>17.6. Any and all payments to be made by the Borrower hereunder shall be considered as received by the Lender, thereby discharging the Borrower's obligations with respect thereof, only and to the extent that same are finally and irrevocably received by the Lender pursuant to the terms hereto so that the Lender may use said amounts, immediately, automatically and without delay, for the settlement and discharge of the respective payment then due.</w:t>
      </w:r>
    </w:p>
    <w:p>
      <w:pPr>
        <w:spacing w:after="0" w:line="137" w:lineRule="exact"/>
        <w:rPr>
          <w:sz w:val="20"/>
          <w:szCs w:val="20"/>
          <w:color w:val="auto"/>
        </w:rPr>
      </w:pPr>
    </w:p>
    <w:p>
      <w:pPr>
        <w:ind w:left="348" w:hanging="348"/>
        <w:spacing w:after="0"/>
        <w:tabs>
          <w:tab w:leader="none" w:pos="348" w:val="left"/>
        </w:tabs>
        <w:numPr>
          <w:ilvl w:val="0"/>
          <w:numId w:val="1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w:t>
      </w:r>
    </w:p>
    <w:p>
      <w:pPr>
        <w:spacing w:after="0" w:line="138" w:lineRule="exact"/>
        <w:rPr>
          <w:rFonts w:ascii="Courier New" w:cs="Courier New" w:eastAsia="Courier New" w:hAnsi="Courier New"/>
          <w:sz w:val="12"/>
          <w:szCs w:val="12"/>
          <w:color w:val="auto"/>
        </w:rPr>
      </w:pPr>
    </w:p>
    <w:p>
      <w:pPr>
        <w:ind w:left="708" w:right="4699" w:hanging="351"/>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18.1. Every Notice, shall be in writing, and unless otherwise specifically stipulated in this Agreement, delivered personally or by courier, or registered letter, or fax with telephone confirmation of receipt, except for a Request for a Disbursement which shall be sent through a tested telex/authenticated swift sent by a first class bank in Israel</w:t>
      </w:r>
    </w:p>
    <w:p>
      <w:pPr>
        <w:sectPr>
          <w:pgSz w:w="11900" w:h="16838" w:orient="portrait"/>
          <w:cols w:equalWidth="0" w:num="1">
            <w:col w:w="10247"/>
          </w:cols>
          <w:pgMar w:left="212" w:top="141" w:right="1440" w:bottom="0" w:gutter="0" w:footer="0" w:header="0"/>
        </w:sectPr>
      </w:pPr>
    </w:p>
    <w:bookmarkStart w:id="98" w:name="page99"/>
    <w:bookmarkEnd w:id="98"/>
    <w:p>
      <w:pPr>
        <w:ind w:left="708"/>
        <w:spacing w:after="0"/>
        <w:rPr>
          <w:sz w:val="20"/>
          <w:szCs w:val="20"/>
          <w:color w:val="auto"/>
        </w:rPr>
      </w:pPr>
      <w:r>
        <w:rPr>
          <w:rFonts w:ascii="Courier New" w:cs="Courier New" w:eastAsia="Courier New" w:hAnsi="Courier New"/>
          <w:sz w:val="11"/>
          <w:szCs w:val="11"/>
          <w:color w:val="auto"/>
        </w:rPr>
        <w:t>with the signatures of the Borrower authenticated by same. Failure by</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or the Lender to confirm any such Notice sent via fax as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aforesaid shall not derogate from or in any manner prejudice the</w:t>
      </w:r>
    </w:p>
    <w:p>
      <w:pPr>
        <w:ind w:left="708"/>
        <w:spacing w:after="0"/>
        <w:rPr>
          <w:sz w:val="20"/>
          <w:szCs w:val="20"/>
          <w:color w:val="auto"/>
        </w:rPr>
      </w:pPr>
      <w:r>
        <w:rPr>
          <w:rFonts w:ascii="Courier New" w:cs="Courier New" w:eastAsia="Courier New" w:hAnsi="Courier New"/>
          <w:sz w:val="12"/>
          <w:szCs w:val="12"/>
          <w:color w:val="auto"/>
        </w:rPr>
        <w:t>Lender's rights pursuant to this Agreement or the obligations of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Borrower hereunder. Every Notice shall, subject as otherwise provided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this Agreement, be deemed to have been received, in the case of a</w:t>
      </w:r>
    </w:p>
    <w:p>
      <w:pPr>
        <w:ind w:left="708"/>
        <w:spacing w:after="0"/>
        <w:rPr>
          <w:sz w:val="20"/>
          <w:szCs w:val="20"/>
          <w:color w:val="auto"/>
        </w:rPr>
      </w:pPr>
      <w:r>
        <w:rPr>
          <w:rFonts w:ascii="Courier New" w:cs="Courier New" w:eastAsia="Courier New" w:hAnsi="Courier New"/>
          <w:sz w:val="12"/>
          <w:szCs w:val="12"/>
          <w:color w:val="auto"/>
        </w:rPr>
        <w:t>fax - at the time of dispatch (provided that if the date of dispatch</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is not a Business Day it shall be deemed to have been received at the</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opening of business on the next such Business day), and in the case of</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 letter, a registered letter or courier - when delivered personally,</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or 4 days after it has been put into the post or 1 Business Days after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it has been given to the courier, as the case may be.</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- 20 -</w:t>
      </w:r>
    </w:p>
    <w:p>
      <w:pPr>
        <w:spacing w:after="0" w:line="200" w:lineRule="exact"/>
        <w:rPr>
          <w:sz w:val="20"/>
          <w:szCs w:val="20"/>
          <w:color w:val="auto"/>
        </w:rPr>
      </w:pPr>
    </w:p>
    <w:p>
      <w:pPr>
        <w:spacing w:after="0" w:line="20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18.2. Every notice shall be sent, addressed as follows:</w:t>
      </w:r>
    </w:p>
    <w:p>
      <w:pPr>
        <w:spacing w:after="0" w:line="139" w:lineRule="exact"/>
        <w:rPr>
          <w:sz w:val="20"/>
          <w:szCs w:val="20"/>
          <w:color w:val="auto"/>
        </w:rPr>
      </w:pPr>
    </w:p>
    <w:p>
      <w:pPr>
        <w:ind w:left="1048" w:right="4699" w:hanging="345"/>
        <w:spacing w:after="0" w:line="235" w:lineRule="auto"/>
        <w:tabs>
          <w:tab w:leader="none" w:pos="1048" w:val="left"/>
        </w:tabs>
        <w:numPr>
          <w:ilvl w:val="0"/>
          <w:numId w:val="1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Borrower at the first address of the Borrower first above appearing.</w:t>
      </w:r>
    </w:p>
    <w:p>
      <w:pPr>
        <w:spacing w:after="0" w:line="139" w:lineRule="exact"/>
        <w:rPr>
          <w:rFonts w:ascii="Courier New" w:cs="Courier New" w:eastAsia="Courier New" w:hAnsi="Courier New"/>
          <w:sz w:val="12"/>
          <w:szCs w:val="12"/>
          <w:color w:val="auto"/>
        </w:rPr>
      </w:pPr>
    </w:p>
    <w:p>
      <w:pPr>
        <w:ind w:left="1048" w:right="48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Attention: Tower Semiconductor Ltd., Ramat Gavriel Industrial Zone, P.O. Box 619, Migdal Haemek 23105 Israel</w:t>
      </w:r>
    </w:p>
    <w:p>
      <w:pPr>
        <w:spacing w:after="0" w:line="139" w:lineRule="exact"/>
        <w:rPr>
          <w:rFonts w:ascii="Courier New" w:cs="Courier New" w:eastAsia="Courier New" w:hAnsi="Courier New"/>
          <w:sz w:val="12"/>
          <w:szCs w:val="12"/>
          <w:color w:val="auto"/>
        </w:rPr>
      </w:pPr>
    </w:p>
    <w:p>
      <w:pPr>
        <w:ind w:left="1048" w:right="4899" w:hanging="345"/>
        <w:spacing w:after="0" w:line="236" w:lineRule="auto"/>
        <w:tabs>
          <w:tab w:leader="none" w:pos="1048" w:val="left"/>
        </w:tabs>
        <w:numPr>
          <w:ilvl w:val="0"/>
          <w:numId w:val="1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Lender at the first address of the Lender first above appearing: Attention[***] , SanDisk Corporation, 601 McCarthy Blvd., Milpitas, CA 95035 USA</w:t>
      </w:r>
    </w:p>
    <w:p>
      <w:pPr>
        <w:spacing w:after="0" w:line="139" w:lineRule="exact"/>
        <w:rPr>
          <w:sz w:val="20"/>
          <w:szCs w:val="20"/>
          <w:color w:val="auto"/>
        </w:rPr>
      </w:pPr>
    </w:p>
    <w:p>
      <w:pPr>
        <w:ind w:left="8" w:right="4979"/>
        <w:spacing w:after="0" w:line="235" w:lineRule="auto"/>
        <w:rPr>
          <w:sz w:val="20"/>
          <w:szCs w:val="20"/>
          <w:color w:val="auto"/>
        </w:rPr>
      </w:pPr>
      <w:r>
        <w:rPr>
          <w:rFonts w:ascii="Courier New" w:cs="Courier New" w:eastAsia="Courier New" w:hAnsi="Courier New"/>
          <w:sz w:val="12"/>
          <w:szCs w:val="12"/>
          <w:color w:val="auto"/>
        </w:rPr>
        <w:t>In Witness Whereof the parties hereto have caused this Agreement to be duly executed on the day and _______________.</w:t>
      </w:r>
    </w:p>
    <w:p>
      <w:pPr>
        <w:sectPr>
          <w:pgSz w:w="11900" w:h="16838" w:orient="portrait"/>
          <w:cols w:equalWidth="0" w:num="1">
            <w:col w:w="10247"/>
          </w:cols>
          <w:pgMar w:left="212" w:top="141" w:right="1440" w:bottom="1440" w:gutter="0" w:footer="0" w:header="0"/>
        </w:sectPr>
      </w:pP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SANDISK CORPORATION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TOWER SEMICONDUCTOR LTD.</w:t>
      </w:r>
    </w:p>
    <w:p>
      <w:pPr>
        <w:spacing w:after="0" w:line="146" w:lineRule="exact"/>
        <w:rPr>
          <w:sz w:val="20"/>
          <w:szCs w:val="20"/>
          <w:color w:val="auto"/>
        </w:rPr>
      </w:pPr>
    </w:p>
    <w:p>
      <w:pPr>
        <w:sectPr>
          <w:pgSz w:w="11900" w:h="16838" w:orient="portrait"/>
          <w:cols w:equalWidth="0" w:num="2">
            <w:col w:w="2368" w:space="720"/>
            <w:col w:w="7159"/>
          </w:cols>
          <w:pgMar w:left="212" w:top="141" w:right="1440" w:bottom="144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______________________</w:t>
      </w:r>
    </w:p>
    <w:p>
      <w:pPr>
        <w:spacing w:after="0" w:line="146" w:lineRule="exact"/>
        <w:rPr>
          <w:sz w:val="20"/>
          <w:szCs w:val="20"/>
          <w:color w:val="auto"/>
        </w:rPr>
      </w:pPr>
    </w:p>
    <w:p>
      <w:pPr>
        <w:sectPr>
          <w:pgSz w:w="11900" w:h="16838" w:orient="portrait"/>
          <w:cols w:equalWidth="0" w:num="2">
            <w:col w:w="2368" w:space="720"/>
            <w:col w:w="7159"/>
          </w:cols>
          <w:pgMar w:left="212" w:top="141" w:right="1440" w:bottom="144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By:_________________________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By:_________________________</w:t>
      </w:r>
    </w:p>
    <w:p>
      <w:pPr>
        <w:spacing w:after="0" w:line="146" w:lineRule="exact"/>
        <w:rPr>
          <w:sz w:val="20"/>
          <w:szCs w:val="20"/>
          <w:color w:val="auto"/>
        </w:rPr>
      </w:pPr>
    </w:p>
    <w:p>
      <w:pPr>
        <w:sectPr>
          <w:pgSz w:w="11900" w:h="16838" w:orient="portrait"/>
          <w:cols w:equalWidth="0" w:num="2">
            <w:col w:w="2368" w:space="720"/>
            <w:col w:w="7159"/>
          </w:cols>
          <w:pgMar w:left="212" w:top="141" w:right="1440" w:bottom="144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Name:_________________________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Name:___________________</w:t>
      </w:r>
    </w:p>
    <w:p>
      <w:pPr>
        <w:spacing w:after="0" w:line="146" w:lineRule="exact"/>
        <w:rPr>
          <w:sz w:val="20"/>
          <w:szCs w:val="20"/>
          <w:color w:val="auto"/>
        </w:rPr>
      </w:pPr>
    </w:p>
    <w:p>
      <w:pPr>
        <w:sectPr>
          <w:pgSz w:w="11900" w:h="16838" w:orient="portrait"/>
          <w:cols w:equalWidth="0" w:num="2">
            <w:col w:w="2368" w:space="720"/>
            <w:col w:w="7159"/>
          </w:cols>
          <w:pgMar w:left="212" w:top="141" w:right="1440" w:bottom="144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Title:___________________________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Title:____________________</w:t>
      </w:r>
    </w:p>
    <w:p>
      <w:pPr>
        <w:spacing w:after="0" w:line="146" w:lineRule="exact"/>
        <w:rPr>
          <w:sz w:val="20"/>
          <w:szCs w:val="20"/>
          <w:color w:val="auto"/>
        </w:rPr>
      </w:pPr>
    </w:p>
    <w:p>
      <w:pPr>
        <w:sectPr>
          <w:pgSz w:w="11900" w:h="16838" w:orient="portrait"/>
          <w:cols w:equalWidth="0" w:num="2">
            <w:col w:w="2368" w:space="720"/>
            <w:col w:w="7159"/>
          </w:cols>
          <w:pgMar w:left="212" w:top="141" w:right="1440" w:bottom="144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1440" w:gutter="0" w:footer="0" w:header="0"/>
          <w:type w:val="continuous"/>
        </w:sectPr>
      </w:pPr>
    </w:p>
    <w:p>
      <w:pPr>
        <w:spacing w:after="0" w:line="146" w:lineRule="exact"/>
        <w:rPr>
          <w:sz w:val="20"/>
          <w:szCs w:val="20"/>
          <w:color w:val="auto"/>
        </w:rPr>
      </w:pPr>
    </w:p>
    <w:p>
      <w:pPr>
        <w:ind w:left="8" w:right="4979" w:hanging="8"/>
        <w:spacing w:after="0" w:line="273" w:lineRule="auto"/>
        <w:tabs>
          <w:tab w:leader="none" w:pos="430" w:val="left"/>
        </w:tabs>
        <w:numPr>
          <w:ilvl w:val="0"/>
          <w:numId w:val="18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2" w:lineRule="exact"/>
        <w:rPr>
          <w:rFonts w:ascii="Courier New" w:cs="Courier New" w:eastAsia="Courier New" w:hAnsi="Courier New"/>
          <w:sz w:val="11"/>
          <w:szCs w:val="11"/>
          <w:color w:val="auto"/>
        </w:rPr>
      </w:pPr>
    </w:p>
    <w:p>
      <w:pPr>
        <w:ind w:left="2748" w:hanging="149"/>
        <w:spacing w:after="0"/>
        <w:tabs>
          <w:tab w:leader="none" w:pos="2748" w:val="left"/>
        </w:tabs>
        <w:numPr>
          <w:ilvl w:val="1"/>
          <w:numId w:val="1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21 -</w:t>
      </w:r>
    </w:p>
    <w:p>
      <w:pPr>
        <w:spacing w:after="0" w:line="200" w:lineRule="exact"/>
        <w:rPr>
          <w:sz w:val="20"/>
          <w:szCs w:val="20"/>
          <w:color w:val="auto"/>
        </w:rPr>
      </w:pPr>
    </w:p>
    <w:p>
      <w:pPr>
        <w:spacing w:after="0" w:line="204" w:lineRule="exact"/>
        <w:rPr>
          <w:sz w:val="20"/>
          <w:szCs w:val="20"/>
          <w:color w:val="auto"/>
        </w:rPr>
      </w:pPr>
    </w:p>
    <w:p>
      <w:pPr>
        <w:ind w:left="8"/>
        <w:spacing w:after="0"/>
        <w:tabs>
          <w:tab w:leader="none" w:pos="1868" w:val="left"/>
        </w:tabs>
        <w:rPr>
          <w:sz w:val="20"/>
          <w:szCs w:val="20"/>
          <w:color w:val="auto"/>
        </w:rPr>
      </w:pPr>
      <w:r>
        <w:rPr>
          <w:rFonts w:ascii="Courier New" w:cs="Courier New" w:eastAsia="Courier New" w:hAnsi="Courier New"/>
          <w:sz w:val="12"/>
          <w:szCs w:val="12"/>
          <w:color w:val="auto"/>
        </w:rPr>
        <w:t>APPENDIX A</w:t>
      </w:r>
      <w:r>
        <w:rPr>
          <w:sz w:val="20"/>
          <w:szCs w:val="20"/>
          <w:color w:val="auto"/>
        </w:rPr>
        <w:tab/>
      </w:r>
      <w:r>
        <w:rPr>
          <w:rFonts w:ascii="Courier New" w:cs="Courier New" w:eastAsia="Courier New" w:hAnsi="Courier New"/>
          <w:sz w:val="11"/>
          <w:szCs w:val="11"/>
          <w:color w:val="auto"/>
        </w:rPr>
        <w:t>Repayment Schedule</w:t>
      </w:r>
    </w:p>
    <w:p>
      <w:pPr>
        <w:spacing w:after="0" w:line="139" w:lineRule="exact"/>
        <w:rPr>
          <w:sz w:val="20"/>
          <w:szCs w:val="20"/>
          <w:color w:val="auto"/>
        </w:rPr>
      </w:pPr>
    </w:p>
    <w:p>
      <w:pPr>
        <w:ind w:left="8" w:right="4899"/>
        <w:spacing w:after="0" w:line="235" w:lineRule="auto"/>
        <w:rPr>
          <w:sz w:val="20"/>
          <w:szCs w:val="20"/>
          <w:color w:val="auto"/>
        </w:rPr>
      </w:pPr>
      <w:r>
        <w:rPr>
          <w:rFonts w:ascii="Courier New" w:cs="Courier New" w:eastAsia="Courier New" w:hAnsi="Courier New"/>
          <w:sz w:val="12"/>
          <w:szCs w:val="12"/>
          <w:color w:val="auto"/>
        </w:rPr>
        <w:t>The Amount of the Loan shall be repaid on the Installment Repayment Dates as follows:</w:t>
      </w:r>
    </w:p>
    <w:p>
      <w:pPr>
        <w:spacing w:after="0" w:line="139" w:lineRule="exact"/>
        <w:rPr>
          <w:sz w:val="20"/>
          <w:szCs w:val="20"/>
          <w:color w:val="auto"/>
        </w:rPr>
      </w:pPr>
    </w:p>
    <w:p>
      <w:pPr>
        <w:ind w:left="8" w:right="4899" w:firstLine="351"/>
        <w:spacing w:after="0" w:line="235" w:lineRule="auto"/>
        <w:rPr>
          <w:sz w:val="20"/>
          <w:szCs w:val="20"/>
          <w:color w:val="auto"/>
        </w:rPr>
      </w:pPr>
      <w:r>
        <w:rPr>
          <w:rFonts w:ascii="Courier New" w:cs="Courier New" w:eastAsia="Courier New" w:hAnsi="Courier New"/>
          <w:sz w:val="12"/>
          <w:szCs w:val="12"/>
          <w:color w:val="auto"/>
        </w:rPr>
        <w:t>A. First Installment Repayment Date [***] during the [***] in which the [***], plus applicable interest under the Loan Documents.</w:t>
      </w:r>
    </w:p>
    <w:p>
      <w:pPr>
        <w:spacing w:after="0" w:line="135"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B. Second through Seventh Installment Repayment Date [***] , plus</w:t>
      </w:r>
    </w:p>
    <w:p>
      <w:pPr>
        <w:ind w:left="8"/>
        <w:spacing w:after="0"/>
        <w:rPr>
          <w:sz w:val="20"/>
          <w:szCs w:val="20"/>
          <w:color w:val="auto"/>
        </w:rPr>
      </w:pPr>
      <w:r>
        <w:rPr>
          <w:rFonts w:ascii="Courier New" w:cs="Courier New" w:eastAsia="Courier New" w:hAnsi="Courier New"/>
          <w:sz w:val="12"/>
          <w:szCs w:val="12"/>
          <w:color w:val="auto"/>
        </w:rPr>
        <w:t>applicable interest under the Loan Documents.</w:t>
      </w:r>
    </w:p>
    <w:p>
      <w:pPr>
        <w:spacing w:after="0" w:line="138"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C. Final Installment Repayment Date - All outstanding sums of principal, interest and any other fees accrued or payable from Borrower to Lender under the Loan Documents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 ----------</w:t>
      </w:r>
    </w:p>
    <w:p>
      <w:pPr>
        <w:spacing w:after="0" w:line="139" w:lineRule="exact"/>
        <w:rPr>
          <w:sz w:val="20"/>
          <w:szCs w:val="20"/>
          <w:color w:val="auto"/>
        </w:rPr>
      </w:pPr>
    </w:p>
    <w:p>
      <w:pPr>
        <w:ind w:left="8" w:right="4979" w:hanging="8"/>
        <w:spacing w:after="0" w:line="273" w:lineRule="auto"/>
        <w:tabs>
          <w:tab w:leader="none" w:pos="430" w:val="left"/>
        </w:tabs>
        <w:numPr>
          <w:ilvl w:val="0"/>
          <w:numId w:val="1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2" w:lineRule="exact"/>
        <w:rPr>
          <w:rFonts w:ascii="Courier New" w:cs="Courier New" w:eastAsia="Courier New" w:hAnsi="Courier New"/>
          <w:sz w:val="11"/>
          <w:szCs w:val="11"/>
          <w:color w:val="auto"/>
        </w:rPr>
      </w:pPr>
    </w:p>
    <w:p>
      <w:pPr>
        <w:ind w:left="2748" w:hanging="149"/>
        <w:spacing w:after="0"/>
        <w:tabs>
          <w:tab w:leader="none" w:pos="2748" w:val="left"/>
        </w:tabs>
        <w:numPr>
          <w:ilvl w:val="1"/>
          <w:numId w:val="1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22 -</w:t>
      </w:r>
    </w:p>
    <w:p>
      <w:pPr>
        <w:sectPr>
          <w:pgSz w:w="11900" w:h="16838" w:orient="portrait"/>
          <w:cols w:equalWidth="0" w:num="1">
            <w:col w:w="10247"/>
          </w:cols>
          <w:pgMar w:left="212" w:top="141" w:right="1440" w:bottom="1440" w:gutter="0" w:footer="0" w:header="0"/>
          <w:type w:val="continuous"/>
        </w:sectPr>
      </w:pPr>
    </w:p>
    <w:bookmarkStart w:id="99" w:name="page100"/>
    <w:bookmarkEnd w:id="99"/>
    <w:p>
      <w:pPr>
        <w:jc w:val="center"/>
        <w:ind w:right="-140"/>
        <w:spacing w:after="0"/>
        <w:rPr>
          <w:sz w:val="20"/>
          <w:szCs w:val="20"/>
          <w:color w:val="auto"/>
        </w:rPr>
      </w:pPr>
      <w:r>
        <w:rPr>
          <w:rFonts w:ascii="Courier New" w:cs="Courier New" w:eastAsia="Courier New" w:hAnsi="Courier New"/>
          <w:sz w:val="11"/>
          <w:szCs w:val="11"/>
          <w:color w:val="auto"/>
        </w:rPr>
        <w:t>EXHIBIT 12.1</w:t>
      </w:r>
    </w:p>
    <w:p>
      <w:pPr>
        <w:spacing w:after="0" w:line="141" w:lineRule="exact"/>
        <w:rPr>
          <w:sz w:val="20"/>
          <w:szCs w:val="20"/>
          <w:color w:val="auto"/>
        </w:rPr>
      </w:pPr>
    </w:p>
    <w:p>
      <w:pPr>
        <w:ind w:left="2380"/>
        <w:spacing w:after="0"/>
        <w:rPr>
          <w:sz w:val="20"/>
          <w:szCs w:val="20"/>
          <w:color w:val="auto"/>
        </w:rPr>
      </w:pPr>
      <w:r>
        <w:rPr>
          <w:rFonts w:ascii="Courier New" w:cs="Courier New" w:eastAsia="Courier New" w:hAnsi="Courier New"/>
          <w:sz w:val="12"/>
          <w:szCs w:val="12"/>
          <w:color w:val="auto"/>
        </w:rPr>
        <w:t>CERTIFICATION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 Russell C. Ellwanger, certify that:</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 I have reviewed this annual report on Form 20-F of Tower Semiconductor</w:t>
      </w:r>
    </w:p>
    <w:p>
      <w:pPr>
        <w:spacing w:after="0"/>
        <w:rPr>
          <w:sz w:val="20"/>
          <w:szCs w:val="20"/>
          <w:color w:val="auto"/>
        </w:rPr>
      </w:pPr>
      <w:r>
        <w:rPr>
          <w:rFonts w:ascii="Courier New" w:cs="Courier New" w:eastAsia="Courier New" w:hAnsi="Courier New"/>
          <w:sz w:val="12"/>
          <w:szCs w:val="12"/>
          <w:color w:val="auto"/>
        </w:rPr>
        <w:t>Ltd.;</w:t>
      </w:r>
    </w:p>
    <w:p>
      <w:pPr>
        <w:spacing w:after="0" w:line="138" w:lineRule="exact"/>
        <w:rPr>
          <w:sz w:val="20"/>
          <w:szCs w:val="20"/>
          <w:color w:val="auto"/>
        </w:rPr>
      </w:pPr>
    </w:p>
    <w:p>
      <w:pPr>
        <w:ind w:right="4619" w:firstLine="343"/>
        <w:spacing w:after="0" w:line="264" w:lineRule="auto"/>
        <w:tabs>
          <w:tab w:leader="none" w:pos="562" w:val="left"/>
        </w:tabs>
        <w:numPr>
          <w:ilvl w:val="0"/>
          <w:numId w:val="1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Courier New" w:cs="Courier New" w:eastAsia="Courier New" w:hAnsi="Courier New"/>
          <w:sz w:val="11"/>
          <w:szCs w:val="11"/>
          <w:color w:val="auto"/>
        </w:rPr>
      </w:pPr>
    </w:p>
    <w:p>
      <w:pPr>
        <w:ind w:right="4839" w:firstLine="343"/>
        <w:spacing w:after="0" w:line="264" w:lineRule="auto"/>
        <w:tabs>
          <w:tab w:leader="none" w:pos="562" w:val="left"/>
        </w:tabs>
        <w:numPr>
          <w:ilvl w:val="0"/>
          <w:numId w:val="1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27" w:lineRule="exact"/>
        <w:rPr>
          <w:rFonts w:ascii="Courier New" w:cs="Courier New" w:eastAsia="Courier New" w:hAnsi="Courier New"/>
          <w:sz w:val="11"/>
          <w:szCs w:val="11"/>
          <w:color w:val="auto"/>
        </w:rPr>
      </w:pPr>
    </w:p>
    <w:p>
      <w:pPr>
        <w:jc w:val="both"/>
        <w:ind w:right="4759" w:firstLine="343"/>
        <w:spacing w:after="0" w:line="266" w:lineRule="auto"/>
        <w:tabs>
          <w:tab w:leader="none" w:pos="562" w:val="left"/>
        </w:tabs>
        <w:numPr>
          <w:ilvl w:val="0"/>
          <w:numId w:val="1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are responsible for establishing and maintaining disclosure controls and procedures (as defined in Exchange Act Rules 13a-15(e) and 15d-15(e)) for the registrant and have:</w:t>
      </w:r>
    </w:p>
    <w:p>
      <w:pPr>
        <w:spacing w:after="0" w:line="126" w:lineRule="exact"/>
        <w:rPr>
          <w:rFonts w:ascii="Courier New" w:cs="Courier New" w:eastAsia="Courier New" w:hAnsi="Courier New"/>
          <w:sz w:val="11"/>
          <w:szCs w:val="11"/>
          <w:color w:val="auto"/>
        </w:rPr>
      </w:pPr>
    </w:p>
    <w:p>
      <w:pPr>
        <w:ind w:left="340" w:right="4619" w:firstLine="355"/>
        <w:spacing w:after="0" w:line="237" w:lineRule="auto"/>
        <w:tabs>
          <w:tab w:leader="none" w:pos="972" w:val="left"/>
        </w:tabs>
        <w:numPr>
          <w:ilvl w:val="1"/>
          <w:numId w:val="1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Courier New" w:cs="Courier New" w:eastAsia="Courier New" w:hAnsi="Courier New"/>
          <w:sz w:val="12"/>
          <w:szCs w:val="12"/>
          <w:color w:val="auto"/>
        </w:rPr>
      </w:pPr>
    </w:p>
    <w:p>
      <w:pPr>
        <w:ind w:left="340" w:right="4699" w:firstLine="355"/>
        <w:spacing w:after="0" w:line="235" w:lineRule="auto"/>
        <w:tabs>
          <w:tab w:leader="none" w:pos="972" w:val="left"/>
        </w:tabs>
        <w:numPr>
          <w:ilvl w:val="1"/>
          <w:numId w:val="1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[Paragraph omitted in accordance with SEC transition instructions contained in SEC Release 34-47986];</w:t>
      </w:r>
    </w:p>
    <w:p>
      <w:pPr>
        <w:spacing w:after="0" w:line="139" w:lineRule="exact"/>
        <w:rPr>
          <w:rFonts w:ascii="Courier New" w:cs="Courier New" w:eastAsia="Courier New" w:hAnsi="Courier New"/>
          <w:sz w:val="12"/>
          <w:szCs w:val="12"/>
          <w:color w:val="auto"/>
        </w:rPr>
      </w:pPr>
    </w:p>
    <w:p>
      <w:pPr>
        <w:ind w:left="340" w:right="4699" w:firstLine="355"/>
        <w:spacing w:after="0" w:line="264" w:lineRule="auto"/>
        <w:tabs>
          <w:tab w:leader="none" w:pos="972" w:val="left"/>
        </w:tabs>
        <w:numPr>
          <w:ilvl w:val="1"/>
          <w:numId w:val="1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Courier New" w:cs="Courier New" w:eastAsia="Courier New" w:hAnsi="Courier New"/>
          <w:sz w:val="11"/>
          <w:szCs w:val="11"/>
          <w:color w:val="auto"/>
        </w:rPr>
      </w:pPr>
    </w:p>
    <w:p>
      <w:pPr>
        <w:ind w:left="340" w:right="4619" w:firstLine="355"/>
        <w:spacing w:after="0" w:line="237" w:lineRule="auto"/>
        <w:tabs>
          <w:tab w:leader="none" w:pos="972" w:val="left"/>
        </w:tabs>
        <w:numPr>
          <w:ilvl w:val="1"/>
          <w:numId w:val="1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39" w:lineRule="exact"/>
        <w:rPr>
          <w:rFonts w:ascii="Courier New" w:cs="Courier New" w:eastAsia="Courier New" w:hAnsi="Courier New"/>
          <w:sz w:val="12"/>
          <w:szCs w:val="12"/>
          <w:color w:val="auto"/>
        </w:rPr>
      </w:pPr>
    </w:p>
    <w:p>
      <w:pPr>
        <w:ind w:right="4619" w:firstLine="343"/>
        <w:spacing w:after="0" w:line="264" w:lineRule="auto"/>
        <w:tabs>
          <w:tab w:leader="none" w:pos="562" w:val="left"/>
        </w:tabs>
        <w:numPr>
          <w:ilvl w:val="0"/>
          <w:numId w:val="1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7" w:lineRule="exact"/>
        <w:rPr>
          <w:rFonts w:ascii="Courier New" w:cs="Courier New" w:eastAsia="Courier New" w:hAnsi="Courier New"/>
          <w:sz w:val="11"/>
          <w:szCs w:val="11"/>
          <w:color w:val="auto"/>
        </w:rPr>
      </w:pPr>
    </w:p>
    <w:p>
      <w:pPr>
        <w:ind w:left="340" w:right="4619" w:firstLine="355"/>
        <w:spacing w:after="0" w:line="236" w:lineRule="auto"/>
        <w:tabs>
          <w:tab w:leader="none" w:pos="972" w:val="left"/>
        </w:tabs>
        <w:numPr>
          <w:ilvl w:val="1"/>
          <w:numId w:val="1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Courier New" w:cs="Courier New" w:eastAsia="Courier New" w:hAnsi="Courier New"/>
          <w:sz w:val="12"/>
          <w:szCs w:val="12"/>
          <w:color w:val="auto"/>
        </w:rPr>
      </w:pPr>
    </w:p>
    <w:p>
      <w:pPr>
        <w:jc w:val="both"/>
        <w:ind w:left="340" w:right="4839" w:firstLine="355"/>
        <w:spacing w:after="0" w:line="236" w:lineRule="auto"/>
        <w:tabs>
          <w:tab w:leader="none" w:pos="972" w:val="left"/>
        </w:tabs>
        <w:numPr>
          <w:ilvl w:val="1"/>
          <w:numId w:val="1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June 25, 2007</w:t>
      </w:r>
    </w:p>
    <w:p>
      <w:pPr>
        <w:spacing w:after="0" w:line="134" w:lineRule="exact"/>
        <w:rPr>
          <w:sz w:val="20"/>
          <w:szCs w:val="20"/>
          <w:color w:val="auto"/>
        </w:rPr>
      </w:pPr>
    </w:p>
    <w:p>
      <w:pPr>
        <w:ind w:left="3720"/>
        <w:spacing w:after="0"/>
        <w:rPr>
          <w:sz w:val="20"/>
          <w:szCs w:val="20"/>
          <w:color w:val="auto"/>
        </w:rPr>
      </w:pPr>
      <w:r>
        <w:rPr>
          <w:rFonts w:ascii="Courier New" w:cs="Courier New" w:eastAsia="Courier New" w:hAnsi="Courier New"/>
          <w:sz w:val="12"/>
          <w:szCs w:val="12"/>
          <w:color w:val="auto"/>
        </w:rPr>
        <w:t>/s/ Russell C. Ellwanger</w:t>
      </w:r>
    </w:p>
    <w:p>
      <w:pPr>
        <w:ind w:left="3720"/>
        <w:spacing w:after="0"/>
        <w:rPr>
          <w:sz w:val="20"/>
          <w:szCs w:val="20"/>
          <w:color w:val="auto"/>
        </w:rPr>
      </w:pPr>
      <w:r>
        <w:rPr>
          <w:rFonts w:ascii="Courier New" w:cs="Courier New" w:eastAsia="Courier New" w:hAnsi="Courier New"/>
          <w:sz w:val="12"/>
          <w:szCs w:val="12"/>
          <w:color w:val="auto"/>
        </w:rPr>
        <w:t>------------------------</w:t>
      </w:r>
    </w:p>
    <w:p>
      <w:pPr>
        <w:ind w:left="3720"/>
        <w:spacing w:after="0" w:line="237" w:lineRule="auto"/>
        <w:rPr>
          <w:sz w:val="20"/>
          <w:szCs w:val="20"/>
          <w:color w:val="auto"/>
        </w:rPr>
      </w:pPr>
      <w:r>
        <w:rPr>
          <w:rFonts w:ascii="Courier New" w:cs="Courier New" w:eastAsia="Courier New" w:hAnsi="Courier New"/>
          <w:sz w:val="12"/>
          <w:szCs w:val="12"/>
          <w:color w:val="auto"/>
        </w:rPr>
        <w:t>Russell C. Ellwanger</w:t>
      </w:r>
    </w:p>
    <w:p>
      <w:pPr>
        <w:ind w:left="3720"/>
        <w:spacing w:after="0"/>
        <w:rPr>
          <w:sz w:val="20"/>
          <w:szCs w:val="20"/>
          <w:color w:val="auto"/>
        </w:rPr>
      </w:pPr>
      <w:r>
        <w:rPr>
          <w:rFonts w:ascii="Courier New" w:cs="Courier New" w:eastAsia="Courier New" w:hAnsi="Courier New"/>
          <w:sz w:val="12"/>
          <w:szCs w:val="12"/>
          <w:color w:val="auto"/>
        </w:rPr>
        <w:t>Chief Executive Officer</w:t>
      </w:r>
    </w:p>
    <w:p>
      <w:pPr>
        <w:ind w:left="3720"/>
        <w:spacing w:after="0" w:line="237" w:lineRule="auto"/>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411" w:right="1440" w:bottom="1440" w:gutter="0" w:footer="0" w:header="0"/>
        </w:sectPr>
      </w:pPr>
    </w:p>
    <w:bookmarkStart w:id="100" w:name="page101"/>
    <w:bookmarkEnd w:id="100"/>
    <w:p>
      <w:pPr>
        <w:jc w:val="center"/>
        <w:ind w:right="-140"/>
        <w:spacing w:after="0"/>
        <w:rPr>
          <w:sz w:val="20"/>
          <w:szCs w:val="20"/>
          <w:color w:val="auto"/>
        </w:rPr>
      </w:pPr>
      <w:r>
        <w:rPr>
          <w:rFonts w:ascii="Courier New" w:cs="Courier New" w:eastAsia="Courier New" w:hAnsi="Courier New"/>
          <w:sz w:val="11"/>
          <w:szCs w:val="11"/>
          <w:color w:val="auto"/>
        </w:rPr>
        <w:t>EXHIBIT 12.2</w:t>
      </w:r>
    </w:p>
    <w:p>
      <w:pPr>
        <w:spacing w:after="0" w:line="141" w:lineRule="exact"/>
        <w:rPr>
          <w:sz w:val="20"/>
          <w:szCs w:val="20"/>
          <w:color w:val="auto"/>
        </w:rPr>
      </w:pPr>
    </w:p>
    <w:p>
      <w:pPr>
        <w:ind w:left="2380"/>
        <w:spacing w:after="0"/>
        <w:rPr>
          <w:sz w:val="20"/>
          <w:szCs w:val="20"/>
          <w:color w:val="auto"/>
        </w:rPr>
      </w:pPr>
      <w:r>
        <w:rPr>
          <w:rFonts w:ascii="Courier New" w:cs="Courier New" w:eastAsia="Courier New" w:hAnsi="Courier New"/>
          <w:sz w:val="12"/>
          <w:szCs w:val="12"/>
          <w:color w:val="auto"/>
        </w:rPr>
        <w:t>CERTIFICATION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 Oren Shirazi, certify that:</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 I have reviewed this annual report on Form 20-F of Tower Semiconductor</w:t>
      </w:r>
    </w:p>
    <w:p>
      <w:pPr>
        <w:spacing w:after="0"/>
        <w:rPr>
          <w:sz w:val="20"/>
          <w:szCs w:val="20"/>
          <w:color w:val="auto"/>
        </w:rPr>
      </w:pPr>
      <w:r>
        <w:rPr>
          <w:rFonts w:ascii="Courier New" w:cs="Courier New" w:eastAsia="Courier New" w:hAnsi="Courier New"/>
          <w:sz w:val="12"/>
          <w:szCs w:val="12"/>
          <w:color w:val="auto"/>
        </w:rPr>
        <w:t>Ltd.;</w:t>
      </w:r>
    </w:p>
    <w:p>
      <w:pPr>
        <w:spacing w:after="0" w:line="138" w:lineRule="exact"/>
        <w:rPr>
          <w:sz w:val="20"/>
          <w:szCs w:val="20"/>
          <w:color w:val="auto"/>
        </w:rPr>
      </w:pPr>
    </w:p>
    <w:p>
      <w:pPr>
        <w:ind w:right="4619" w:firstLine="343"/>
        <w:spacing w:after="0" w:line="264" w:lineRule="auto"/>
        <w:tabs>
          <w:tab w:leader="none" w:pos="562" w:val="left"/>
        </w:tabs>
        <w:numPr>
          <w:ilvl w:val="0"/>
          <w:numId w:val="1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Courier New" w:cs="Courier New" w:eastAsia="Courier New" w:hAnsi="Courier New"/>
          <w:sz w:val="11"/>
          <w:szCs w:val="11"/>
          <w:color w:val="auto"/>
        </w:rPr>
      </w:pPr>
    </w:p>
    <w:p>
      <w:pPr>
        <w:ind w:right="4839" w:firstLine="343"/>
        <w:spacing w:after="0" w:line="264" w:lineRule="auto"/>
        <w:tabs>
          <w:tab w:leader="none" w:pos="562" w:val="left"/>
        </w:tabs>
        <w:numPr>
          <w:ilvl w:val="0"/>
          <w:numId w:val="1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27" w:lineRule="exact"/>
        <w:rPr>
          <w:rFonts w:ascii="Courier New" w:cs="Courier New" w:eastAsia="Courier New" w:hAnsi="Courier New"/>
          <w:sz w:val="11"/>
          <w:szCs w:val="11"/>
          <w:color w:val="auto"/>
        </w:rPr>
      </w:pPr>
    </w:p>
    <w:p>
      <w:pPr>
        <w:jc w:val="both"/>
        <w:ind w:right="4759" w:firstLine="343"/>
        <w:spacing w:after="0" w:line="266" w:lineRule="auto"/>
        <w:tabs>
          <w:tab w:leader="none" w:pos="562" w:val="left"/>
        </w:tabs>
        <w:numPr>
          <w:ilvl w:val="0"/>
          <w:numId w:val="1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are responsible for establishing and maintaining disclosure controls and procedures (as defined in Exchange Act Rules 13a-15(e) and 15d-15(e)) for the registrant and have:</w:t>
      </w:r>
    </w:p>
    <w:p>
      <w:pPr>
        <w:spacing w:after="0" w:line="126" w:lineRule="exact"/>
        <w:rPr>
          <w:rFonts w:ascii="Courier New" w:cs="Courier New" w:eastAsia="Courier New" w:hAnsi="Courier New"/>
          <w:sz w:val="11"/>
          <w:szCs w:val="11"/>
          <w:color w:val="auto"/>
        </w:rPr>
      </w:pPr>
    </w:p>
    <w:p>
      <w:pPr>
        <w:ind w:left="340" w:right="4619" w:firstLine="355"/>
        <w:spacing w:after="0" w:line="263" w:lineRule="auto"/>
        <w:tabs>
          <w:tab w:leader="none" w:pos="972" w:val="left"/>
        </w:tabs>
        <w:numPr>
          <w:ilvl w:val="1"/>
          <w:numId w:val="1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this entity , particularly during the period in which this report is being prepared;</w:t>
      </w:r>
    </w:p>
    <w:p>
      <w:pPr>
        <w:spacing w:after="0" w:line="127" w:lineRule="exact"/>
        <w:rPr>
          <w:rFonts w:ascii="Courier New" w:cs="Courier New" w:eastAsia="Courier New" w:hAnsi="Courier New"/>
          <w:sz w:val="11"/>
          <w:szCs w:val="11"/>
          <w:color w:val="auto"/>
        </w:rPr>
      </w:pPr>
    </w:p>
    <w:p>
      <w:pPr>
        <w:ind w:left="340" w:right="4699" w:firstLine="355"/>
        <w:spacing w:after="0" w:line="235" w:lineRule="auto"/>
        <w:tabs>
          <w:tab w:leader="none" w:pos="972" w:val="left"/>
        </w:tabs>
        <w:numPr>
          <w:ilvl w:val="1"/>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[Paragraph omitted in accordance with SEC transition instructions contained in SEC Release 34-47986];</w:t>
      </w:r>
    </w:p>
    <w:p>
      <w:pPr>
        <w:spacing w:after="0" w:line="139" w:lineRule="exact"/>
        <w:rPr>
          <w:rFonts w:ascii="Courier New" w:cs="Courier New" w:eastAsia="Courier New" w:hAnsi="Courier New"/>
          <w:sz w:val="12"/>
          <w:szCs w:val="12"/>
          <w:color w:val="auto"/>
        </w:rPr>
      </w:pPr>
    </w:p>
    <w:p>
      <w:pPr>
        <w:ind w:left="340" w:right="4699" w:firstLine="355"/>
        <w:spacing w:after="0" w:line="264" w:lineRule="auto"/>
        <w:tabs>
          <w:tab w:leader="none" w:pos="972" w:val="left"/>
        </w:tabs>
        <w:numPr>
          <w:ilvl w:val="1"/>
          <w:numId w:val="1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Courier New" w:cs="Courier New" w:eastAsia="Courier New" w:hAnsi="Courier New"/>
          <w:sz w:val="11"/>
          <w:szCs w:val="11"/>
          <w:color w:val="auto"/>
        </w:rPr>
      </w:pPr>
    </w:p>
    <w:p>
      <w:pPr>
        <w:ind w:left="340" w:right="4619" w:firstLine="355"/>
        <w:spacing w:after="0" w:line="237" w:lineRule="auto"/>
        <w:tabs>
          <w:tab w:leader="none" w:pos="972" w:val="left"/>
        </w:tabs>
        <w:numPr>
          <w:ilvl w:val="1"/>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39" w:lineRule="exact"/>
        <w:rPr>
          <w:rFonts w:ascii="Courier New" w:cs="Courier New" w:eastAsia="Courier New" w:hAnsi="Courier New"/>
          <w:sz w:val="12"/>
          <w:szCs w:val="12"/>
          <w:color w:val="auto"/>
        </w:rPr>
      </w:pPr>
    </w:p>
    <w:p>
      <w:pPr>
        <w:ind w:right="4619" w:firstLine="343"/>
        <w:spacing w:after="0" w:line="264" w:lineRule="auto"/>
        <w:tabs>
          <w:tab w:leader="none" w:pos="562" w:val="left"/>
        </w:tabs>
        <w:numPr>
          <w:ilvl w:val="0"/>
          <w:numId w:val="1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7" w:lineRule="exact"/>
        <w:rPr>
          <w:rFonts w:ascii="Courier New" w:cs="Courier New" w:eastAsia="Courier New" w:hAnsi="Courier New"/>
          <w:sz w:val="11"/>
          <w:szCs w:val="11"/>
          <w:color w:val="auto"/>
        </w:rPr>
      </w:pPr>
    </w:p>
    <w:p>
      <w:pPr>
        <w:ind w:left="340" w:right="4619" w:firstLine="355"/>
        <w:spacing w:after="0" w:line="236" w:lineRule="auto"/>
        <w:tabs>
          <w:tab w:leader="none" w:pos="972" w:val="left"/>
        </w:tabs>
        <w:numPr>
          <w:ilvl w:val="1"/>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Courier New" w:cs="Courier New" w:eastAsia="Courier New" w:hAnsi="Courier New"/>
          <w:sz w:val="12"/>
          <w:szCs w:val="12"/>
          <w:color w:val="auto"/>
        </w:rPr>
      </w:pPr>
    </w:p>
    <w:p>
      <w:pPr>
        <w:jc w:val="both"/>
        <w:ind w:left="340" w:right="4839" w:firstLine="355"/>
        <w:spacing w:after="0" w:line="236" w:lineRule="auto"/>
        <w:tabs>
          <w:tab w:leader="none" w:pos="972" w:val="left"/>
        </w:tabs>
        <w:numPr>
          <w:ilvl w:val="1"/>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June 25, 2007</w:t>
      </w:r>
    </w:p>
    <w:p>
      <w:pPr>
        <w:spacing w:after="0" w:line="134" w:lineRule="exact"/>
        <w:rPr>
          <w:sz w:val="20"/>
          <w:szCs w:val="20"/>
          <w:color w:val="auto"/>
        </w:rPr>
      </w:pPr>
    </w:p>
    <w:p>
      <w:pPr>
        <w:ind w:left="3500"/>
        <w:spacing w:after="0"/>
        <w:rPr>
          <w:sz w:val="20"/>
          <w:szCs w:val="20"/>
          <w:color w:val="auto"/>
        </w:rPr>
      </w:pPr>
      <w:r>
        <w:rPr>
          <w:rFonts w:ascii="Courier New" w:cs="Courier New" w:eastAsia="Courier New" w:hAnsi="Courier New"/>
          <w:sz w:val="12"/>
          <w:szCs w:val="12"/>
          <w:color w:val="auto"/>
        </w:rPr>
        <w:t>/s/ Oren Shirazi</w:t>
      </w:r>
    </w:p>
    <w:p>
      <w:pPr>
        <w:ind w:left="3500"/>
        <w:spacing w:after="0"/>
        <w:rPr>
          <w:sz w:val="20"/>
          <w:szCs w:val="20"/>
          <w:color w:val="auto"/>
        </w:rPr>
      </w:pPr>
      <w:r>
        <w:rPr>
          <w:rFonts w:ascii="Courier New" w:cs="Courier New" w:eastAsia="Courier New" w:hAnsi="Courier New"/>
          <w:sz w:val="12"/>
          <w:szCs w:val="12"/>
          <w:color w:val="auto"/>
        </w:rPr>
        <w:t>----------------</w:t>
      </w:r>
    </w:p>
    <w:p>
      <w:pPr>
        <w:ind w:left="3500"/>
        <w:spacing w:after="0" w:line="237" w:lineRule="auto"/>
        <w:rPr>
          <w:sz w:val="20"/>
          <w:szCs w:val="20"/>
          <w:color w:val="auto"/>
        </w:rPr>
      </w:pPr>
      <w:r>
        <w:rPr>
          <w:rFonts w:ascii="Courier New" w:cs="Courier New" w:eastAsia="Courier New" w:hAnsi="Courier New"/>
          <w:sz w:val="12"/>
          <w:szCs w:val="12"/>
          <w:color w:val="auto"/>
        </w:rPr>
        <w:t>Oren Shirazi</w:t>
      </w:r>
    </w:p>
    <w:p>
      <w:pPr>
        <w:spacing w:after="0" w:line="4" w:lineRule="exact"/>
        <w:rPr>
          <w:sz w:val="20"/>
          <w:szCs w:val="20"/>
          <w:color w:val="auto"/>
        </w:rPr>
      </w:pPr>
    </w:p>
    <w:p>
      <w:pPr>
        <w:ind w:left="3500"/>
        <w:spacing w:after="0"/>
        <w:rPr>
          <w:sz w:val="20"/>
          <w:szCs w:val="20"/>
          <w:color w:val="auto"/>
        </w:rPr>
      </w:pPr>
      <w:r>
        <w:rPr>
          <w:rFonts w:ascii="Courier New" w:cs="Courier New" w:eastAsia="Courier New" w:hAnsi="Courier New"/>
          <w:sz w:val="11"/>
          <w:szCs w:val="11"/>
          <w:color w:val="auto"/>
        </w:rPr>
        <w:t>Acting Chief Financial Officer</w:t>
      </w:r>
    </w:p>
    <w:p>
      <w:pPr>
        <w:spacing w:after="0" w:line="6" w:lineRule="exact"/>
        <w:rPr>
          <w:sz w:val="20"/>
          <w:szCs w:val="20"/>
          <w:color w:val="auto"/>
        </w:rPr>
      </w:pPr>
    </w:p>
    <w:p>
      <w:pPr>
        <w:ind w:left="350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411" w:right="1440" w:bottom="1440" w:gutter="0" w:footer="0" w:header="0"/>
        </w:sectPr>
      </w:pPr>
    </w:p>
    <w:bookmarkStart w:id="101" w:name="page102"/>
    <w:bookmarkEnd w:id="101"/>
    <w:p>
      <w:pPr>
        <w:jc w:val="center"/>
        <w:ind w:right="-140"/>
        <w:spacing w:after="0"/>
        <w:rPr>
          <w:sz w:val="20"/>
          <w:szCs w:val="20"/>
          <w:color w:val="auto"/>
        </w:rPr>
      </w:pPr>
      <w:r>
        <w:rPr>
          <w:rFonts w:ascii="Courier New" w:cs="Courier New" w:eastAsia="Courier New" w:hAnsi="Courier New"/>
          <w:sz w:val="11"/>
          <w:szCs w:val="11"/>
          <w:color w:val="auto"/>
        </w:rPr>
        <w:t>EXHIBIT 13.1</w:t>
      </w:r>
    </w:p>
    <w:p>
      <w:pPr>
        <w:spacing w:after="0" w:line="14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CERTIFICATION PURSUANT TO</w:t>
      </w:r>
    </w:p>
    <w:p>
      <w:pPr>
        <w:jc w:val="center"/>
        <w:ind w:right="4559"/>
        <w:spacing w:after="0"/>
        <w:rPr>
          <w:sz w:val="20"/>
          <w:szCs w:val="20"/>
          <w:color w:val="auto"/>
        </w:rPr>
      </w:pPr>
      <w:r>
        <w:rPr>
          <w:rFonts w:ascii="Courier New" w:cs="Courier New" w:eastAsia="Courier New" w:hAnsi="Courier New"/>
          <w:sz w:val="12"/>
          <w:szCs w:val="12"/>
          <w:color w:val="auto"/>
        </w:rPr>
        <w:t>18 US C SECTION 1350,</w:t>
      </w:r>
    </w:p>
    <w:p>
      <w:pPr>
        <w:jc w:val="center"/>
        <w:ind w:right="4619"/>
        <w:spacing w:after="0" w:line="237" w:lineRule="auto"/>
        <w:rPr>
          <w:sz w:val="20"/>
          <w:szCs w:val="20"/>
          <w:color w:val="auto"/>
        </w:rPr>
      </w:pPr>
      <w:r>
        <w:rPr>
          <w:rFonts w:ascii="Courier New" w:cs="Courier New" w:eastAsia="Courier New" w:hAnsi="Courier New"/>
          <w:sz w:val="12"/>
          <w:szCs w:val="12"/>
          <w:color w:val="auto"/>
        </w:rPr>
        <w:t>AS ADOPTED PURSUANT TO</w:t>
      </w:r>
    </w:p>
    <w:p>
      <w:pPr>
        <w:jc w:val="center"/>
        <w:ind w:right="4559"/>
        <w:spacing w:after="0"/>
        <w:rPr>
          <w:sz w:val="20"/>
          <w:szCs w:val="20"/>
          <w:color w:val="auto"/>
        </w:rPr>
      </w:pPr>
      <w:r>
        <w:rPr>
          <w:rFonts w:ascii="Courier New" w:cs="Courier New" w:eastAsia="Courier New" w:hAnsi="Courier New"/>
          <w:sz w:val="12"/>
          <w:szCs w:val="12"/>
          <w:color w:val="auto"/>
        </w:rPr>
        <w:t>SECTION 906 OF THE SARBANES-OXLEY ACT OF 2002</w:t>
      </w:r>
    </w:p>
    <w:p>
      <w:pPr>
        <w:spacing w:after="0" w:line="138" w:lineRule="exact"/>
        <w:rPr>
          <w:sz w:val="20"/>
          <w:szCs w:val="20"/>
          <w:color w:val="auto"/>
        </w:rPr>
      </w:pPr>
    </w:p>
    <w:p>
      <w:pPr>
        <w:ind w:right="4839" w:firstLine="351"/>
        <w:spacing w:after="0" w:line="262" w:lineRule="auto"/>
        <w:rPr>
          <w:sz w:val="20"/>
          <w:szCs w:val="20"/>
          <w:color w:val="auto"/>
        </w:rPr>
      </w:pPr>
      <w:r>
        <w:rPr>
          <w:rFonts w:ascii="Courier New" w:cs="Courier New" w:eastAsia="Courier New" w:hAnsi="Courier New"/>
          <w:sz w:val="11"/>
          <w:szCs w:val="11"/>
          <w:color w:val="auto"/>
        </w:rPr>
        <w:t>In connection with the Annual Report of Tower Semiconductor Ltd. (the "Registrant") on Form 20-F for the year ended December 31, 2006 as filed with the Securities and Exchange Commission on the date hereof (the "Report"), I, Russell C. Ellwanger, Chief Executive Officer of the Registrant, certify, pursuant to 18 US C. section 1350, as adopted pursuant to section 906 of the Sarbanes-Oxley Act of 2002, that to my knowledge:</w:t>
      </w:r>
    </w:p>
    <w:p>
      <w:pPr>
        <w:spacing w:after="0" w:line="130" w:lineRule="exact"/>
        <w:rPr>
          <w:sz w:val="20"/>
          <w:szCs w:val="20"/>
          <w:color w:val="auto"/>
        </w:rPr>
      </w:pPr>
    </w:p>
    <w:p>
      <w:pPr>
        <w:ind w:left="700" w:right="4839" w:hanging="357"/>
        <w:spacing w:after="0" w:line="235" w:lineRule="auto"/>
        <w:tabs>
          <w:tab w:leader="none" w:pos="700" w:val="left"/>
        </w:tabs>
        <w:numPr>
          <w:ilvl w:val="0"/>
          <w:numId w:val="1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Report fully complies with the requirements of Section 13(a) of the Securities Exchange Act of 1934; and section 13 (a).</w:t>
      </w:r>
    </w:p>
    <w:p>
      <w:pPr>
        <w:spacing w:after="0" w:line="139" w:lineRule="exact"/>
        <w:rPr>
          <w:rFonts w:ascii="Courier New" w:cs="Courier New" w:eastAsia="Courier New" w:hAnsi="Courier New"/>
          <w:sz w:val="12"/>
          <w:szCs w:val="12"/>
          <w:color w:val="auto"/>
        </w:rPr>
      </w:pPr>
    </w:p>
    <w:p>
      <w:pPr>
        <w:ind w:left="700" w:right="4759" w:hanging="357"/>
        <w:spacing w:after="0" w:line="236" w:lineRule="auto"/>
        <w:tabs>
          <w:tab w:leader="none" w:pos="700" w:val="left"/>
        </w:tabs>
        <w:numPr>
          <w:ilvl w:val="0"/>
          <w:numId w:val="1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information contained in the Report fairly presents, in all material respects, the financial condition and results of operations of the Registrant.</w:t>
      </w:r>
    </w:p>
    <w:p>
      <w:pPr>
        <w:spacing w:after="0" w:line="135" w:lineRule="exact"/>
        <w:rPr>
          <w:sz w:val="20"/>
          <w:szCs w:val="20"/>
          <w:color w:val="auto"/>
        </w:rPr>
      </w:pPr>
    </w:p>
    <w:p>
      <w:pPr>
        <w:ind w:left="3720"/>
        <w:spacing w:after="0"/>
        <w:rPr>
          <w:sz w:val="20"/>
          <w:szCs w:val="20"/>
          <w:color w:val="auto"/>
        </w:rPr>
      </w:pPr>
      <w:r>
        <w:rPr>
          <w:rFonts w:ascii="Courier New" w:cs="Courier New" w:eastAsia="Courier New" w:hAnsi="Courier New"/>
          <w:sz w:val="12"/>
          <w:szCs w:val="12"/>
          <w:color w:val="auto"/>
        </w:rPr>
        <w:t>/s/ Russell C. Ellwanger</w:t>
      </w:r>
    </w:p>
    <w:p>
      <w:pPr>
        <w:ind w:left="3720"/>
        <w:spacing w:after="0"/>
        <w:rPr>
          <w:sz w:val="20"/>
          <w:szCs w:val="20"/>
          <w:color w:val="auto"/>
        </w:rPr>
      </w:pPr>
      <w:r>
        <w:rPr>
          <w:rFonts w:ascii="Courier New" w:cs="Courier New" w:eastAsia="Courier New" w:hAnsi="Courier New"/>
          <w:sz w:val="12"/>
          <w:szCs w:val="12"/>
          <w:color w:val="auto"/>
        </w:rPr>
        <w:t>------------------------</w:t>
      </w:r>
    </w:p>
    <w:p>
      <w:pPr>
        <w:ind w:left="3720"/>
        <w:spacing w:after="0" w:line="237" w:lineRule="auto"/>
        <w:rPr>
          <w:sz w:val="20"/>
          <w:szCs w:val="20"/>
          <w:color w:val="auto"/>
        </w:rPr>
      </w:pPr>
      <w:r>
        <w:rPr>
          <w:rFonts w:ascii="Courier New" w:cs="Courier New" w:eastAsia="Courier New" w:hAnsi="Courier New"/>
          <w:sz w:val="12"/>
          <w:szCs w:val="12"/>
          <w:color w:val="auto"/>
        </w:rPr>
        <w:t>Russell C. Ellwanger</w:t>
      </w:r>
    </w:p>
    <w:p>
      <w:pPr>
        <w:ind w:left="3720"/>
        <w:spacing w:after="0"/>
        <w:rPr>
          <w:sz w:val="20"/>
          <w:szCs w:val="20"/>
          <w:color w:val="auto"/>
        </w:rPr>
      </w:pPr>
      <w:r>
        <w:rPr>
          <w:rFonts w:ascii="Courier New" w:cs="Courier New" w:eastAsia="Courier New" w:hAnsi="Courier New"/>
          <w:sz w:val="12"/>
          <w:szCs w:val="12"/>
          <w:color w:val="auto"/>
        </w:rPr>
        <w:t>Chief Executive Officer</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June 25, 2007</w:t>
      </w:r>
    </w:p>
    <w:p>
      <w:pPr>
        <w:spacing w:after="0" w:line="139" w:lineRule="exact"/>
        <w:rPr>
          <w:sz w:val="20"/>
          <w:szCs w:val="20"/>
          <w:color w:val="auto"/>
        </w:rPr>
      </w:pPr>
    </w:p>
    <w:p>
      <w:pPr>
        <w:ind w:right="4759" w:firstLine="351"/>
        <w:spacing w:after="0" w:line="266" w:lineRule="auto"/>
        <w:rPr>
          <w:sz w:val="20"/>
          <w:szCs w:val="20"/>
          <w:color w:val="auto"/>
        </w:rPr>
      </w:pPr>
      <w:r>
        <w:rPr>
          <w:rFonts w:ascii="Courier New" w:cs="Courier New" w:eastAsia="Courier New" w:hAnsi="Courier New"/>
          <w:sz w:val="11"/>
          <w:szCs w:val="11"/>
          <w:color w:val="auto"/>
        </w:rPr>
        <w:t>A signed original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0239"/>
          </w:cols>
          <w:pgMar w:left="220" w:top="411" w:right="1440" w:bottom="1440" w:gutter="0" w:footer="0" w:header="0"/>
        </w:sectPr>
      </w:pPr>
    </w:p>
    <w:bookmarkStart w:id="102" w:name="page103"/>
    <w:bookmarkEnd w:id="102"/>
    <w:p>
      <w:pPr>
        <w:jc w:val="center"/>
        <w:ind w:right="-140"/>
        <w:spacing w:after="0"/>
        <w:rPr>
          <w:sz w:val="20"/>
          <w:szCs w:val="20"/>
          <w:color w:val="auto"/>
        </w:rPr>
      </w:pPr>
      <w:r>
        <w:rPr>
          <w:rFonts w:ascii="Courier New" w:cs="Courier New" w:eastAsia="Courier New" w:hAnsi="Courier New"/>
          <w:sz w:val="11"/>
          <w:szCs w:val="11"/>
          <w:color w:val="auto"/>
        </w:rPr>
        <w:t>EXHIBIT 13.2</w:t>
      </w:r>
    </w:p>
    <w:p>
      <w:pPr>
        <w:spacing w:after="0" w:line="14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CERTIFICATION PURSUANT TO</w:t>
      </w:r>
    </w:p>
    <w:p>
      <w:pPr>
        <w:jc w:val="center"/>
        <w:ind w:right="4559"/>
        <w:spacing w:after="0"/>
        <w:rPr>
          <w:sz w:val="20"/>
          <w:szCs w:val="20"/>
          <w:color w:val="auto"/>
        </w:rPr>
      </w:pPr>
      <w:r>
        <w:rPr>
          <w:rFonts w:ascii="Courier New" w:cs="Courier New" w:eastAsia="Courier New" w:hAnsi="Courier New"/>
          <w:sz w:val="12"/>
          <w:szCs w:val="12"/>
          <w:color w:val="auto"/>
        </w:rPr>
        <w:t>18 US C SECTION 1350,</w:t>
      </w:r>
    </w:p>
    <w:p>
      <w:pPr>
        <w:jc w:val="center"/>
        <w:ind w:right="4619"/>
        <w:spacing w:after="0" w:line="237" w:lineRule="auto"/>
        <w:rPr>
          <w:sz w:val="20"/>
          <w:szCs w:val="20"/>
          <w:color w:val="auto"/>
        </w:rPr>
      </w:pPr>
      <w:r>
        <w:rPr>
          <w:rFonts w:ascii="Courier New" w:cs="Courier New" w:eastAsia="Courier New" w:hAnsi="Courier New"/>
          <w:sz w:val="12"/>
          <w:szCs w:val="12"/>
          <w:color w:val="auto"/>
        </w:rPr>
        <w:t>AS ADOPTED PURSUANT TO</w:t>
      </w:r>
    </w:p>
    <w:p>
      <w:pPr>
        <w:jc w:val="center"/>
        <w:ind w:right="4559"/>
        <w:spacing w:after="0"/>
        <w:rPr>
          <w:sz w:val="20"/>
          <w:szCs w:val="20"/>
          <w:color w:val="auto"/>
        </w:rPr>
      </w:pPr>
      <w:r>
        <w:rPr>
          <w:rFonts w:ascii="Courier New" w:cs="Courier New" w:eastAsia="Courier New" w:hAnsi="Courier New"/>
          <w:sz w:val="12"/>
          <w:szCs w:val="12"/>
          <w:color w:val="auto"/>
        </w:rPr>
        <w:t>SECTION 906 OF THE SARBANES-OXLEY ACT OF 2002</w:t>
      </w:r>
    </w:p>
    <w:p>
      <w:pPr>
        <w:spacing w:after="0" w:line="138" w:lineRule="exact"/>
        <w:rPr>
          <w:sz w:val="20"/>
          <w:szCs w:val="20"/>
          <w:color w:val="auto"/>
        </w:rPr>
      </w:pPr>
    </w:p>
    <w:p>
      <w:pPr>
        <w:ind w:right="4839" w:firstLine="351"/>
        <w:spacing w:after="0" w:line="262" w:lineRule="auto"/>
        <w:rPr>
          <w:sz w:val="20"/>
          <w:szCs w:val="20"/>
          <w:color w:val="auto"/>
        </w:rPr>
      </w:pPr>
      <w:r>
        <w:rPr>
          <w:rFonts w:ascii="Courier New" w:cs="Courier New" w:eastAsia="Courier New" w:hAnsi="Courier New"/>
          <w:sz w:val="11"/>
          <w:szCs w:val="11"/>
          <w:color w:val="auto"/>
        </w:rPr>
        <w:t>In connection with the Annual Report of Tower Semiconductor Ltd. (the "Registrant") on Form 20-F for the year ended December 31, 2006 as filed with the Securities and Exchange Commission on the date hereof (the "Report"), I, Oren Shirazi, Acting Chief Financial Officer of the Registrant, certify, pursuant to 18 US C. section 1350, as adopted pursuant to section 906 of the Sarbanes-Oxley Act of 2002, that to my knowledge:</w:t>
      </w:r>
    </w:p>
    <w:p>
      <w:pPr>
        <w:spacing w:after="0" w:line="130" w:lineRule="exact"/>
        <w:rPr>
          <w:sz w:val="20"/>
          <w:szCs w:val="20"/>
          <w:color w:val="auto"/>
        </w:rPr>
      </w:pPr>
    </w:p>
    <w:p>
      <w:pPr>
        <w:ind w:left="700" w:right="4839" w:hanging="357"/>
        <w:spacing w:after="0" w:line="235" w:lineRule="auto"/>
        <w:tabs>
          <w:tab w:leader="none" w:pos="700" w:val="left"/>
        </w:tabs>
        <w:numPr>
          <w:ilvl w:val="0"/>
          <w:numId w:val="1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Report fully complies with the requirements of Section 13(a) of the Securities Exchange Act of 1934; and</w:t>
      </w:r>
    </w:p>
    <w:p>
      <w:pPr>
        <w:spacing w:after="0" w:line="139" w:lineRule="exact"/>
        <w:rPr>
          <w:rFonts w:ascii="Courier New" w:cs="Courier New" w:eastAsia="Courier New" w:hAnsi="Courier New"/>
          <w:sz w:val="12"/>
          <w:szCs w:val="12"/>
          <w:color w:val="auto"/>
        </w:rPr>
      </w:pPr>
    </w:p>
    <w:p>
      <w:pPr>
        <w:ind w:left="700" w:right="4759" w:hanging="357"/>
        <w:spacing w:after="0" w:line="236" w:lineRule="auto"/>
        <w:tabs>
          <w:tab w:leader="none" w:pos="700" w:val="left"/>
        </w:tabs>
        <w:numPr>
          <w:ilvl w:val="0"/>
          <w:numId w:val="1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information contained in the Report fairly presents, in all material respects, the financial condition and results of operations of the Registrant.</w:t>
      </w:r>
    </w:p>
    <w:p>
      <w:pPr>
        <w:spacing w:after="0" w:line="135" w:lineRule="exact"/>
        <w:rPr>
          <w:sz w:val="20"/>
          <w:szCs w:val="20"/>
          <w:color w:val="auto"/>
        </w:rPr>
      </w:pPr>
    </w:p>
    <w:p>
      <w:pPr>
        <w:ind w:left="3500"/>
        <w:spacing w:after="0"/>
        <w:rPr>
          <w:sz w:val="20"/>
          <w:szCs w:val="20"/>
          <w:color w:val="auto"/>
        </w:rPr>
      </w:pPr>
      <w:r>
        <w:rPr>
          <w:rFonts w:ascii="Courier New" w:cs="Courier New" w:eastAsia="Courier New" w:hAnsi="Courier New"/>
          <w:sz w:val="12"/>
          <w:szCs w:val="12"/>
          <w:color w:val="auto"/>
        </w:rPr>
        <w:t>/s/ Oren Shirazi</w:t>
      </w:r>
    </w:p>
    <w:p>
      <w:pPr>
        <w:ind w:left="3500"/>
        <w:spacing w:after="0"/>
        <w:rPr>
          <w:sz w:val="20"/>
          <w:szCs w:val="20"/>
          <w:color w:val="auto"/>
        </w:rPr>
      </w:pPr>
      <w:r>
        <w:rPr>
          <w:rFonts w:ascii="Courier New" w:cs="Courier New" w:eastAsia="Courier New" w:hAnsi="Courier New"/>
          <w:sz w:val="12"/>
          <w:szCs w:val="12"/>
          <w:color w:val="auto"/>
        </w:rPr>
        <w:t>----------------</w:t>
      </w:r>
    </w:p>
    <w:p>
      <w:pPr>
        <w:ind w:left="3500"/>
        <w:spacing w:after="0" w:line="237" w:lineRule="auto"/>
        <w:rPr>
          <w:sz w:val="20"/>
          <w:szCs w:val="20"/>
          <w:color w:val="auto"/>
        </w:rPr>
      </w:pPr>
      <w:r>
        <w:rPr>
          <w:rFonts w:ascii="Courier New" w:cs="Courier New" w:eastAsia="Courier New" w:hAnsi="Courier New"/>
          <w:sz w:val="12"/>
          <w:szCs w:val="12"/>
          <w:color w:val="auto"/>
        </w:rPr>
        <w:t>Oren Shirazi</w:t>
      </w:r>
    </w:p>
    <w:p>
      <w:pPr>
        <w:spacing w:after="0" w:line="4" w:lineRule="exact"/>
        <w:rPr>
          <w:sz w:val="20"/>
          <w:szCs w:val="20"/>
          <w:color w:val="auto"/>
        </w:rPr>
      </w:pPr>
    </w:p>
    <w:p>
      <w:pPr>
        <w:ind w:left="3500"/>
        <w:spacing w:after="0"/>
        <w:rPr>
          <w:sz w:val="20"/>
          <w:szCs w:val="20"/>
          <w:color w:val="auto"/>
        </w:rPr>
      </w:pPr>
      <w:r>
        <w:rPr>
          <w:rFonts w:ascii="Courier New" w:cs="Courier New" w:eastAsia="Courier New" w:hAnsi="Courier New"/>
          <w:sz w:val="11"/>
          <w:szCs w:val="11"/>
          <w:color w:val="auto"/>
        </w:rPr>
        <w:t>Acting Chief Financial Officer</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June 25, 2007</w:t>
      </w:r>
    </w:p>
    <w:p>
      <w:pPr>
        <w:spacing w:after="0" w:line="139" w:lineRule="exact"/>
        <w:rPr>
          <w:sz w:val="20"/>
          <w:szCs w:val="20"/>
          <w:color w:val="auto"/>
        </w:rPr>
      </w:pPr>
    </w:p>
    <w:p>
      <w:pPr>
        <w:ind w:right="4759" w:firstLine="351"/>
        <w:spacing w:after="0" w:line="266" w:lineRule="auto"/>
        <w:rPr>
          <w:sz w:val="20"/>
          <w:szCs w:val="20"/>
          <w:color w:val="auto"/>
        </w:rPr>
      </w:pPr>
      <w:r>
        <w:rPr>
          <w:rFonts w:ascii="Courier New" w:cs="Courier New" w:eastAsia="Courier New" w:hAnsi="Courier New"/>
          <w:sz w:val="11"/>
          <w:szCs w:val="11"/>
          <w:color w:val="auto"/>
        </w:rPr>
        <w:t>A signed original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0239"/>
          </w:cols>
          <w:pgMar w:left="220" w:top="411" w:right="1440" w:bottom="1440" w:gutter="0" w:footer="0" w:header="0"/>
        </w:sectPr>
      </w:pPr>
    </w:p>
    <w:bookmarkStart w:id="103" w:name="page104"/>
    <w:bookmarkEnd w:id="103"/>
    <w:p>
      <w:pPr>
        <w:jc w:val="center"/>
        <w:ind w:right="-140"/>
        <w:spacing w:after="0"/>
        <w:rPr>
          <w:sz w:val="20"/>
          <w:szCs w:val="20"/>
          <w:color w:val="auto"/>
        </w:rPr>
      </w:pPr>
      <w:r>
        <w:rPr>
          <w:rFonts w:ascii="Courier New" w:cs="Courier New" w:eastAsia="Courier New" w:hAnsi="Courier New"/>
          <w:sz w:val="11"/>
          <w:szCs w:val="11"/>
          <w:color w:val="auto"/>
        </w:rPr>
        <w:t>EXHIBIT 14.1</w:t>
      </w:r>
    </w:p>
    <w:p>
      <w:pPr>
        <w:spacing w:after="0" w:line="141" w:lineRule="exact"/>
        <w:rPr>
          <w:sz w:val="20"/>
          <w:szCs w:val="20"/>
          <w:color w:val="auto"/>
        </w:rPr>
      </w:pPr>
    </w:p>
    <w:p>
      <w:pPr>
        <w:ind w:left="840"/>
        <w:spacing w:after="0"/>
        <w:rPr>
          <w:sz w:val="20"/>
          <w:szCs w:val="20"/>
          <w:color w:val="auto"/>
        </w:rPr>
      </w:pPr>
      <w:r>
        <w:rPr>
          <w:rFonts w:ascii="Courier New" w:cs="Courier New" w:eastAsia="Courier New" w:hAnsi="Courier New"/>
          <w:sz w:val="12"/>
          <w:szCs w:val="12"/>
          <w:color w:val="auto"/>
        </w:rPr>
        <w:t>CONSENT OF INDEPENDENT REGISTERED PUBLIC ACCOUNTING FIRM</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consent to the incorporation by reference in Registration Statements Nos. 333-85090, 333-108896, 333-110486 333-131315, 333-140174 and 333-141640 on Form F-3, and Nos. 33-80947, 333-06482, 333-11720, 333-83204, 333-107943 333-117565, 333-138837 on Form S-8, of our report dated February 7, 2007, relating to the consolidated financial statements of Tower Semiconductor Ltd., appearing in this Report on Form 20-F of Tower Semiconductor Ltd.</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Brightman Almagor &amp; Co.</w:t>
      </w:r>
    </w:p>
    <w:p>
      <w:pPr>
        <w:spacing w:after="0"/>
        <w:rPr>
          <w:sz w:val="20"/>
          <w:szCs w:val="20"/>
          <w:color w:val="auto"/>
        </w:rPr>
      </w:pPr>
      <w:r>
        <w:rPr>
          <w:rFonts w:ascii="Courier New" w:cs="Courier New" w:eastAsia="Courier New" w:hAnsi="Courier New"/>
          <w:sz w:val="12"/>
          <w:szCs w:val="12"/>
          <w:color w:val="auto"/>
        </w:rPr>
        <w:t>Certified Public Accountants</w:t>
      </w:r>
    </w:p>
    <w:p>
      <w:pPr>
        <w:spacing w:after="0" w:line="237" w:lineRule="auto"/>
        <w:rPr>
          <w:sz w:val="20"/>
          <w:szCs w:val="20"/>
          <w:color w:val="auto"/>
        </w:rPr>
      </w:pPr>
      <w:r>
        <w:rPr>
          <w:rFonts w:ascii="Courier New" w:cs="Courier New" w:eastAsia="Courier New" w:hAnsi="Courier New"/>
          <w:sz w:val="12"/>
          <w:szCs w:val="12"/>
          <w:color w:val="auto"/>
        </w:rPr>
        <w:t>A Member Firm of Deloitte Touche Tohmatsu</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rPr>
          <w:sz w:val="20"/>
          <w:szCs w:val="20"/>
          <w:color w:val="auto"/>
        </w:rPr>
      </w:pPr>
      <w:r>
        <w:rPr>
          <w:rFonts w:ascii="Courier New" w:cs="Courier New" w:eastAsia="Courier New" w:hAnsi="Courier New"/>
          <w:sz w:val="12"/>
          <w:szCs w:val="12"/>
          <w:color w:val="auto"/>
        </w:rPr>
        <w:t>June 25, 2007</w:t>
      </w:r>
    </w:p>
    <w:sectPr>
      <w:pgSz w:w="11900" w:h="16838" w:orient="portrait"/>
      <w:cols w:equalWidth="0" w:num="1">
        <w:col w:w="10239"/>
      </w:cols>
      <w:pgMar w:left="220" w:top="4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lvl w:ilvl="1">
      <w:lvlJc w:val="left"/>
      <w:lvlText w:val="-"/>
      <w:numFmt w:val="bullet"/>
      <w:start w:val="1"/>
    </w:lvl>
  </w:abstractNum>
  <w:abstractNum w:abstractNumId="1">
    <w:nsid w:val="7055A5F5"/>
    <w:multiLevelType w:val="hybridMultilevel"/>
    <w:lvl w:ilvl="0">
      <w:lvlJc w:val="left"/>
      <w:lvlText w:val="o"/>
      <w:numFmt w:val="bullet"/>
      <w:start w:val="1"/>
    </w:lvl>
    <w:lvl w:ilvl="1">
      <w:lvlJc w:val="left"/>
      <w:lvlText w:val="-"/>
      <w:numFmt w:val="bullet"/>
      <w:start w:val="1"/>
    </w:lvl>
  </w:abstractNum>
  <w:abstractNum w:abstractNumId="2">
    <w:nsid w:val="5FB8370B"/>
    <w:multiLevelType w:val="hybridMultilevel"/>
    <w:lvl w:ilvl="0">
      <w:lvlJc w:val="left"/>
      <w:lvlText w:val="o"/>
      <w:numFmt w:val="bullet"/>
      <w:start w:val="1"/>
    </w:lvl>
  </w:abstractNum>
  <w:abstractNum w:abstractNumId="3">
    <w:nsid w:val="50801EE1"/>
    <w:multiLevelType w:val="hybridMultilevel"/>
    <w:lvl w:ilvl="0">
      <w:lvlJc w:val="left"/>
      <w:lvlText w:val="o"/>
      <w:numFmt w:val="bullet"/>
      <w:start w:val="1"/>
    </w:lvl>
  </w:abstractNum>
  <w:abstractNum w:abstractNumId="4">
    <w:nsid w:val="488AC1A"/>
    <w:multiLevelType w:val="hybridMultilevel"/>
    <w:lvl w:ilvl="0">
      <w:lvlJc w:val="left"/>
      <w:lvlText w:val="o"/>
      <w:numFmt w:val="bullet"/>
      <w:start w:val="1"/>
    </w:lvl>
  </w:abstractNum>
  <w:abstractNum w:abstractNumId="5">
    <w:nsid w:val="5FB8011C"/>
    <w:multiLevelType w:val="hybridMultilevel"/>
    <w:lvl w:ilvl="0">
      <w:lvlJc w:val="left"/>
      <w:lvlText w:val="o"/>
      <w:numFmt w:val="bullet"/>
      <w:start w:val="1"/>
    </w:lvl>
    <w:lvl w:ilvl="1">
      <w:lvlJc w:val="left"/>
      <w:lvlText w:val="-"/>
      <w:numFmt w:val="bullet"/>
      <w:start w:val="1"/>
    </w:lvl>
  </w:abstractNum>
  <w:abstractNum w:abstractNumId="6">
    <w:nsid w:val="6AA78F7F"/>
    <w:multiLevelType w:val="hybridMultilevel"/>
    <w:lvl w:ilvl="0">
      <w:lvlJc w:val="left"/>
      <w:lvlText w:val="o"/>
      <w:numFmt w:val="bullet"/>
      <w:start w:val="1"/>
    </w:lvl>
  </w:abstractNum>
  <w:abstractNum w:abstractNumId="7">
    <w:nsid w:val="7672BD23"/>
    <w:multiLevelType w:val="hybridMultilevel"/>
    <w:lvl w:ilvl="0">
      <w:lvlJc w:val="left"/>
      <w:lvlText w:val="o"/>
      <w:numFmt w:val="bullet"/>
      <w:start w:val="1"/>
    </w:lvl>
    <w:lvl w:ilvl="1">
      <w:lvlJc w:val="left"/>
      <w:lvlText w:val="-"/>
      <w:numFmt w:val="bullet"/>
      <w:start w:val="1"/>
    </w:lvl>
  </w:abstractNum>
  <w:abstractNum w:abstractNumId="8">
    <w:nsid w:val="6FC75AF8"/>
    <w:multiLevelType w:val="hybridMultilevel"/>
    <w:lvl w:ilvl="0">
      <w:lvlJc w:val="left"/>
      <w:lvlText w:val="%1."/>
      <w:numFmt w:val="upperLetter"/>
      <w:start w:val="1"/>
    </w:lvl>
  </w:abstractNum>
  <w:abstractNum w:abstractNumId="9">
    <w:nsid w:val="6A5F7029"/>
    <w:multiLevelType w:val="hybridMultilevel"/>
    <w:lvl w:ilvl="0">
      <w:lvlJc w:val="left"/>
      <w:lvlText w:val="%1."/>
      <w:numFmt w:val="upperLetter"/>
      <w:start w:val="2"/>
    </w:lvl>
  </w:abstractNum>
  <w:abstractNum w:abstractNumId="10">
    <w:nsid w:val="7D5E18F8"/>
    <w:multiLevelType w:val="hybridMultilevel"/>
    <w:lvl w:ilvl="0">
      <w:lvlJc w:val="left"/>
      <w:lvlText w:val="o"/>
      <w:numFmt w:val="bullet"/>
      <w:start w:val="1"/>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o"/>
      <w:numFmt w:val="bullet"/>
      <w:start w:val="1"/>
    </w:lvl>
  </w:abstractNum>
  <w:abstractNum w:abstractNumId="13">
    <w:nsid w:val="7DE67713"/>
    <w:multiLevelType w:val="hybridMultilevel"/>
    <w:lvl w:ilvl="0">
      <w:lvlJc w:val="left"/>
      <w:lvlText w:val="%1."/>
      <w:numFmt w:val="upperLetter"/>
      <w:start w:val="3"/>
    </w:lvl>
  </w:abstractNum>
  <w:abstractNum w:abstractNumId="14">
    <w:nsid w:val="555C55B5"/>
    <w:multiLevelType w:val="hybridMultilevel"/>
    <w:lvl w:ilvl="0">
      <w:lvlJc w:val="left"/>
      <w:lvlText w:val="%1."/>
      <w:numFmt w:val="upperLetter"/>
      <w:start w:val="4"/>
    </w:lvl>
  </w:abstractNum>
  <w:abstractNum w:abstractNumId="15">
    <w:nsid w:val="3FA62ACA"/>
    <w:multiLevelType w:val="hybridMultilevel"/>
    <w:lvl w:ilvl="0">
      <w:lvlJc w:val="left"/>
      <w:lvlText w:val="%1."/>
      <w:numFmt w:val="upperLetter"/>
      <w:start w:val="1"/>
    </w:lvl>
  </w:abstractNum>
  <w:abstractNum w:abstractNumId="16">
    <w:nsid w:val="14FCE74E"/>
    <w:multiLevelType w:val="hybridMultilevel"/>
    <w:lvl w:ilvl="0">
      <w:lvlJc w:val="left"/>
      <w:lvlText w:val="o"/>
      <w:numFmt w:val="bullet"/>
      <w:start w:val="1"/>
    </w:lvl>
    <w:lvl w:ilvl="1">
      <w:lvlJc w:val="left"/>
      <w:lvlText w:val="-"/>
      <w:numFmt w:val="bullet"/>
      <w:start w:val="1"/>
    </w:lvl>
  </w:abstractNum>
  <w:abstractNum w:abstractNumId="17">
    <w:nsid w:val="6A3DD3E8"/>
    <w:multiLevelType w:val="hybridMultilevel"/>
    <w:lvl w:ilvl="0">
      <w:lvlJc w:val="left"/>
      <w:lvlText w:val="%1."/>
      <w:numFmt w:val="upperLetter"/>
      <w:start w:val="2"/>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1)"/>
      <w:numFmt w:val="lowerRoman"/>
      <w:start w:val="5"/>
    </w:lvl>
  </w:abstractNum>
  <w:abstractNum w:abstractNumId="20">
    <w:nsid w:val="53299938"/>
    <w:multiLevelType w:val="hybridMultilevel"/>
    <w:lvl w:ilvl="0">
      <w:lvlJc w:val="left"/>
      <w:lvlText w:val="(%1)"/>
      <w:numFmt w:val="lowerRoman"/>
      <w:start w:val="3"/>
    </w:lvl>
  </w:abstractNum>
  <w:abstractNum w:abstractNumId="21">
    <w:nsid w:val="1FBFE8E0"/>
    <w:multiLevelType w:val="hybridMultilevel"/>
    <w:lvl w:ilvl="0">
      <w:lvlJc w:val="left"/>
      <w:lvlText w:val="(%1)"/>
      <w:numFmt w:val="lowerRoman"/>
      <w:start w:val="2"/>
    </w:lvl>
  </w:abstractNum>
  <w:abstractNum w:abstractNumId="22">
    <w:nsid w:val="5092CA79"/>
    <w:multiLevelType w:val="hybridMultilevel"/>
    <w:lvl w:ilvl="0">
      <w:lvlJc w:val="left"/>
      <w:lvlText w:val="%1."/>
      <w:numFmt w:val="upperLetter"/>
      <w:start w:val="3"/>
    </w:lvl>
  </w:abstractNum>
  <w:abstractNum w:abstractNumId="23">
    <w:nsid w:val="1D545C4D"/>
    <w:multiLevelType w:val="hybridMultilevel"/>
    <w:lvl w:ilvl="0">
      <w:lvlJc w:val="left"/>
      <w:lvlText w:val="%1."/>
      <w:numFmt w:val="upperLetter"/>
      <w:start w:val="5"/>
    </w:lvl>
  </w:abstractNum>
  <w:abstractNum w:abstractNumId="24">
    <w:nsid w:val="59ADEA3D"/>
    <w:multiLevelType w:val="hybridMultilevel"/>
    <w:lvl w:ilvl="0">
      <w:lvlJc w:val="left"/>
      <w:lvlText w:val="%1."/>
      <w:numFmt w:val="upperLetter"/>
      <w:start w:val="6"/>
    </w:lvl>
  </w:abstractNum>
  <w:abstractNum w:abstractNumId="25">
    <w:nsid w:val="288F1A34"/>
    <w:multiLevelType w:val="hybridMultilevel"/>
    <w:lvl w:ilvl="0">
      <w:lvlJc w:val="left"/>
      <w:lvlText w:val="(%1)"/>
      <w:numFmt w:val="decimal"/>
      <w:start w:val="1"/>
    </w:lvl>
  </w:abstractNum>
  <w:abstractNum w:abstractNumId="26">
    <w:nsid w:val="2A155DBC"/>
    <w:multiLevelType w:val="hybridMultilevel"/>
    <w:lvl w:ilvl="0">
      <w:lvlJc w:val="left"/>
      <w:lvlText w:val="%1."/>
      <w:numFmt w:val="upperLetter"/>
      <w:start w:val="1"/>
    </w:lvl>
  </w:abstractNum>
  <w:abstractNum w:abstractNumId="27">
    <w:nsid w:val="1D9F6E5F"/>
    <w:multiLevelType w:val="hybridMultilevel"/>
    <w:lvl w:ilvl="0">
      <w:lvlJc w:val="left"/>
      <w:lvlText w:val="%1."/>
      <w:numFmt w:val="upperLetter"/>
      <w:start w:val="2"/>
    </w:lvl>
  </w:abstractNum>
  <w:abstractNum w:abstractNumId="28">
    <w:nsid w:val="97E1B4E"/>
    <w:multiLevelType w:val="hybridMultilevel"/>
    <w:lvl w:ilvl="0">
      <w:lvlJc w:val="left"/>
      <w:lvlText w:val="%1."/>
      <w:numFmt w:val="upperLetter"/>
      <w:start w:val="3"/>
    </w:lvl>
  </w:abstractNum>
  <w:abstractNum w:abstractNumId="29">
    <w:nsid w:val="51088277"/>
    <w:multiLevelType w:val="hybridMultilevel"/>
    <w:lvl w:ilvl="0">
      <w:lvlJc w:val="left"/>
      <w:lvlText w:val="o"/>
      <w:numFmt w:val="bullet"/>
      <w:start w:val="1"/>
    </w:lvl>
  </w:abstractNum>
  <w:abstractNum w:abstractNumId="30">
    <w:nsid w:val="1CA0C5FA"/>
    <w:multiLevelType w:val="hybridMultilevel"/>
    <w:lvl w:ilvl="0">
      <w:lvlJc w:val="left"/>
      <w:lvlText w:val="o"/>
      <w:numFmt w:val="bullet"/>
      <w:start w:val="1"/>
    </w:lvl>
  </w:abstractNum>
  <w:abstractNum w:abstractNumId="31">
    <w:nsid w:val="53584BCB"/>
    <w:multiLevelType w:val="hybridMultilevel"/>
    <w:lvl w:ilvl="0">
      <w:lvlJc w:val="left"/>
      <w:lvlText w:val="o"/>
      <w:numFmt w:val="bullet"/>
      <w:start w:val="1"/>
    </w:lvl>
    <w:lvl w:ilvl="1">
      <w:lvlJc w:val="left"/>
      <w:lvlText w:val="-"/>
      <w:numFmt w:val="bullet"/>
      <w:start w:val="1"/>
    </w:lvl>
  </w:abstractNum>
  <w:abstractNum w:abstractNumId="32">
    <w:nsid w:val="415E286C"/>
    <w:multiLevelType w:val="hybridMultilevel"/>
    <w:lvl w:ilvl="0">
      <w:lvlJc w:val="left"/>
      <w:lvlText w:val="%1."/>
      <w:numFmt w:val="upperLetter"/>
      <w:start w:val="4"/>
    </w:lvl>
  </w:abstractNum>
  <w:abstractNum w:abstractNumId="33">
    <w:nsid w:val="7C58FD05"/>
    <w:multiLevelType w:val="hybridMultilevel"/>
    <w:lvl w:ilvl="0">
      <w:lvlJc w:val="left"/>
      <w:lvlText w:val="(*)"/>
      <w:numFmt w:val="bullet"/>
      <w:start w:val="1"/>
    </w:lvl>
  </w:abstractNum>
  <w:abstractNum w:abstractNumId="34">
    <w:nsid w:val="23D86AAC"/>
    <w:multiLevelType w:val="hybridMultilevel"/>
    <w:lvl w:ilvl="0">
      <w:lvlJc w:val="left"/>
      <w:lvlText w:val="%1."/>
      <w:numFmt w:val="upperLetter"/>
      <w:start w:val="5"/>
    </w:lvl>
  </w:abstractNum>
  <w:abstractNum w:abstractNumId="35">
    <w:nsid w:val="45E6D486"/>
    <w:multiLevelType w:val="hybridMultilevel"/>
    <w:lvl w:ilvl="0">
      <w:lvlJc w:val="left"/>
      <w:lvlText w:val="%1."/>
      <w:numFmt w:val="upperLetter"/>
      <w:start w:val="4"/>
    </w:lvl>
  </w:abstractNum>
  <w:abstractNum w:abstractNumId="36">
    <w:nsid w:val="5C10FE21"/>
    <w:multiLevelType w:val="hybridMultilevel"/>
    <w:lvl w:ilvl="0">
      <w:lvlJc w:val="left"/>
      <w:lvlText w:val="(%1)"/>
      <w:numFmt w:val="decimal"/>
      <w:start w:val="1"/>
    </w:lvl>
    <w:lvl w:ilvl="1">
      <w:lvlJc w:val="left"/>
      <w:lvlText w:val="-"/>
      <w:numFmt w:val="bullet"/>
      <w:start w:val="1"/>
    </w:lvl>
  </w:abstractNum>
  <w:abstractNum w:abstractNumId="37">
    <w:nsid w:val="E7FFA2B"/>
    <w:multiLevelType w:val="hybridMultilevel"/>
    <w:lvl w:ilvl="0">
      <w:lvlJc w:val="left"/>
      <w:lvlText w:val="%1."/>
      <w:numFmt w:val="upperLetter"/>
      <w:start w:val="2"/>
    </w:lvl>
  </w:abstractNum>
  <w:abstractNum w:abstractNumId="38">
    <w:nsid w:val="3C5991AA"/>
    <w:multiLevelType w:val="hybridMultilevel"/>
    <w:lvl w:ilvl="0">
      <w:lvlJc w:val="left"/>
      <w:lvlText w:val="%1."/>
      <w:numFmt w:val="upperLetter"/>
      <w:start w:val="3"/>
    </w:lvl>
  </w:abstractNum>
  <w:abstractNum w:abstractNumId="39">
    <w:nsid w:val="4BD8591A"/>
    <w:multiLevelType w:val="hybridMultilevel"/>
    <w:lvl w:ilvl="0">
      <w:lvlJc w:val="left"/>
      <w:lvlText w:val="%1."/>
      <w:numFmt w:val="upperLetter"/>
      <w:start w:val="1"/>
    </w:lvl>
  </w:abstractNum>
  <w:abstractNum w:abstractNumId="40">
    <w:nsid w:val="78DF6A55"/>
    <w:multiLevelType w:val="hybridMultilevel"/>
    <w:lvl w:ilvl="0">
      <w:lvlJc w:val="left"/>
      <w:lvlText w:val="%1."/>
      <w:numFmt w:val="upperLetter"/>
      <w:start w:val="2"/>
    </w:lvl>
  </w:abstractNum>
  <w:abstractNum w:abstractNumId="41">
    <w:nsid w:val="39B7AAA2"/>
    <w:multiLevelType w:val="hybridMultilevel"/>
    <w:lvl w:ilvl="0">
      <w:lvlJc w:val="left"/>
      <w:lvlText w:val="o"/>
      <w:numFmt w:val="bullet"/>
      <w:start w:val="1"/>
    </w:lvl>
  </w:abstractNum>
  <w:abstractNum w:abstractNumId="42">
    <w:nsid w:val="2B0D8DBE"/>
    <w:multiLevelType w:val="hybridMultilevel"/>
    <w:lvl w:ilvl="0">
      <w:lvlJc w:val="left"/>
      <w:lvlText w:val="o"/>
      <w:numFmt w:val="bullet"/>
      <w:start w:val="1"/>
    </w:lvl>
  </w:abstractNum>
  <w:abstractNum w:abstractNumId="43">
    <w:nsid w:val="6C80EC70"/>
    <w:multiLevelType w:val="hybridMultilevel"/>
    <w:lvl w:ilvl="0">
      <w:lvlJc w:val="left"/>
      <w:lvlText w:val="o"/>
      <w:numFmt w:val="bullet"/>
      <w:start w:val="1"/>
    </w:lvl>
  </w:abstractNum>
  <w:abstractNum w:abstractNumId="44">
    <w:nsid w:val="379E21B5"/>
    <w:multiLevelType w:val="hybridMultilevel"/>
    <w:lvl w:ilvl="0">
      <w:lvlJc w:val="left"/>
      <w:lvlText w:val="o"/>
      <w:numFmt w:val="bullet"/>
      <w:start w:val="1"/>
    </w:lvl>
  </w:abstractNum>
  <w:abstractNum w:abstractNumId="45">
    <w:nsid w:val="69E373"/>
    <w:multiLevelType w:val="hybridMultilevel"/>
    <w:lvl w:ilvl="0">
      <w:lvlJc w:val="left"/>
      <w:lvlText w:val="o"/>
      <w:numFmt w:val="bullet"/>
      <w:start w:val="1"/>
    </w:lvl>
  </w:abstractNum>
  <w:abstractNum w:abstractNumId="46">
    <w:nsid w:val="2C27173B"/>
    <w:multiLevelType w:val="hybridMultilevel"/>
    <w:lvl w:ilvl="0">
      <w:lvlJc w:val="left"/>
      <w:lvlText w:val="o"/>
      <w:numFmt w:val="bullet"/>
      <w:start w:val="1"/>
    </w:lvl>
    <w:lvl w:ilvl="1">
      <w:lvlJc w:val="left"/>
      <w:lvlText w:val="-"/>
      <w:numFmt w:val="bullet"/>
      <w:start w:val="1"/>
    </w:lvl>
  </w:abstractNum>
  <w:abstractNum w:abstractNumId="47">
    <w:nsid w:val="4C9B0904"/>
    <w:multiLevelType w:val="hybridMultilevel"/>
    <w:lvl w:ilvl="0">
      <w:lvlJc w:val="left"/>
      <w:lvlText w:val="(%1)"/>
      <w:numFmt w:val="decimal"/>
      <w:start w:val="1"/>
    </w:lvl>
  </w:abstractNum>
  <w:abstractNum w:abstractNumId="48">
    <w:nsid w:val="6AA7B75C"/>
    <w:multiLevelType w:val="hybridMultilevel"/>
    <w:lvl w:ilvl="0">
      <w:lvlJc w:val="left"/>
      <w:lvlText w:val="%1."/>
      <w:numFmt w:val="upperLetter"/>
      <w:start w:val="1"/>
    </w:lvl>
  </w:abstractNum>
  <w:abstractNum w:abstractNumId="49">
    <w:nsid w:val="1DF029D3"/>
    <w:multiLevelType w:val="hybridMultilevel"/>
    <w:lvl w:ilvl="0">
      <w:lvlJc w:val="left"/>
      <w:lvlText w:val="%1."/>
      <w:numFmt w:val="upperLetter"/>
      <w:start w:val="3"/>
    </w:lvl>
  </w:abstractNum>
  <w:abstractNum w:abstractNumId="50">
    <w:nsid w:val="5675FF36"/>
    <w:multiLevelType w:val="hybridMultilevel"/>
    <w:lvl w:ilvl="0">
      <w:lvlJc w:val="left"/>
      <w:lvlText w:val="%1."/>
      <w:numFmt w:val="upperLetter"/>
      <w:start w:val="4"/>
    </w:lvl>
  </w:abstractNum>
  <w:abstractNum w:abstractNumId="51">
    <w:nsid w:val="3DD15094"/>
    <w:multiLevelType w:val="hybridMultilevel"/>
    <w:lvl w:ilvl="0">
      <w:lvlJc w:val="left"/>
      <w:lvlText w:val="%1."/>
      <w:numFmt w:val="upperLetter"/>
      <w:start w:val="1"/>
    </w:lvl>
  </w:abstractNum>
  <w:abstractNum w:abstractNumId="52">
    <w:nsid w:val="3DB012B3"/>
    <w:multiLevelType w:val="hybridMultilevel"/>
    <w:lvl w:ilvl="0">
      <w:lvlJc w:val="left"/>
      <w:lvlText w:val="%1."/>
      <w:numFmt w:val="upperLetter"/>
      <w:start w:val="5"/>
    </w:lvl>
    <w:lvl w:ilvl="1">
      <w:lvlJc w:val="left"/>
      <w:lvlText w:val="(%2)"/>
      <w:numFmt w:val="decimal"/>
      <w:start w:val="1"/>
    </w:lvl>
  </w:abstractNum>
  <w:abstractNum w:abstractNumId="53">
    <w:nsid w:val="2708C9AF"/>
    <w:multiLevelType w:val="hybridMultilevel"/>
    <w:lvl w:ilvl="0">
      <w:lvlJc w:val="left"/>
      <w:lvlText w:val="(%1)"/>
      <w:numFmt w:val="decimal"/>
      <w:start w:val="2"/>
    </w:lvl>
  </w:abstractNum>
  <w:abstractNum w:abstractNumId="54">
    <w:nsid w:val="5B25ACE2"/>
    <w:multiLevelType w:val="hybridMultilevel"/>
    <w:lvl w:ilvl="0">
      <w:lvlJc w:val="left"/>
      <w:lvlText w:val="%1."/>
      <w:numFmt w:val="upperLetter"/>
      <w:start w:val="6"/>
    </w:lvl>
  </w:abstractNum>
  <w:abstractNum w:abstractNumId="55">
    <w:nsid w:val="175DFCF0"/>
    <w:multiLevelType w:val="hybridMultilevel"/>
    <w:lvl w:ilvl="0">
      <w:lvlJc w:val="left"/>
      <w:lvlText w:val="%1."/>
      <w:numFmt w:val="upperLetter"/>
      <w:start w:val="9"/>
    </w:lvl>
  </w:abstractNum>
  <w:abstractNum w:abstractNumId="56">
    <w:nsid w:val="4F97E3E4"/>
    <w:multiLevelType w:val="hybridMultilevel"/>
    <w:lvl w:ilvl="0">
      <w:lvlJc w:val="left"/>
      <w:lvlText w:val="%1."/>
      <w:numFmt w:val="upperLetter"/>
      <w:start w:val="12"/>
    </w:lvl>
  </w:abstractNum>
  <w:abstractNum w:abstractNumId="57">
    <w:nsid w:val="53B0A9E"/>
    <w:multiLevelType w:val="hybridMultilevel"/>
    <w:lvl w:ilvl="0">
      <w:lvlJc w:val="left"/>
      <w:lvlText w:val="%1."/>
      <w:numFmt w:val="upperLetter"/>
      <w:start w:val="15"/>
    </w:lvl>
  </w:abstractNum>
  <w:abstractNum w:abstractNumId="58">
    <w:nsid w:val="34FD6B4F"/>
    <w:multiLevelType w:val="hybridMultilevel"/>
    <w:lvl w:ilvl="0">
      <w:lvlJc w:val="left"/>
      <w:lvlText w:val="%1."/>
      <w:numFmt w:val="upperLetter"/>
      <w:start w:val="16"/>
    </w:lvl>
    <w:lvl w:ilvl="1">
      <w:lvlJc w:val="left"/>
      <w:lvlText w:val="(%2)"/>
      <w:numFmt w:val="decimal"/>
      <w:start w:val="1"/>
    </w:lvl>
  </w:abstractNum>
  <w:abstractNum w:abstractNumId="59">
    <w:nsid w:val="5915FF32"/>
    <w:multiLevelType w:val="hybridMultilevel"/>
    <w:lvl w:ilvl="0">
      <w:lvlJc w:val="left"/>
      <w:lvlText w:val="%1."/>
      <w:numFmt w:val="upperLetter"/>
      <w:start w:val="17"/>
    </w:lvl>
    <w:lvl w:ilvl="1">
      <w:lvlJc w:val="left"/>
      <w:lvlText w:val="(%2)"/>
      <w:numFmt w:val="decimal"/>
      <w:start w:val="1"/>
    </w:lvl>
  </w:abstractNum>
  <w:abstractNum w:abstractNumId="60">
    <w:nsid w:val="56438D15"/>
    <w:multiLevelType w:val="hybridMultilevel"/>
    <w:lvl w:ilvl="0">
      <w:lvlJc w:val="left"/>
      <w:lvlText w:val="(%1)"/>
      <w:numFmt w:val="decimal"/>
      <w:start w:val="2"/>
    </w:lvl>
  </w:abstractNum>
  <w:abstractNum w:abstractNumId="61">
    <w:nsid w:val="519E3149"/>
    <w:multiLevelType w:val="hybridMultilevel"/>
    <w:lvl w:ilvl="0">
      <w:lvlJc w:val="left"/>
      <w:lvlText w:val="%1."/>
      <w:numFmt w:val="upperLetter"/>
      <w:start w:val="17"/>
    </w:lvl>
    <w:lvl w:ilvl="1">
      <w:lvlJc w:val="left"/>
      <w:lvlText w:val="(%2)"/>
      <w:numFmt w:val="decimal"/>
      <w:start w:val="2"/>
    </w:lvl>
    <w:lvl w:ilvl="2">
      <w:lvlJc w:val="left"/>
      <w:lvlText w:val="(%3)"/>
      <w:numFmt w:val="lowerLetter"/>
      <w:start w:val="2"/>
    </w:lvl>
  </w:abstractNum>
  <w:abstractNum w:abstractNumId="62">
    <w:nsid w:val="2C6E4AFD"/>
    <w:multiLevelType w:val="hybridMultilevel"/>
    <w:lvl w:ilvl="0">
      <w:lvlJc w:val="left"/>
      <w:lvlText w:val="%1."/>
      <w:numFmt w:val="upperLetter"/>
      <w:start w:val="17"/>
    </w:lvl>
  </w:abstractNum>
  <w:abstractNum w:abstractNumId="63">
    <w:nsid w:val="17A1B582"/>
    <w:multiLevelType w:val="hybridMultilevel"/>
    <w:lvl w:ilvl="0">
      <w:lvlJc w:val="left"/>
      <w:lvlText w:val="(%1)"/>
      <w:numFmt w:val="decimal"/>
      <w:start w:val="3"/>
    </w:lvl>
  </w:abstractNum>
  <w:abstractNum w:abstractNumId="64">
    <w:nsid w:val="4DF72E4E"/>
    <w:multiLevelType w:val="hybridMultilevel"/>
    <w:lvl w:ilvl="0">
      <w:lvlJc w:val="left"/>
      <w:lvlText w:val="%1."/>
      <w:numFmt w:val="upperLetter"/>
      <w:start w:val="17"/>
    </w:lvl>
    <w:lvl w:ilvl="1">
      <w:lvlJc w:val="left"/>
      <w:lvlText w:val="(%2)"/>
      <w:numFmt w:val="decimal"/>
      <w:start w:val="4"/>
    </w:lvl>
  </w:abstractNum>
  <w:abstractNum w:abstractNumId="65">
    <w:nsid w:val="5046B5A9"/>
    <w:multiLevelType w:val="hybridMultilevel"/>
    <w:lvl w:ilvl="0">
      <w:lvlJc w:val="left"/>
      <w:lvlText w:val="(*)"/>
      <w:numFmt w:val="bullet"/>
      <w:start w:val="1"/>
    </w:lvl>
  </w:abstractNum>
  <w:abstractNum w:abstractNumId="66">
    <w:nsid w:val="5D888A08"/>
    <w:multiLevelType w:val="hybridMultilevel"/>
    <w:lvl w:ilvl="0">
      <w:lvlJc w:val="left"/>
      <w:lvlText w:val="%1."/>
      <w:numFmt w:val="upperLetter"/>
      <w:start w:val="1"/>
    </w:lvl>
  </w:abstractNum>
  <w:abstractNum w:abstractNumId="67">
    <w:nsid w:val="2A082C70"/>
    <w:multiLevelType w:val="hybridMultilevel"/>
    <w:lvl w:ilvl="0">
      <w:lvlJc w:val="left"/>
      <w:lvlText w:val="%1"/>
      <w:numFmt w:val="upperLetter"/>
      <w:start w:val="1"/>
    </w:lvl>
    <w:lvl w:ilvl="1">
      <w:lvlJc w:val="left"/>
      <w:lvlText w:val="(%2)"/>
      <w:numFmt w:val="decimal"/>
      <w:start w:val="1"/>
    </w:lvl>
  </w:abstractNum>
  <w:abstractNum w:abstractNumId="68">
    <w:nsid w:val="5EC6AFD4"/>
    <w:multiLevelType w:val="hybridMultilevel"/>
    <w:lvl w:ilvl="0">
      <w:lvlJc w:val="left"/>
      <w:lvlText w:val="%1."/>
      <w:numFmt w:val="upperLetter"/>
      <w:start w:val="2"/>
    </w:lvl>
    <w:lvl w:ilvl="1">
      <w:lvlJc w:val="left"/>
      <w:lvlText w:val="%2"/>
      <w:numFmt w:val="decimal"/>
      <w:start w:val="1"/>
    </w:lvl>
  </w:abstractNum>
  <w:abstractNum w:abstractNumId="69">
    <w:nsid w:val="19E21BB2"/>
    <w:multiLevelType w:val="hybridMultilevel"/>
    <w:lvl w:ilvl="0">
      <w:lvlJc w:val="left"/>
      <w:lvlText w:val="%1."/>
      <w:numFmt w:val="upperLetter"/>
      <w:start w:val="2"/>
    </w:lvl>
  </w:abstractNum>
  <w:abstractNum w:abstractNumId="70">
    <w:nsid w:val="75E0858A"/>
    <w:multiLevelType w:val="hybridMultilevel"/>
    <w:lvl w:ilvl="0">
      <w:lvlJc w:val="left"/>
      <w:lvlText w:val="%1."/>
      <w:numFmt w:val="upperLetter"/>
      <w:start w:val="3"/>
    </w:lvl>
  </w:abstractNum>
  <w:abstractNum w:abstractNumId="71">
    <w:nsid w:val="57A61A29"/>
    <w:multiLevelType w:val="hybridMultilevel"/>
    <w:lvl w:ilvl="0">
      <w:lvlJc w:val="left"/>
      <w:lvlText w:val="%1."/>
      <w:numFmt w:val="upperLetter"/>
      <w:start w:val="2"/>
    </w:lvl>
  </w:abstractNum>
  <w:abstractNum w:abstractNumId="72">
    <w:nsid w:val="5399C654"/>
    <w:multiLevelType w:val="hybridMultilevel"/>
    <w:lvl w:ilvl="0">
      <w:lvlJc w:val="left"/>
      <w:lvlText w:val="%1."/>
      <w:numFmt w:val="upperLetter"/>
      <w:start w:val="6"/>
    </w:lvl>
  </w:abstractNum>
  <w:abstractNum w:abstractNumId="73">
    <w:nsid w:val="20EE1348"/>
    <w:multiLevelType w:val="hybridMultilevel"/>
    <w:lvl w:ilvl="0">
      <w:lvlJc w:val="left"/>
      <w:lvlText w:val="%1."/>
      <w:numFmt w:val="upperLetter"/>
      <w:start w:val="1"/>
    </w:lvl>
  </w:abstractNum>
  <w:abstractNum w:abstractNumId="74">
    <w:nsid w:val="4427069A"/>
    <w:multiLevelType w:val="hybridMultilevel"/>
    <w:lvl w:ilvl="0">
      <w:lvlJc w:val="left"/>
      <w:lvlText w:val="%1."/>
      <w:numFmt w:val="upperLetter"/>
      <w:start w:val="1"/>
    </w:lvl>
    <w:lvl w:ilvl="1">
      <w:lvlJc w:val="left"/>
      <w:lvlText w:val="(*)"/>
      <w:numFmt w:val="bullet"/>
      <w:start w:val="1"/>
    </w:lvl>
  </w:abstractNum>
  <w:abstractNum w:abstractNumId="75">
    <w:nsid w:val="B37E80A"/>
    <w:multiLevelType w:val="hybridMultilevel"/>
    <w:lvl w:ilvl="0">
      <w:lvlJc w:val="left"/>
      <w:lvlText w:val="%1."/>
      <w:numFmt w:val="upperLetter"/>
      <w:start w:val="2"/>
    </w:lvl>
  </w:abstractNum>
  <w:abstractNum w:abstractNumId="76">
    <w:nsid w:val="2157F6BC"/>
    <w:multiLevelType w:val="hybridMultilevel"/>
    <w:lvl w:ilvl="0">
      <w:lvlJc w:val="left"/>
      <w:lvlText w:val="%1."/>
      <w:numFmt w:val="upperLetter"/>
      <w:start w:val="3"/>
    </w:lvl>
  </w:abstractNum>
  <w:abstractNum w:abstractNumId="77">
    <w:nsid w:val="704E1DD5"/>
    <w:multiLevelType w:val="hybridMultilevel"/>
    <w:lvl w:ilvl="0">
      <w:lvlJc w:val="left"/>
      <w:lvlText w:val="%1."/>
      <w:numFmt w:val="upperLetter"/>
      <w:start w:val="2"/>
    </w:lvl>
  </w:abstractNum>
  <w:abstractNum w:abstractNumId="78">
    <w:nsid w:val="57D2F10E"/>
    <w:multiLevelType w:val="hybridMultilevel"/>
    <w:lvl w:ilvl="0">
      <w:lvlJc w:val="left"/>
      <w:lvlText w:val="%1."/>
      <w:numFmt w:val="upperLetter"/>
      <w:start w:val="1"/>
    </w:lvl>
    <w:lvl w:ilvl="1">
      <w:lvlJc w:val="left"/>
      <w:lvlText w:val="(%2)"/>
      <w:numFmt w:val="decimal"/>
      <w:start w:val="1"/>
    </w:lvl>
  </w:abstractNum>
  <w:abstractNum w:abstractNumId="79">
    <w:nsid w:val="BFFAE18"/>
    <w:multiLevelType w:val="hybridMultilevel"/>
    <w:lvl w:ilvl="0">
      <w:lvlJc w:val="left"/>
      <w:lvlText w:val="%1."/>
      <w:numFmt w:val="upperLetter"/>
      <w:start w:val="1"/>
    </w:lvl>
    <w:lvl w:ilvl="1">
      <w:lvlJc w:val="left"/>
      <w:lvlText w:val="(%2)"/>
      <w:numFmt w:val="decimal"/>
      <w:start w:val="2"/>
    </w:lvl>
  </w:abstractNum>
  <w:abstractNum w:abstractNumId="80">
    <w:nsid w:val="E3E47A8"/>
    <w:multiLevelType w:val="hybridMultilevel"/>
    <w:lvl w:ilvl="0">
      <w:lvlJc w:val="left"/>
      <w:lvlText w:val="%1."/>
      <w:numFmt w:val="upperLetter"/>
      <w:start w:val="1"/>
    </w:lvl>
    <w:lvl w:ilvl="1">
      <w:lvlJc w:val="left"/>
      <w:lvlText w:val="(%2)"/>
      <w:numFmt w:val="decimal"/>
      <w:start w:val="3"/>
    </w:lvl>
  </w:abstractNum>
  <w:abstractNum w:abstractNumId="81">
    <w:nsid w:val="2E48F044"/>
    <w:multiLevelType w:val="hybridMultilevel"/>
    <w:lvl w:ilvl="0">
      <w:lvlJc w:val="left"/>
      <w:lvlText w:val="%1"/>
      <w:numFmt w:val="decimal"/>
      <w:start w:val="1"/>
    </w:lvl>
    <w:lvl w:ilvl="1">
      <w:lvlJc w:val="left"/>
      <w:lvlText w:val="(%2)"/>
      <w:numFmt w:val="decimal"/>
      <w:start w:val="6"/>
    </w:lvl>
  </w:abstractNum>
  <w:abstractNum w:abstractNumId="82">
    <w:nsid w:val="49D0FEAC"/>
    <w:multiLevelType w:val="hybridMultilevel"/>
    <w:lvl w:ilvl="0">
      <w:lvlJc w:val="left"/>
      <w:lvlText w:val="(%1)"/>
      <w:numFmt w:val="decimal"/>
      <w:start w:val="4"/>
    </w:lvl>
    <w:lvl w:ilvl="1">
      <w:lvlJc w:val="left"/>
      <w:lvlText w:val="%2"/>
      <w:numFmt w:val="decimal"/>
      <w:start w:val="1"/>
    </w:lvl>
  </w:abstractNum>
  <w:abstractNum w:abstractNumId="83">
    <w:nsid w:val="4BEE5A5B"/>
    <w:multiLevelType w:val="hybridMultilevel"/>
    <w:lvl w:ilvl="0">
      <w:lvlJc w:val="left"/>
      <w:lvlText w:val="%1."/>
      <w:numFmt w:val="upperLetter"/>
      <w:start w:val="1"/>
    </w:lvl>
    <w:lvl w:ilvl="1">
      <w:lvlJc w:val="left"/>
      <w:lvlText w:val="(%2)"/>
      <w:numFmt w:val="decimal"/>
      <w:start w:val="4"/>
    </w:lvl>
  </w:abstractNum>
  <w:abstractNum w:abstractNumId="84">
    <w:nsid w:val="5551B9F3"/>
    <w:multiLevelType w:val="hybridMultilevel"/>
    <w:lvl w:ilvl="0">
      <w:lvlJc w:val="left"/>
      <w:lvlText w:val="%1."/>
      <w:numFmt w:val="upperLetter"/>
      <w:start w:val="1"/>
    </w:lvl>
    <w:lvl w:ilvl="1">
      <w:lvlJc w:val="left"/>
      <w:lvlText w:val="(%2)"/>
      <w:numFmt w:val="decimal"/>
      <w:start w:val="5"/>
    </w:lvl>
  </w:abstractNum>
  <w:abstractNum w:abstractNumId="85">
    <w:nsid w:val="24F6AB8E"/>
    <w:multiLevelType w:val="hybridMultilevel"/>
    <w:lvl w:ilvl="0">
      <w:lvlJc w:val="left"/>
      <w:lvlText w:val="%1."/>
      <w:numFmt w:val="upperLetter"/>
      <w:start w:val="1"/>
    </w:lvl>
    <w:lvl w:ilvl="1">
      <w:lvlJc w:val="left"/>
      <w:lvlText w:val="(%2)"/>
      <w:numFmt w:val="decimal"/>
      <w:start w:val="6"/>
    </w:lvl>
  </w:abstractNum>
  <w:abstractNum w:abstractNumId="86">
    <w:nsid w:val="634C574C"/>
    <w:multiLevelType w:val="hybridMultilevel"/>
    <w:lvl w:ilvl="0">
      <w:lvlJc w:val="left"/>
      <w:lvlText w:val="%1."/>
      <w:numFmt w:val="upperLetter"/>
      <w:start w:val="1"/>
    </w:lvl>
    <w:lvl w:ilvl="1">
      <w:lvlJc w:val="left"/>
      <w:lvlText w:val="(%2)"/>
      <w:numFmt w:val="decimal"/>
      <w:start w:val="6"/>
    </w:lvl>
  </w:abstractNum>
  <w:abstractNum w:abstractNumId="87">
    <w:nsid w:val="24E99DD7"/>
    <w:multiLevelType w:val="hybridMultilevel"/>
    <w:lvl w:ilvl="0">
      <w:lvlJc w:val="left"/>
      <w:lvlText w:val="%1."/>
      <w:numFmt w:val="upperLetter"/>
      <w:start w:val="1"/>
    </w:lvl>
    <w:lvl w:ilvl="1">
      <w:lvlJc w:val="left"/>
      <w:lvlText w:val="(%2)"/>
      <w:numFmt w:val="decimal"/>
      <w:start w:val="6"/>
    </w:lvl>
    <w:lvl w:ilvl="2">
      <w:lvlJc w:val="left"/>
      <w:lvlText w:val="(%3)"/>
      <w:numFmt w:val="lowerRoman"/>
      <w:start w:val="3"/>
    </w:lvl>
  </w:abstractNum>
  <w:abstractNum w:abstractNumId="88">
    <w:nsid w:val="2A31B62D"/>
    <w:multiLevelType w:val="hybridMultilevel"/>
    <w:lvl w:ilvl="0">
      <w:lvlJc w:val="left"/>
      <w:lvlText w:val="%1."/>
      <w:numFmt w:val="upperLetter"/>
      <w:start w:val="1"/>
    </w:lvl>
    <w:lvl w:ilvl="1">
      <w:lvlJc w:val="left"/>
      <w:lvlText w:val="(%2)"/>
      <w:numFmt w:val="decimal"/>
      <w:start w:val="6"/>
    </w:lvl>
  </w:abstractNum>
  <w:abstractNum w:abstractNumId="89">
    <w:nsid w:val="1849C29B"/>
    <w:multiLevelType w:val="hybridMultilevel"/>
    <w:lvl w:ilvl="0">
      <w:lvlJc w:val="left"/>
      <w:lvlText w:val="%1."/>
      <w:numFmt w:val="decimal"/>
      <w:start w:val="1"/>
    </w:lvl>
  </w:abstractNum>
  <w:abstractNum w:abstractNumId="90">
    <w:nsid w:val="7DFF9D09"/>
    <w:multiLevelType w:val="hybridMultilevel"/>
    <w:lvl w:ilvl="0">
      <w:lvlJc w:val="left"/>
      <w:lvlText w:val="%1."/>
      <w:numFmt w:val="upperLetter"/>
      <w:start w:val="1"/>
    </w:lvl>
    <w:lvl w:ilvl="1">
      <w:lvlJc w:val="left"/>
      <w:lvlText w:val="(%2)"/>
      <w:numFmt w:val="decimal"/>
      <w:start w:val="6"/>
    </w:lvl>
  </w:abstractNum>
  <w:abstractNum w:abstractNumId="91">
    <w:nsid w:val="754342"/>
    <w:multiLevelType w:val="hybridMultilevel"/>
    <w:lvl w:ilvl="0">
      <w:lvlJc w:val="left"/>
      <w:lvlText w:val="%1."/>
      <w:numFmt w:val="upperLetter"/>
      <w:start w:val="1"/>
    </w:lvl>
    <w:lvl w:ilvl="1">
      <w:lvlJc w:val="left"/>
      <w:lvlText w:val="(%2)"/>
      <w:numFmt w:val="decimal"/>
      <w:start w:val="6"/>
    </w:lvl>
  </w:abstractNum>
  <w:abstractNum w:abstractNumId="92">
    <w:nsid w:val="69E7F3E5"/>
    <w:multiLevelType w:val="hybridMultilevel"/>
    <w:lvl w:ilvl="0">
      <w:lvlJc w:val="left"/>
      <w:lvlText w:val="(%1)"/>
      <w:numFmt w:val="decimal"/>
      <w:start w:val="7"/>
    </w:lvl>
  </w:abstractNum>
  <w:abstractNum w:abstractNumId="93">
    <w:nsid w:val="2A6DE806"/>
    <w:multiLevelType w:val="hybridMultilevel"/>
    <w:lvl w:ilvl="0">
      <w:lvlJc w:val="left"/>
      <w:lvlText w:val="%1."/>
      <w:numFmt w:val="upperLetter"/>
      <w:start w:val="1"/>
    </w:lvl>
    <w:lvl w:ilvl="1">
      <w:lvlJc w:val="left"/>
      <w:lvlText w:val="(%2)"/>
      <w:numFmt w:val="decimal"/>
      <w:start w:val="8"/>
    </w:lvl>
  </w:abstractNum>
  <w:abstractNum w:abstractNumId="94">
    <w:nsid w:val="1816F8C4"/>
    <w:multiLevelType w:val="hybridMultilevel"/>
    <w:lvl w:ilvl="0">
      <w:lvlJc w:val="left"/>
      <w:lvlText w:val="%1."/>
      <w:numFmt w:val="upperLetter"/>
      <w:start w:val="1"/>
    </w:lvl>
    <w:lvl w:ilvl="1">
      <w:lvlJc w:val="left"/>
      <w:lvlText w:val="(%2)"/>
      <w:numFmt w:val="decimal"/>
      <w:start w:val="10"/>
    </w:lvl>
  </w:abstractNum>
  <w:abstractNum w:abstractNumId="95">
    <w:nsid w:val="37DF2233"/>
    <w:multiLevelType w:val="hybridMultilevel"/>
    <w:lvl w:ilvl="0">
      <w:lvlJc w:val="left"/>
      <w:lvlText w:val="%1."/>
      <w:numFmt w:val="upperLetter"/>
      <w:start w:val="2"/>
    </w:lvl>
    <w:lvl w:ilvl="1">
      <w:lvlJc w:val="left"/>
      <w:lvlText w:val="(%2)"/>
      <w:numFmt w:val="decimal"/>
      <w:start w:val="1"/>
    </w:lvl>
  </w:abstractNum>
  <w:abstractNum w:abstractNumId="96">
    <w:nsid w:val="7AB49DAF"/>
    <w:multiLevelType w:val="hybridMultilevel"/>
    <w:lvl w:ilvl="0">
      <w:lvlJc w:val="left"/>
      <w:lvlText w:val="(%1)"/>
      <w:numFmt w:val="decimal"/>
      <w:start w:val="2"/>
    </w:lvl>
  </w:abstractNum>
  <w:abstractNum w:abstractNumId="97">
    <w:nsid w:val="759F82CD"/>
    <w:multiLevelType w:val="hybridMultilevel"/>
    <w:lvl w:ilvl="0">
      <w:lvlJc w:val="left"/>
      <w:lvlText w:val="%1."/>
      <w:numFmt w:val="upperLetter"/>
      <w:start w:val="2"/>
    </w:lvl>
    <w:lvl w:ilvl="1">
      <w:lvlJc w:val="left"/>
      <w:lvlText w:val="(%2)"/>
      <w:numFmt w:val="decimal"/>
      <w:start w:val="3"/>
    </w:lvl>
  </w:abstractNum>
  <w:abstractNum w:abstractNumId="98">
    <w:nsid w:val="61E74EA3"/>
    <w:multiLevelType w:val="hybridMultilevel"/>
    <w:lvl w:ilvl="0">
      <w:lvlJc w:val="left"/>
      <w:lvlText w:val="%1"/>
      <w:numFmt w:val="upperLetter"/>
      <w:start w:val="1"/>
    </w:lvl>
    <w:lvl w:ilvl="1">
      <w:lvlJc w:val="left"/>
      <w:lvlText w:val="(%2)"/>
      <w:numFmt w:val="decimal"/>
      <w:start w:val="1"/>
    </w:lvl>
  </w:abstractNum>
  <w:abstractNum w:abstractNumId="99">
    <w:nsid w:val="597B4D84"/>
    <w:multiLevelType w:val="hybridMultilevel"/>
    <w:lvl w:ilvl="0">
      <w:lvlJc w:val="left"/>
      <w:lvlText w:val="%1."/>
      <w:numFmt w:val="upperLetter"/>
      <w:start w:val="4"/>
    </w:lvl>
    <w:lvl w:ilvl="1">
      <w:lvlJc w:val="left"/>
      <w:lvlText w:val="(%2)"/>
      <w:numFmt w:val="decimal"/>
      <w:start w:val="1"/>
    </w:lvl>
  </w:abstractNum>
  <w:abstractNum w:abstractNumId="100">
    <w:nsid w:val="F819E7F"/>
    <w:multiLevelType w:val="hybridMultilevel"/>
    <w:lvl w:ilvl="0">
      <w:lvlJc w:val="left"/>
      <w:lvlText w:val="%1."/>
      <w:numFmt w:val="upperLetter"/>
      <w:start w:val="4"/>
    </w:lvl>
    <w:lvl w:ilvl="1">
      <w:lvlJc w:val="left"/>
      <w:lvlText w:val="(%2)"/>
      <w:numFmt w:val="decimal"/>
      <w:start w:val="2"/>
    </w:lvl>
  </w:abstractNum>
  <w:abstractNum w:abstractNumId="101">
    <w:nsid w:val="57C7D42D"/>
    <w:multiLevelType w:val="hybridMultilevel"/>
    <w:lvl w:ilvl="0">
      <w:lvlJc w:val="left"/>
      <w:lvlText w:val="%1."/>
      <w:numFmt w:val="upperLetter"/>
      <w:start w:val="5"/>
    </w:lvl>
  </w:abstractNum>
  <w:abstractNum w:abstractNumId="102">
    <w:nsid w:val="312167AD"/>
    <w:multiLevelType w:val="hybridMultilevel"/>
    <w:lvl w:ilvl="0">
      <w:lvlJc w:val="left"/>
      <w:lvlText w:val="%1."/>
      <w:numFmt w:val="upperLetter"/>
      <w:start w:val="6"/>
    </w:lvl>
  </w:abstractNum>
  <w:abstractNum w:abstractNumId="103">
    <w:nsid w:val="631B64D4"/>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04">
    <w:nsid w:val="78B5E776"/>
    <w:multiLevelType w:val="hybridMultilevel"/>
    <w:lvl w:ilvl="0">
      <w:lvlJc w:val="left"/>
      <w:lvlText w:val="(%1)"/>
      <w:numFmt w:val="upperLetter"/>
      <w:start w:val="2"/>
    </w:lvl>
  </w:abstractNum>
  <w:abstractNum w:abstractNumId="105">
    <w:nsid w:val="75486E47"/>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3"/>
    </w:lvl>
  </w:abstractNum>
  <w:abstractNum w:abstractNumId="106">
    <w:nsid w:val="6E534CDE"/>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4"/>
    </w:lvl>
  </w:abstractNum>
  <w:abstractNum w:abstractNumId="107">
    <w:nsid w:val="1A0DDE32"/>
    <w:multiLevelType w:val="hybridMultilevel"/>
    <w:lvl w:ilvl="0">
      <w:lvlJc w:val="left"/>
      <w:lvlText w:val="(%1)"/>
      <w:numFmt w:val="upperLetter"/>
      <w:start w:val="5"/>
    </w:lvl>
  </w:abstractNum>
  <w:abstractNum w:abstractNumId="108">
    <w:nsid w:val="65968C1C"/>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5"/>
    </w:lvl>
  </w:abstractNum>
  <w:abstractNum w:abstractNumId="109">
    <w:nsid w:val="46263DEC"/>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6"/>
    </w:lvl>
  </w:abstractNum>
  <w:abstractNum w:abstractNumId="110">
    <w:nsid w:val="260D8C4A"/>
    <w:multiLevelType w:val="hybridMultilevel"/>
    <w:lvl w:ilvl="0">
      <w:lvlJc w:val="left"/>
      <w:lvlText w:val="(%1)"/>
      <w:numFmt w:val="upperLetter"/>
      <w:start w:val="7"/>
    </w:lvl>
  </w:abstractNum>
  <w:abstractNum w:abstractNumId="111">
    <w:nsid w:val="73D4D3C4"/>
    <w:multiLevelType w:val="hybridMultilevel"/>
    <w:lvl w:ilvl="0">
      <w:lvlJc w:val="left"/>
      <w:lvlText w:val="%1."/>
      <w:numFmt w:val="upperLetter"/>
      <w:start w:val="2"/>
    </w:lvl>
    <w:lvl w:ilvl="1">
      <w:lvlJc w:val="left"/>
      <w:lvlText w:val="(%2)"/>
      <w:numFmt w:val="decimal"/>
      <w:start w:val="2"/>
    </w:lvl>
  </w:abstractNum>
  <w:abstractNum w:abstractNumId="112">
    <w:nsid w:val="746F2E30"/>
    <w:multiLevelType w:val="hybridMultilevel"/>
    <w:lvl w:ilvl="0">
      <w:lvlJc w:val="left"/>
      <w:lvlText w:val="%1."/>
      <w:numFmt w:val="upperLetter"/>
      <w:start w:val="2"/>
    </w:lvl>
    <w:lvl w:ilvl="1">
      <w:lvlJc w:val="left"/>
      <w:lvlText w:val="(%2)"/>
      <w:numFmt w:val="decimal"/>
      <w:start w:val="3"/>
    </w:lvl>
  </w:abstractNum>
  <w:abstractNum w:abstractNumId="113">
    <w:nsid w:val="6FDE8AF6"/>
    <w:multiLevelType w:val="hybridMultilevel"/>
    <w:lvl w:ilvl="0">
      <w:lvlJc w:val="left"/>
      <w:lvlText w:val="(%1)"/>
      <w:numFmt w:val="decimal"/>
      <w:start w:val="4"/>
    </w:lvl>
  </w:abstractNum>
  <w:abstractNum w:abstractNumId="114">
    <w:nsid w:val="3FC32E20"/>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abstractNum>
  <w:abstractNum w:abstractNumId="115">
    <w:nsid w:val="49C0E823"/>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abstractNum>
  <w:abstractNum w:abstractNumId="116">
    <w:nsid w:val="14D53685"/>
    <w:multiLevelType w:val="hybridMultilevel"/>
    <w:lvl w:ilvl="0">
      <w:lvlJc w:val="left"/>
      <w:lvlText w:val="%1."/>
      <w:numFmt w:val="upperLetter"/>
      <w:start w:val="2"/>
    </w:lvl>
    <w:lvl w:ilvl="1">
      <w:lvlJc w:val="left"/>
      <w:lvlText w:val="(%2)"/>
      <w:numFmt w:val="decimal"/>
      <w:start w:val="6"/>
    </w:lvl>
  </w:abstractNum>
  <w:abstractNum w:abstractNumId="117">
    <w:nsid w:val="230F856C"/>
    <w:multiLevelType w:val="hybridMultilevel"/>
    <w:lvl w:ilvl="0">
      <w:lvlJc w:val="left"/>
      <w:lvlText w:val="%1."/>
      <w:numFmt w:val="upperLetter"/>
      <w:start w:val="3"/>
    </w:lvl>
    <w:lvl w:ilvl="1">
      <w:lvlJc w:val="left"/>
      <w:lvlText w:val="(%2)"/>
      <w:numFmt w:val="decimal"/>
      <w:start w:val="1"/>
    </w:lvl>
  </w:abstractNum>
  <w:abstractNum w:abstractNumId="118">
    <w:nsid w:val="6EAA85FB"/>
    <w:multiLevelType w:val="hybridMultilevel"/>
    <w:lvl w:ilvl="0">
      <w:lvlJc w:val="left"/>
      <w:lvlText w:val="%1."/>
      <w:numFmt w:val="upperLetter"/>
      <w:start w:val="4"/>
    </w:lvl>
  </w:abstractNum>
  <w:abstractNum w:abstractNumId="119">
    <w:nsid w:val="3F06ECB2"/>
    <w:multiLevelType w:val="hybridMultilevel"/>
    <w:lvl w:ilvl="0">
      <w:lvlJc w:val="left"/>
      <w:lvlText w:val="%1."/>
      <w:numFmt w:val="upperLetter"/>
      <w:start w:val="8"/>
    </w:lvl>
  </w:abstractNum>
  <w:abstractNum w:abstractNumId="120">
    <w:nsid w:val="3B594807"/>
    <w:multiLevelType w:val="hybridMultilevel"/>
    <w:lvl w:ilvl="0">
      <w:lvlJc w:val="left"/>
      <w:lvlText w:val="%1."/>
      <w:numFmt w:val="upperLetter"/>
      <w:start w:val="9"/>
    </w:lvl>
  </w:abstractNum>
  <w:abstractNum w:abstractNumId="121">
    <w:nsid w:val="6CAA2304"/>
    <w:multiLevelType w:val="hybridMultilevel"/>
    <w:lvl w:ilvl="0">
      <w:lvlJc w:val="left"/>
      <w:lvlText w:val="%1."/>
      <w:numFmt w:val="upperLetter"/>
      <w:start w:val="10"/>
    </w:lvl>
  </w:abstractNum>
  <w:abstractNum w:abstractNumId="122">
    <w:nsid w:val="3F7C2FF4"/>
    <w:multiLevelType w:val="hybridMultilevel"/>
    <w:lvl w:ilvl="0">
      <w:lvlJc w:val="left"/>
      <w:lvlText w:val="%1."/>
      <w:numFmt w:val="upperLetter"/>
      <w:start w:val="11"/>
    </w:lvl>
  </w:abstractNum>
  <w:abstractNum w:abstractNumId="123">
    <w:nsid w:val="25413BEC"/>
    <w:multiLevelType w:val="hybridMultilevel"/>
    <w:lvl w:ilvl="0">
      <w:lvlJc w:val="left"/>
      <w:lvlText w:val="%1."/>
      <w:numFmt w:val="upperLetter"/>
      <w:start w:val="1"/>
    </w:lvl>
  </w:abstractNum>
  <w:abstractNum w:abstractNumId="124">
    <w:nsid w:val="17180B0B"/>
    <w:multiLevelType w:val="hybridMultilevel"/>
    <w:lvl w:ilvl="0">
      <w:lvlJc w:val="left"/>
      <w:lvlText w:val="%1."/>
      <w:numFmt w:val="upperLetter"/>
      <w:start w:val="2"/>
    </w:lvl>
  </w:abstractNum>
  <w:abstractNum w:abstractNumId="125">
    <w:nsid w:val="579328B9"/>
    <w:multiLevelType w:val="hybridMultilevel"/>
    <w:lvl w:ilvl="0">
      <w:lvlJc w:val="left"/>
      <w:lvlText w:val="%1."/>
      <w:numFmt w:val="upperLetter"/>
      <w:start w:val="3"/>
    </w:lvl>
  </w:abstractNum>
  <w:abstractNum w:abstractNumId="126">
    <w:nsid w:val="5D205E20"/>
    <w:multiLevelType w:val="hybridMultilevel"/>
    <w:lvl w:ilvl="0">
      <w:lvlJc w:val="left"/>
      <w:lvlText w:val="(*)"/>
      <w:numFmt w:val="bullet"/>
      <w:start w:val="1"/>
    </w:lvl>
  </w:abstractNum>
  <w:abstractNum w:abstractNumId="127">
    <w:nsid w:val="11CCA8BA"/>
    <w:multiLevelType w:val="hybridMultilevel"/>
    <w:lvl w:ilvl="0">
      <w:lvlJc w:val="left"/>
      <w:lvlText w:val="%1."/>
      <w:numFmt w:val="upperLetter"/>
      <w:start w:val="1"/>
    </w:lvl>
  </w:abstractNum>
  <w:abstractNum w:abstractNumId="128">
    <w:nsid w:val="4D32AB86"/>
    <w:multiLevelType w:val="hybridMultilevel"/>
    <w:lvl w:ilvl="0">
      <w:lvlJc w:val="left"/>
      <w:lvlText w:val="%1."/>
      <w:numFmt w:val="upperLetter"/>
      <w:start w:val="2"/>
    </w:lvl>
  </w:abstractNum>
  <w:abstractNum w:abstractNumId="129">
    <w:nsid w:val="3F07ACC3"/>
    <w:multiLevelType w:val="hybridMultilevel"/>
    <w:lvl w:ilvl="0">
      <w:lvlJc w:val="left"/>
      <w:lvlText w:val="%1."/>
      <w:numFmt w:val="upperLetter"/>
      <w:start w:val="3"/>
    </w:lvl>
  </w:abstractNum>
  <w:abstractNum w:abstractNumId="130">
    <w:nsid w:val="6B47F63E"/>
    <w:multiLevelType w:val="hybridMultilevel"/>
    <w:lvl w:ilvl="0">
      <w:lvlJc w:val="left"/>
      <w:lvlText w:val="%1."/>
      <w:numFmt w:val="upperLetter"/>
      <w:start w:val="4"/>
    </w:lvl>
  </w:abstractNum>
  <w:abstractNum w:abstractNumId="131">
    <w:nsid w:val="5CB44A05"/>
    <w:multiLevelType w:val="hybridMultilevel"/>
    <w:lvl w:ilvl="0">
      <w:lvlJc w:val="left"/>
      <w:lvlText w:val="%1."/>
      <w:numFmt w:val="upperLetter"/>
      <w:start w:val="5"/>
    </w:lvl>
  </w:abstractNum>
  <w:abstractNum w:abstractNumId="132">
    <w:nsid w:val="16CF80F1"/>
    <w:multiLevelType w:val="hybridMultilevel"/>
    <w:lvl w:ilvl="0">
      <w:lvlJc w:val="left"/>
      <w:lvlText w:val="%1."/>
      <w:numFmt w:val="upperLetter"/>
      <w:start w:val="1"/>
    </w:lvl>
  </w:abstractNum>
  <w:abstractNum w:abstractNumId="133">
    <w:nsid w:val="1C695DEC"/>
    <w:multiLevelType w:val="hybridMultilevel"/>
    <w:lvl w:ilvl="0">
      <w:lvlJc w:val="left"/>
      <w:lvlText w:val="%1."/>
      <w:numFmt w:val="upperLetter"/>
      <w:start w:val="2"/>
    </w:lvl>
  </w:abstractNum>
  <w:abstractNum w:abstractNumId="134">
    <w:nsid w:val="3FCFAED9"/>
    <w:multiLevelType w:val="hybridMultilevel"/>
    <w:lvl w:ilvl="0">
      <w:lvlJc w:val="left"/>
      <w:lvlText w:val="%1."/>
      <w:numFmt w:val="upperLetter"/>
      <w:start w:val="4"/>
    </w:lvl>
  </w:abstractNum>
  <w:abstractNum w:abstractNumId="135">
    <w:nsid w:val="F856867"/>
    <w:multiLevelType w:val="hybridMultilevel"/>
    <w:lvl w:ilvl="0">
      <w:lvlJc w:val="left"/>
      <w:lvlText w:val="%1."/>
      <w:numFmt w:val="upperLetter"/>
      <w:start w:val="3"/>
    </w:lvl>
  </w:abstractNum>
  <w:abstractNum w:abstractNumId="136">
    <w:nsid w:val="11B1CC33"/>
    <w:multiLevelType w:val="hybridMultilevel"/>
    <w:lvl w:ilvl="0">
      <w:lvlJc w:val="left"/>
      <w:lvlText w:val="%1."/>
      <w:numFmt w:val="upperLetter"/>
      <w:start w:val="1"/>
    </w:lvl>
    <w:lvl w:ilvl="1">
      <w:lvlJc w:val="left"/>
      <w:lvlText w:val="(%2)"/>
      <w:numFmt w:val="decimal"/>
      <w:start w:val="1"/>
    </w:lvl>
  </w:abstractNum>
  <w:abstractNum w:abstractNumId="137">
    <w:nsid w:val="2E22FBB7"/>
    <w:multiLevelType w:val="hybridMultilevel"/>
    <w:lvl w:ilvl="0">
      <w:lvlJc w:val="left"/>
      <w:lvlText w:val="%1."/>
      <w:numFmt w:val="upperLetter"/>
      <w:start w:val="1"/>
    </w:lvl>
    <w:lvl w:ilvl="1">
      <w:lvlJc w:val="left"/>
      <w:lvlText w:val="(%2)"/>
      <w:numFmt w:val="decimal"/>
      <w:start w:val="2"/>
    </w:lvl>
  </w:abstractNum>
  <w:abstractNum w:abstractNumId="138">
    <w:nsid w:val="29934699"/>
    <w:multiLevelType w:val="hybridMultilevel"/>
    <w:lvl w:ilvl="0">
      <w:lvlJc w:val="left"/>
      <w:lvlText w:val="%1."/>
      <w:numFmt w:val="upperLetter"/>
      <w:start w:val="1"/>
    </w:lvl>
    <w:lvl w:ilvl="1">
      <w:lvlJc w:val="left"/>
      <w:lvlText w:val="(%2)"/>
      <w:numFmt w:val="decimal"/>
      <w:start w:val="5"/>
    </w:lvl>
  </w:abstractNum>
  <w:abstractNum w:abstractNumId="139">
    <w:nsid w:val="77485850"/>
    <w:multiLevelType w:val="hybridMultilevel"/>
    <w:lvl w:ilvl="0">
      <w:lvlJc w:val="left"/>
      <w:lvlText w:val="(%1)"/>
      <w:numFmt w:val="decimal"/>
      <w:start w:val="6"/>
    </w:lvl>
  </w:abstractNum>
  <w:abstractNum w:abstractNumId="140">
    <w:nsid w:val="744939A3"/>
    <w:multiLevelType w:val="hybridMultilevel"/>
    <w:lvl w:ilvl="0">
      <w:lvlJc w:val="left"/>
      <w:lvlText w:val="%1."/>
      <w:numFmt w:val="upperLetter"/>
      <w:start w:val="2"/>
    </w:lvl>
    <w:lvl w:ilvl="1">
      <w:lvlJc w:val="left"/>
      <w:lvlText w:val="(%2)"/>
      <w:numFmt w:val="decimal"/>
      <w:start w:val="1"/>
    </w:lvl>
  </w:abstractNum>
  <w:abstractNum w:abstractNumId="141">
    <w:nsid w:val="4FA0D2E3"/>
    <w:multiLevelType w:val="hybridMultilevel"/>
    <w:lvl w:ilvl="0">
      <w:lvlJc w:val="left"/>
      <w:lvlText w:val="%1."/>
      <w:numFmt w:val="upperLetter"/>
      <w:start w:val="4"/>
    </w:lvl>
    <w:lvl w:ilvl="1">
      <w:lvlJc w:val="left"/>
      <w:lvlText w:val="(%2)"/>
      <w:numFmt w:val="decimal"/>
      <w:start w:val="2"/>
    </w:lvl>
  </w:abstractNum>
  <w:abstractNum w:abstractNumId="142">
    <w:nsid w:val="6B1D2C14"/>
    <w:multiLevelType w:val="hybridMultilevel"/>
    <w:lvl w:ilvl="0">
      <w:lvlJc w:val="left"/>
      <w:lvlText w:val="(%1)"/>
      <w:numFmt w:val="decimal"/>
      <w:start w:val="3"/>
    </w:lvl>
  </w:abstractNum>
  <w:abstractNum w:abstractNumId="143">
    <w:nsid w:val="68B867D3"/>
    <w:multiLevelType w:val="hybridMultilevel"/>
    <w:lvl w:ilvl="0">
      <w:lvlJc w:val="left"/>
      <w:lvlText w:val="%1."/>
      <w:numFmt w:val="upperLetter"/>
      <w:start w:val="5"/>
    </w:lvl>
  </w:abstractNum>
  <w:abstractNum w:abstractNumId="144">
    <w:nsid w:val="3F7F5DD9"/>
    <w:multiLevelType w:val="hybridMultilevel"/>
    <w:lvl w:ilvl="0">
      <w:lvlJc w:val="left"/>
      <w:lvlText w:val="%1."/>
      <w:numFmt w:val="upperLetter"/>
      <w:start w:val="6"/>
    </w:lvl>
  </w:abstractNum>
  <w:abstractNum w:abstractNumId="145">
    <w:nsid w:val="2AE05A34"/>
    <w:multiLevelType w:val="hybridMultilevel"/>
    <w:lvl w:ilvl="0">
      <w:lvlJc w:val="left"/>
      <w:lvlText w:val="%1."/>
      <w:numFmt w:val="upperLetter"/>
      <w:start w:val="6"/>
    </w:lvl>
  </w:abstractNum>
  <w:abstractNum w:abstractNumId="146">
    <w:nsid w:val="32794FF7"/>
    <w:multiLevelType w:val="hybridMultilevel"/>
    <w:lvl w:ilvl="0">
      <w:lvlJc w:val="left"/>
      <w:lvlText w:val="%1."/>
      <w:numFmt w:val="upperLetter"/>
      <w:start w:val="7"/>
    </w:lvl>
  </w:abstractNum>
  <w:abstractNum w:abstractNumId="147">
    <w:nsid w:val="5454945E"/>
    <w:multiLevelType w:val="hybridMultilevel"/>
    <w:lvl w:ilvl="0">
      <w:lvlJc w:val="left"/>
      <w:lvlText w:val="%1."/>
      <w:numFmt w:val="upperLetter"/>
      <w:start w:val="8"/>
    </w:lvl>
  </w:abstractNum>
  <w:abstractNum w:abstractNumId="148">
    <w:nsid w:val="4DEFDFA0"/>
    <w:multiLevelType w:val="hybridMultilevel"/>
    <w:lvl w:ilvl="0">
      <w:lvlJc w:val="left"/>
      <w:lvlText w:val="%1."/>
      <w:numFmt w:val="upperLetter"/>
      <w:start w:val="10"/>
    </w:lvl>
  </w:abstractNum>
  <w:abstractNum w:abstractNumId="149">
    <w:nsid w:val="2123D5F2"/>
    <w:multiLevelType w:val="hybridMultilevel"/>
    <w:lvl w:ilvl="0">
      <w:lvlJc w:val="left"/>
      <w:lvlText w:val="%1."/>
      <w:numFmt w:val="upperLetter"/>
      <w:start w:val="11"/>
    </w:lvl>
  </w:abstractNum>
  <w:abstractNum w:abstractNumId="150">
    <w:nsid w:val="135B8110"/>
    <w:multiLevelType w:val="hybridMultilevel"/>
    <w:lvl w:ilvl="0">
      <w:lvlJc w:val="left"/>
      <w:lvlText w:val="%1."/>
      <w:numFmt w:val="upperLetter"/>
      <w:start w:val="13"/>
    </w:lvl>
  </w:abstractNum>
  <w:abstractNum w:abstractNumId="151">
    <w:nsid w:val="94927A8"/>
    <w:multiLevelType w:val="hybridMultilevel"/>
    <w:lvl w:ilvl="0">
      <w:lvlJc w:val="left"/>
      <w:lvlText w:val="%1."/>
      <w:numFmt w:val="upperLetter"/>
      <w:start w:val="13"/>
    </w:lvl>
  </w:abstractNum>
  <w:abstractNum w:abstractNumId="152">
    <w:nsid w:val="DCDF8F6"/>
    <w:multiLevelType w:val="hybridMultilevel"/>
    <w:lvl w:ilvl="0">
      <w:lvlJc w:val="left"/>
      <w:lvlText w:val="%1."/>
      <w:numFmt w:val="upperLetter"/>
      <w:start w:val="14"/>
    </w:lvl>
  </w:abstractNum>
  <w:abstractNum w:abstractNumId="153">
    <w:nsid w:val="52D7B105"/>
    <w:multiLevelType w:val="hybridMultilevel"/>
    <w:lvl w:ilvl="0">
      <w:lvlJc w:val="left"/>
      <w:lvlText w:val="$"/>
      <w:numFmt w:val="bullet"/>
      <w:start w:val="1"/>
    </w:lvl>
  </w:abstractNum>
  <w:abstractNum w:abstractNumId="154">
    <w:nsid w:val="2E8A6394"/>
    <w:multiLevelType w:val="hybridMultilevel"/>
    <w:lvl w:ilvl="0">
      <w:lvlJc w:val="left"/>
      <w:lvlText w:val="$"/>
      <w:numFmt w:val="bullet"/>
      <w:start w:val="1"/>
    </w:lvl>
  </w:abstractNum>
  <w:abstractNum w:abstractNumId="155">
    <w:nsid w:val="24E60401"/>
    <w:multiLevelType w:val="hybridMultilevel"/>
    <w:lvl w:ilvl="0">
      <w:lvlJc w:val="left"/>
      <w:lvlText w:val="%1."/>
      <w:numFmt w:val="decimal"/>
      <w:start w:val="1"/>
    </w:lvl>
  </w:abstractNum>
  <w:abstractNum w:abstractNumId="156">
    <w:nsid w:val="2A6AD9BE"/>
    <w:multiLevelType w:val="hybridMultilevel"/>
    <w:lvl w:ilvl="0">
      <w:lvlJc w:val="left"/>
      <w:lvlText w:val="%1)"/>
      <w:numFmt w:val="decimal"/>
      <w:start w:val="1"/>
    </w:lvl>
  </w:abstractNum>
  <w:abstractNum w:abstractNumId="157">
    <w:nsid w:val="BAAC1B4"/>
    <w:multiLevelType w:val="hybridMultilevel"/>
    <w:lvl w:ilvl="0">
      <w:lvlJc w:val="left"/>
      <w:lvlText w:val="(%1)"/>
      <w:numFmt w:val="lowerRoman"/>
      <w:start w:val="4"/>
    </w:lvl>
    <w:lvl w:ilvl="1">
      <w:lvlJc w:val="left"/>
      <w:lvlText w:val="-"/>
      <w:numFmt w:val="bullet"/>
      <w:start w:val="1"/>
    </w:lvl>
  </w:abstractNum>
  <w:abstractNum w:abstractNumId="158">
    <w:nsid w:val="36B2ACBC"/>
    <w:multiLevelType w:val="hybridMultilevel"/>
    <w:lvl w:ilvl="0">
      <w:lvlJc w:val="left"/>
      <w:lvlText w:val="%1."/>
      <w:numFmt w:val="decimal"/>
      <w:start w:val="2"/>
    </w:lvl>
  </w:abstractNum>
  <w:abstractNum w:abstractNumId="159">
    <w:nsid w:val="779D8544"/>
    <w:multiLevelType w:val="hybridMultilevel"/>
    <w:lvl w:ilvl="0">
      <w:lvlJc w:val="left"/>
      <w:lvlText w:val="%1."/>
      <w:numFmt w:val="decimal"/>
      <w:start w:val="3"/>
    </w:lvl>
  </w:abstractNum>
  <w:abstractNum w:abstractNumId="160">
    <w:nsid w:val="4AB26E78"/>
    <w:multiLevelType w:val="hybridMultilevel"/>
    <w:lvl w:ilvl="0">
      <w:lvlJc w:val="left"/>
      <w:lvlText w:val="(%1)"/>
      <w:numFmt w:val="lowerLetter"/>
      <w:start w:val="1"/>
    </w:lvl>
    <w:lvl w:ilvl="1">
      <w:lvlJc w:val="left"/>
      <w:lvlText w:val="-"/>
      <w:numFmt w:val="bullet"/>
      <w:start w:val="1"/>
    </w:lvl>
  </w:abstractNum>
  <w:abstractNum w:abstractNumId="161">
    <w:nsid w:val="21FAA2FA"/>
    <w:multiLevelType w:val="hybridMultilevel"/>
    <w:lvl w:ilvl="0">
      <w:lvlJc w:val="left"/>
      <w:lvlText w:val="(%1)"/>
      <w:numFmt w:val="lowerLetter"/>
      <w:start w:val="10"/>
    </w:lvl>
    <w:lvl w:ilvl="1">
      <w:lvlJc w:val="left"/>
      <w:lvlText w:val="-"/>
      <w:numFmt w:val="bullet"/>
      <w:start w:val="1"/>
    </w:lvl>
  </w:abstractNum>
  <w:abstractNum w:abstractNumId="162">
    <w:nsid w:val="5451CF4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63">
    <w:nsid w:val="6181EF69"/>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64">
    <w:nsid w:val="3E6400E6"/>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65">
    <w:nsid w:val="14217E23"/>
    <w:multiLevelType w:val="hybridMultilevel"/>
    <w:lvl w:ilvl="0">
      <w:lvlJc w:val="left"/>
      <w:lvlText w:val="%1."/>
      <w:numFmt w:val="decimal"/>
      <w:start w:val="8"/>
    </w:lvl>
    <w:lvl w:ilvl="1">
      <w:lvlJc w:val="left"/>
      <w:lvlText w:val="-"/>
      <w:numFmt w:val="bullet"/>
      <w:start w:val="1"/>
    </w:lvl>
  </w:abstractNum>
  <w:abstractNum w:abstractNumId="166">
    <w:nsid w:val="710757D0"/>
    <w:multiLevelType w:val="hybridMultilevel"/>
    <w:lvl w:ilvl="0">
      <w:lvlJc w:val="left"/>
      <w:lvlText w:val="%1."/>
      <w:numFmt w:val="decimal"/>
      <w:start w:val="10"/>
    </w:lvl>
  </w:abstractNum>
  <w:abstractNum w:abstractNumId="167">
    <w:nsid w:val="5015CD1A"/>
    <w:multiLevelType w:val="hybridMultilevel"/>
    <w:lvl w:ilvl="0">
      <w:lvlJc w:val="left"/>
      <w:lvlText w:val="[***]"/>
      <w:numFmt w:val="bullet"/>
      <w:start w:val="1"/>
    </w:lvl>
  </w:abstractNum>
  <w:abstractNum w:abstractNumId="168">
    <w:nsid w:val="424479DA"/>
    <w:multiLevelType w:val="hybridMultilevel"/>
    <w:lvl w:ilvl="0">
      <w:lvlJc w:val="left"/>
      <w:lvlText w:val="-"/>
      <w:numFmt w:val="bullet"/>
      <w:start w:val="1"/>
    </w:lvl>
    <w:lvl w:ilvl="1">
      <w:lvlJc w:val="left"/>
      <w:lvlText w:val="(%2)"/>
      <w:numFmt w:val="lowerLetter"/>
      <w:start w:val="2"/>
    </w:lvl>
  </w:abstractNum>
  <w:abstractNum w:abstractNumId="169">
    <w:nsid w:val="1A9A9E69"/>
    <w:multiLevelType w:val="hybridMultilevel"/>
    <w:lvl w:ilvl="0">
      <w:lvlJc w:val="left"/>
      <w:lvlText w:val="[***]"/>
      <w:numFmt w:val="bullet"/>
      <w:start w:val="1"/>
    </w:lvl>
    <w:lvl w:ilvl="1">
      <w:lvlJc w:val="left"/>
      <w:lvlText w:val="-"/>
      <w:numFmt w:val="bullet"/>
      <w:start w:val="1"/>
    </w:lvl>
  </w:abstractNum>
  <w:abstractNum w:abstractNumId="170">
    <w:nsid w:val="475E256A"/>
    <w:multiLevelType w:val="hybridMultilevel"/>
    <w:lvl w:ilvl="0">
      <w:lvlJc w:val="left"/>
      <w:lvlText w:val="(%1)"/>
      <w:numFmt w:val="lowerLetter"/>
      <w:start w:val="2"/>
    </w:lvl>
  </w:abstractNum>
  <w:abstractNum w:abstractNumId="171">
    <w:nsid w:val="368DB37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72">
    <w:nsid w:val="6A3B714C"/>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73">
    <w:nsid w:val="327B517E"/>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174">
    <w:nsid w:val="1F461B51"/>
    <w:multiLevelType w:val="hybridMultilevel"/>
    <w:lvl w:ilvl="0">
      <w:lvlJc w:val="left"/>
      <w:lvlText w:val="%1."/>
      <w:numFmt w:val="decimal"/>
      <w:start w:val="13"/>
    </w:lvl>
    <w:lvl w:ilvl="1">
      <w:lvlJc w:val="left"/>
      <w:lvlText w:val="(%2)"/>
      <w:numFmt w:val="lowerRoman"/>
      <w:start w:val="2"/>
    </w:lvl>
  </w:abstractNum>
  <w:abstractNum w:abstractNumId="175">
    <w:nsid w:val="29BACF25"/>
    <w:multiLevelType w:val="hybridMultilevel"/>
    <w:lvl w:ilvl="0">
      <w:lvlJc w:val="left"/>
      <w:lvlText w:val="%1"/>
      <w:numFmt w:val="decimal"/>
      <w:start w:val="1"/>
    </w:lvl>
    <w:lvl w:ilvl="1">
      <w:lvlJc w:val="left"/>
      <w:lvlText w:val="(%2)"/>
      <w:numFmt w:val="lowerRoman"/>
      <w:start w:val="5"/>
    </w:lvl>
  </w:abstractNum>
  <w:abstractNum w:abstractNumId="176">
    <w:nsid w:val="5D5BABB3"/>
    <w:multiLevelType w:val="hybridMultilevel"/>
    <w:lvl w:ilvl="0">
      <w:lvlJc w:val="left"/>
      <w:lvlText w:val="-"/>
      <w:numFmt w:val="bullet"/>
      <w:start w:val="1"/>
    </w:lvl>
    <w:lvl w:ilvl="1">
      <w:lvlJc w:val="left"/>
      <w:lvlText w:val="(%2)"/>
      <w:numFmt w:val="lowerLetter"/>
      <w:start w:val="1"/>
    </w:lvl>
  </w:abstractNum>
  <w:abstractNum w:abstractNumId="177">
    <w:nsid w:val="51BF6B48"/>
    <w:multiLevelType w:val="hybridMultilevel"/>
    <w:lvl w:ilvl="0">
      <w:lvlJc w:val="left"/>
      <w:lvlText w:val="[***]"/>
      <w:numFmt w:val="bullet"/>
      <w:start w:val="1"/>
    </w:lvl>
    <w:lvl w:ilvl="1">
      <w:lvlJc w:val="left"/>
      <w:lvlText w:val="(%2)"/>
      <w:numFmt w:val="lowerLetter"/>
      <w:start w:val="6"/>
    </w:lvl>
    <w:lvl w:ilvl="2">
      <w:lvlJc w:val="left"/>
      <w:lvlText w:val="-"/>
      <w:numFmt w:val="bullet"/>
      <w:start w:val="1"/>
    </w:lvl>
  </w:abstractNum>
  <w:abstractNum w:abstractNumId="178">
    <w:nsid w:val="7E0F6384"/>
    <w:multiLevelType w:val="hybridMultilevel"/>
    <w:lvl w:ilvl="0">
      <w:lvlJc w:val="left"/>
      <w:lvlText w:val="(%1)"/>
      <w:numFmt w:val="lowerLetter"/>
      <w:start w:val="1"/>
    </w:lvl>
  </w:abstractNum>
  <w:abstractNum w:abstractNumId="179">
    <w:nsid w:val="2B4B8B53"/>
    <w:multiLevelType w:val="hybridMultilevel"/>
    <w:lvl w:ilvl="0">
      <w:lvlJc w:val="left"/>
      <w:lvlText w:val="-"/>
      <w:numFmt w:val="bullet"/>
      <w:start w:val="1"/>
    </w:lvl>
    <w:lvl w:ilvl="1">
      <w:lvlJc w:val="left"/>
      <w:lvlText w:val="(%2)"/>
      <w:numFmt w:val="lowerLetter"/>
      <w:start w:val="2"/>
    </w:lvl>
  </w:abstractNum>
  <w:abstractNum w:abstractNumId="180">
    <w:nsid w:val="72E3413A"/>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181">
    <w:nsid w:val="116AE494"/>
    <w:multiLevelType w:val="hybridMultilevel"/>
    <w:lvl w:ilvl="0">
      <w:lvlJc w:val="left"/>
      <w:lvlText w:val="%1."/>
      <w:numFmt w:val="decimal"/>
      <w:start w:val="15"/>
    </w:lvl>
    <w:lvl w:ilvl="1">
      <w:lvlJc w:val="left"/>
      <w:lvlText w:val="-"/>
      <w:numFmt w:val="bullet"/>
      <w:start w:val="1"/>
    </w:lvl>
  </w:abstractNum>
  <w:abstractNum w:abstractNumId="182">
    <w:nsid w:val="3494B2FB"/>
    <w:multiLevelType w:val="hybridMultilevel"/>
    <w:lvl w:ilvl="0">
      <w:lvlJc w:val="left"/>
      <w:lvlText w:val="%1."/>
      <w:numFmt w:val="decimal"/>
      <w:start w:val="18"/>
    </w:lvl>
  </w:abstractNum>
  <w:abstractNum w:abstractNumId="183">
    <w:nsid w:val="B13A31"/>
    <w:multiLevelType w:val="hybridMultilevel"/>
    <w:lvl w:ilvl="0">
      <w:lvlJc w:val="left"/>
      <w:lvlText w:val="(%1)"/>
      <w:numFmt w:val="lowerLetter"/>
      <w:start w:val="1"/>
    </w:lvl>
  </w:abstractNum>
  <w:abstractNum w:abstractNumId="184">
    <w:nsid w:val="64429599"/>
    <w:multiLevelType w:val="hybridMultilevel"/>
    <w:lvl w:ilvl="0">
      <w:lvlJc w:val="left"/>
      <w:lvlText w:val="[***]"/>
      <w:numFmt w:val="bullet"/>
      <w:start w:val="1"/>
    </w:lvl>
    <w:lvl w:ilvl="1">
      <w:lvlJc w:val="left"/>
      <w:lvlText w:val="-"/>
      <w:numFmt w:val="bullet"/>
      <w:start w:val="1"/>
    </w:lvl>
  </w:abstractNum>
  <w:abstractNum w:abstractNumId="185">
    <w:nsid w:val="631F1690"/>
    <w:multiLevelType w:val="hybridMultilevel"/>
    <w:lvl w:ilvl="0">
      <w:lvlJc w:val="left"/>
      <w:lvlText w:val="[***]"/>
      <w:numFmt w:val="bullet"/>
      <w:start w:val="1"/>
    </w:lvl>
    <w:lvl w:ilvl="1">
      <w:lvlJc w:val="left"/>
      <w:lvlText w:val="-"/>
      <w:numFmt w:val="bullet"/>
      <w:start w:val="1"/>
    </w:lvl>
  </w:abstractNum>
  <w:abstractNum w:abstractNumId="186">
    <w:nsid w:val="25973E32"/>
    <w:multiLevelType w:val="hybridMultilevel"/>
    <w:lvl w:ilvl="0">
      <w:lvlJc w:val="left"/>
      <w:lvlText w:val="%1."/>
      <w:numFmt w:val="decimal"/>
      <w:start w:val="2"/>
    </w:lvl>
    <w:lvl w:ilvl="1">
      <w:lvlJc w:val="left"/>
      <w:lvlText w:val="(%2)"/>
      <w:numFmt w:val="lowerLetter"/>
      <w:start w:val="1"/>
    </w:lvl>
  </w:abstractNum>
  <w:abstractNum w:abstractNumId="187">
    <w:nsid w:val="EAD6F57"/>
    <w:multiLevelType w:val="hybridMultilevel"/>
    <w:lvl w:ilvl="0">
      <w:lvlJc w:val="left"/>
      <w:lvlText w:val="%1."/>
      <w:numFmt w:val="decimal"/>
      <w:start w:val="2"/>
    </w:lvl>
    <w:lvl w:ilvl="1">
      <w:lvlJc w:val="left"/>
      <w:lvlText w:val="(%2)"/>
      <w:numFmt w:val="lowerLetter"/>
      <w:start w:val="1"/>
    </w:lvl>
  </w:abstractNum>
  <w:abstractNum w:abstractNumId="188">
    <w:nsid w:val="6EC9D844"/>
    <w:multiLevelType w:val="hybridMultilevel"/>
    <w:lvl w:ilvl="0">
      <w:lvlJc w:val="left"/>
      <w:lvlText w:val="%1."/>
      <w:numFmt w:val="decimal"/>
      <w:start w:val="1"/>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2019-12-14T03:27:00Z</dcterms:created>
  <dcterms:modified xsi:type="dcterms:W3CDTF">2019-12-14T03:27:00Z</dcterms:modified>
</cp:coreProperties>
</file>