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19"/>
        <w:spacing w:after="0"/>
        <w:rPr>
          <w:sz w:val="20"/>
          <w:szCs w:val="20"/>
          <w:color w:val="auto"/>
        </w:rPr>
      </w:pPr>
      <w:r>
        <w:rPr>
          <w:rFonts w:ascii="Courier New" w:cs="Courier New" w:eastAsia="Courier New" w:hAnsi="Courier New"/>
          <w:sz w:val="12"/>
          <w:szCs w:val="12"/>
          <w:color w:val="auto"/>
        </w:rPr>
        <w:t>FORM 6-K</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Washington, D.C. 20549</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For the month of December 2006 No. 3</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jc w:val="center"/>
        <w:ind w:right="455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33" w:lineRule="exact"/>
        <w:rPr>
          <w:sz w:val="24"/>
          <w:szCs w:val="24"/>
          <w:color w:val="auto"/>
        </w:rPr>
      </w:pP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rPr>
          <w:sz w:val="20"/>
          <w:szCs w:val="20"/>
          <w:color w:val="auto"/>
        </w:rPr>
      </w:pPr>
      <w:r>
        <w:rPr>
          <w:rFonts w:ascii="Courier New" w:cs="Courier New" w:eastAsia="Courier New" w:hAnsi="Courier New"/>
          <w:sz w:val="12"/>
          <w:szCs w:val="12"/>
          <w:color w:val="auto"/>
        </w:rPr>
        <w:t>(Address of principal executive offices)</w:t>
      </w:r>
    </w:p>
    <w:p>
      <w:pPr>
        <w:spacing w:after="0" w:line="138" w:lineRule="exact"/>
        <w:rPr>
          <w:sz w:val="24"/>
          <w:szCs w:val="24"/>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5" w:lineRule="exact"/>
        <w:rPr>
          <w:sz w:val="24"/>
          <w:szCs w:val="24"/>
          <w:color w:val="auto"/>
        </w:rPr>
      </w:pPr>
    </w:p>
    <w:p>
      <w:pPr>
        <w:ind w:left="1740"/>
        <w:spacing w:after="0"/>
        <w:tabs>
          <w:tab w:leader="none" w:pos="300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1"/>
          <w:szCs w:val="11"/>
          <w:color w:val="auto"/>
        </w:rPr>
        <w:t>Form 40-F [_]</w:t>
      </w:r>
    </w:p>
    <w:p>
      <w:pPr>
        <w:spacing w:after="0" w:line="139" w:lineRule="exact"/>
        <w:rPr>
          <w:sz w:val="24"/>
          <w:szCs w:val="24"/>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56" w:lineRule="exact"/>
        <w:rPr>
          <w:sz w:val="24"/>
          <w:szCs w:val="24"/>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The Registrant will hold its Annual and Special General Meeting of Shareholders on January 31, 2007 at 11:00 a.m. (Israel time) at the Registrant's offices in Migdal Haemek, Israel. In connection with the meeting, on or about December 27, 2006, the Registrant will mail to shareholders (i) a Notice of Annual and Special General Meeting and Proxy Statement and (ii) a Proxy Card. Attached hereto as Exhibits 99.1 and 99.2 are, respectively, the Notice of Annual and Special General Meeting and Proxy Statement and Proxy Card.</w:t>
      </w:r>
    </w:p>
    <w:p>
      <w:pPr>
        <w:spacing w:after="0" w:line="376"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4"/>
          <w:szCs w:val="24"/>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270" w:lineRule="exact"/>
        <w:rPr>
          <w:sz w:val="24"/>
          <w:szCs w:val="24"/>
          <w:color w:val="auto"/>
        </w:rPr>
      </w:pPr>
    </w:p>
    <w:p>
      <w:pPr>
        <w:ind w:left="308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209" w:right="1440" w:bottom="1440" w:gutter="0" w:footer="0" w:header="0"/>
        </w:sectPr>
      </w:pPr>
    </w:p>
    <w:p>
      <w:pPr>
        <w:spacing w:after="0" w:line="27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Date: December 21, 2006</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By: /s/ Nati Somekh Gilboa</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rPr>
          <w:sz w:val="20"/>
          <w:szCs w:val="20"/>
          <w:color w:val="auto"/>
        </w:rPr>
      </w:pPr>
      <w:r>
        <w:rPr>
          <w:rFonts w:ascii="Courier New" w:cs="Courier New" w:eastAsia="Courier New" w:hAnsi="Courier New"/>
          <w:sz w:val="12"/>
          <w:szCs w:val="12"/>
          <w:color w:val="auto"/>
        </w:rPr>
        <w:t>Corporate Secretary</w:t>
      </w:r>
    </w:p>
    <w:p>
      <w:pPr>
        <w:sectPr>
          <w:pgSz w:w="11900" w:h="16838" w:orient="portrait"/>
          <w:cols w:equalWidth="0" w:num="2">
            <w:col w:w="2360" w:space="720"/>
            <w:col w:w="7159"/>
          </w:cols>
          <w:pgMar w:left="220" w:top="209" w:right="1440" w:bottom="1440" w:gutter="0" w:footer="0" w:header="0"/>
          <w:type w:val="continuous"/>
        </w:sectPr>
      </w:pPr>
    </w:p>
    <w:bookmarkStart w:id="1" w:name="page2"/>
    <w:bookmarkEnd w:id="1"/>
    <w:p>
      <w:pPr>
        <w:jc w:val="center"/>
        <w:ind w:right="-148"/>
        <w:spacing w:after="0"/>
        <w:rPr>
          <w:sz w:val="20"/>
          <w:szCs w:val="20"/>
          <w:color w:val="auto"/>
        </w:rPr>
      </w:pPr>
      <w:r>
        <w:rPr>
          <w:rFonts w:ascii="Courier New" w:cs="Courier New" w:eastAsia="Courier New" w:hAnsi="Courier New"/>
          <w:sz w:val="11"/>
          <w:szCs w:val="11"/>
          <w:color w:val="auto"/>
        </w:rPr>
        <w:t>EXHIBIT 99.1</w:t>
      </w:r>
    </w:p>
    <w:p>
      <w:pPr>
        <w:spacing w:after="0" w:line="200" w:lineRule="exact"/>
        <w:rPr>
          <w:sz w:val="20"/>
          <w:szCs w:val="20"/>
          <w:color w:val="auto"/>
        </w:rPr>
      </w:pPr>
    </w:p>
    <w:p>
      <w:pPr>
        <w:spacing w:after="0" w:line="211"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TOWER SEMICONDUCTOR LTD.</w:t>
      </w:r>
    </w:p>
    <w:p>
      <w:pPr>
        <w:jc w:val="center"/>
        <w:ind w:right="4551"/>
        <w:spacing w:after="0"/>
        <w:rPr>
          <w:sz w:val="20"/>
          <w:szCs w:val="20"/>
          <w:color w:val="auto"/>
        </w:rPr>
      </w:pPr>
      <w:r>
        <w:rPr>
          <w:rFonts w:ascii="Courier New" w:cs="Courier New" w:eastAsia="Courier New" w:hAnsi="Courier New"/>
          <w:sz w:val="12"/>
          <w:szCs w:val="12"/>
          <w:color w:val="auto"/>
        </w:rPr>
        <w:t>NOTICE OF SPECIAL GENERAL MEETING OF SHAREHOLDERS</w:t>
      </w:r>
    </w:p>
    <w:p>
      <w:pPr>
        <w:spacing w:after="0" w:line="133"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TO BE HELD ON JANUARY 31, 2007</w:t>
      </w:r>
    </w:p>
    <w:p>
      <w:pPr>
        <w:spacing w:after="0" w:line="139"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Notice is hereby given that a Special General Meeting (the "Meeting") of the shareholders of Tower Semiconductor Ltd. ("Tower" or the "Company"), an Israeli company, will be held at the offices of the Company, Hamada Avenue, Ramat Gavriel Industrial Park, Migdal Haemek, Israel, on Wednesday, January 31, 2007, at 11:00 (Israel time) for the following purposes:</w:t>
      </w:r>
    </w:p>
    <w:p>
      <w:pPr>
        <w:spacing w:after="0" w:line="139" w:lineRule="exact"/>
        <w:rPr>
          <w:sz w:val="20"/>
          <w:szCs w:val="20"/>
          <w:color w:val="auto"/>
        </w:rPr>
      </w:pPr>
    </w:p>
    <w:p>
      <w:pPr>
        <w:ind w:left="348" w:right="5039" w:hanging="348"/>
        <w:spacing w:after="0" w:line="235"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appoint Mr. Dov Moran as Chairman of the Board of Directors and to approve his terms of compensation.</w:t>
      </w:r>
    </w:p>
    <w:p>
      <w:pPr>
        <w:spacing w:after="0" w:line="134"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appoint Ms. Miri Katz to a three-year term as an external director.</w:t>
      </w:r>
    </w:p>
    <w:p>
      <w:pPr>
        <w:spacing w:after="0" w:line="138" w:lineRule="exact"/>
        <w:rPr>
          <w:rFonts w:ascii="Courier New" w:cs="Courier New" w:eastAsia="Courier New" w:hAnsi="Courier New"/>
          <w:sz w:val="12"/>
          <w:szCs w:val="12"/>
          <w:color w:val="auto"/>
        </w:rPr>
      </w:pPr>
    </w:p>
    <w:p>
      <w:pPr>
        <w:ind w:left="348" w:right="5039" w:hanging="348"/>
        <w:spacing w:after="0" w:line="236"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terms of compensation of our directors who are not affiliated with major shareholders of the Company and are not Company employees.</w:t>
      </w:r>
    </w:p>
    <w:p>
      <w:pPr>
        <w:spacing w:after="0" w:line="139" w:lineRule="exact"/>
        <w:rPr>
          <w:rFonts w:ascii="Courier New" w:cs="Courier New" w:eastAsia="Courier New" w:hAnsi="Courier New"/>
          <w:sz w:val="12"/>
          <w:szCs w:val="12"/>
          <w:color w:val="auto"/>
        </w:rPr>
      </w:pPr>
    </w:p>
    <w:p>
      <w:pPr>
        <w:ind w:left="348" w:right="4899" w:hanging="348"/>
        <w:spacing w:after="0" w:line="236"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modification of the terms of compensation and the performance-based bonus of our chief executive officer and director Mr. Russell Ellwanger.</w:t>
      </w:r>
    </w:p>
    <w:p>
      <w:pPr>
        <w:spacing w:after="0" w:line="139" w:lineRule="exact"/>
        <w:rPr>
          <w:rFonts w:ascii="Courier New" w:cs="Courier New" w:eastAsia="Courier New" w:hAnsi="Courier New"/>
          <w:sz w:val="12"/>
          <w:szCs w:val="12"/>
          <w:color w:val="auto"/>
        </w:rPr>
      </w:pPr>
    </w:p>
    <w:p>
      <w:pPr>
        <w:ind w:left="348" w:right="4839" w:hanging="348"/>
        <w:spacing w:after="0" w:line="235" w:lineRule="auto"/>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renewal of the Company's directors and officers liability insurance policy.</w:t>
      </w:r>
    </w:p>
    <w:p>
      <w:pPr>
        <w:spacing w:after="0" w:line="134"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transact such other business as may properly come before the Meeting.</w:t>
      </w:r>
    </w:p>
    <w:p>
      <w:pPr>
        <w:spacing w:after="0" w:line="139"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Shareholders of record at the close of business on December 27, 2006, are entitled to notice of, and to vote at the Meeting. All shareholders are cordially invited to attend the Meeting in person.</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pacing w:after="0" w:line="275" w:lineRule="exact"/>
        <w:rPr>
          <w:sz w:val="20"/>
          <w:szCs w:val="20"/>
          <w:color w:val="auto"/>
        </w:rPr>
      </w:pPr>
    </w:p>
    <w:p>
      <w:pPr>
        <w:ind w:left="3088"/>
        <w:spacing w:after="0"/>
        <w:rPr>
          <w:sz w:val="20"/>
          <w:szCs w:val="20"/>
          <w:color w:val="auto"/>
        </w:rPr>
      </w:pPr>
      <w:r>
        <w:rPr>
          <w:rFonts w:ascii="Courier New" w:cs="Courier New" w:eastAsia="Courier New" w:hAnsi="Courier New"/>
          <w:sz w:val="12"/>
          <w:szCs w:val="12"/>
          <w:color w:val="auto"/>
        </w:rPr>
        <w:t>By Order of the Board of Directors,</w:t>
      </w:r>
    </w:p>
    <w:p>
      <w:pPr>
        <w:ind w:left="3088"/>
        <w:spacing w:after="0"/>
        <w:rPr>
          <w:sz w:val="20"/>
          <w:szCs w:val="20"/>
          <w:color w:val="auto"/>
        </w:rPr>
      </w:pPr>
      <w:r>
        <w:rPr>
          <w:rFonts w:ascii="Courier New" w:cs="Courier New" w:eastAsia="Courier New" w:hAnsi="Courier New"/>
          <w:sz w:val="12"/>
          <w:szCs w:val="12"/>
          <w:color w:val="auto"/>
        </w:rPr>
        <w:t>December 22, 2006</w:t>
      </w:r>
    </w:p>
    <w:p>
      <w:pPr>
        <w:spacing w:after="0" w:line="251"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PROXY STATEMENT</w:t>
      </w:r>
    </w:p>
    <w:p>
      <w:pPr>
        <w:spacing w:after="0" w:line="134" w:lineRule="exact"/>
        <w:rPr>
          <w:sz w:val="20"/>
          <w:szCs w:val="20"/>
          <w:color w:val="auto"/>
        </w:rPr>
      </w:pPr>
    </w:p>
    <w:p>
      <w:pPr>
        <w:ind w:left="1968"/>
        <w:spacing w:after="0"/>
        <w:rPr>
          <w:sz w:val="20"/>
          <w:szCs w:val="20"/>
          <w:color w:val="auto"/>
        </w:rPr>
      </w:pPr>
      <w:r>
        <w:rPr>
          <w:rFonts w:ascii="Courier New" w:cs="Courier New" w:eastAsia="Courier New" w:hAnsi="Courier New"/>
          <w:sz w:val="12"/>
          <w:szCs w:val="12"/>
          <w:color w:val="auto"/>
        </w:rPr>
        <w:t>TOWER SEMICONDUCTOR LTD.</w:t>
      </w:r>
    </w:p>
    <w:p>
      <w:pPr>
        <w:ind w:left="1268"/>
        <w:spacing w:after="0"/>
        <w:rPr>
          <w:sz w:val="20"/>
          <w:szCs w:val="20"/>
          <w:color w:val="auto"/>
        </w:rPr>
      </w:pPr>
      <w:r>
        <w:rPr>
          <w:rFonts w:ascii="Courier New" w:cs="Courier New" w:eastAsia="Courier New" w:hAnsi="Courier New"/>
          <w:sz w:val="12"/>
          <w:szCs w:val="12"/>
          <w:color w:val="auto"/>
        </w:rPr>
        <w:t>HAMADA AVENUE, RAMAT GAVRIEL INDUSTRIAL PARK</w:t>
      </w:r>
    </w:p>
    <w:p>
      <w:pPr>
        <w:ind w:left="2388"/>
        <w:spacing w:after="0" w:line="237" w:lineRule="auto"/>
        <w:rPr>
          <w:sz w:val="20"/>
          <w:szCs w:val="20"/>
          <w:color w:val="auto"/>
        </w:rPr>
      </w:pPr>
      <w:r>
        <w:rPr>
          <w:rFonts w:ascii="Courier New" w:cs="Courier New" w:eastAsia="Courier New" w:hAnsi="Courier New"/>
          <w:sz w:val="12"/>
          <w:szCs w:val="12"/>
          <w:color w:val="auto"/>
        </w:rPr>
        <w:t>P.O. BOX 619</w:t>
      </w:r>
    </w:p>
    <w:p>
      <w:pPr>
        <w:ind w:left="1888"/>
        <w:spacing w:after="0"/>
        <w:rPr>
          <w:sz w:val="20"/>
          <w:szCs w:val="20"/>
          <w:color w:val="auto"/>
        </w:rPr>
      </w:pPr>
      <w:r>
        <w:rPr>
          <w:rFonts w:ascii="Courier New" w:cs="Courier New" w:eastAsia="Courier New" w:hAnsi="Courier New"/>
          <w:sz w:val="12"/>
          <w:szCs w:val="12"/>
          <w:color w:val="auto"/>
        </w:rPr>
        <w:t>MIGDAL HAEMEK 23105, ISRAEL</w:t>
      </w:r>
    </w:p>
    <w:p>
      <w:pPr>
        <w:spacing w:after="0" w:line="133" w:lineRule="exact"/>
        <w:rPr>
          <w:sz w:val="20"/>
          <w:szCs w:val="20"/>
          <w:color w:val="auto"/>
        </w:rPr>
      </w:pPr>
    </w:p>
    <w:p>
      <w:pPr>
        <w:ind w:left="1468"/>
        <w:spacing w:after="0"/>
        <w:rPr>
          <w:sz w:val="20"/>
          <w:szCs w:val="20"/>
          <w:color w:val="auto"/>
        </w:rPr>
      </w:pPr>
      <w:r>
        <w:rPr>
          <w:rFonts w:ascii="Courier New" w:cs="Courier New" w:eastAsia="Courier New" w:hAnsi="Courier New"/>
          <w:sz w:val="12"/>
          <w:szCs w:val="12"/>
          <w:color w:val="auto"/>
        </w:rPr>
        <w:t>SPECIAL GENERAL MEETING OF SHAREHOLDERS</w:t>
      </w:r>
    </w:p>
    <w:p>
      <w:pPr>
        <w:spacing w:after="0" w:line="134" w:lineRule="exact"/>
        <w:rPr>
          <w:sz w:val="20"/>
          <w:szCs w:val="20"/>
          <w:color w:val="auto"/>
        </w:rPr>
      </w:pPr>
    </w:p>
    <w:p>
      <w:pPr>
        <w:ind w:left="1748"/>
        <w:spacing w:after="0"/>
        <w:rPr>
          <w:sz w:val="20"/>
          <w:szCs w:val="20"/>
          <w:color w:val="auto"/>
        </w:rPr>
      </w:pPr>
      <w:r>
        <w:rPr>
          <w:rFonts w:ascii="Courier New" w:cs="Courier New" w:eastAsia="Courier New" w:hAnsi="Courier New"/>
          <w:sz w:val="12"/>
          <w:szCs w:val="12"/>
          <w:color w:val="auto"/>
        </w:rPr>
        <w:t>TO BE HELD ON JANUARY 31, 2007</w:t>
      </w:r>
    </w:p>
    <w:p>
      <w:pPr>
        <w:spacing w:after="0" w:line="139" w:lineRule="exact"/>
        <w:rPr>
          <w:sz w:val="20"/>
          <w:szCs w:val="20"/>
          <w:color w:val="auto"/>
        </w:rPr>
      </w:pPr>
    </w:p>
    <w:p>
      <w:pPr>
        <w:ind w:left="8" w:right="4619" w:firstLine="351"/>
        <w:spacing w:after="0" w:line="262" w:lineRule="auto"/>
        <w:rPr>
          <w:sz w:val="20"/>
          <w:szCs w:val="20"/>
          <w:color w:val="auto"/>
        </w:rPr>
      </w:pPr>
      <w:r>
        <w:rPr>
          <w:rFonts w:ascii="Courier New" w:cs="Courier New" w:eastAsia="Courier New" w:hAnsi="Courier New"/>
          <w:sz w:val="11"/>
          <w:szCs w:val="11"/>
          <w:color w:val="auto"/>
        </w:rPr>
        <w:t>The enclosed proxy is being solicited by the board of directors (the "Board of Directors") of Tower Semiconductor Ltd. (the "Company" or "Tower") for use at our Special General Meeting of Shareholders (the "Meeting") to be held on Wednesday, January 31, 2007, or at any postponement or adjournment thereof. The record date for determining shareholders entitled to notice of, and to vote at, the Meeting is established as of the close of business on December 27, 2006.</w:t>
      </w:r>
    </w:p>
    <w:p>
      <w:pPr>
        <w:spacing w:after="0" w:line="130" w:lineRule="exact"/>
        <w:rPr>
          <w:sz w:val="20"/>
          <w:szCs w:val="20"/>
          <w:color w:val="auto"/>
        </w:rPr>
      </w:pPr>
    </w:p>
    <w:p>
      <w:pPr>
        <w:ind w:left="8" w:right="4699" w:firstLine="351"/>
        <w:spacing w:after="0" w:line="273" w:lineRule="auto"/>
        <w:rPr>
          <w:sz w:val="20"/>
          <w:szCs w:val="20"/>
          <w:color w:val="auto"/>
        </w:rPr>
      </w:pPr>
      <w:r>
        <w:rPr>
          <w:rFonts w:ascii="Courier New" w:cs="Courier New" w:eastAsia="Courier New" w:hAnsi="Courier New"/>
          <w:sz w:val="11"/>
          <w:szCs w:val="11"/>
          <w:color w:val="auto"/>
        </w:rPr>
        <w:t>As of November 30, 2006, we had outstanding 100,590,487 of our ordinary shares, nominal value New Israeli Shekels ("NIS") 1.00 (the "Ordinary Shares").</w:t>
      </w:r>
    </w:p>
    <w:p>
      <w:pPr>
        <w:spacing w:after="0" w:line="122" w:lineRule="exact"/>
        <w:rPr>
          <w:sz w:val="20"/>
          <w:szCs w:val="20"/>
          <w:color w:val="auto"/>
        </w:rPr>
      </w:pPr>
    </w:p>
    <w:p>
      <w:pPr>
        <w:ind w:left="8" w:right="4759" w:firstLine="351"/>
        <w:spacing w:after="0" w:line="262" w:lineRule="auto"/>
        <w:rPr>
          <w:sz w:val="20"/>
          <w:szCs w:val="20"/>
          <w:color w:val="auto"/>
        </w:rPr>
      </w:pPr>
      <w:r>
        <w:rPr>
          <w:rFonts w:ascii="Courier New" w:cs="Courier New" w:eastAsia="Courier New" w:hAnsi="Courier New"/>
          <w:sz w:val="11"/>
          <w:szCs w:val="11"/>
          <w:color w:val="auto"/>
        </w:rPr>
        <w:t>We expect to solicit proxies by mail and to mail this proxy statement and the accompanying proxy card to shareholders on or about December 27, 2006.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30"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or against any of the proposals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3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 Written revocations and later-dated proxies should be sent to the Company at Hamada Avenue, Ramat Gavriel Industrial Park, Post Office Box 619, Migdal Haemek 23105, Israel, Attention: Corporate Secretary.</w:t>
      </w:r>
    </w:p>
    <w:p>
      <w:pPr>
        <w:spacing w:after="0" w:line="272"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2</w:t>
      </w:r>
    </w:p>
    <w:p>
      <w:pPr>
        <w:spacing w:after="0" w:line="121"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February 7, 2007 at the same hour and place, without it being necessary to notify the shareholders. If a quorum is not present at the adjourned date of the Meeting within half an hour of the time scheduled for the commencement thereof, subject to the terms of applicable law, the persons present shall constitute a quorum.</w:t>
      </w:r>
    </w:p>
    <w:p>
      <w:pPr>
        <w:spacing w:after="0" w:line="131"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Each of Proposals 1, 3 and 4 to be presented at the Meeting requires the affirmative vote of shareholders present in person or by proxy and holding Ordinary Shares amounting in the aggregate to at least a majority of the votes actually cast with respect to each such proposal.</w:t>
      </w:r>
    </w:p>
    <w:p>
      <w:pPr>
        <w:spacing w:after="0" w:line="141" w:lineRule="exact"/>
        <w:rPr>
          <w:sz w:val="20"/>
          <w:szCs w:val="20"/>
          <w:color w:val="auto"/>
        </w:rPr>
      </w:pPr>
    </w:p>
    <w:p>
      <w:pPr>
        <w:jc w:val="both"/>
        <w:ind w:left="8" w:right="4619" w:firstLine="351"/>
        <w:spacing w:after="0" w:line="266" w:lineRule="auto"/>
        <w:rPr>
          <w:sz w:val="20"/>
          <w:szCs w:val="20"/>
          <w:color w:val="auto"/>
        </w:rPr>
      </w:pPr>
      <w:r>
        <w:rPr>
          <w:rFonts w:ascii="Courier New" w:cs="Courier New" w:eastAsia="Courier New" w:hAnsi="Courier New"/>
          <w:sz w:val="11"/>
          <w:szCs w:val="11"/>
          <w:color w:val="auto"/>
        </w:rPr>
        <w:t>Proposal 2 to be presented at the Meeting requires the affirmative vote of shareholders present in person or by proxy and holding Ordinary Shares amounting in the aggregate to at least a majority of the votes actually cast with respect</w:t>
      </w:r>
    </w:p>
    <w:p>
      <w:pPr>
        <w:sectPr>
          <w:pgSz w:w="11900" w:h="16838" w:orient="portrait"/>
          <w:cols w:equalWidth="0" w:num="1">
            <w:col w:w="10247"/>
          </w:cols>
          <w:pgMar w:left="212" w:top="141" w:right="1440" w:bottom="0" w:gutter="0" w:footer="0" w:header="0"/>
        </w:sectPr>
      </w:pPr>
    </w:p>
    <w:bookmarkStart w:id="2" w:name="page3"/>
    <w:bookmarkEnd w:id="2"/>
    <w:p>
      <w:pPr>
        <w:ind w:left="8" w:right="4619"/>
        <w:spacing w:after="0" w:line="237" w:lineRule="auto"/>
        <w:rPr>
          <w:sz w:val="20"/>
          <w:szCs w:val="20"/>
          <w:color w:val="auto"/>
        </w:rPr>
      </w:pPr>
      <w:r>
        <w:rPr>
          <w:rFonts w:ascii="Courier New" w:cs="Courier New" w:eastAsia="Courier New" w:hAnsi="Courier New"/>
          <w:sz w:val="12"/>
          <w:szCs w:val="12"/>
          <w:color w:val="auto"/>
        </w:rPr>
        <w:t>to such proposal. Furthermore, under the Israeli Companies Law, the approval of such proposal requires that either: (i) said majority include at least one-third of the voting power of the non-controlling shareholders who are present in person or by proxy and who vote on such proposal; or (ii) the total votes cast in opposition to the proposal by the non-controlling shareholders does not exceed 1% of all the voting power in the Company.</w:t>
      </w:r>
    </w:p>
    <w:p>
      <w:pPr>
        <w:spacing w:after="0" w:line="140"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Proposal 5 to be presented at the Meeting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disinterested shareholders who are present in person or by proxy and who vote on such proposal; or (ii) the total votes cast in opposition to the proposal by the disinterested shareholders does not exceed 1% of all the voting power in the Company. SHAREHOLDERS ARE REQUESTED TO NOTIFY US WHETHER OR NOT THEY HAVE A "PERSONAL INTEREST" IN CONNECTION WITH PROPOSAL 5 (PLEASE SEE THE DEFINITION OF THE TERM "PERSONAL INTEREST" BELOW). IF ANY SHAREHOLDER CASTING A VOTE IN CONNECTION HERETO DOES NOT NOTIFY US WHETHER OR NOT THEY HAVE A PERSONAL INTEREST WITH RESPECT TO PROPOSAL 5 THEIR VOTE WITH RESPECT TO THIS PROPOSAL WILL BE DISQUALIFIED.</w:t>
      </w:r>
    </w:p>
    <w:p>
      <w:pPr>
        <w:spacing w:after="0" w:line="396" w:lineRule="exact"/>
        <w:rPr>
          <w:sz w:val="20"/>
          <w:szCs w:val="20"/>
          <w:color w:val="auto"/>
        </w:rPr>
      </w:pPr>
    </w:p>
    <w:p>
      <w:pPr>
        <w:jc w:val="center"/>
        <w:ind w:right="4691"/>
        <w:spacing w:after="0"/>
        <w:rPr>
          <w:sz w:val="20"/>
          <w:szCs w:val="20"/>
          <w:color w:val="auto"/>
        </w:rPr>
      </w:pPr>
      <w:r>
        <w:rPr>
          <w:rFonts w:ascii="Courier New" w:cs="Courier New" w:eastAsia="Courier New" w:hAnsi="Courier New"/>
          <w:sz w:val="12"/>
          <w:szCs w:val="12"/>
          <w:color w:val="auto"/>
        </w:rPr>
        <w:t>3</w:t>
      </w:r>
    </w:p>
    <w:p>
      <w:pPr>
        <w:spacing w:after="0" w:line="116"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color w:val="auto"/>
        </w:rPr>
        <w:t>PRINCIPAL SHAREHOLDERS</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The following table and notes thereto set forth information, as of November 30, 2006, concerning the beneficial ownership (as defined in Rule 13d-3 under the Securities Exchange Act of 1934, as amended), and on a diluted basis, of Ordinary Shares by any person who is known to own at least 5% of our Ordinary Shares. On such date, 100,590,487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8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9"/>
              </w:rPr>
              <w:t>PERCENT OF</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w w:val="95"/>
              </w:rPr>
              <w:t>PERCENT OF CLASS</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IDENTITY OF PERSON OR GROUP</w:t>
            </w:r>
          </w:p>
        </w:tc>
        <w:tc>
          <w:tcPr>
            <w:tcW w:w="15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AMOUNT OWNED(1)</w:t>
            </w:r>
          </w:p>
        </w:tc>
        <w:tc>
          <w:tcPr>
            <w:tcW w:w="8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CLASS(1)</w:t>
            </w:r>
          </w:p>
        </w:tc>
        <w:tc>
          <w:tcPr>
            <w:tcW w:w="11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(DILUTED)(2)</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2880" w:type="dxa"/>
            <w:vAlign w:val="bottom"/>
          </w:tcPr>
          <w:p>
            <w:pPr>
              <w:spacing w:after="0"/>
              <w:rPr>
                <w:sz w:val="20"/>
                <w:szCs w:val="20"/>
                <w:color w:val="auto"/>
              </w:rPr>
            </w:pPr>
            <w:r>
              <w:rPr>
                <w:rFonts w:ascii="Courier New" w:cs="Courier New" w:eastAsia="Courier New" w:hAnsi="Courier New"/>
                <w:sz w:val="12"/>
                <w:szCs w:val="12"/>
                <w:color w:val="auto"/>
              </w:rPr>
              <w:t>Israel Corporation Ltd. (3)</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98,290,707(4)</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53.24%</w:t>
            </w: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31.19%</w:t>
            </w:r>
          </w:p>
        </w:tc>
      </w:tr>
      <w:tr>
        <w:trPr>
          <w:trHeight w:val="270"/>
        </w:trPr>
        <w:tc>
          <w:tcPr>
            <w:tcW w:w="2880" w:type="dxa"/>
            <w:vAlign w:val="bottom"/>
          </w:tcPr>
          <w:p>
            <w:pPr>
              <w:spacing w:after="0"/>
              <w:rPr>
                <w:sz w:val="20"/>
                <w:szCs w:val="20"/>
                <w:color w:val="auto"/>
              </w:rPr>
            </w:pPr>
            <w:r>
              <w:rPr>
                <w:rFonts w:ascii="Courier New" w:cs="Courier New" w:eastAsia="Courier New" w:hAnsi="Courier New"/>
                <w:sz w:val="12"/>
                <w:szCs w:val="12"/>
                <w:color w:val="auto"/>
              </w:rPr>
              <w:t>SanDisk Corporation(3)</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15,965,889(5)</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15.39%</w:t>
            </w: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5.07%</w:t>
            </w:r>
          </w:p>
        </w:tc>
      </w:tr>
      <w:tr>
        <w:trPr>
          <w:trHeight w:val="270"/>
        </w:trPr>
        <w:tc>
          <w:tcPr>
            <w:tcW w:w="2880" w:type="dxa"/>
            <w:vAlign w:val="bottom"/>
          </w:tcPr>
          <w:p>
            <w:pPr>
              <w:spacing w:after="0"/>
              <w:rPr>
                <w:sz w:val="20"/>
                <w:szCs w:val="20"/>
                <w:color w:val="auto"/>
              </w:rPr>
            </w:pPr>
            <w:r>
              <w:rPr>
                <w:rFonts w:ascii="Courier New" w:cs="Courier New" w:eastAsia="Courier New" w:hAnsi="Courier New"/>
                <w:sz w:val="12"/>
                <w:szCs w:val="12"/>
                <w:color w:val="auto"/>
              </w:rPr>
              <w:t>Alliance Semiconductor Corporation(3)</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8,817,631(6)</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8.77%</w:t>
            </w: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2.80%</w:t>
            </w:r>
          </w:p>
        </w:tc>
      </w:tr>
      <w:tr>
        <w:trPr>
          <w:trHeight w:val="270"/>
        </w:trPr>
        <w:tc>
          <w:tcPr>
            <w:tcW w:w="2880" w:type="dxa"/>
            <w:vAlign w:val="bottom"/>
          </w:tcPr>
          <w:p>
            <w:pPr>
              <w:spacing w:after="0"/>
              <w:rPr>
                <w:sz w:val="20"/>
                <w:szCs w:val="20"/>
                <w:color w:val="auto"/>
              </w:rPr>
            </w:pPr>
            <w:r>
              <w:rPr>
                <w:rFonts w:ascii="Courier New" w:cs="Courier New" w:eastAsia="Courier New" w:hAnsi="Courier New"/>
                <w:sz w:val="12"/>
                <w:szCs w:val="12"/>
                <w:color w:val="auto"/>
              </w:rPr>
              <w:t>Macronix International Co. Ltd.(3)</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9,682,485(7)</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9.54%</w:t>
            </w: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3.07%</w:t>
            </w:r>
          </w:p>
        </w:tc>
      </w:tr>
      <w:tr>
        <w:trPr>
          <w:trHeight w:val="270"/>
        </w:trPr>
        <w:tc>
          <w:tcPr>
            <w:tcW w:w="2880" w:type="dxa"/>
            <w:vAlign w:val="bottom"/>
          </w:tcPr>
          <w:p>
            <w:pPr>
              <w:spacing w:after="0"/>
              <w:rPr>
                <w:sz w:val="20"/>
                <w:szCs w:val="20"/>
                <w:color w:val="auto"/>
              </w:rPr>
            </w:pPr>
            <w:r>
              <w:rPr>
                <w:rFonts w:ascii="Courier New" w:cs="Courier New" w:eastAsia="Courier New" w:hAnsi="Courier New"/>
                <w:sz w:val="12"/>
                <w:szCs w:val="12"/>
                <w:color w:val="auto"/>
              </w:rPr>
              <w:t>Bank Hapoalim B.M</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30,567,372(8)</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23.31%</w:t>
            </w: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9.70%</w:t>
            </w:r>
          </w:p>
        </w:tc>
      </w:tr>
      <w:tr>
        <w:trPr>
          <w:trHeight w:val="270"/>
        </w:trPr>
        <w:tc>
          <w:tcPr>
            <w:tcW w:w="2880" w:type="dxa"/>
            <w:vAlign w:val="bottom"/>
          </w:tcPr>
          <w:p>
            <w:pPr>
              <w:spacing w:after="0"/>
              <w:rPr>
                <w:sz w:val="20"/>
                <w:szCs w:val="20"/>
                <w:color w:val="auto"/>
              </w:rPr>
            </w:pPr>
            <w:r>
              <w:rPr>
                <w:rFonts w:ascii="Courier New" w:cs="Courier New" w:eastAsia="Courier New" w:hAnsi="Courier New"/>
                <w:sz w:val="12"/>
                <w:szCs w:val="12"/>
                <w:color w:val="auto"/>
              </w:rPr>
              <w:t>Bank Leumi Le-Israel B.M</w:t>
            </w:r>
          </w:p>
        </w:tc>
        <w:tc>
          <w:tcPr>
            <w:tcW w:w="15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30,567,372(9)</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23.31%</w:t>
            </w: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9.70%</w:t>
            </w:r>
          </w:p>
        </w:tc>
      </w:tr>
    </w:tbl>
    <w:p>
      <w:pPr>
        <w:spacing w:after="0" w:line="134" w:lineRule="exact"/>
        <w:rPr>
          <w:sz w:val="20"/>
          <w:szCs w:val="20"/>
          <w:color w:val="auto"/>
        </w:rPr>
      </w:pPr>
    </w:p>
    <w:p>
      <w:pPr>
        <w:ind w:left="148" w:hanging="148"/>
        <w:spacing w:after="0"/>
        <w:tabs>
          <w:tab w:leader="none" w:pos="14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pacing w:after="0" w:line="138" w:lineRule="exact"/>
        <w:rPr>
          <w:rFonts w:ascii="Courier New" w:cs="Courier New" w:eastAsia="Courier New" w:hAnsi="Courier New"/>
          <w:sz w:val="12"/>
          <w:szCs w:val="12"/>
          <w:color w:val="auto"/>
        </w:rPr>
      </w:pPr>
    </w:p>
    <w:p>
      <w:pPr>
        <w:ind w:left="708" w:right="4619" w:hanging="357"/>
        <w:spacing w:after="0" w:line="273" w:lineRule="auto"/>
        <w:tabs>
          <w:tab w:leader="none" w:pos="708" w:val="left"/>
        </w:tabs>
        <w:numPr>
          <w:ilvl w:val="1"/>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Assumes the holder's beneficial ownership of all Ordinary Shares and all securities that the holder has a right to purchase within 60 days.</w:t>
      </w:r>
    </w:p>
    <w:p>
      <w:pPr>
        <w:spacing w:after="0" w:line="121" w:lineRule="exact"/>
        <w:rPr>
          <w:rFonts w:ascii="Courier New" w:cs="Courier New" w:eastAsia="Courier New" w:hAnsi="Courier New"/>
          <w:sz w:val="11"/>
          <w:szCs w:val="11"/>
          <w:color w:val="auto"/>
        </w:rPr>
      </w:pPr>
    </w:p>
    <w:p>
      <w:pPr>
        <w:ind w:left="708" w:right="4619" w:hanging="357"/>
        <w:spacing w:after="0" w:line="266" w:lineRule="auto"/>
        <w:tabs>
          <w:tab w:leader="none" w:pos="708" w:val="left"/>
        </w:tabs>
        <w:numPr>
          <w:ilvl w:val="1"/>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Assumes that all currently outstanding securities to purchase Ordinary Shares, other than those that cannot be calculated as of the date of this proxy statement, have been exercised by all holders.</w:t>
      </w:r>
    </w:p>
    <w:p>
      <w:pPr>
        <w:spacing w:after="0" w:line="126" w:lineRule="exact"/>
        <w:rPr>
          <w:rFonts w:ascii="Courier New" w:cs="Courier New" w:eastAsia="Courier New" w:hAnsi="Courier New"/>
          <w:sz w:val="11"/>
          <w:szCs w:val="11"/>
          <w:color w:val="auto"/>
        </w:rPr>
      </w:pPr>
    </w:p>
    <w:p>
      <w:pPr>
        <w:ind w:left="708" w:right="4759" w:hanging="357"/>
        <w:spacing w:after="0" w:line="262" w:lineRule="auto"/>
        <w:tabs>
          <w:tab w:leader="none" w:pos="708" w:val="left"/>
        </w:tabs>
        <w:numPr>
          <w:ilvl w:val="1"/>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Pursuant to a shareholders agreement among Israel Corp., Alliance Semiconductor Corporation, SanDisk Corporation and Macronix International Co. Ltd., each of Israel Corp., Alliance Semiconductor Corporation, SanDisk Corporation and Macronix International Co. Ltd. may be said to have shared voting and dispositive control over approximately 42.12% of our outstanding shares.</w:t>
      </w:r>
    </w:p>
    <w:p>
      <w:pPr>
        <w:spacing w:after="0" w:line="129" w:lineRule="exact"/>
        <w:rPr>
          <w:rFonts w:ascii="Courier New" w:cs="Courier New" w:eastAsia="Courier New" w:hAnsi="Courier New"/>
          <w:sz w:val="11"/>
          <w:szCs w:val="11"/>
          <w:color w:val="auto"/>
        </w:rPr>
      </w:pPr>
    </w:p>
    <w:p>
      <w:pPr>
        <w:ind w:left="708" w:right="4699" w:hanging="357"/>
        <w:spacing w:after="0" w:line="263" w:lineRule="auto"/>
        <w:tabs>
          <w:tab w:leader="none" w:pos="708" w:val="left"/>
        </w:tabs>
        <w:numPr>
          <w:ilvl w:val="1"/>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Based on information provided by Israel Corp., represents 14,260,504 shares currently owned by Israel Corp., 58,906 shares issuable upon the exercise of currently exercisable warrants, 18,181,823 shares issuable upon conversion of debentures and 65,789,474 shares issuable upon conversion of equity equivalent convertible capital notes.</w:t>
      </w:r>
    </w:p>
    <w:p>
      <w:pPr>
        <w:spacing w:after="0" w:line="127" w:lineRule="exact"/>
        <w:rPr>
          <w:rFonts w:ascii="Courier New" w:cs="Courier New" w:eastAsia="Courier New" w:hAnsi="Courier New"/>
          <w:sz w:val="11"/>
          <w:szCs w:val="11"/>
          <w:color w:val="auto"/>
        </w:rPr>
      </w:pPr>
    </w:p>
    <w:p>
      <w:pPr>
        <w:ind w:left="708" w:right="4619" w:hanging="357"/>
        <w:spacing w:after="0" w:line="236" w:lineRule="auto"/>
        <w:tabs>
          <w:tab w:leader="none" w:pos="70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SanDisk, represents 12,784,071 shares currently owned by SanDisk and 3,181,818 shares issuable upon conversion of debentures.</w:t>
      </w:r>
    </w:p>
    <w:p>
      <w:pPr>
        <w:spacing w:after="0" w:line="270"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4</w:t>
      </w:r>
    </w:p>
    <w:p>
      <w:pPr>
        <w:spacing w:after="0" w:line="121" w:lineRule="exact"/>
        <w:rPr>
          <w:sz w:val="20"/>
          <w:szCs w:val="20"/>
          <w:color w:val="auto"/>
        </w:rPr>
      </w:pPr>
    </w:p>
    <w:p>
      <w:pPr>
        <w:ind w:left="708" w:right="4979" w:hanging="357"/>
        <w:spacing w:after="0" w:line="235" w:lineRule="auto"/>
        <w:tabs>
          <w:tab w:leader="none" w:pos="70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upon information provided by Alliance, represents 8,817,631 shares currently owned by Alliance.</w:t>
      </w:r>
    </w:p>
    <w:p>
      <w:pPr>
        <w:spacing w:after="0" w:line="139" w:lineRule="exact"/>
        <w:rPr>
          <w:rFonts w:ascii="Courier New" w:cs="Courier New" w:eastAsia="Courier New" w:hAnsi="Courier New"/>
          <w:sz w:val="12"/>
          <w:szCs w:val="12"/>
          <w:color w:val="auto"/>
        </w:rPr>
      </w:pPr>
    </w:p>
    <w:p>
      <w:pPr>
        <w:ind w:left="708" w:right="4619" w:hanging="357"/>
        <w:spacing w:after="0" w:line="236" w:lineRule="auto"/>
        <w:tabs>
          <w:tab w:leader="none" w:pos="70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Macronix, represents 8,773,395 shares currently owned by Macronix and 909,090 shares issuable upon conversion of debentures.</w:t>
      </w:r>
    </w:p>
    <w:p>
      <w:pPr>
        <w:spacing w:after="0" w:line="139" w:lineRule="exact"/>
        <w:rPr>
          <w:rFonts w:ascii="Courier New" w:cs="Courier New" w:eastAsia="Courier New" w:hAnsi="Courier New"/>
          <w:sz w:val="12"/>
          <w:szCs w:val="12"/>
          <w:color w:val="auto"/>
        </w:rPr>
      </w:pPr>
    </w:p>
    <w:p>
      <w:pPr>
        <w:ind w:left="708" w:right="4619" w:hanging="357"/>
        <w:spacing w:after="0" w:line="237" w:lineRule="auto"/>
        <w:tabs>
          <w:tab w:leader="none" w:pos="70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Bank Hapoalim B.M., represents 25,986,842 shares issuable upon conversion of equity equivalent convertible capital notes and 4,580,530 shares issuable upon exercise of currently exercisable warrants, of which, 448,298 currently exercisable warrants are held by Tarshish Hahzakot Vehashkaot Hapoalim Ltd., a subsidiary of Bank Hapoalim B.M.</w:t>
      </w:r>
    </w:p>
    <w:p>
      <w:pPr>
        <w:spacing w:after="0" w:line="140" w:lineRule="exact"/>
        <w:rPr>
          <w:rFonts w:ascii="Courier New" w:cs="Courier New" w:eastAsia="Courier New" w:hAnsi="Courier New"/>
          <w:sz w:val="12"/>
          <w:szCs w:val="12"/>
          <w:color w:val="auto"/>
        </w:rPr>
      </w:pPr>
    </w:p>
    <w:p>
      <w:pPr>
        <w:ind w:left="708" w:right="4619" w:hanging="357"/>
        <w:spacing w:after="0" w:line="236" w:lineRule="auto"/>
        <w:tabs>
          <w:tab w:leader="none" w:pos="70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Bank Leumi Le-Israel B.M., represents 25,986,842 shares issuable upon conversion of equity equivalent convertible capital notes and 4,580,530 shares issuable upon exercise of currently exercisable warrants.</w:t>
      </w:r>
    </w:p>
    <w:p>
      <w:pPr>
        <w:spacing w:after="0" w:line="141"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and against the election of any other persons to the Board of Directors, unless agreed to otherwise. In addition, subject to certain exceptions, each party to the agreement agreed to restrictions on the transfer of its shares, including certain rights of first refusal, and through January 2008, to maintain minimum shareholdings. Nothing in this proxy statement shall be construed as an admission that any of the aforementioned shareholders is the beneficial owner of any of the Company's securities, other than the Company's securities held directly by such party, nor that any such shareholder or other persons or entities constitute a "group", for purposes of Section 13(d) of the Securities Exchange Act of 1934 and the rules promulgated thereunder.</w:t>
      </w:r>
    </w:p>
    <w:p>
      <w:pPr>
        <w:spacing w:after="0" w:line="136" w:lineRule="exact"/>
        <w:rPr>
          <w:sz w:val="20"/>
          <w:szCs w:val="20"/>
          <w:color w:val="auto"/>
        </w:rPr>
      </w:pPr>
    </w:p>
    <w:p>
      <w:pPr>
        <w:jc w:val="center"/>
        <w:ind w:right="4551"/>
        <w:spacing w:after="0"/>
        <w:rPr>
          <w:sz w:val="20"/>
          <w:szCs w:val="20"/>
          <w:color w:val="auto"/>
        </w:rPr>
      </w:pPr>
      <w:r>
        <w:rPr>
          <w:rFonts w:ascii="Courier New" w:cs="Courier New" w:eastAsia="Courier New" w:hAnsi="Courier New"/>
          <w:sz w:val="12"/>
          <w:szCs w:val="12"/>
          <w:color w:val="auto"/>
        </w:rPr>
        <w:t>MATTERS RELATING TO THE SPECIAL GENERAL MEETING</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At the Meeting, the shareholders will be asked to vote on the following</w:t>
      </w:r>
    </w:p>
    <w:p>
      <w:pPr>
        <w:sectPr>
          <w:pgSz w:w="11900" w:h="16838" w:orient="portrait"/>
          <w:cols w:equalWidth="0" w:num="1">
            <w:col w:w="10247"/>
          </w:cols>
          <w:pgMar w:left="212" w:top="1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2"/>
          <w:szCs w:val="12"/>
          <w:color w:val="auto"/>
        </w:rPr>
        <w:t>proposals:</w:t>
      </w:r>
    </w:p>
    <w:p>
      <w:pPr>
        <w:spacing w:after="0" w:line="13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NO. 1</w:t>
      </w:r>
    </w:p>
    <w:p>
      <w:pPr>
        <w:spacing w:after="0" w:line="13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TO APPOINT MR. DOV MORAN A CHAIRMAN OF THE BOARD OF</w:t>
      </w:r>
    </w:p>
    <w:p>
      <w:pPr>
        <w:jc w:val="center"/>
        <w:ind w:right="4619"/>
        <w:spacing w:after="0"/>
        <w:rPr>
          <w:sz w:val="20"/>
          <w:szCs w:val="20"/>
          <w:color w:val="auto"/>
        </w:rPr>
      </w:pPr>
      <w:r>
        <w:rPr>
          <w:rFonts w:ascii="Courier New" w:cs="Courier New" w:eastAsia="Courier New" w:hAnsi="Courier New"/>
          <w:sz w:val="12"/>
          <w:szCs w:val="12"/>
          <w:color w:val="auto"/>
        </w:rPr>
        <w:t>DIRECTORS AND TO APPROVE HIS TERMS OF COMPENSATION</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APPOINTMENT OF CHAIRMAN</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Pursuant to a provision of the Company's Articles of Association, our shareholders are to appoint a member of the Board of Directors to serve as its Chairman. The Board of Directors has nominated Mr. Dov Moran to serve as the Chairman of the Board of Directors of the Company until the next annual meeting of the shareholders or until his successor is duly appointed.</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DOV MORAN, age 51, has served as our Acting Chairman of the Board since December 2006. Mr. Moran is a founder of msystems Limited and served as President, Chief Executive Officer and Chairman of the Board of Directors of msystems from 1989 to September 2006. During such period, Mr. Moran also served on the Board of Directors of certain subsidiaries of msystems. msystems recently merged with SanDisk Corporation (Nasdaq: SNDK), one of our wafer partners. From 1984 to 1989, Mr. Moran worked as an independent consultant in the computer industry and contributed to the establishment of, among others, Comsec Ltd. (Tel Aviv:CMSC) and the development of HASP (a product sold by Aladdin Knowledge Systems Ltd. (Tel Aviv:ALDN; Nasdaq:ALDN)). From 1977 to 1984, Mr. Moran served in the Israeli Navy and was director of its microprocessors department. Mr. Moran holds a B.Sc. in Computers and Electronic Engineering (with honors) from the Technion, Israel Institute of Technology.</w:t>
      </w:r>
    </w:p>
    <w:p>
      <w:pPr>
        <w:spacing w:after="0" w:line="396"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5</w:t>
      </w:r>
    </w:p>
    <w:p>
      <w:pPr>
        <w:spacing w:after="0" w:line="11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TERMS OF COMPENSATION</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Under Israeli law, the terms of service of members of the Board of Directors of the Company require the approval of the Audit Committee, Board of Directors and shareholders of the Company, in such order. In December 2006, the Audit Committee and Board of Directors approved an agreement between the Company and Mr. Moran pursuant to which, subject to shareholder approval, Mr. Moran will serve as chairman of the Board of Directors of the Company. Prior to approving this agreement, Mr. Moran informed our Audit Committee and Board of Directors that he has several interrelated relationships with SanDisk, a principal shareholder and one of our wafer partners:</w:t>
      </w:r>
    </w:p>
    <w:p>
      <w:pPr>
        <w:spacing w:after="0" w:line="143" w:lineRule="exact"/>
        <w:rPr>
          <w:sz w:val="20"/>
          <w:szCs w:val="20"/>
          <w:color w:val="auto"/>
        </w:rPr>
      </w:pPr>
    </w:p>
    <w:p>
      <w:pPr>
        <w:ind w:left="700" w:right="4899" w:hanging="357"/>
        <w:spacing w:after="0" w:line="266" w:lineRule="auto"/>
        <w:tabs>
          <w:tab w:leader="none" w:pos="700"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By virtue of the merger of msystems with SanDisk, Mr. Moran owns approximately 1.3 million shares of SanDisk (approximately 0.7% of SanDisk's issued and outstanding shares as of October 1, 2006).</w:t>
      </w:r>
    </w:p>
    <w:p>
      <w:pPr>
        <w:spacing w:after="0" w:line="126" w:lineRule="exact"/>
        <w:rPr>
          <w:rFonts w:ascii="Courier New" w:cs="Courier New" w:eastAsia="Courier New" w:hAnsi="Courier New"/>
          <w:sz w:val="11"/>
          <w:szCs w:val="11"/>
          <w:color w:val="auto"/>
        </w:rPr>
      </w:pPr>
    </w:p>
    <w:p>
      <w:pPr>
        <w:ind w:left="700" w:right="4699" w:hanging="357"/>
        <w:spacing w:after="0" w:line="237" w:lineRule="auto"/>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SanDisk has agreed to indemnify Mr. Moran for up to $50 million for any liability relating to his services as President, Chief Executive Officer and Chairman of the Board of Directors of msystems as a continuation of the indemnification provided by msystems to its board members and executive.</w:t>
      </w:r>
    </w:p>
    <w:p>
      <w:pPr>
        <w:spacing w:after="0" w:line="139" w:lineRule="exact"/>
        <w:rPr>
          <w:rFonts w:ascii="Courier New" w:cs="Courier New" w:eastAsia="Courier New" w:hAnsi="Courier New"/>
          <w:sz w:val="12"/>
          <w:szCs w:val="12"/>
          <w:color w:val="auto"/>
        </w:rPr>
      </w:pPr>
    </w:p>
    <w:p>
      <w:pPr>
        <w:ind w:left="700" w:right="4899" w:hanging="357"/>
        <w:spacing w:after="0" w:line="236" w:lineRule="auto"/>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SanDisk and Mr. Moran are co-defendants in pending class and derivative actions commenced in connection with the merger between SanDisk and msystems.</w:t>
      </w:r>
    </w:p>
    <w:p>
      <w:pPr>
        <w:spacing w:after="0" w:line="139" w:lineRule="exact"/>
        <w:rPr>
          <w:rFonts w:ascii="Courier New" w:cs="Courier New" w:eastAsia="Courier New" w:hAnsi="Courier New"/>
          <w:sz w:val="12"/>
          <w:szCs w:val="12"/>
          <w:color w:val="auto"/>
        </w:rPr>
      </w:pPr>
    </w:p>
    <w:p>
      <w:pPr>
        <w:ind w:left="700" w:right="4619" w:hanging="357"/>
        <w:spacing w:after="0" w:line="236" w:lineRule="auto"/>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Mr. Moran serves as a part time consultant to SanDisk. Pursuant to the terms of the consulting agreement, Mr. Moran receives compensation similar to 50% of the average compensation provided by SanDisk to executive vice presidents.</w:t>
      </w:r>
    </w:p>
    <w:p>
      <w:pPr>
        <w:spacing w:after="0" w:line="140" w:lineRule="exact"/>
        <w:rPr>
          <w:rFonts w:ascii="Courier New" w:cs="Courier New" w:eastAsia="Courier New" w:hAnsi="Courier New"/>
          <w:sz w:val="12"/>
          <w:szCs w:val="12"/>
          <w:color w:val="auto"/>
        </w:rPr>
      </w:pPr>
    </w:p>
    <w:p>
      <w:pPr>
        <w:ind w:left="700" w:right="4699" w:hanging="357"/>
        <w:spacing w:after="0" w:line="235" w:lineRule="auto"/>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Mr. Moran is currently discussing additional commercial relationships with SanDisk.</w:t>
      </w:r>
    </w:p>
    <w:p>
      <w:pPr>
        <w:spacing w:after="0" w:line="139"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The following is a summary of the principal terms of the agreement between the Company and Mr. Moran:</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OPTIONS PACKAGE</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Mr. Moran is to be granted options (the "Options") to purchase 3,158,090 ordinary shares of the Company, which constituted one per cent (1.0%) of the Company's issued and outstanding share capital on a fully diluted basis as of December 20, 2006, the date the Board of Directors approved the grant. The exercise price per Option will be the closing price of the Company's ordinary shares on the Nasdaq Global Market on the trading day immediately preceding the date of the Meeting (the "Shareholder Approval Date"). Of the Options, subject to Mr. Moran then serving as chairman of our Board, the Options shall vest over 4 years as follows: 25% will vest on the 12 month anniversary of the Shareholder Approval Date (the "First Vesting Date") and over the 3 years following the First Vesting Date, 6.25% will vest on each 3 month anniversary of the First Vesting Date until fully vested. Upon the consummation of a sale of all or substantially all of the shares and/or assets of the Company, subject to certain exceptions, all Options that were to vest over the next 12 months from the date such transaction is consummated shall vest and become exercisable immediately and the balance of the Options shall vest 12 months earlier than otherwise contemplated.</w:t>
      </w:r>
    </w:p>
    <w:p>
      <w:pPr>
        <w:spacing w:after="0" w:line="271"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6</w:t>
      </w:r>
    </w:p>
    <w:p>
      <w:pPr>
        <w:spacing w:after="0" w:line="12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Subject to applicable law, the Options are to be granted under the "capital gains route" under Section 102 of the Israeli Income Tax Ordinance (New Version), 5721-1961 ("Section 102") and the applicable regulations. The Company undertook to file a registration statement covering the shares underlying the Options.</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Other than as set forth below, each Option will have a term of ten years from the Shareholder Approval Date:</w:t>
      </w:r>
    </w:p>
    <w:p>
      <w:pPr>
        <w:spacing w:after="0" w:line="139" w:lineRule="exact"/>
        <w:rPr>
          <w:sz w:val="20"/>
          <w:szCs w:val="20"/>
          <w:color w:val="auto"/>
        </w:rPr>
      </w:pPr>
    </w:p>
    <w:p>
      <w:pPr>
        <w:ind w:left="700" w:right="4979" w:hanging="357"/>
        <w:spacing w:after="0" w:line="237"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Should the Company terminate the agreement with Mr. Moran without "cause", or Mr. Moran terminate the agreement, as of the date of termination: (i) all unvested Options shall expire; and (ii) all vested Options shall remain exercisable during a 24-month period following termination;</w:t>
      </w:r>
    </w:p>
    <w:p>
      <w:pPr>
        <w:spacing w:after="0" w:line="139" w:lineRule="exact"/>
        <w:rPr>
          <w:rFonts w:ascii="Courier New" w:cs="Courier New" w:eastAsia="Courier New" w:hAnsi="Courier New"/>
          <w:sz w:val="12"/>
          <w:szCs w:val="12"/>
          <w:color w:val="auto"/>
        </w:rPr>
      </w:pPr>
    </w:p>
    <w:p>
      <w:pPr>
        <w:ind w:left="700" w:right="5119" w:hanging="357"/>
        <w:spacing w:after="0" w:line="236"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Should the Company terminate the agreement with Mr. Moran with "cause", as of the date of termination, all vested and unvested options shall expire.</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The Options shall be granted pursuant to the Company's Chairman Share Options Plan 2006. Mr. Moran will not be eligible to receive options under the 2001 Plan or the 2006 Independent Directors Option Plan described in Proposal 3 below.</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SALARY, INDEMNIFICATION AND REIMBURSEMENT OF EXPENSES</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The Company will pay Mr. Moran service fees in the symbolic amount of US $1 per year. The Company will reimburse Mr. Moran for reasonable business-related expenses incurred in connection with the provision of his services to the Company. Mr. Moran and the Company will enter into the Company's standard</w:t>
      </w:r>
    </w:p>
    <w:p>
      <w:pPr>
        <w:sectPr>
          <w:pgSz w:w="11900" w:h="16838" w:orient="portrait"/>
          <w:cols w:equalWidth="0" w:num="1">
            <w:col w:w="10239"/>
          </w:cols>
          <w:pgMar w:left="220" w:top="137" w:right="1440" w:bottom="0" w:gutter="0" w:footer="0" w:header="0"/>
        </w:sectPr>
      </w:pPr>
    </w:p>
    <w:bookmarkStart w:id="4" w:name="page5"/>
    <w:bookmarkEnd w:id="4"/>
    <w:p>
      <w:pPr>
        <w:ind w:right="4759"/>
        <w:spacing w:after="0" w:line="235" w:lineRule="auto"/>
        <w:rPr>
          <w:sz w:val="20"/>
          <w:szCs w:val="20"/>
          <w:color w:val="auto"/>
        </w:rPr>
      </w:pPr>
      <w:r>
        <w:rPr>
          <w:rFonts w:ascii="Courier New" w:cs="Courier New" w:eastAsia="Courier New" w:hAnsi="Courier New"/>
          <w:sz w:val="12"/>
          <w:szCs w:val="12"/>
          <w:color w:val="auto"/>
        </w:rPr>
        <w:t>indemnification agreement for directors, the form of which has been previously approved by the Company's shareholders.</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TERMINATION PROVISIONS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agreement with Mr. Moran will terminate on the earliest of: (i) such time as Mr. Moran ceases to serve as chairman of our Board of Directors; (ii) the death or disability of Mr. Moran; (iii) termination by the Company for "cause"; or (iv) the fourth anniversary of the Shareholder Approval Date, unless earlier terminated without "cause" by the Company or Mr. Moran on three (3) months prior written notice to the other. Unless earlier terminated, the agreement shall automatically be renewed for successive one (1) year periods, unless either party elects not to renew by giving written notice to the other at least three (3) months prior to a scheduled expiration date.</w:t>
      </w:r>
    </w:p>
    <w:p>
      <w:pPr>
        <w:spacing w:after="0" w:line="27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2"/>
          <w:szCs w:val="12"/>
          <w:color w:val="auto"/>
        </w:rPr>
        <w:t>7</w:t>
      </w:r>
    </w:p>
    <w:p>
      <w:pPr>
        <w:spacing w:after="0" w:line="11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0"/>
        <w:spacing w:after="0"/>
        <w:rPr>
          <w:sz w:val="20"/>
          <w:szCs w:val="20"/>
          <w:color w:val="auto"/>
        </w:rPr>
      </w:pPr>
      <w:r>
        <w:rPr>
          <w:rFonts w:ascii="Courier New" w:cs="Courier New" w:eastAsia="Courier New" w:hAnsi="Courier New"/>
          <w:sz w:val="12"/>
          <w:szCs w:val="12"/>
          <w:color w:val="auto"/>
        </w:rPr>
        <w:t>MEETING:</w:t>
      </w:r>
    </w:p>
    <w:p>
      <w:pPr>
        <w:spacing w:after="0" w:line="138"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"RESOLVED THAT: (I) THE APPOINTMENT OF MR. DOV MORAN AS THE CHAIRMAN OF THE BOARD OF DIRECTORS OF THE COMPANY TO SERVE UNTIL THE NEXT ANNUAL MEETING OF THE SHAREHOLDERS OR UNTIL HIS SUCCESSOR SHALL BE DULY APPOINTED AND QUALIFIED IS HEREBY APPROVED; AND (II) THE TERMS OF SERVICE OF MR. DOV MORAN, INCLUDING THE GRANT OF OPTIONS TO PURCHASE UP TO 3,158,090 ORDINARY SHARES OF THE COMPANY AND THE INDEMNIFICATION UNDER THE COMPANY'S STANDARD INDEMNIFICATION AGREEMENT FOR DIRECTORS, IN ACCORDANCE WITH THE TERMS AS DESCRIBED IN THE PROXY STATEMENT CIRCULATED IN CONNECTION WITH THE MEETING IS HEREBY APPROVED."</w:t>
      </w:r>
    </w:p>
    <w:p>
      <w:pPr>
        <w:spacing w:after="0" w:line="143"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affirmative vote of the holders of a majority of the voting power of the Company represented at the Meeting in person or by proxy and voting thereon is necessary for approval of: (i) the appointment of Mr. Moran as the Chairman of the Board of Directors of the Company; and (ii) the terms of service of Mr. Moran.</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THE COMPANY'S AUDIT COMMITTEE AND BOARD OF DIRECTORS RECOMMEND THAT THE SHAREHOLDERS VOTE "FOR" THE APPROVAL OF: (I) MR. DOV MORAN'S APPOINTMENT AS CHAIRMAN OF THE BOARD OF DIRECTORS OF THE COMPANY; AND (II) THE TERMS OF SERVICE OF MR. MORAN.</w:t>
      </w:r>
    </w:p>
    <w:p>
      <w:pPr>
        <w:spacing w:after="0" w:line="13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NO. 2</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APPOINTMENT OF EXTERNAL DIRECTOR TO THE BOARD OF DIRECTORS OF</w:t>
      </w:r>
    </w:p>
    <w:p>
      <w:pPr>
        <w:ind w:left="1600"/>
        <w:spacing w:after="0"/>
        <w:rPr>
          <w:sz w:val="20"/>
          <w:szCs w:val="20"/>
          <w:color w:val="auto"/>
        </w:rPr>
      </w:pPr>
      <w:r>
        <w:rPr>
          <w:rFonts w:ascii="Courier New" w:cs="Courier New" w:eastAsia="Courier New" w:hAnsi="Courier New"/>
          <w:sz w:val="12"/>
          <w:szCs w:val="12"/>
          <w:color w:val="auto"/>
        </w:rPr>
        <w:t>THE COMPANY FOR A THREE-YEAR TERM</w:t>
      </w:r>
    </w:p>
    <w:p>
      <w:pPr>
        <w:spacing w:after="0" w:line="138"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Israeli Companies Law requires Israeli companies with shares that have been offered to the public in or outside of Israel to appoint no less than two external directors. No person may be appointed as an external director if the person or the person's relative, partner, employer or any entity under the person's control, has or had, on or within the two years preceding the date of the person's appointment to serve as external director, any affiliation with the company or any entity controlling, controlled by or under common control with the company. The term "affiliation" includes:</w:t>
      </w:r>
    </w:p>
    <w:p>
      <w:pPr>
        <w:spacing w:after="0" w:line="138" w:lineRule="exact"/>
        <w:rPr>
          <w:sz w:val="20"/>
          <w:szCs w:val="20"/>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employment relationship;</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business or professional relationship maintained on a regular basis;</w:t>
      </w:r>
    </w:p>
    <w:p>
      <w:pPr>
        <w:spacing w:after="0" w:line="141"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control;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service as an office holder.</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 person shall be qualified to serve as an external director only if he or she possesses accounting and financial expertise or professional qualifications. The conditions and criteria for possessing accounting and financial expertise or professional qualifications were recently enacted in regulations promulgated under the Israel Companies Law (Companies Law Regulations (Conditions and Tests for Determining whether a Director has Expertise in Finance and Accounting and whether a Director is Professionally Qualified) - 2005 (the "External Director Qualification Regulations")).</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No person may serve as an external director if the person's position or other business activities create, or may create, a conflict of interest with the person's responsibilities as an external director or may otherwise interfere with the person's ability to serve as an external director. If, at the time external directors are to be appointed, all current members of the board of directors are of the same gender, then at least one external director must be of the other gender.</w:t>
      </w:r>
    </w:p>
    <w:p>
      <w:pPr>
        <w:spacing w:after="0" w:line="272"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8</w:t>
      </w:r>
    </w:p>
    <w:p>
      <w:pPr>
        <w:spacing w:after="0" w:line="12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initial term of an external director is three years and may be extended for additional three-year periods. External directors may be removed only by the same percentage of shareholders as is required for their election, or by a court, and then only if the external directors cease to meet the statutory qualifications for their appointment or if they violate their duty of loyalty to the company.</w:t>
      </w:r>
    </w:p>
    <w:p>
      <w:pPr>
        <w:spacing w:after="0" w:line="140"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Mr. Hans Rohrer and Ms. Tal Yaron-Eldar currently serve as our external directors. Ms. Yaron-Elder has notified the Company that she will be resigning from the Board of Directors, effective February 1, 2007.</w:t>
      </w:r>
    </w:p>
    <w:p>
      <w:pPr>
        <w:spacing w:after="0" w:line="139" w:lineRule="exact"/>
        <w:rPr>
          <w:sz w:val="20"/>
          <w:szCs w:val="20"/>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The Company's Board of Directors has nominated Ms. Miri Katz for election as an External Director to fill the vacancy that will be created by the resignation of Ms. Tal Yaron-Eldar (effective February 1, 2007) to serve for a period of three years and until her respective successor is duly elected and shall qualify. Set forth below is certain information concerning Ms. Miri Katz:</w:t>
      </w:r>
    </w:p>
    <w:p>
      <w:pPr>
        <w:spacing w:after="0" w:line="128"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MIRI KATZ, age 55, has been "of counsel" at the law firm of Ophir Katz &amp; Co., since 2003. Since 2004, Ms. Katz served as a member of the board of trustees of the Hebrew University of Jerusalem and as a member of the Committee for Academic Policy, the Audit Committee and the Constitution Committee. Since 2003, Ms. Katz has served as a director of the Caesarea Foundation and the Caesarea Edmond Benjamin de Rothschild Development Corporation Ltd. In addition, since 2003, she served as a director of the Bank of Jerusalem Ltd. and chairperson of its audit committee. Between 2000 and 2003, Ms. Katz served as a member of the advisory committee to the Israel Supervisor of Banks. Between 1997 and 2002, Ms. Katz served as chairperson of the Israel Securities Authority, and as a member of the Israeli Council of CPAs. In addition, from 1989 to 1997, Ms. Katz was a partner at Ophir Katz &amp; Co. Ms. Katz holds an LL.B. from the Hebrew University of Jerusalem and is a member of the Israeli Bar Association.</w:t>
      </w:r>
    </w:p>
    <w:p>
      <w:pPr>
        <w:spacing w:after="0" w:line="130" w:lineRule="exact"/>
        <w:rPr>
          <w:sz w:val="20"/>
          <w:szCs w:val="20"/>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The Board of Directors has determined that Ms. Katz has the requisite "expertise in finance and accounting," under the External Director Qualification Regulations. Ms. Katz qualifies as an independent director under Nasdaq.</w:t>
      </w:r>
    </w:p>
    <w:p>
      <w:pPr>
        <w:spacing w:after="0" w:line="122"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0"/>
        <w:spacing w:after="0"/>
        <w:rPr>
          <w:sz w:val="20"/>
          <w:szCs w:val="20"/>
          <w:color w:val="auto"/>
        </w:rPr>
      </w:pPr>
      <w:r>
        <w:rPr>
          <w:rFonts w:ascii="Courier New" w:cs="Courier New" w:eastAsia="Courier New" w:hAnsi="Courier New"/>
          <w:sz w:val="12"/>
          <w:szCs w:val="12"/>
          <w:color w:val="auto"/>
        </w:rPr>
        <w:t>MEETING:</w:t>
      </w:r>
    </w:p>
    <w:p>
      <w:pPr>
        <w:sectPr>
          <w:pgSz w:w="11900" w:h="16838" w:orient="portrait"/>
          <w:cols w:equalWidth="0" w:num="1">
            <w:col w:w="10239"/>
          </w:cols>
          <w:pgMar w:left="220" w:top="141" w:right="1440" w:bottom="0" w:gutter="0" w:footer="0" w:header="0"/>
        </w:sectPr>
      </w:pPr>
    </w:p>
    <w:bookmarkStart w:id="5" w:name="page6"/>
    <w:bookmarkEnd w:id="5"/>
    <w:p>
      <w:pPr>
        <w:ind w:left="340" w:right="4619"/>
        <w:spacing w:after="0" w:line="236" w:lineRule="auto"/>
        <w:rPr>
          <w:sz w:val="20"/>
          <w:szCs w:val="20"/>
          <w:color w:val="auto"/>
        </w:rPr>
      </w:pPr>
      <w:r>
        <w:rPr>
          <w:rFonts w:ascii="Courier New" w:cs="Courier New" w:eastAsia="Courier New" w:hAnsi="Courier New"/>
          <w:sz w:val="12"/>
          <w:szCs w:val="12"/>
          <w:color w:val="auto"/>
        </w:rPr>
        <w:t>"RESOLVED TO ELECT MS. MIRI KATZ AS AN EXTERNAL DIRECTOR OF THE COMPANY FOR A THREE-YEAR TERM COMMENCING FEBRUARY 1, 2007 AND UNTIL HER RESPECTIVE SUCCESSOR IS DULY ELECTED AND SHALL QUALIFY."</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The election of Ms. Katz as an External Director of the Company requires the affirmative vote of shareholders present in person or by proxy and holding Ordinary Shares amounting in the aggregate to at least a majority of the votes actually cast with respect to such proposal. Furthermore, under the Israeli Companies Law, the approval of such proposal requires that either: (i) said majority include at least one-third of the voting power of the non-controlling shareholders who are present in person or by proxy and who vote on such proposal; or (ii) the total votes cast in opposition to the proposal by the non-controlling shareholders does not exceed 1% of all the voting power in the Company.</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BOARD OF DIRECTORS RECOMMENDS THAT THE SHAREHOLDERS VOTE "FOR" THE</w:t>
      </w:r>
    </w:p>
    <w:p>
      <w:pPr>
        <w:ind w:left="340"/>
        <w:spacing w:after="0"/>
        <w:rPr>
          <w:sz w:val="20"/>
          <w:szCs w:val="20"/>
          <w:color w:val="auto"/>
        </w:rPr>
      </w:pPr>
      <w:r>
        <w:rPr>
          <w:rFonts w:ascii="Courier New" w:cs="Courier New" w:eastAsia="Courier New" w:hAnsi="Courier New"/>
          <w:sz w:val="12"/>
          <w:szCs w:val="12"/>
          <w:color w:val="auto"/>
        </w:rPr>
        <w:t>ELECTION OF MS. MIRI KATZ AS AN EXTERNAL DIRECTOR OF THE COMPANY FOR A</w:t>
      </w:r>
    </w:p>
    <w:p>
      <w:pPr>
        <w:ind w:left="340"/>
        <w:spacing w:after="0" w:line="237" w:lineRule="auto"/>
        <w:rPr>
          <w:sz w:val="20"/>
          <w:szCs w:val="20"/>
          <w:color w:val="auto"/>
        </w:rPr>
      </w:pPr>
      <w:r>
        <w:rPr>
          <w:rFonts w:ascii="Courier New" w:cs="Courier New" w:eastAsia="Courier New" w:hAnsi="Courier New"/>
          <w:sz w:val="12"/>
          <w:szCs w:val="12"/>
          <w:color w:val="auto"/>
        </w:rPr>
        <w:t>THREE-YEAR TERM.</w:t>
      </w:r>
    </w:p>
    <w:p>
      <w:pPr>
        <w:spacing w:after="0" w:line="269"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9</w:t>
      </w:r>
    </w:p>
    <w:p>
      <w:pPr>
        <w:spacing w:after="0" w:line="11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NO. 3</w:t>
      </w:r>
    </w:p>
    <w:p>
      <w:pPr>
        <w:spacing w:after="0" w:line="13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PROPOSAL TO APPROVE THE TERMS OF COMPENSATION OF OUR DIRECTORS</w:t>
      </w:r>
    </w:p>
    <w:p>
      <w:pPr>
        <w:jc w:val="center"/>
        <w:ind w:right="4559"/>
        <w:spacing w:after="0"/>
        <w:rPr>
          <w:sz w:val="20"/>
          <w:szCs w:val="20"/>
          <w:color w:val="auto"/>
        </w:rPr>
      </w:pPr>
      <w:r>
        <w:rPr>
          <w:rFonts w:ascii="Courier New" w:cs="Courier New" w:eastAsia="Courier New" w:hAnsi="Courier New"/>
          <w:sz w:val="12"/>
          <w:szCs w:val="12"/>
          <w:color w:val="auto"/>
        </w:rPr>
        <w:t>WHO ARE NOT AFFILIATED WITH MAJOR SHAREHOLDERS OF THE COMPANY</w:t>
      </w:r>
    </w:p>
    <w:p>
      <w:pPr>
        <w:jc w:val="center"/>
        <w:ind w:right="4699"/>
        <w:spacing w:after="0" w:line="237" w:lineRule="auto"/>
        <w:rPr>
          <w:sz w:val="20"/>
          <w:szCs w:val="20"/>
          <w:color w:val="auto"/>
        </w:rPr>
      </w:pPr>
      <w:r>
        <w:rPr>
          <w:rFonts w:ascii="Courier New" w:cs="Courier New" w:eastAsia="Courier New" w:hAnsi="Courier New"/>
          <w:sz w:val="12"/>
          <w:szCs w:val="12"/>
          <w:color w:val="auto"/>
        </w:rPr>
        <w:t>AND ARE NOT COMPANY EMPLOYEES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August 2001, the shareholders of the Company approved the Non-Employee Director Share Option Plan 2001 (the "2001 Plan"). The 2001 Plan provides for the grant of options to each eligible director to purchase up to 40,000 Ordinary Shares, and an aggregate of up to 400,000 Ordinary Shares of the Company. All directors of the Company, other than directors who are employed as officers of the Company, are eligible to receive options under the 2001 Plan. As of November 30, 2006, 280,000 options are outstanding under the 2001 Plan, of which 150,000 may be exercised.</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Pursuant to the terms of the 2001 Plan, options granted under the 2001 Plan may be exercised for a period of five years from the later of the date the options first became exercisable or the termination of the holding period which may be required by the Israeli tax authorities. Pursuant to such terms, upon termination of an eligible director's service as a director, other than by reason of the eligible director's death or disability, all unvested options immediately expire and all vested options as of the date of termination expire 90 days thereafter.</w:t>
      </w:r>
    </w:p>
    <w:p>
      <w:pPr>
        <w:spacing w:after="0" w:line="142" w:lineRule="exact"/>
        <w:rPr>
          <w:sz w:val="20"/>
          <w:szCs w:val="20"/>
          <w:color w:val="auto"/>
        </w:rPr>
      </w:pPr>
    </w:p>
    <w:p>
      <w:pPr>
        <w:ind w:right="4839" w:firstLine="351"/>
        <w:spacing w:after="0" w:line="237" w:lineRule="auto"/>
        <w:rPr>
          <w:sz w:val="20"/>
          <w:szCs w:val="20"/>
          <w:color w:val="auto"/>
        </w:rPr>
      </w:pPr>
      <w:r>
        <w:rPr>
          <w:rFonts w:ascii="Courier New" w:cs="Courier New" w:eastAsia="Courier New" w:hAnsi="Courier New"/>
          <w:sz w:val="12"/>
          <w:szCs w:val="12"/>
          <w:color w:val="auto"/>
        </w:rPr>
        <w:t>In November 2006, the Company's Audit Committee and Board of Directors approved, subject to shareholders approval, the adjustment of compensation payable to directors of the Company who are not affiliated with the Company's major shareholders, including its current major wafer partners and are not employees of the Company (each an "Independent Director").</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Under Israeli law, the terms of service of members of the Board of Directors of the Company, including external directors, require the approval of the Audit Committee, Board of Directors and shareholders of the Company, in such order.</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FEES AND REIMBURSEMENT OF EXPENSES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Company's Audit Committee and Board of Directors approved: (i) the payment of annual fees and participation fees (per meeting) to the Independent Directors; and (ii) the reimbursement of out-of-pocket expenses of the Independent Directors, in both cases, to the maximum extent permitted under the regulations promulgated under the Israeli Companies Law that govern the payment of external directors (Companies Law Regulations (Rules Regarding the Remuneration and Expenses of External Directors) - 2000 (the "Remuneration Regulations")), as amended by regulations providing special concessions to dual-listed companies.</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As of the date of this proxy statement, among other things, the</w:t>
      </w:r>
    </w:p>
    <w:p>
      <w:pPr>
        <w:spacing w:after="0"/>
        <w:rPr>
          <w:sz w:val="20"/>
          <w:szCs w:val="20"/>
          <w:color w:val="auto"/>
        </w:rPr>
      </w:pPr>
      <w:r>
        <w:rPr>
          <w:rFonts w:ascii="Courier New" w:cs="Courier New" w:eastAsia="Courier New" w:hAnsi="Courier New"/>
          <w:sz w:val="12"/>
          <w:szCs w:val="12"/>
          <w:color w:val="auto"/>
        </w:rPr>
        <w:t>Remuneration Regulations prescribe the following:</w:t>
      </w:r>
    </w:p>
    <w:p>
      <w:pPr>
        <w:spacing w:after="0" w:line="138" w:lineRule="exact"/>
        <w:rPr>
          <w:sz w:val="20"/>
          <w:szCs w:val="20"/>
          <w:color w:val="auto"/>
        </w:rPr>
      </w:pPr>
    </w:p>
    <w:p>
      <w:pPr>
        <w:jc w:val="both"/>
        <w:ind w:left="1040" w:right="4759" w:hanging="345"/>
        <w:spacing w:after="0" w:line="236" w:lineRule="auto"/>
        <w:tabs>
          <w:tab w:leader="none" w:pos="104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maximum fixed annual fee payable to an external director is NIS 113,420 (approximately $27,000), which amount is indexed to the Consumer Price Index in Israel.</w:t>
      </w:r>
    </w:p>
    <w:p>
      <w:pPr>
        <w:spacing w:after="0" w:line="139" w:lineRule="exact"/>
        <w:rPr>
          <w:rFonts w:ascii="Courier New" w:cs="Courier New" w:eastAsia="Courier New" w:hAnsi="Courier New"/>
          <w:sz w:val="12"/>
          <w:szCs w:val="12"/>
          <w:color w:val="auto"/>
        </w:rPr>
      </w:pPr>
    </w:p>
    <w:p>
      <w:pPr>
        <w:ind w:left="1040" w:right="4619" w:hanging="345"/>
        <w:spacing w:after="0" w:line="236" w:lineRule="auto"/>
        <w:tabs>
          <w:tab w:leader="none" w:pos="104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maximum fixed participation fee (per meeting) payable to an external director is NIS 3,405 (approximately $810), which amount is indexed to the Consumer Price Index in Israel.</w:t>
      </w:r>
    </w:p>
    <w:p>
      <w:pPr>
        <w:spacing w:after="0" w:line="270" w:lineRule="exact"/>
        <w:rPr>
          <w:sz w:val="20"/>
          <w:szCs w:val="20"/>
          <w:color w:val="auto"/>
        </w:rPr>
      </w:pPr>
    </w:p>
    <w:p>
      <w:pPr>
        <w:ind w:left="2740"/>
        <w:spacing w:after="0"/>
        <w:rPr>
          <w:sz w:val="20"/>
          <w:szCs w:val="20"/>
          <w:color w:val="auto"/>
        </w:rPr>
      </w:pPr>
      <w:r>
        <w:rPr>
          <w:rFonts w:ascii="Courier New" w:cs="Courier New" w:eastAsia="Courier New" w:hAnsi="Courier New"/>
          <w:sz w:val="12"/>
          <w:szCs w:val="12"/>
          <w:color w:val="auto"/>
        </w:rPr>
        <w:t>10</w:t>
      </w:r>
    </w:p>
    <w:p>
      <w:pPr>
        <w:spacing w:after="0" w:line="121" w:lineRule="exact"/>
        <w:rPr>
          <w:sz w:val="20"/>
          <w:szCs w:val="20"/>
          <w:color w:val="auto"/>
        </w:rPr>
      </w:pPr>
    </w:p>
    <w:p>
      <w:pPr>
        <w:ind w:left="1040" w:right="4699" w:hanging="345"/>
        <w:spacing w:after="0" w:line="273" w:lineRule="auto"/>
        <w:tabs>
          <w:tab w:leader="none" w:pos="1040"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certain circumstances the Company may also reimburse external directors for expenses associated with particular meetings.</w:t>
      </w:r>
    </w:p>
    <w:p>
      <w:pPr>
        <w:spacing w:after="0" w:line="117"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2006 INDEPENDENT DIRECTORS OPTION PLAN</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In light of the Board of Director's belief that options to purchase shares of the Company can and should be an important component of director compensation, the Company's Board of Directors approved (following the approval by the Audit Committee) the grant to each Independent Director (including Ms. Miri Katz who is nominated for appointment in the Meeting) such number of options to purchase Ordinary Shares ("Initial Options") that shall equal 150,000 less the number of options to purchase Ordinary Shares held by such Independent Director as of the date of the Meeting (the "Initial Grant Date") and which, as of the Initial Grant Date, have not vested. Subject to the Independent Director then serving on the Board, the Initial Options shall vest over 3 years, one third will vest on the 12 month anniversary of the Initial Grant Date, and thereafter, the remaining two thirds will vest on a monthly basis until fully vested. The exercise price per Initial Option shall be the closing price of the Company's Ordinary Shares on the Nasdaq on the trading day immediately prior to the Initial Grant Date.</w:t>
      </w:r>
    </w:p>
    <w:p>
      <w:pPr>
        <w:spacing w:after="0" w:line="140" w:lineRule="exact"/>
        <w:rPr>
          <w:sz w:val="20"/>
          <w:szCs w:val="20"/>
          <w:color w:val="auto"/>
        </w:rPr>
      </w:pPr>
    </w:p>
    <w:p>
      <w:pPr>
        <w:ind w:right="4699" w:firstLine="351"/>
        <w:spacing w:after="0" w:line="238" w:lineRule="auto"/>
        <w:rPr>
          <w:sz w:val="20"/>
          <w:szCs w:val="20"/>
          <w:color w:val="auto"/>
        </w:rPr>
      </w:pPr>
      <w:r>
        <w:rPr>
          <w:rFonts w:ascii="Courier New" w:cs="Courier New" w:eastAsia="Courier New" w:hAnsi="Courier New"/>
          <w:sz w:val="12"/>
          <w:szCs w:val="12"/>
          <w:color w:val="auto"/>
        </w:rPr>
        <w:t>In the event that, after the date of the Meeting, a new Independent Director is appointed in any manner prescribed by the Company's Articles of Association (the date of such appointment, the "Subsequent Grant Date"), each such Independent Director shall, in the absence of a decision by the Board of Directors to the contrary, be granted 150,000 options to purchase Ordinary Shares ("Subsequent Options"), which, subject to the Independent Director then serving on the Board, shall vest over 3 years, one third on the 12 month anniversary of the date on which such Independent Director shall have served on the Board of Directors of the Company for a minimum of 12 consecutive months, and thereafter, the remaining two thirds will vest on a monthly basis until fully vested. The exercise price per Subsequent Option shall be the closing price of the Company's Ordinary Shares on the Nasdaq on the trading day immediately prior to the relevant Subsequent Grant Date.</w:t>
      </w:r>
    </w:p>
    <w:p>
      <w:pPr>
        <w:spacing w:after="0" w:line="139" w:lineRule="exact"/>
        <w:rPr>
          <w:sz w:val="20"/>
          <w:szCs w:val="20"/>
          <w:color w:val="auto"/>
        </w:rPr>
      </w:pPr>
    </w:p>
    <w:p>
      <w:pPr>
        <w:ind w:right="4759" w:firstLine="351"/>
        <w:spacing w:after="0" w:line="264" w:lineRule="auto"/>
        <w:rPr>
          <w:sz w:val="20"/>
          <w:szCs w:val="20"/>
          <w:color w:val="auto"/>
        </w:rPr>
      </w:pPr>
      <w:r>
        <w:rPr>
          <w:rFonts w:ascii="Courier New" w:cs="Courier New" w:eastAsia="Courier New" w:hAnsi="Courier New"/>
          <w:sz w:val="11"/>
          <w:szCs w:val="11"/>
          <w:color w:val="auto"/>
        </w:rPr>
        <w:t>Upon each 36 month anniversary of a previous grant of options to an Independent Director (each a "Tenure Grant Date"), each such Independent Director shall, in the absence of a decision by the Board of Directors to the contrary, be granted an additional 150,000 options to purchase Ordinary Shares</w:t>
      </w:r>
    </w:p>
    <w:p>
      <w:pPr>
        <w:sectPr>
          <w:pgSz w:w="11900" w:h="16838" w:orient="portrait"/>
          <w:cols w:equalWidth="0" w:num="1">
            <w:col w:w="10239"/>
          </w:cols>
          <w:pgMar w:left="220" w:top="141" w:right="1440" w:bottom="0" w:gutter="0" w:footer="0" w:header="0"/>
        </w:sectPr>
      </w:pPr>
    </w:p>
    <w:bookmarkStart w:id="6" w:name="page7"/>
    <w:bookmarkEnd w:id="6"/>
    <w:p>
      <w:pPr>
        <w:ind w:left="8" w:right="4759"/>
        <w:spacing w:after="0" w:line="237" w:lineRule="auto"/>
        <w:rPr>
          <w:sz w:val="20"/>
          <w:szCs w:val="20"/>
          <w:color w:val="auto"/>
        </w:rPr>
      </w:pPr>
      <w:r>
        <w:rPr>
          <w:rFonts w:ascii="Courier New" w:cs="Courier New" w:eastAsia="Courier New" w:hAnsi="Courier New"/>
          <w:sz w:val="12"/>
          <w:szCs w:val="12"/>
          <w:color w:val="auto"/>
        </w:rPr>
        <w:t>("Tenure Options"), which, subject to the Independent Director then serving on the Board, shall vest over 3 years on a monthly basis until fully vested. The exercise price per Tenure Option shall be the closing price of the Company's Ordinary Shares on the Nasdaq on the trading day immediately prior to the relevant Tenure Grant Date.</w:t>
      </w:r>
    </w:p>
    <w:p>
      <w:pPr>
        <w:spacing w:after="0" w:line="139" w:lineRule="exact"/>
        <w:rPr>
          <w:sz w:val="20"/>
          <w:szCs w:val="20"/>
          <w:color w:val="auto"/>
        </w:rPr>
      </w:pPr>
    </w:p>
    <w:p>
      <w:pPr>
        <w:ind w:left="8" w:right="4619" w:firstLine="351"/>
        <w:spacing w:after="0" w:line="264" w:lineRule="auto"/>
        <w:rPr>
          <w:sz w:val="20"/>
          <w:szCs w:val="20"/>
          <w:color w:val="auto"/>
        </w:rPr>
      </w:pPr>
      <w:r>
        <w:rPr>
          <w:rFonts w:ascii="Courier New" w:cs="Courier New" w:eastAsia="Courier New" w:hAnsi="Courier New"/>
          <w:sz w:val="11"/>
          <w:szCs w:val="11"/>
          <w:color w:val="auto"/>
        </w:rPr>
        <w:t>Subject to the provisions below, the Initial Options, Subsequent Options and Tenure Options that have vested shall be exercisable by an Independent Director for a period of ten years following the date on which the Initial Options, Subsequent Options or Tenure Options, as the case may be, first vested.</w:t>
      </w:r>
    </w:p>
    <w:p>
      <w:pPr>
        <w:spacing w:after="0" w:line="127" w:lineRule="exact"/>
        <w:rPr>
          <w:sz w:val="20"/>
          <w:szCs w:val="20"/>
          <w:color w:val="auto"/>
        </w:rPr>
      </w:pPr>
    </w:p>
    <w:p>
      <w:pPr>
        <w:ind w:left="8" w:right="4759" w:firstLine="351"/>
        <w:spacing w:after="0" w:line="260" w:lineRule="auto"/>
        <w:rPr>
          <w:sz w:val="20"/>
          <w:szCs w:val="20"/>
          <w:color w:val="auto"/>
        </w:rPr>
      </w:pPr>
      <w:r>
        <w:rPr>
          <w:rFonts w:ascii="Courier New" w:cs="Courier New" w:eastAsia="Courier New" w:hAnsi="Courier New"/>
          <w:sz w:val="11"/>
          <w:szCs w:val="11"/>
          <w:color w:val="auto"/>
        </w:rPr>
        <w:t>Upon resignation or removal (other than for cause) or failure to be reelected by the shareholders of the Company: (i) any vested Initial Option, Subsequent Option and/or Tenure Option will expire 2 years from such date; and</w:t>
      </w:r>
    </w:p>
    <w:p>
      <w:pPr>
        <w:ind w:left="8" w:right="4759" w:hanging="8"/>
        <w:spacing w:after="0" w:line="266" w:lineRule="auto"/>
        <w:tabs>
          <w:tab w:leader="none" w:pos="359"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unvested Initial Options, Subsequent Options and Tenure Options shall immediately expire. Upon removal for cause, all vested and unvested Initial Options, Subsequent Options and Tenure Options shall immediately expire.</w:t>
      </w:r>
    </w:p>
    <w:p>
      <w:pPr>
        <w:spacing w:after="0" w:line="126"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Subject to applicable law, the Initial Options, Subsequent Options and Tenure Options that will be granted to Israeli residents shall be granted under the "capital gains route" under Section 102 of the Israeli Income Tax Ordinance (New Version), 5721-1961 and the applicable regulations.</w:t>
      </w:r>
    </w:p>
    <w:p>
      <w:pPr>
        <w:spacing w:after="0" w:line="272"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11</w:t>
      </w:r>
    </w:p>
    <w:p>
      <w:pPr>
        <w:spacing w:after="0" w:line="121" w:lineRule="exact"/>
        <w:rPr>
          <w:sz w:val="20"/>
          <w:szCs w:val="20"/>
          <w:color w:val="auto"/>
        </w:rPr>
      </w:pPr>
    </w:p>
    <w:p>
      <w:pPr>
        <w:jc w:val="both"/>
        <w:ind w:left="8" w:right="4619" w:firstLine="351"/>
        <w:spacing w:after="0" w:line="236" w:lineRule="auto"/>
        <w:rPr>
          <w:sz w:val="20"/>
          <w:szCs w:val="20"/>
          <w:color w:val="auto"/>
        </w:rPr>
      </w:pPr>
      <w:r>
        <w:rPr>
          <w:rFonts w:ascii="Courier New" w:cs="Courier New" w:eastAsia="Courier New" w:hAnsi="Courier New"/>
          <w:sz w:val="12"/>
          <w:szCs w:val="12"/>
          <w:color w:val="auto"/>
        </w:rPr>
        <w:t>Tax consequences in any jurisdiction arising from the grant or exercise of the Initial Options, Subsequent Options and Tenure Options shall be borne solely by the relevant Independent Director.</w:t>
      </w:r>
    </w:p>
    <w:p>
      <w:pPr>
        <w:spacing w:after="0" w:line="139" w:lineRule="exact"/>
        <w:rPr>
          <w:sz w:val="20"/>
          <w:szCs w:val="20"/>
          <w:color w:val="auto"/>
        </w:rPr>
      </w:pPr>
    </w:p>
    <w:p>
      <w:pPr>
        <w:jc w:val="both"/>
        <w:ind w:left="8" w:right="4619" w:firstLine="351"/>
        <w:spacing w:after="0" w:line="235" w:lineRule="auto"/>
        <w:rPr>
          <w:sz w:val="20"/>
          <w:szCs w:val="20"/>
          <w:color w:val="auto"/>
        </w:rPr>
      </w:pPr>
      <w:r>
        <w:rPr>
          <w:rFonts w:ascii="Courier New" w:cs="Courier New" w:eastAsia="Courier New" w:hAnsi="Courier New"/>
          <w:sz w:val="12"/>
          <w:szCs w:val="12"/>
          <w:color w:val="auto"/>
        </w:rPr>
        <w:t>So long as the 2006 Independent Directors Option Plan remains in effect, no future grants will be made to Independent Directors under the 2001 Plan.</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8"/>
        <w:spacing w:after="0"/>
        <w:rPr>
          <w:sz w:val="20"/>
          <w:szCs w:val="20"/>
          <w:color w:val="auto"/>
        </w:rPr>
      </w:pPr>
      <w:r>
        <w:rPr>
          <w:rFonts w:ascii="Courier New" w:cs="Courier New" w:eastAsia="Courier New" w:hAnsi="Courier New"/>
          <w:sz w:val="12"/>
          <w:szCs w:val="12"/>
          <w:color w:val="auto"/>
        </w:rPr>
        <w:t>MEETING:</w:t>
      </w:r>
    </w:p>
    <w:p>
      <w:pPr>
        <w:spacing w:after="0" w:line="138" w:lineRule="exact"/>
        <w:rPr>
          <w:sz w:val="20"/>
          <w:szCs w:val="20"/>
          <w:color w:val="auto"/>
        </w:rPr>
      </w:pPr>
    </w:p>
    <w:p>
      <w:pPr>
        <w:jc w:val="both"/>
        <w:ind w:left="348" w:right="4619"/>
        <w:spacing w:after="0" w:line="236" w:lineRule="auto"/>
        <w:rPr>
          <w:sz w:val="20"/>
          <w:szCs w:val="20"/>
          <w:color w:val="auto"/>
        </w:rPr>
      </w:pPr>
      <w:r>
        <w:rPr>
          <w:rFonts w:ascii="Courier New" w:cs="Courier New" w:eastAsia="Courier New" w:hAnsi="Courier New"/>
          <w:sz w:val="12"/>
          <w:szCs w:val="12"/>
          <w:color w:val="auto"/>
        </w:rPr>
        <w:t>"RESOLVED TO APPROVE THE TERMS OF COMPENSATION OF THE COMPANY'S INDEPENDENT DIRECTORS IN ACCORDANCE WITH THE TERMS AS DESCRIBED IN THE PROXY STATEMENT CIRCULATED IN CONNECTION WITH THE MEETING.</w:t>
      </w:r>
    </w:p>
    <w:p>
      <w:pPr>
        <w:spacing w:after="0" w:line="139"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The affirmative vote of the holders of a majority of the voting power of the Company represented at the Meeting in person or by proxy and voting thereon is necessary for approval of the terms of compensation of the Company's Independent Directors.</w:t>
      </w:r>
    </w:p>
    <w:p>
      <w:pPr>
        <w:spacing w:after="0" w:line="141" w:lineRule="exact"/>
        <w:rPr>
          <w:sz w:val="20"/>
          <w:szCs w:val="20"/>
          <w:color w:val="auto"/>
        </w:rPr>
      </w:pPr>
    </w:p>
    <w:p>
      <w:pPr>
        <w:ind w:left="8" w:right="4839" w:firstLine="351"/>
        <w:spacing w:after="0" w:line="273" w:lineRule="auto"/>
        <w:rPr>
          <w:sz w:val="20"/>
          <w:szCs w:val="20"/>
          <w:color w:val="auto"/>
        </w:rPr>
      </w:pPr>
      <w:r>
        <w:rPr>
          <w:rFonts w:ascii="Courier New" w:cs="Courier New" w:eastAsia="Courier New" w:hAnsi="Courier New"/>
          <w:sz w:val="11"/>
          <w:szCs w:val="11"/>
          <w:color w:val="auto"/>
        </w:rPr>
        <w:t>THE BOARD OF DIRECTORS RECOMMENDS THAT THE SHAREHOLDERS VOTE "FOR" THE APPROVAL OF THE TERMS OF COMPENSATION OF THE COMPANY'S INDEPENDENT DIRECTORS.</w:t>
      </w:r>
    </w:p>
    <w:p>
      <w:pPr>
        <w:spacing w:after="0" w:line="117"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PROPOSAL NO. 4</w:t>
      </w:r>
    </w:p>
    <w:p>
      <w:pPr>
        <w:spacing w:after="0" w:line="134" w:lineRule="exact"/>
        <w:rPr>
          <w:sz w:val="20"/>
          <w:szCs w:val="20"/>
          <w:color w:val="auto"/>
        </w:rPr>
      </w:pPr>
    </w:p>
    <w:p>
      <w:pPr>
        <w:ind w:left="988"/>
        <w:spacing w:after="0"/>
        <w:rPr>
          <w:sz w:val="20"/>
          <w:szCs w:val="20"/>
          <w:color w:val="auto"/>
        </w:rPr>
      </w:pPr>
      <w:r>
        <w:rPr>
          <w:rFonts w:ascii="Courier New" w:cs="Courier New" w:eastAsia="Courier New" w:hAnsi="Courier New"/>
          <w:sz w:val="12"/>
          <w:szCs w:val="12"/>
          <w:color w:val="auto"/>
        </w:rPr>
        <w:t>PROPOSAL TO APPROVE THE MODIFICATION OF THE TERMS OF</w:t>
      </w:r>
    </w:p>
    <w:p>
      <w:pPr>
        <w:ind w:left="848"/>
        <w:spacing w:after="0"/>
        <w:rPr>
          <w:sz w:val="20"/>
          <w:szCs w:val="20"/>
          <w:color w:val="auto"/>
        </w:rPr>
      </w:pPr>
      <w:r>
        <w:rPr>
          <w:rFonts w:ascii="Courier New" w:cs="Courier New" w:eastAsia="Courier New" w:hAnsi="Courier New"/>
          <w:sz w:val="12"/>
          <w:szCs w:val="12"/>
          <w:color w:val="auto"/>
        </w:rPr>
        <w:t>COMPENSATION AND THE PERFORMANCE-BASED BONUS OF OUR CHIEF</w:t>
      </w:r>
    </w:p>
    <w:p>
      <w:pPr>
        <w:ind w:left="1748"/>
        <w:spacing w:after="0" w:line="237" w:lineRule="auto"/>
        <w:rPr>
          <w:sz w:val="20"/>
          <w:szCs w:val="20"/>
          <w:color w:val="auto"/>
        </w:rPr>
      </w:pPr>
      <w:r>
        <w:rPr>
          <w:rFonts w:ascii="Courier New" w:cs="Courier New" w:eastAsia="Courier New" w:hAnsi="Courier New"/>
          <w:sz w:val="12"/>
          <w:szCs w:val="12"/>
          <w:color w:val="auto"/>
        </w:rPr>
        <w:t>EXECUTIVE OFFICER AND DIRECTOR</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Mr. Russell Ellwanger has served as the Company's Chief Executive Officer and director and as Chief Executive Officer and Chairman of the Board of Directors of the Company's wholly-owned subsidiary, Tower Semiconductor USA, Inc., since May 2005. In October 2005, the Company's shareholders approved Mr. Ellwanger's terms of compensation, including an option grant. In September 2006, the Company's shareholders approved an additional grant of options to Mr. Ellwanger. Under Israeli law, the terms of service of officers which also serve as members of the Board of Directors of the Company and modifications to such terms of service, require the approval of the Audit Committee, Board of Directors and shareholders of the Company, in such order.</w:t>
      </w:r>
    </w:p>
    <w:p>
      <w:pPr>
        <w:spacing w:after="0" w:line="144" w:lineRule="exact"/>
        <w:rPr>
          <w:sz w:val="20"/>
          <w:szCs w:val="20"/>
          <w:color w:val="auto"/>
        </w:rPr>
      </w:pPr>
    </w:p>
    <w:p>
      <w:pPr>
        <w:ind w:left="8" w:right="5039" w:firstLine="351"/>
        <w:spacing w:after="0" w:line="235" w:lineRule="auto"/>
        <w:rPr>
          <w:sz w:val="20"/>
          <w:szCs w:val="20"/>
          <w:color w:val="auto"/>
        </w:rPr>
      </w:pPr>
      <w:r>
        <w:rPr>
          <w:rFonts w:ascii="Courier New" w:cs="Courier New" w:eastAsia="Courier New" w:hAnsi="Courier New"/>
          <w:sz w:val="12"/>
          <w:szCs w:val="12"/>
          <w:color w:val="auto"/>
        </w:rPr>
        <w:t>Each of the Audit Committee and the Board of Directors of the Company approved:</w:t>
      </w:r>
    </w:p>
    <w:p>
      <w:pPr>
        <w:spacing w:after="0" w:line="139" w:lineRule="exact"/>
        <w:rPr>
          <w:sz w:val="20"/>
          <w:szCs w:val="20"/>
          <w:color w:val="auto"/>
        </w:rPr>
      </w:pPr>
    </w:p>
    <w:p>
      <w:pPr>
        <w:ind w:left="708" w:right="4759" w:hanging="357"/>
        <w:spacing w:after="0" w:line="235" w:lineRule="auto"/>
        <w:tabs>
          <w:tab w:leader="none" w:pos="70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eight percent (8%) increase in Mr. Ellwanger's annual base salary from $350,000 to $378,000, effective January 1, 2007; and</w:t>
      </w:r>
    </w:p>
    <w:p>
      <w:pPr>
        <w:spacing w:after="0" w:line="139" w:lineRule="exact"/>
        <w:rPr>
          <w:rFonts w:ascii="Courier New" w:cs="Courier New" w:eastAsia="Courier New" w:hAnsi="Courier New"/>
          <w:sz w:val="12"/>
          <w:szCs w:val="12"/>
          <w:color w:val="auto"/>
        </w:rPr>
      </w:pPr>
    </w:p>
    <w:p>
      <w:pPr>
        <w:ind w:left="708" w:right="5119" w:hanging="357"/>
        <w:spacing w:after="0" w:line="235" w:lineRule="auto"/>
        <w:tabs>
          <w:tab w:leader="none" w:pos="70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performance-based bonus of up to $525,000 for the year ending December 31, 2006.</w:t>
      </w:r>
    </w:p>
    <w:p>
      <w:pPr>
        <w:spacing w:after="0" w:line="270"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12</w:t>
      </w:r>
    </w:p>
    <w:p>
      <w:pPr>
        <w:spacing w:after="0" w:line="11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8"/>
        <w:spacing w:after="0"/>
        <w:rPr>
          <w:sz w:val="20"/>
          <w:szCs w:val="20"/>
          <w:color w:val="auto"/>
        </w:rPr>
      </w:pPr>
      <w:r>
        <w:rPr>
          <w:rFonts w:ascii="Courier New" w:cs="Courier New" w:eastAsia="Courier New" w:hAnsi="Courier New"/>
          <w:sz w:val="12"/>
          <w:szCs w:val="12"/>
          <w:color w:val="auto"/>
        </w:rPr>
        <w:t>MEETING:</w:t>
      </w:r>
    </w:p>
    <w:p>
      <w:pPr>
        <w:spacing w:after="0" w:line="138" w:lineRule="exact"/>
        <w:rPr>
          <w:sz w:val="20"/>
          <w:szCs w:val="20"/>
          <w:color w:val="auto"/>
        </w:rPr>
      </w:pPr>
    </w:p>
    <w:p>
      <w:pPr>
        <w:ind w:left="348"/>
        <w:spacing w:after="0"/>
        <w:rPr>
          <w:sz w:val="20"/>
          <w:szCs w:val="20"/>
          <w:color w:val="auto"/>
        </w:rPr>
      </w:pPr>
      <w:r>
        <w:rPr>
          <w:rFonts w:ascii="Courier New" w:cs="Courier New" w:eastAsia="Courier New" w:hAnsi="Courier New"/>
          <w:sz w:val="11"/>
          <w:szCs w:val="11"/>
          <w:color w:val="auto"/>
        </w:rPr>
        <w:t>"RESOLVED TO APPROVE (I) THE MODIFICATION OF THE TERMS OF COMPENSATION AND</w:t>
      </w:r>
    </w:p>
    <w:p>
      <w:pPr>
        <w:spacing w:after="0" w:line="10" w:lineRule="exact"/>
        <w:rPr>
          <w:sz w:val="20"/>
          <w:szCs w:val="20"/>
          <w:color w:val="auto"/>
        </w:rPr>
      </w:pPr>
    </w:p>
    <w:p>
      <w:pPr>
        <w:ind w:left="348" w:right="4759" w:firstLine="3"/>
        <w:spacing w:after="0" w:line="235" w:lineRule="auto"/>
        <w:tabs>
          <w:tab w:leader="none" w:pos="699"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PERFORMANCE-BASED BONUS FOR 2006, OF OUR CHIEF EXECUTIVE OFFICER AND DIRECTOR.</w:t>
      </w:r>
    </w:p>
    <w:p>
      <w:pPr>
        <w:spacing w:after="0" w:line="139"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The affirmative vote of the holders of a majority of the voting power of the Company represented at the Meeting in person or by proxy and voting thereon is necessary for approval of the modification of the terms of compensation and the performance-based bonus of Mr. Russell Ellwanger.</w:t>
      </w:r>
    </w:p>
    <w:p>
      <w:pPr>
        <w:spacing w:after="0" w:line="141" w:lineRule="exact"/>
        <w:rPr>
          <w:sz w:val="20"/>
          <w:szCs w:val="20"/>
          <w:color w:val="auto"/>
        </w:rPr>
      </w:pPr>
    </w:p>
    <w:p>
      <w:pPr>
        <w:ind w:left="8" w:right="4979" w:firstLine="351"/>
        <w:spacing w:after="0" w:line="236" w:lineRule="auto"/>
        <w:rPr>
          <w:sz w:val="20"/>
          <w:szCs w:val="20"/>
          <w:color w:val="auto"/>
        </w:rPr>
      </w:pPr>
      <w:r>
        <w:rPr>
          <w:rFonts w:ascii="Courier New" w:cs="Courier New" w:eastAsia="Courier New" w:hAnsi="Courier New"/>
          <w:sz w:val="12"/>
          <w:szCs w:val="12"/>
          <w:color w:val="auto"/>
        </w:rPr>
        <w:t>THE BOARD OF DIRECTORS RECOMMENDS THAT THE SHAREHOLDERS VOTE "FOR" THE APPROVAL OF THE MODIFICATION OF THE TERMS OF COMPENSATION AND THE PERFORMANCE-BASED BONUS OF MR. RUSSELL ELLWANGER.</w:t>
      </w:r>
    </w:p>
    <w:p>
      <w:pPr>
        <w:spacing w:after="0" w:line="135"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PROPOSAL NO. 5</w:t>
      </w:r>
    </w:p>
    <w:p>
      <w:pPr>
        <w:spacing w:after="0" w:line="134"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PROPOSAL TO APPROVE THE RENEWAL OF THE COMPANY'S DIRECTORS AND</w:t>
      </w:r>
    </w:p>
    <w:p>
      <w:pPr>
        <w:jc w:val="center"/>
        <w:ind w:right="4551"/>
        <w:spacing w:after="0"/>
        <w:rPr>
          <w:sz w:val="20"/>
          <w:szCs w:val="20"/>
          <w:color w:val="auto"/>
        </w:rPr>
      </w:pPr>
      <w:r>
        <w:rPr>
          <w:rFonts w:ascii="Courier New" w:cs="Courier New" w:eastAsia="Courier New" w:hAnsi="Courier New"/>
          <w:sz w:val="12"/>
          <w:szCs w:val="12"/>
          <w:color w:val="auto"/>
        </w:rPr>
        <w:t>OFFICERS LIABILITY INSURANCE POLICY</w:t>
      </w:r>
    </w:p>
    <w:p>
      <w:pPr>
        <w:spacing w:after="0" w:line="138"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Under the Israeli Companies Law, a transaction entered into by the Company with one of its directors in respect of, inter alia, insurance on such director's behalf requires the approval by the Company's Audit Committee, Board of Directors and shareholders, in such order.</w:t>
      </w:r>
    </w:p>
    <w:p>
      <w:pPr>
        <w:spacing w:after="0" w:line="141" w:lineRule="exact"/>
        <w:rPr>
          <w:sz w:val="20"/>
          <w:szCs w:val="20"/>
          <w:color w:val="auto"/>
        </w:rPr>
      </w:pPr>
    </w:p>
    <w:p>
      <w:pPr>
        <w:ind w:left="8" w:right="4979" w:firstLine="351"/>
        <w:spacing w:after="0" w:line="236" w:lineRule="auto"/>
        <w:rPr>
          <w:sz w:val="20"/>
          <w:szCs w:val="20"/>
          <w:color w:val="auto"/>
        </w:rPr>
      </w:pPr>
      <w:r>
        <w:rPr>
          <w:rFonts w:ascii="Courier New" w:cs="Courier New" w:eastAsia="Courier New" w:hAnsi="Courier New"/>
          <w:sz w:val="12"/>
          <w:szCs w:val="12"/>
          <w:color w:val="auto"/>
        </w:rPr>
        <w:t>In November 2006, the Company's Audit Committee and Board of Directors approved the renewal by the Company of Directors and Officers Liability Insurance for the benefit of its directors and officers, which includes the following principal terms:</w:t>
      </w:r>
    </w:p>
    <w:p>
      <w:pPr>
        <w:spacing w:after="0" w:line="141" w:lineRule="exact"/>
        <w:rPr>
          <w:sz w:val="20"/>
          <w:szCs w:val="20"/>
          <w:color w:val="auto"/>
        </w:rPr>
      </w:pPr>
    </w:p>
    <w:p>
      <w:pPr>
        <w:ind w:left="708" w:right="4759" w:hanging="357"/>
        <w:spacing w:after="0" w:line="236" w:lineRule="auto"/>
        <w:tabs>
          <w:tab w:leader="none" w:pos="70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Coverage of up to $35 million, of which $25 million will be for the benefit of both the Company and its directors and officers ("General Policy"), and $10 million will only be for the benefit of the Company's directors and officers ("Side A Policy").</w:t>
      </w:r>
    </w:p>
    <w:p>
      <w:pPr>
        <w:spacing w:after="0" w:line="140" w:lineRule="exact"/>
        <w:rPr>
          <w:rFonts w:ascii="Courier New" w:cs="Courier New" w:eastAsia="Courier New" w:hAnsi="Courier New"/>
          <w:sz w:val="12"/>
          <w:szCs w:val="12"/>
          <w:color w:val="auto"/>
        </w:rPr>
      </w:pPr>
    </w:p>
    <w:p>
      <w:pPr>
        <w:jc w:val="both"/>
        <w:ind w:left="708" w:right="4899" w:hanging="357"/>
        <w:spacing w:after="0" w:line="236" w:lineRule="auto"/>
        <w:tabs>
          <w:tab w:leader="none" w:pos="70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Side A Policy provides coverage to the Company's directors and officers in situations where coverage under the General Policy has been exhausted or is otherwise insufficient.</w:t>
      </w:r>
    </w:p>
    <w:p>
      <w:pPr>
        <w:spacing w:after="0" w:line="139" w:lineRule="exact"/>
        <w:rPr>
          <w:rFonts w:ascii="Courier New" w:cs="Courier New" w:eastAsia="Courier New" w:hAnsi="Courier New"/>
          <w:sz w:val="12"/>
          <w:szCs w:val="12"/>
          <w:color w:val="auto"/>
        </w:rPr>
      </w:pPr>
    </w:p>
    <w:p>
      <w:pPr>
        <w:ind w:left="708" w:right="4619" w:hanging="357"/>
        <w:spacing w:after="0" w:line="236" w:lineRule="auto"/>
        <w:tabs>
          <w:tab w:leader="none" w:pos="70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circumstances where payment is due to the Company and an insured director/officer under the General Policy, payment will first be made in full to such insured director/officer and the balance, if any, will be made to the Company.</w:t>
      </w:r>
    </w:p>
    <w:p>
      <w:pPr>
        <w:sectPr>
          <w:pgSz w:w="11900" w:h="16838" w:orient="portrait"/>
          <w:cols w:equalWidth="0" w:num="1">
            <w:col w:w="10247"/>
          </w:cols>
          <w:pgMar w:left="212" w:top="141" w:right="1440" w:bottom="0" w:gutter="0" w:footer="0" w:header="0"/>
        </w:sectPr>
      </w:pPr>
    </w:p>
    <w:bookmarkStart w:id="7" w:name="page8"/>
    <w:bookmarkEnd w:id="7"/>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Valid for a period of 12 months.</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Cost of $510,000 annually.</w:t>
      </w:r>
    </w:p>
    <w:p>
      <w:pPr>
        <w:spacing w:after="0" w:line="139"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The Company will renew this policy on an annual basis, or otherwise from time to time. Any change to the policy, which materially departs from the key terms described above, including the cost, will be submitted to the Company's Audit Committee and Board of Directors for their approval but shall not, unless required by law or the Company's Articles of Association, be presented to the General Meeting of the shareholders.</w:t>
      </w:r>
    </w:p>
    <w:p>
      <w:pPr>
        <w:spacing w:after="0" w:line="271"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13</w:t>
      </w:r>
    </w:p>
    <w:p>
      <w:pPr>
        <w:spacing w:after="0" w:line="11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THE BOARD OF DIRECTORS WILL PRESENT THE FOLLOWING RESOLUTION AT THE</w:t>
      </w:r>
    </w:p>
    <w:p>
      <w:pPr>
        <w:ind w:left="348"/>
        <w:spacing w:after="0"/>
        <w:rPr>
          <w:sz w:val="20"/>
          <w:szCs w:val="20"/>
          <w:color w:val="auto"/>
        </w:rPr>
      </w:pPr>
      <w:r>
        <w:rPr>
          <w:rFonts w:ascii="Courier New" w:cs="Courier New" w:eastAsia="Courier New" w:hAnsi="Courier New"/>
          <w:sz w:val="12"/>
          <w:szCs w:val="12"/>
          <w:color w:val="auto"/>
        </w:rPr>
        <w:t>MEETING:</w:t>
      </w:r>
    </w:p>
    <w:p>
      <w:pPr>
        <w:spacing w:after="0" w:line="138" w:lineRule="exact"/>
        <w:rPr>
          <w:sz w:val="20"/>
          <w:szCs w:val="20"/>
          <w:color w:val="auto"/>
        </w:rPr>
      </w:pPr>
    </w:p>
    <w:p>
      <w:pPr>
        <w:ind w:left="348" w:right="4699"/>
        <w:spacing w:after="0" w:line="236" w:lineRule="auto"/>
        <w:rPr>
          <w:sz w:val="20"/>
          <w:szCs w:val="20"/>
          <w:color w:val="auto"/>
        </w:rPr>
      </w:pPr>
      <w:r>
        <w:rPr>
          <w:rFonts w:ascii="Courier New" w:cs="Courier New" w:eastAsia="Courier New" w:hAnsi="Courier New"/>
          <w:sz w:val="12"/>
          <w:szCs w:val="12"/>
          <w:color w:val="auto"/>
        </w:rPr>
        <w:t>"RESOLVED TO APPROVE THE RENEWAL OF THE COMPANY'S DIRECTORS AND OFFICERS LIABILITY INSURANCE IN ACCORDANCE WITH THE TERMS AS DESCRIBED IN THE PROXY STATEMENT CIRCULATED IN CONNECTION WITH THE MEETING."</w:t>
      </w:r>
    </w:p>
    <w:p>
      <w:pPr>
        <w:spacing w:after="0" w:line="13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Due to the fact that the above insurance policy provides coverage also to directors of the Company appointed by the Company's major shareholders, the renewal of the insurance policy may constitute a transaction with a controlling shareholder or shareholders under the Israel Companies Law. Therefore, in addition to requiring the affirmative vote of shareholders present in person or by proxy and holding Ordinary Shares amounting in the aggregate to at least a majority of the votes actually cast with respect to such proposal, under the Israeli Companies Law, the approval of this proposal may also require that either: (i) said majority include at least one-third of the voting power of the disinterested shareholders who are present in person or by proxy and who vote on such proposal; or (ii) the total votes cast in opposition to the proposal by the disinterested shareholders does not exceed 1% of all the voting power in the Company. EACH SHAREHOLDER VOTING AT THE MEETING OR PRIOR THERETO BY MEANS OF THE ACCOMPANYING PROXY CARD IS REQUESTED TO NOTIFY US IF HE, SHE OR IT HAS A PERSONAL INTEREST IN CONNECTION WITH THIS PROPOSAL 5 AS A CONDITION FOR HIS OR HER VOTE TO BE COUNTED WITH RESPECT TO THIS PROPOSAL 5. IF ANY SHAREHOLDER CASTING A VOTE IN CONNECTION HERETO DOES NOT NOTIFY US IF HE, SHE OR IT HAS A PERSONAL INTEREST WITH RESPECT TO THIS PROPOSAL 5, HIS, HER OR ITS VOTE WITH RESPECT TO THIS PROPOSAL 5 WILL BE DISQUALIFIED. FOR THIS PURPOSE, "PERSONAL INTEREST" IS DEFINED AS: (1) A SHAREHOLDER'S PERSONAL INTEREST IN THE APPROVAL OF AN ACT OR A TRANSACTION OF THE COMPANY, INCLUDING (I) THE PERSONAL INTEREST OF HIS OR HER RELATIVE (WHICH INCLUDES FOR THESE PURPOSES ANY MEMBERS OF HIS/HER IMMEDIATE FAMILY OR THE SPOUSES OF ANY SUCH MEMBERS OF HIS OR HER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w:t>
      </w:r>
    </w:p>
    <w:p>
      <w:pPr>
        <w:spacing w:after="0" w:line="138" w:lineRule="exact"/>
        <w:rPr>
          <w:sz w:val="20"/>
          <w:szCs w:val="20"/>
          <w:color w:val="auto"/>
        </w:rPr>
      </w:pPr>
    </w:p>
    <w:p>
      <w:pPr>
        <w:ind w:left="8" w:right="4619" w:hanging="8"/>
        <w:spacing w:after="0" w:line="235" w:lineRule="auto"/>
        <w:tabs>
          <w:tab w:leader="none" w:pos="289"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EXCLUDING A PERSONAL INTEREST ARISING SOLELY FROM THE FACT OF HOLDING SHARES IN THE COMPANY OR IN A BODY CORPORATE.</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THE BOARD OF DIRECTORS RECOMMENDS THAT THE SHAREHOLDERS VOTE "FOR" THE</w:t>
      </w:r>
    </w:p>
    <w:p>
      <w:pPr>
        <w:ind w:left="348"/>
        <w:spacing w:after="0"/>
        <w:rPr>
          <w:sz w:val="20"/>
          <w:szCs w:val="20"/>
          <w:color w:val="auto"/>
        </w:rPr>
      </w:pPr>
      <w:r>
        <w:rPr>
          <w:rFonts w:ascii="Courier New" w:cs="Courier New" w:eastAsia="Courier New" w:hAnsi="Courier New"/>
          <w:sz w:val="12"/>
          <w:szCs w:val="12"/>
          <w:color w:val="auto"/>
        </w:rPr>
        <w:t>RENEWAL OF THE COMPANY'S DIRECTORS AND OFFICERS LIABILITY INSURANCE.</w:t>
      </w:r>
    </w:p>
    <w:p>
      <w:pPr>
        <w:spacing w:after="0" w:line="133" w:lineRule="exact"/>
        <w:rPr>
          <w:sz w:val="20"/>
          <w:szCs w:val="20"/>
          <w:color w:val="auto"/>
        </w:rPr>
      </w:pPr>
    </w:p>
    <w:p>
      <w:pPr>
        <w:ind w:left="2028"/>
        <w:spacing w:after="0"/>
        <w:rPr>
          <w:sz w:val="20"/>
          <w:szCs w:val="20"/>
          <w:color w:val="auto"/>
        </w:rPr>
      </w:pPr>
      <w:r>
        <w:rPr>
          <w:rFonts w:ascii="Courier New" w:cs="Courier New" w:eastAsia="Courier New" w:hAnsi="Courier New"/>
          <w:sz w:val="12"/>
          <w:szCs w:val="12"/>
          <w:color w:val="auto"/>
        </w:rPr>
        <w:t>ADDITIONAL INFORMATION</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FOREIGN PRIVATE ISSUER. We are subject to the informational requirements of the United States Securities Exchange Act of 1934 (the "Exchange Act"), as amended, as applicable to foreign private issuers. Accordingly, 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w:t>
      </w:r>
    </w:p>
    <w:p>
      <w:pPr>
        <w:spacing w:after="0" w:line="269"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14</w:t>
      </w:r>
    </w:p>
    <w:p>
      <w:pPr>
        <w:spacing w:after="0" w:line="121" w:lineRule="exact"/>
        <w:rPr>
          <w:sz w:val="20"/>
          <w:szCs w:val="20"/>
          <w:color w:val="auto"/>
        </w:rPr>
      </w:pPr>
    </w:p>
    <w:p>
      <w:pPr>
        <w:ind w:left="8" w:right="4699" w:firstLine="351"/>
        <w:spacing w:after="0" w:line="261" w:lineRule="auto"/>
        <w:rPr>
          <w:sz w:val="20"/>
          <w:szCs w:val="20"/>
          <w:color w:val="auto"/>
        </w:rPr>
      </w:pPr>
      <w:r>
        <w:rPr>
          <w:rFonts w:ascii="Courier New" w:cs="Courier New" w:eastAsia="Courier New" w:hAnsi="Courier New"/>
          <w:sz w:val="11"/>
          <w:szCs w:val="11"/>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3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ISA EXEMPTION. With the exception of the reporting obligations applicable to a company organized under the laws of the State of Israel whose shares are 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Hamada Avenue, Ramat Gavriel Industrial Park, Migdal Haemek, Israel.</w:t>
      </w:r>
    </w:p>
    <w:p>
      <w:pPr>
        <w:spacing w:after="0" w:line="280" w:lineRule="exact"/>
        <w:rPr>
          <w:sz w:val="20"/>
          <w:szCs w:val="20"/>
          <w:color w:val="auto"/>
        </w:rPr>
      </w:pPr>
    </w:p>
    <w:p>
      <w:pPr>
        <w:ind w:left="3168"/>
        <w:spacing w:after="0"/>
        <w:rPr>
          <w:sz w:val="20"/>
          <w:szCs w:val="20"/>
          <w:color w:val="auto"/>
        </w:rPr>
      </w:pPr>
      <w:r>
        <w:rPr>
          <w:rFonts w:ascii="Courier New" w:cs="Courier New" w:eastAsia="Courier New" w:hAnsi="Courier New"/>
          <w:sz w:val="11"/>
          <w:szCs w:val="11"/>
          <w:color w:val="auto"/>
        </w:rPr>
        <w:t>By Order of the Board of Directors,</w:t>
      </w:r>
    </w:p>
    <w:p>
      <w:pPr>
        <w:spacing w:after="0" w:line="6" w:lineRule="exact"/>
        <w:rPr>
          <w:sz w:val="20"/>
          <w:szCs w:val="20"/>
          <w:color w:val="auto"/>
        </w:rPr>
      </w:pPr>
    </w:p>
    <w:p>
      <w:pPr>
        <w:ind w:left="3168"/>
        <w:spacing w:after="0"/>
        <w:rPr>
          <w:sz w:val="20"/>
          <w:szCs w:val="20"/>
          <w:color w:val="auto"/>
        </w:rPr>
      </w:pPr>
      <w:r>
        <w:rPr>
          <w:rFonts w:ascii="Courier New" w:cs="Courier New" w:eastAsia="Courier New" w:hAnsi="Courier New"/>
          <w:sz w:val="12"/>
          <w:szCs w:val="12"/>
          <w:color w:val="auto"/>
        </w:rPr>
        <w:t>December 22, 2006</w:t>
      </w:r>
    </w:p>
    <w:p>
      <w:pPr>
        <w:spacing w:after="0" w:line="134" w:lineRule="exact"/>
        <w:rPr>
          <w:sz w:val="20"/>
          <w:szCs w:val="20"/>
          <w:color w:val="auto"/>
        </w:rPr>
      </w:pPr>
    </w:p>
    <w:p>
      <w:pPr>
        <w:ind w:left="2748"/>
        <w:spacing w:after="0"/>
        <w:rPr>
          <w:sz w:val="20"/>
          <w:szCs w:val="20"/>
          <w:color w:val="auto"/>
        </w:rPr>
      </w:pPr>
      <w:r>
        <w:rPr>
          <w:rFonts w:ascii="Courier New" w:cs="Courier New" w:eastAsia="Courier New" w:hAnsi="Courier New"/>
          <w:sz w:val="12"/>
          <w:szCs w:val="12"/>
          <w:color w:val="auto"/>
        </w:rPr>
        <w:t>15</w:t>
      </w:r>
    </w:p>
    <w:p>
      <w:pPr>
        <w:sectPr>
          <w:pgSz w:w="11900" w:h="16838" w:orient="portrait"/>
          <w:cols w:equalWidth="0" w:num="1">
            <w:col w:w="10247"/>
          </w:cols>
          <w:pgMar w:left="212" w:top="137" w:right="1440" w:bottom="1440" w:gutter="0" w:footer="0" w:header="0"/>
        </w:sectPr>
      </w:pPr>
    </w:p>
    <w:bookmarkStart w:id="8" w:name="page9"/>
    <w:bookmarkEnd w:id="8"/>
    <w:p>
      <w:pPr>
        <w:ind w:left="4760"/>
        <w:spacing w:after="0"/>
        <w:rPr>
          <w:sz w:val="20"/>
          <w:szCs w:val="20"/>
          <w:color w:val="auto"/>
        </w:rPr>
      </w:pPr>
      <w:r>
        <w:rPr>
          <w:rFonts w:ascii="Courier New" w:cs="Courier New" w:eastAsia="Courier New" w:hAnsi="Courier New"/>
          <w:sz w:val="12"/>
          <w:szCs w:val="12"/>
          <w:color w:val="auto"/>
        </w:rPr>
        <w:t>EXHIBIT 99.2</w:t>
      </w:r>
    </w:p>
    <w:p>
      <w:pPr>
        <w:spacing w:after="0" w:line="134"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2"/>
          <w:szCs w:val="12"/>
          <w:color w:val="auto"/>
        </w:rPr>
        <w:t>SPECIAL GENERAL MEETING OF SHAREHOLDERS OF</w:t>
      </w:r>
    </w:p>
    <w:p>
      <w:pPr>
        <w:spacing w:after="0" w:line="134"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2"/>
          <w:szCs w:val="12"/>
          <w:color w:val="auto"/>
        </w:rPr>
        <w:t>TOWER SEMICONDUCTOR LTD.</w:t>
      </w:r>
    </w:p>
    <w:p>
      <w:pPr>
        <w:spacing w:after="0" w:line="134" w:lineRule="exact"/>
        <w:rPr>
          <w:sz w:val="20"/>
          <w:szCs w:val="20"/>
          <w:color w:val="auto"/>
        </w:rPr>
      </w:pPr>
    </w:p>
    <w:p>
      <w:pPr>
        <w:ind w:left="2240"/>
        <w:spacing w:after="0"/>
        <w:rPr>
          <w:sz w:val="20"/>
          <w:szCs w:val="20"/>
          <w:color w:val="auto"/>
        </w:rPr>
      </w:pPr>
      <w:r>
        <w:rPr>
          <w:rFonts w:ascii="Courier New" w:cs="Courier New" w:eastAsia="Courier New" w:hAnsi="Courier New"/>
          <w:sz w:val="12"/>
          <w:szCs w:val="12"/>
          <w:color w:val="auto"/>
        </w:rPr>
        <w:t>JANUARY 31, 2007</w:t>
      </w:r>
    </w:p>
    <w:p>
      <w:pPr>
        <w:spacing w:after="0" w:line="269" w:lineRule="exact"/>
        <w:rPr>
          <w:sz w:val="20"/>
          <w:szCs w:val="20"/>
          <w:color w:val="auto"/>
        </w:rPr>
      </w:pPr>
    </w:p>
    <w:p>
      <w:pPr>
        <w:ind w:left="1880"/>
        <w:spacing w:after="0"/>
        <w:rPr>
          <w:sz w:val="20"/>
          <w:szCs w:val="20"/>
          <w:color w:val="auto"/>
        </w:rPr>
      </w:pPr>
      <w:r>
        <w:rPr>
          <w:rFonts w:ascii="Courier New" w:cs="Courier New" w:eastAsia="Courier New" w:hAnsi="Courier New"/>
          <w:sz w:val="12"/>
          <w:szCs w:val="12"/>
          <w:color w:val="auto"/>
        </w:rPr>
        <w:t>PLEASE SIGN, DATE AND MAIL</w:t>
      </w:r>
    </w:p>
    <w:p>
      <w:pPr>
        <w:ind w:left="2020"/>
        <w:spacing w:after="0"/>
        <w:rPr>
          <w:sz w:val="20"/>
          <w:szCs w:val="20"/>
          <w:color w:val="auto"/>
        </w:rPr>
      </w:pPr>
      <w:r>
        <w:rPr>
          <w:rFonts w:ascii="Courier New" w:cs="Courier New" w:eastAsia="Courier New" w:hAnsi="Courier New"/>
          <w:sz w:val="12"/>
          <w:szCs w:val="12"/>
          <w:color w:val="auto"/>
        </w:rPr>
        <w:t>YOUR PROXY CARD IN THE</w:t>
      </w:r>
    </w:p>
    <w:p>
      <w:pPr>
        <w:ind w:left="1960"/>
        <w:spacing w:after="0" w:line="237" w:lineRule="auto"/>
        <w:rPr>
          <w:sz w:val="20"/>
          <w:szCs w:val="20"/>
          <w:color w:val="auto"/>
        </w:rPr>
      </w:pPr>
      <w:r>
        <w:rPr>
          <w:rFonts w:ascii="Courier New" w:cs="Courier New" w:eastAsia="Courier New" w:hAnsi="Courier New"/>
          <w:sz w:val="12"/>
          <w:szCs w:val="12"/>
          <w:color w:val="auto"/>
        </w:rPr>
        <w:t>ENVELOPE PROVIDED AS SOON</w:t>
      </w:r>
    </w:p>
    <w:p>
      <w:pPr>
        <w:ind w:left="2380"/>
        <w:spacing w:after="0"/>
        <w:rPr>
          <w:sz w:val="20"/>
          <w:szCs w:val="20"/>
          <w:color w:val="auto"/>
        </w:rPr>
      </w:pPr>
      <w:r>
        <w:rPr>
          <w:rFonts w:ascii="Courier New" w:cs="Courier New" w:eastAsia="Courier New" w:hAnsi="Courier New"/>
          <w:sz w:val="12"/>
          <w:szCs w:val="12"/>
          <w:color w:val="auto"/>
        </w:rPr>
        <w:t>AS POSSIBLE.</w:t>
      </w:r>
    </w:p>
    <w:p>
      <w:pPr>
        <w:spacing w:after="0" w:line="26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PLEASE DETACH ALONG PERFORATED LINE AND MAIL IN THE ENVELOPE PROVIDED.</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jc w:val="center"/>
        <w:ind w:left="3000"/>
        <w:spacing w:after="0"/>
        <w:rPr>
          <w:sz w:val="20"/>
          <w:szCs w:val="20"/>
          <w:color w:val="auto"/>
        </w:rPr>
      </w:pPr>
      <w:r>
        <w:rPr>
          <w:rFonts w:ascii="Courier New" w:cs="Courier New" w:eastAsia="Courier New" w:hAnsi="Courier New"/>
          <w:sz w:val="12"/>
          <w:szCs w:val="12"/>
          <w:color w:val="auto"/>
        </w:rPr>
        <w:t>THE BOARD OF DIRECTORS RECOMMENDS A VOTE "FOR" ALL PROPOSALS</w:t>
      </w:r>
    </w:p>
    <w:p>
      <w:pPr>
        <w:jc w:val="center"/>
        <w:ind w:left="2860"/>
        <w:spacing w:after="0"/>
        <w:rPr>
          <w:sz w:val="20"/>
          <w:szCs w:val="20"/>
          <w:color w:val="auto"/>
        </w:rPr>
      </w:pPr>
      <w:r>
        <w:rPr>
          <w:rFonts w:ascii="Courier New" w:cs="Courier New" w:eastAsia="Courier New" w:hAnsi="Courier New"/>
          <w:sz w:val="12"/>
          <w:szCs w:val="12"/>
          <w:color w:val="auto"/>
        </w:rPr>
        <w:t>PLEASE SIGN, DATE AND RETURN PROMPTLY IN THE ENCLOSED ENVELOPE. PLEASE MARK YOUR VOTE IN BLUE OR BLACK INK AS SHOWN HERE</w:t>
      </w: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1520"/>
          </w:cols>
          <w:pgMar w:left="220" w:top="137" w:right="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66" w:lineRule="auto"/>
        <w:rPr>
          <w:sz w:val="20"/>
          <w:szCs w:val="20"/>
          <w:color w:val="auto"/>
        </w:rPr>
      </w:pPr>
      <w:r>
        <w:rPr>
          <w:rFonts w:ascii="Courier New" w:cs="Courier New" w:eastAsia="Courier New" w:hAnsi="Courier New"/>
          <w:sz w:val="11"/>
          <w:szCs w:val="11"/>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346" w:right="140" w:hanging="346"/>
        <w:spacing w:after="0" w:line="235" w:lineRule="auto"/>
        <w:tabs>
          <w:tab w:leader="none" w:pos="346"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APPOINT Mr. Dov Moran as chairman of the board of directors of the Company and to approve his terms of compensation.</w:t>
      </w:r>
    </w:p>
    <w:p>
      <w:pPr>
        <w:spacing w:after="0" w:line="139" w:lineRule="exact"/>
        <w:rPr>
          <w:rFonts w:ascii="Courier New" w:cs="Courier New" w:eastAsia="Courier New" w:hAnsi="Courier New"/>
          <w:sz w:val="12"/>
          <w:szCs w:val="12"/>
          <w:color w:val="auto"/>
        </w:rPr>
      </w:pPr>
    </w:p>
    <w:p>
      <w:pPr>
        <w:ind w:left="346" w:hanging="346"/>
        <w:spacing w:after="0" w:line="235" w:lineRule="auto"/>
        <w:tabs>
          <w:tab w:leader="none" w:pos="346"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APPOINT Ms. Miri Katz to a three-year term as an external director o the Company.</w:t>
      </w:r>
    </w:p>
    <w:p>
      <w:pPr>
        <w:spacing w:after="0" w:line="139" w:lineRule="exact"/>
        <w:rPr>
          <w:rFonts w:ascii="Courier New" w:cs="Courier New" w:eastAsia="Courier New" w:hAnsi="Courier New"/>
          <w:sz w:val="12"/>
          <w:szCs w:val="12"/>
          <w:color w:val="auto"/>
        </w:rPr>
      </w:pPr>
    </w:p>
    <w:p>
      <w:pPr>
        <w:ind w:left="346" w:right="140" w:hanging="346"/>
        <w:spacing w:after="0" w:line="236" w:lineRule="auto"/>
        <w:tabs>
          <w:tab w:leader="none" w:pos="346"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terms of compensation of our directors who are not affiliated with major shareholders of the Company and are not Company employees.</w:t>
      </w:r>
    </w:p>
    <w:p>
      <w:pPr>
        <w:spacing w:after="0" w:line="139" w:lineRule="exact"/>
        <w:rPr>
          <w:rFonts w:ascii="Courier New" w:cs="Courier New" w:eastAsia="Courier New" w:hAnsi="Courier New"/>
          <w:sz w:val="12"/>
          <w:szCs w:val="12"/>
          <w:color w:val="auto"/>
        </w:rPr>
      </w:pPr>
    </w:p>
    <w:p>
      <w:pPr>
        <w:ind w:left="346" w:hanging="346"/>
        <w:spacing w:after="0" w:line="236" w:lineRule="auto"/>
        <w:tabs>
          <w:tab w:leader="none" w:pos="346"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modification of the terms of compensation and the performance-based bonus of our chief executive officer and director Mr. Russell Ellwanger.</w:t>
      </w:r>
    </w:p>
    <w:p>
      <w:pPr>
        <w:spacing w:after="0" w:line="139" w:lineRule="exact"/>
        <w:rPr>
          <w:rFonts w:ascii="Courier New" w:cs="Courier New" w:eastAsia="Courier New" w:hAnsi="Courier New"/>
          <w:sz w:val="12"/>
          <w:szCs w:val="12"/>
          <w:color w:val="auto"/>
        </w:rPr>
      </w:pPr>
    </w:p>
    <w:p>
      <w:pPr>
        <w:ind w:left="346" w:hanging="346"/>
        <w:spacing w:after="0" w:line="235" w:lineRule="auto"/>
        <w:tabs>
          <w:tab w:leader="none" w:pos="346"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 APPROVE the renewal of the Company's directors and officers liabilit insurance policy.</w:t>
      </w:r>
    </w:p>
    <w:p>
      <w:pPr>
        <w:spacing w:after="0" w:line="139" w:lineRule="exact"/>
        <w:rPr>
          <w:sz w:val="20"/>
          <w:szCs w:val="20"/>
          <w:color w:val="auto"/>
        </w:rPr>
      </w:pPr>
    </w:p>
    <w:p>
      <w:pPr>
        <w:ind w:left="6" w:right="140"/>
        <w:spacing w:after="0" w:line="235" w:lineRule="auto"/>
        <w:rPr>
          <w:sz w:val="20"/>
          <w:szCs w:val="20"/>
          <w:color w:val="auto"/>
        </w:rPr>
      </w:pPr>
      <w:r>
        <w:rPr>
          <w:rFonts w:ascii="Courier New" w:cs="Courier New" w:eastAsia="Courier New" w:hAnsi="Courier New"/>
          <w:sz w:val="12"/>
          <w:szCs w:val="12"/>
          <w:color w:val="auto"/>
        </w:rPr>
        <w:t>Do you have a "Personal Interest" (as defined) with respect to the subject matter of Proposal 5?</w:t>
      </w:r>
    </w:p>
    <w:p>
      <w:pPr>
        <w:spacing w:after="0" w:line="4" w:lineRule="exact"/>
        <w:rPr>
          <w:sz w:val="20"/>
          <w:szCs w:val="20"/>
          <w:color w:val="auto"/>
        </w:rPr>
      </w:pPr>
    </w:p>
    <w:p>
      <w:pPr>
        <w:jc w:val="both"/>
        <w:ind w:left="6"/>
        <w:spacing w:after="0" w:line="235" w:lineRule="auto"/>
        <w:rPr>
          <w:sz w:val="20"/>
          <w:szCs w:val="20"/>
          <w:color w:val="auto"/>
        </w:rPr>
      </w:pPr>
      <w:r>
        <w:rPr>
          <w:rFonts w:ascii="Courier New" w:cs="Courier New" w:eastAsia="Courier New" w:hAnsi="Courier New"/>
          <w:sz w:val="12"/>
          <w:szCs w:val="12"/>
          <w:color w:val="auto"/>
        </w:rPr>
        <w:t>(Please note: if you do not mark either YES or NO your shares will not be vo on Proposal 5)</w:t>
      </w:r>
    </w:p>
    <w:p>
      <w:pPr>
        <w:spacing w:after="0" w:line="139" w:lineRule="exact"/>
        <w:rPr>
          <w:sz w:val="20"/>
          <w:szCs w:val="20"/>
          <w:color w:val="auto"/>
        </w:rPr>
      </w:pPr>
    </w:p>
    <w:p>
      <w:pPr>
        <w:ind w:left="6"/>
        <w:spacing w:after="0" w:line="262" w:lineRule="auto"/>
        <w:rPr>
          <w:sz w:val="20"/>
          <w:szCs w:val="20"/>
          <w:color w:val="auto"/>
        </w:rPr>
      </w:pPr>
      <w:r>
        <w:rPr>
          <w:rFonts w:ascii="Courier New" w:cs="Courier New" w:eastAsia="Courier New" w:hAnsi="Courier New"/>
          <w:sz w:val="11"/>
          <w:szCs w:val="11"/>
          <w:color w:val="auto"/>
        </w:rPr>
        <w:t>For the purposes of this Proxy Card, a "Personal Interest" of a shareholder transaction of the Company, (i) includes the personal interest of any member (including the spouses thereof), and a personal interest of a body corporate family member thereof serves as a director or the chief executive officer, o capital or its voting rights or has the right to appoint a director or chief a personal interest that arises solely from the fact of holding shares in th</w:t>
      </w:r>
    </w:p>
    <w:p>
      <w:pPr>
        <w:spacing w:after="0" w:line="125" w:lineRule="exact"/>
        <w:rPr>
          <w:sz w:val="20"/>
          <w:szCs w:val="20"/>
          <w:color w:val="auto"/>
        </w:rPr>
      </w:pPr>
    </w:p>
    <w:p>
      <w:pPr>
        <w:ind w:left="6"/>
        <w:spacing w:after="0"/>
        <w:rPr>
          <w:sz w:val="20"/>
          <w:szCs w:val="20"/>
          <w:color w:val="auto"/>
        </w:rPr>
      </w:pPr>
      <w:r>
        <w:rPr>
          <w:rFonts w:ascii="Courier New" w:cs="Courier New" w:eastAsia="Courier New" w:hAnsi="Courier New"/>
          <w:sz w:val="12"/>
          <w:szCs w:val="12"/>
          <w:color w:val="auto"/>
        </w:rPr>
        <w:t>Signature of Shareholder: ______________ Date:_______</w:t>
      </w:r>
    </w:p>
    <w:p>
      <w:pPr>
        <w:spacing w:after="0" w:line="139" w:lineRule="exact"/>
        <w:rPr>
          <w:sz w:val="20"/>
          <w:szCs w:val="20"/>
          <w:color w:val="auto"/>
        </w:rPr>
      </w:pPr>
    </w:p>
    <w:p>
      <w:pPr>
        <w:sectPr>
          <w:pgSz w:w="11900" w:h="16838" w:orient="portrait"/>
          <w:cols w:equalWidth="0" w:num="2">
            <w:col w:w="5480" w:space="694"/>
            <w:col w:w="5346"/>
          </w:cols>
          <w:pgMar w:left="220" w:top="137" w:right="159" w:bottom="1440" w:gutter="0" w:footer="0" w:header="0"/>
          <w:type w:val="continuous"/>
        </w:sectPr>
      </w:pPr>
    </w:p>
    <w:p>
      <w:pPr>
        <w:jc w:val="both"/>
        <w:ind w:left="420" w:hanging="421"/>
        <w:spacing w:after="0" w:line="236" w:lineRule="auto"/>
        <w:rPr>
          <w:sz w:val="20"/>
          <w:szCs w:val="20"/>
          <w:color w:val="auto"/>
        </w:rPr>
      </w:pPr>
      <w:r>
        <w:rPr>
          <w:rFonts w:ascii="Courier New" w:cs="Courier New" w:eastAsia="Courier New" w:hAnsi="Courier New"/>
          <w:sz w:val="12"/>
          <w:szCs w:val="12"/>
          <w:color w:val="auto"/>
        </w:rPr>
        <w:t>NOTE: Please sign exactly as the name or names appear on this proxy. When shares are held jointly, each holder should sign. When signing as executor, administrator, give full title as such. If the signer is a corporation, please sign full corporate name by duly authorized officer, giving full title as such. If signer is a name by authorized person.</w:t>
      </w:r>
    </w:p>
    <w:p>
      <w:pPr>
        <w:spacing w:after="0" w:line="252"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2"/>
          <w:szCs w:val="12"/>
          <w:color w:val="auto"/>
        </w:rPr>
        <w:t>TOWER SEMICONDUCTOR LTD.</w:t>
      </w:r>
    </w:p>
    <w:p>
      <w:pPr>
        <w:spacing w:after="0" w:line="134" w:lineRule="exact"/>
        <w:rPr>
          <w:sz w:val="20"/>
          <w:szCs w:val="20"/>
          <w:color w:val="auto"/>
        </w:rPr>
      </w:pPr>
    </w:p>
    <w:p>
      <w:pPr>
        <w:jc w:val="center"/>
        <w:ind w:right="5840"/>
        <w:spacing w:after="0"/>
        <w:rPr>
          <w:sz w:val="20"/>
          <w:szCs w:val="20"/>
          <w:color w:val="auto"/>
        </w:rPr>
      </w:pPr>
      <w:r>
        <w:rPr>
          <w:rFonts w:ascii="Courier New" w:cs="Courier New" w:eastAsia="Courier New" w:hAnsi="Courier New"/>
          <w:sz w:val="12"/>
          <w:szCs w:val="12"/>
          <w:color w:val="auto"/>
        </w:rPr>
        <w:t>FOR THE SPECIAL GENERAL MEETING OF SHAREHOLDERS</w:t>
      </w:r>
    </w:p>
    <w:p>
      <w:pPr>
        <w:jc w:val="center"/>
        <w:ind w:right="5840"/>
        <w:spacing w:after="0"/>
        <w:rPr>
          <w:sz w:val="20"/>
          <w:szCs w:val="20"/>
          <w:color w:val="auto"/>
        </w:rPr>
      </w:pPr>
      <w:r>
        <w:rPr>
          <w:rFonts w:ascii="Courier New" w:cs="Courier New" w:eastAsia="Courier New" w:hAnsi="Courier New"/>
          <w:sz w:val="12"/>
          <w:szCs w:val="12"/>
          <w:color w:val="auto"/>
        </w:rPr>
        <w:t>TO BE HELD ON WEDNESDAY, JANUARY 31, 2007</w:t>
      </w:r>
    </w:p>
    <w:p>
      <w:pPr>
        <w:spacing w:after="0" w:line="133" w:lineRule="exact"/>
        <w:rPr>
          <w:sz w:val="20"/>
          <w:szCs w:val="20"/>
          <w:color w:val="auto"/>
        </w:rPr>
      </w:pPr>
    </w:p>
    <w:p>
      <w:pPr>
        <w:ind w:left="760"/>
        <w:spacing w:after="0"/>
        <w:rPr>
          <w:sz w:val="20"/>
          <w:szCs w:val="20"/>
          <w:color w:val="auto"/>
        </w:rPr>
      </w:pPr>
      <w:r>
        <w:rPr>
          <w:rFonts w:ascii="Courier New" w:cs="Courier New" w:eastAsia="Courier New" w:hAnsi="Courier New"/>
          <w:sz w:val="12"/>
          <w:szCs w:val="12"/>
          <w:color w:val="auto"/>
        </w:rPr>
        <w:t>THIS PROXY IS SOLICITED ON BEHALF OF THE BOARD OF DIRECTORS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undersigned shareholder of Tower Semiconductor Ltd. (the "Company") hereby</w:t>
      </w:r>
    </w:p>
    <w:p>
      <w:pPr>
        <w:spacing w:after="0"/>
        <w:rPr>
          <w:sz w:val="20"/>
          <w:szCs w:val="20"/>
          <w:color w:val="auto"/>
        </w:rPr>
      </w:pPr>
      <w:r>
        <w:rPr>
          <w:rFonts w:ascii="Courier New" w:cs="Courier New" w:eastAsia="Courier New" w:hAnsi="Courier New"/>
          <w:sz w:val="12"/>
          <w:szCs w:val="12"/>
          <w:color w:val="auto"/>
        </w:rPr>
        <w:t>appoints each of Oren Shirazi, Nati Somekh Gilboa and Dina Back Frimer of the</w:t>
      </w:r>
    </w:p>
    <w:p>
      <w:pPr>
        <w:spacing w:after="0" w:line="237" w:lineRule="auto"/>
        <w:rPr>
          <w:sz w:val="20"/>
          <w:szCs w:val="20"/>
          <w:color w:val="auto"/>
        </w:rPr>
      </w:pPr>
      <w:r>
        <w:rPr>
          <w:rFonts w:ascii="Courier New" w:cs="Courier New" w:eastAsia="Courier New" w:hAnsi="Courier New"/>
          <w:sz w:val="12"/>
          <w:szCs w:val="12"/>
          <w:color w:val="auto"/>
        </w:rPr>
        <w:t>Company, each with full power of substitution, the true and lawful attorney,</w:t>
      </w:r>
    </w:p>
    <w:p>
      <w:pPr>
        <w:spacing w:after="0"/>
        <w:rPr>
          <w:sz w:val="20"/>
          <w:szCs w:val="20"/>
          <w:color w:val="auto"/>
        </w:rPr>
      </w:pPr>
      <w:r>
        <w:rPr>
          <w:rFonts w:ascii="Courier New" w:cs="Courier New" w:eastAsia="Courier New" w:hAnsi="Courier New"/>
          <w:sz w:val="12"/>
          <w:szCs w:val="12"/>
          <w:color w:val="auto"/>
        </w:rPr>
        <w:t>agent and proxy of the undersigned, to vote, as designated on the reverse side,</w:t>
      </w:r>
    </w:p>
    <w:p>
      <w:pPr>
        <w:spacing w:after="0" w:line="237" w:lineRule="auto"/>
        <w:rPr>
          <w:sz w:val="20"/>
          <w:szCs w:val="20"/>
          <w:color w:val="auto"/>
        </w:rPr>
      </w:pPr>
      <w:r>
        <w:rPr>
          <w:rFonts w:ascii="Courier New" w:cs="Courier New" w:eastAsia="Courier New" w:hAnsi="Courier New"/>
          <w:sz w:val="12"/>
          <w:szCs w:val="12"/>
          <w:color w:val="auto"/>
        </w:rPr>
        <w:t>all of the Ordinary Shares of the Company which the undersigned is entitled in</w:t>
      </w:r>
    </w:p>
    <w:p>
      <w:pPr>
        <w:spacing w:after="0"/>
        <w:rPr>
          <w:sz w:val="20"/>
          <w:szCs w:val="20"/>
          <w:color w:val="auto"/>
        </w:rPr>
      </w:pPr>
      <w:r>
        <w:rPr>
          <w:rFonts w:ascii="Courier New" w:cs="Courier New" w:eastAsia="Courier New" w:hAnsi="Courier New"/>
          <w:sz w:val="12"/>
          <w:szCs w:val="12"/>
          <w:color w:val="auto"/>
        </w:rPr>
        <w:t>any capacity to vote at the Special General Meeting of Shareholders of the</w:t>
      </w:r>
    </w:p>
    <w:p>
      <w:pPr>
        <w:spacing w:after="0" w:line="237" w:lineRule="auto"/>
        <w:rPr>
          <w:sz w:val="20"/>
          <w:szCs w:val="20"/>
          <w:color w:val="auto"/>
        </w:rPr>
      </w:pPr>
      <w:r>
        <w:rPr>
          <w:rFonts w:ascii="Courier New" w:cs="Courier New" w:eastAsia="Courier New" w:hAnsi="Courier New"/>
          <w:sz w:val="12"/>
          <w:szCs w:val="12"/>
          <w:color w:val="auto"/>
        </w:rPr>
        <w:t>Company to be held at the offices of the Company located at Hamada Avenue, Ramat</w:t>
      </w:r>
    </w:p>
    <w:p>
      <w:pPr>
        <w:spacing w:after="0"/>
        <w:rPr>
          <w:sz w:val="20"/>
          <w:szCs w:val="20"/>
          <w:color w:val="auto"/>
        </w:rPr>
      </w:pPr>
      <w:r>
        <w:rPr>
          <w:rFonts w:ascii="Courier New" w:cs="Courier New" w:eastAsia="Courier New" w:hAnsi="Courier New"/>
          <w:sz w:val="12"/>
          <w:szCs w:val="12"/>
          <w:color w:val="auto"/>
        </w:rPr>
        <w:t>Gavriel Industrial Park, Migdal Haemek, Israel, on Wednesday, January 31, 2007</w:t>
      </w:r>
    </w:p>
    <w:p>
      <w:pPr>
        <w:spacing w:after="0" w:line="237" w:lineRule="auto"/>
        <w:rPr>
          <w:sz w:val="20"/>
          <w:szCs w:val="20"/>
          <w:color w:val="auto"/>
        </w:rPr>
      </w:pPr>
      <w:r>
        <w:rPr>
          <w:rFonts w:ascii="Courier New" w:cs="Courier New" w:eastAsia="Courier New" w:hAnsi="Courier New"/>
          <w:sz w:val="12"/>
          <w:szCs w:val="12"/>
          <w:color w:val="auto"/>
        </w:rPr>
        <w:t>at 11:00 a.m. (local time) and all adjournments and postponements thereof.</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undersigned hereby acknowledges receipt of the Notice of an Special General</w:t>
      </w:r>
    </w:p>
    <w:p>
      <w:pPr>
        <w:spacing w:after="0"/>
        <w:rPr>
          <w:sz w:val="20"/>
          <w:szCs w:val="20"/>
          <w:color w:val="auto"/>
        </w:rPr>
      </w:pPr>
      <w:r>
        <w:rPr>
          <w:rFonts w:ascii="Courier New" w:cs="Courier New" w:eastAsia="Courier New" w:hAnsi="Courier New"/>
          <w:sz w:val="12"/>
          <w:szCs w:val="12"/>
          <w:color w:val="auto"/>
        </w:rPr>
        <w:t>Meeting and the Proxy Statement accompanying such Notice, revokes any proxy or</w:t>
      </w:r>
    </w:p>
    <w:p>
      <w:pPr>
        <w:spacing w:after="0" w:line="237" w:lineRule="auto"/>
        <w:rPr>
          <w:sz w:val="20"/>
          <w:szCs w:val="20"/>
          <w:color w:val="auto"/>
        </w:rPr>
      </w:pPr>
      <w:r>
        <w:rPr>
          <w:rFonts w:ascii="Courier New" w:cs="Courier New" w:eastAsia="Courier New" w:hAnsi="Courier New"/>
          <w:sz w:val="12"/>
          <w:szCs w:val="12"/>
          <w:color w:val="auto"/>
        </w:rPr>
        <w:t>proxies heretofore given to vote upon or act with respect to the undersigned's</w:t>
      </w:r>
    </w:p>
    <w:p>
      <w:pPr>
        <w:spacing w:after="0"/>
        <w:rPr>
          <w:sz w:val="20"/>
          <w:szCs w:val="20"/>
          <w:color w:val="auto"/>
        </w:rPr>
      </w:pPr>
      <w:r>
        <w:rPr>
          <w:rFonts w:ascii="Courier New" w:cs="Courier New" w:eastAsia="Courier New" w:hAnsi="Courier New"/>
          <w:sz w:val="12"/>
          <w:szCs w:val="12"/>
          <w:color w:val="auto"/>
        </w:rPr>
        <w:t>shares and hereby ratifies and confirm all that the proxies or their substitutes</w:t>
      </w:r>
    </w:p>
    <w:p>
      <w:pPr>
        <w:spacing w:after="0" w:line="237" w:lineRule="auto"/>
        <w:rPr>
          <w:sz w:val="20"/>
          <w:szCs w:val="20"/>
          <w:color w:val="auto"/>
        </w:rPr>
      </w:pPr>
      <w:r>
        <w:rPr>
          <w:rFonts w:ascii="Courier New" w:cs="Courier New" w:eastAsia="Courier New" w:hAnsi="Courier New"/>
          <w:sz w:val="12"/>
          <w:szCs w:val="12"/>
          <w:color w:val="auto"/>
        </w:rPr>
        <w:t>may lawfully do by virtue hereof.</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THIS PROXY WHEN PROPERLY EXECUTED WILL BE VOTED IN ACCORDANCE WITH THE MANNER</w:t>
      </w:r>
    </w:p>
    <w:p>
      <w:pPr>
        <w:spacing w:after="0"/>
        <w:rPr>
          <w:sz w:val="20"/>
          <w:szCs w:val="20"/>
          <w:color w:val="auto"/>
        </w:rPr>
      </w:pPr>
      <w:r>
        <w:rPr>
          <w:rFonts w:ascii="Courier New" w:cs="Courier New" w:eastAsia="Courier New" w:hAnsi="Courier New"/>
          <w:sz w:val="12"/>
          <w:szCs w:val="12"/>
          <w:color w:val="auto"/>
        </w:rPr>
        <w:t>DIRECTED HEREIN BY THE UNDERSIGNED SHAREHOLDER. IF NO DIRECTION IS MADE, THIS</w:t>
      </w:r>
    </w:p>
    <w:p>
      <w:pPr>
        <w:spacing w:after="0" w:line="237" w:lineRule="auto"/>
        <w:rPr>
          <w:sz w:val="20"/>
          <w:szCs w:val="20"/>
          <w:color w:val="auto"/>
        </w:rPr>
      </w:pPr>
      <w:r>
        <w:rPr>
          <w:rFonts w:ascii="Courier New" w:cs="Courier New" w:eastAsia="Courier New" w:hAnsi="Courier New"/>
          <w:sz w:val="12"/>
          <w:szCs w:val="12"/>
          <w:color w:val="auto"/>
        </w:rPr>
        <w:t>PROXY WILL BE VOTED FOR PROPOSALS 1 THROUGH 4 BUT WILL NOT BE VOTED WITH RESPECT</w:t>
      </w:r>
    </w:p>
    <w:p>
      <w:pPr>
        <w:spacing w:after="0"/>
        <w:rPr>
          <w:sz w:val="20"/>
          <w:szCs w:val="20"/>
          <w:color w:val="auto"/>
        </w:rPr>
      </w:pPr>
      <w:r>
        <w:rPr>
          <w:rFonts w:ascii="Courier New" w:cs="Courier New" w:eastAsia="Courier New" w:hAnsi="Courier New"/>
          <w:sz w:val="12"/>
          <w:szCs w:val="12"/>
          <w:color w:val="auto"/>
        </w:rPr>
        <w:t>TO PROPOSAL 5. IN ORDER FOR YOUR VOTE TO BE COUNTED WITH RESPECT TO PROPOSAL 5,</w:t>
      </w:r>
    </w:p>
    <w:p>
      <w:pPr>
        <w:spacing w:after="0" w:line="237" w:lineRule="auto"/>
        <w:rPr>
          <w:sz w:val="20"/>
          <w:szCs w:val="20"/>
          <w:color w:val="auto"/>
        </w:rPr>
      </w:pPr>
      <w:r>
        <w:rPr>
          <w:rFonts w:ascii="Courier New" w:cs="Courier New" w:eastAsia="Courier New" w:hAnsi="Courier New"/>
          <w:sz w:val="12"/>
          <w:szCs w:val="12"/>
          <w:color w:val="auto"/>
        </w:rPr>
        <w:t>YOU MUST, IN ADDITION TO CASTING YOUR VOTE, INDICATE WHETHER YOU HAVE A</w:t>
      </w:r>
    </w:p>
    <w:p>
      <w:pPr>
        <w:spacing w:after="0"/>
        <w:rPr>
          <w:sz w:val="20"/>
          <w:szCs w:val="20"/>
          <w:color w:val="auto"/>
        </w:rPr>
      </w:pPr>
      <w:r>
        <w:rPr>
          <w:rFonts w:ascii="Courier New" w:cs="Courier New" w:eastAsia="Courier New" w:hAnsi="Courier New"/>
          <w:sz w:val="12"/>
          <w:szCs w:val="12"/>
          <w:color w:val="auto"/>
        </w:rPr>
        <w:t>"PERSONAL INTEREST" IN SUCH PROPOSAL BY MARKING EITHER YES OR NO IN THE BOXES</w:t>
      </w:r>
    </w:p>
    <w:p>
      <w:pPr>
        <w:spacing w:after="0" w:line="237" w:lineRule="auto"/>
        <w:rPr>
          <w:sz w:val="20"/>
          <w:szCs w:val="20"/>
          <w:color w:val="auto"/>
        </w:rPr>
      </w:pPr>
      <w:r>
        <w:rPr>
          <w:rFonts w:ascii="Courier New" w:cs="Courier New" w:eastAsia="Courier New" w:hAnsi="Courier New"/>
          <w:sz w:val="12"/>
          <w:szCs w:val="12"/>
          <w:color w:val="auto"/>
        </w:rPr>
        <w:t>PROVIDED.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Beneficial owners who hold their shares through members of the Tel Aviv Stock</w:t>
      </w:r>
    </w:p>
    <w:p>
      <w:pPr>
        <w:spacing w:after="0"/>
        <w:rPr>
          <w:sz w:val="20"/>
          <w:szCs w:val="20"/>
          <w:color w:val="auto"/>
        </w:rPr>
      </w:pPr>
      <w:r>
        <w:rPr>
          <w:rFonts w:ascii="Courier New" w:cs="Courier New" w:eastAsia="Courier New" w:hAnsi="Courier New"/>
          <w:sz w:val="12"/>
          <w:szCs w:val="12"/>
          <w:color w:val="auto"/>
        </w:rPr>
        <w:t>Exchange ("TASE") may either vote their shares in person at the meeting by</w:t>
      </w:r>
    </w:p>
    <w:p>
      <w:pPr>
        <w:spacing w:after="0" w:line="237" w:lineRule="auto"/>
        <w:rPr>
          <w:sz w:val="20"/>
          <w:szCs w:val="20"/>
          <w:color w:val="auto"/>
        </w:rPr>
      </w:pPr>
      <w:r>
        <w:rPr>
          <w:rFonts w:ascii="Courier New" w:cs="Courier New" w:eastAsia="Courier New" w:hAnsi="Courier New"/>
          <w:sz w:val="12"/>
          <w:szCs w:val="12"/>
          <w:color w:val="auto"/>
        </w:rPr>
        <w:t>presenting a certificate signed by a member of the TASE which complies with the</w:t>
      </w:r>
    </w:p>
    <w:p>
      <w:pPr>
        <w:spacing w:after="0"/>
        <w:rPr>
          <w:sz w:val="20"/>
          <w:szCs w:val="20"/>
          <w:color w:val="auto"/>
        </w:rPr>
      </w:pPr>
      <w:r>
        <w:rPr>
          <w:rFonts w:ascii="Courier New" w:cs="Courier New" w:eastAsia="Courier New" w:hAnsi="Courier New"/>
          <w:sz w:val="12"/>
          <w:szCs w:val="12"/>
          <w:color w:val="auto"/>
        </w:rPr>
        <w:t>Israel Companies Regulations (Proof of Ownership for Voting in General</w:t>
      </w:r>
    </w:p>
    <w:p>
      <w:pPr>
        <w:spacing w:after="0" w:line="237" w:lineRule="auto"/>
        <w:rPr>
          <w:sz w:val="20"/>
          <w:szCs w:val="20"/>
          <w:color w:val="auto"/>
        </w:rPr>
      </w:pPr>
      <w:r>
        <w:rPr>
          <w:rFonts w:ascii="Courier New" w:cs="Courier New" w:eastAsia="Courier New" w:hAnsi="Courier New"/>
          <w:sz w:val="12"/>
          <w:szCs w:val="12"/>
          <w:color w:val="auto"/>
        </w:rPr>
        <w:t>Meetings)--2000 as proof of ownership of the shares, or send such certificate</w:t>
      </w:r>
    </w:p>
    <w:p>
      <w:pPr>
        <w:spacing w:after="0"/>
        <w:rPr>
          <w:sz w:val="20"/>
          <w:szCs w:val="20"/>
          <w:color w:val="auto"/>
        </w:rPr>
      </w:pPr>
      <w:r>
        <w:rPr>
          <w:rFonts w:ascii="Courier New" w:cs="Courier New" w:eastAsia="Courier New" w:hAnsi="Courier New"/>
          <w:sz w:val="12"/>
          <w:szCs w:val="12"/>
          <w:color w:val="auto"/>
        </w:rPr>
        <w:t>along with a duly executed proxy to the Company at Hamada Avenue, Ramat Gavriel</w:t>
      </w:r>
    </w:p>
    <w:p>
      <w:pPr>
        <w:spacing w:after="0" w:line="237" w:lineRule="auto"/>
        <w:rPr>
          <w:sz w:val="20"/>
          <w:szCs w:val="20"/>
          <w:color w:val="auto"/>
        </w:rPr>
      </w:pPr>
      <w:r>
        <w:rPr>
          <w:rFonts w:ascii="Courier New" w:cs="Courier New" w:eastAsia="Courier New" w:hAnsi="Courier New"/>
          <w:sz w:val="12"/>
          <w:szCs w:val="12"/>
          <w:color w:val="auto"/>
        </w:rPr>
        <w:t>Industrial Park, Post Office Box 619, Migdal Haemek 23105, Israel, Attention:</w:t>
      </w:r>
    </w:p>
    <w:p>
      <w:pPr>
        <w:spacing w:after="0"/>
        <w:rPr>
          <w:sz w:val="20"/>
          <w:szCs w:val="20"/>
          <w:color w:val="auto"/>
        </w:rPr>
      </w:pPr>
      <w:r>
        <w:rPr>
          <w:rFonts w:ascii="Courier New" w:cs="Courier New" w:eastAsia="Courier New" w:hAnsi="Courier New"/>
          <w:sz w:val="12"/>
          <w:szCs w:val="12"/>
          <w:color w:val="auto"/>
        </w:rPr>
        <w:t>Corporate Secretary.</w:t>
      </w:r>
    </w:p>
    <w:p>
      <w:pPr>
        <w:spacing w:after="0" w:line="134" w:lineRule="exact"/>
        <w:rPr>
          <w:sz w:val="20"/>
          <w:szCs w:val="20"/>
          <w:color w:val="auto"/>
        </w:rPr>
      </w:pPr>
    </w:p>
    <w:p>
      <w:pPr>
        <w:ind w:left="1260"/>
        <w:spacing w:after="0"/>
        <w:rPr>
          <w:sz w:val="20"/>
          <w:szCs w:val="20"/>
          <w:color w:val="auto"/>
        </w:rPr>
      </w:pPr>
      <w:r>
        <w:rPr>
          <w:rFonts w:ascii="Courier New" w:cs="Courier New" w:eastAsia="Courier New" w:hAnsi="Courier New"/>
          <w:sz w:val="12"/>
          <w:szCs w:val="12"/>
          <w:color w:val="auto"/>
        </w:rPr>
        <w:t>(CONTINUED AND TO BE SIGNED ON REVERSE SIDE)</w:t>
      </w:r>
    </w:p>
    <w:sectPr>
      <w:pgSz w:w="11900" w:h="16838" w:orient="portrait"/>
      <w:cols w:equalWidth="0" w:num="1">
        <w:col w:w="11520"/>
      </w:cols>
      <w:pgMar w:left="220" w:top="137"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lvl w:ilvl="1">
      <w:lvlJc w:val="left"/>
      <w:lvlText w:val="(%2)"/>
      <w:numFmt w:val="decimal"/>
      <w:start w:val="1"/>
    </w:lvl>
  </w:abstractNum>
  <w:abstractNum w:abstractNumId="2">
    <w:nsid w:val="5BD062C2"/>
    <w:multiLevelType w:val="hybridMultilevel"/>
    <w:lvl w:ilvl="0">
      <w:lvlJc w:val="left"/>
      <w:lvlText w:val="(%1)"/>
      <w:numFmt w:val="decimal"/>
      <w:start w:val="6"/>
    </w:lvl>
  </w:abstractNum>
  <w:abstractNum w:abstractNumId="3">
    <w:nsid w:val="12200854"/>
    <w:multiLevelType w:val="hybridMultilevel"/>
    <w:lvl w:ilvl="0">
      <w:lvlJc w:val="left"/>
      <w:lvlText w:val="o"/>
      <w:numFmt w:val="bullet"/>
      <w:start w:val="1"/>
    </w:lvl>
  </w:abstractNum>
  <w:abstractNum w:abstractNumId="4">
    <w:nsid w:val="4DB127F8"/>
    <w:multiLevelType w:val="hybridMultilevel"/>
    <w:lvl w:ilvl="0">
      <w:lvlJc w:val="left"/>
      <w:lvlText w:val="o"/>
      <w:numFmt w:val="bullet"/>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o"/>
      <w:numFmt w:val="bullet"/>
      <w:start w:val="1"/>
    </w:lvl>
  </w:abstractNum>
  <w:abstractNum w:abstractNumId="7">
    <w:nsid w:val="1190CDE7"/>
    <w:multiLevelType w:val="hybridMultilevel"/>
    <w:lvl w:ilvl="0">
      <w:lvlJc w:val="left"/>
      <w:lvlText w:val="o"/>
      <w:numFmt w:val="bullet"/>
      <w:start w:val="1"/>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o"/>
      <w:numFmt w:val="bullet"/>
      <w:start w:val="1"/>
    </w:lvl>
  </w:abstractNum>
  <w:abstractNum w:abstractNumId="10">
    <w:nsid w:val="3352255A"/>
    <w:multiLevelType w:val="hybridMultilevel"/>
    <w:lvl w:ilvl="0">
      <w:lvlJc w:val="left"/>
      <w:lvlText w:val="(%1)"/>
      <w:numFmt w:val="upperLetter"/>
      <w:start w:val="35"/>
    </w:lvl>
  </w:abstractNum>
  <w:abstractNum w:abstractNumId="11">
    <w:nsid w:val="109CF92E"/>
    <w:multiLevelType w:val="hybridMultilevel"/>
    <w:lvl w:ilvl="0">
      <w:lvlJc w:val="left"/>
      <w:lvlText w:val="o"/>
      <w:numFmt w:val="bullet"/>
      <w:start w:val="1"/>
    </w:lvl>
  </w:abstractNum>
  <w:abstractNum w:abstractNumId="12">
    <w:nsid w:val="DED7263"/>
    <w:multiLevelType w:val="hybridMultilevel"/>
    <w:lvl w:ilvl="0">
      <w:lvlJc w:val="left"/>
      <w:lvlText w:val="o"/>
      <w:numFmt w:val="bullet"/>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2019-12-14T04:19:49Z</dcterms:created>
  <dcterms:modified xsi:type="dcterms:W3CDTF">2019-12-14T04:19:49Z</dcterms:modified>
</cp:coreProperties>
</file>