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w:t>
      </w:r>
    </w:p>
    <w:p>
      <w:pPr>
        <w:spacing w:after="0" w:line="27" w:lineRule="exact"/>
        <w:rPr>
          <w:sz w:val="24"/>
          <w:szCs w:val="24"/>
          <w:color w:val="auto"/>
        </w:rPr>
      </w:pPr>
    </w:p>
    <w:p>
      <w:pPr>
        <w:ind w:left="2960" w:hanging="256"/>
        <w:spacing w:after="0"/>
        <w:tabs>
          <w:tab w:leader="none" w:pos="2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13d-2(b)</w:t>
      </w:r>
    </w:p>
    <w:p>
      <w:pPr>
        <w:spacing w:after="0" w:line="206" w:lineRule="exact"/>
        <w:rPr>
          <w:rFonts w:ascii="Times New Roman" w:cs="Times New Roman" w:eastAsia="Times New Roman" w:hAnsi="Times New Roman"/>
          <w:sz w:val="18"/>
          <w:szCs w:val="18"/>
          <w:color w:val="auto"/>
        </w:rPr>
      </w:pPr>
    </w:p>
    <w:p>
      <w:pPr>
        <w:ind w:left="3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19685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following box to designate the rule pursuant to which the Schedule is filed:</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left="340" w:hanging="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1" w:lineRule="exact"/>
        <w:rPr>
          <w:rFonts w:ascii="MS PGothic" w:cs="MS PGothic" w:eastAsia="MS PGothic" w:hAnsi="MS PGothic"/>
          <w:sz w:val="18"/>
          <w:szCs w:val="18"/>
          <w:color w:val="auto"/>
        </w:rPr>
      </w:pPr>
    </w:p>
    <w:p>
      <w:pPr>
        <w:jc w:val="both"/>
        <w:ind w:left="340"/>
        <w:spacing w:after="0" w:line="266"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u w:val="single" w:color="auto"/>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137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37910"/>
                    </a:xfrm>
                    <a:prstGeom prst="rect">
                      <a:avLst/>
                    </a:prstGeom>
                    <a:noFill/>
                  </pic:spPr>
                </pic:pic>
              </a:graphicData>
            </a:graphic>
          </wp:anchor>
        </w:drawing>
      </w:r>
    </w:p>
    <w:p>
      <w:pPr>
        <w:spacing w:after="0" w:line="204" w:lineRule="exact"/>
        <w:rPr>
          <w:sz w:val="20"/>
          <w:szCs w:val="20"/>
          <w:color w:val="auto"/>
        </w:rPr>
      </w:pPr>
    </w:p>
    <w:p>
      <w:pPr>
        <w:ind w:left="1080" w:hanging="620"/>
        <w:spacing w:after="0"/>
        <w:tabs>
          <w:tab w:leader="none" w:pos="10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Name of Reporting Persons</w:t>
      </w:r>
    </w:p>
    <w:p>
      <w:pPr>
        <w:spacing w:after="0" w:line="197" w:lineRule="exact"/>
        <w:rPr>
          <w:rFonts w:ascii="Times New Roman" w:cs="Times New Roman" w:eastAsia="Times New Roman" w:hAnsi="Times New Roman"/>
          <w:sz w:val="29"/>
          <w:szCs w:val="29"/>
          <w:color w:val="auto"/>
          <w:vertAlign w:val="superscript"/>
        </w:rPr>
      </w:pPr>
    </w:p>
    <w:p>
      <w:pPr>
        <w:ind w:left="108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Harel Insurance Investments &amp; Financial Services Ltd.</w:t>
      </w:r>
    </w:p>
    <w:p>
      <w:pPr>
        <w:spacing w:after="0" w:line="71" w:lineRule="exact"/>
        <w:rPr>
          <w:rFonts w:ascii="Times New Roman" w:cs="Times New Roman" w:eastAsia="Times New Roman" w:hAnsi="Times New Roman"/>
          <w:sz w:val="29"/>
          <w:szCs w:val="29"/>
          <w:color w:val="auto"/>
          <w:vertAlign w:val="superscript"/>
        </w:rPr>
      </w:pPr>
    </w:p>
    <w:p>
      <w:pPr>
        <w:ind w:left="1080" w:hanging="620"/>
        <w:spacing w:after="0"/>
        <w:tabs>
          <w:tab w:leader="none" w:pos="10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Check the Appropriate Box if a Member of a Group</w:t>
      </w:r>
    </w:p>
    <w:p>
      <w:pPr>
        <w:spacing w:after="0" w:line="1" w:lineRule="exact"/>
        <w:rPr>
          <w:rFonts w:ascii="Times New Roman" w:cs="Times New Roman" w:eastAsia="Times New Roman" w:hAnsi="Times New Roman"/>
          <w:sz w:val="29"/>
          <w:szCs w:val="29"/>
          <w:color w:val="auto"/>
          <w:vertAlign w:val="superscript"/>
        </w:rPr>
      </w:pPr>
    </w:p>
    <w:p>
      <w:pPr>
        <w:ind w:left="1380" w:hanging="292"/>
        <w:spacing w:after="0" w:line="207" w:lineRule="exact"/>
        <w:tabs>
          <w:tab w:leader="none" w:pos="1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 w:lineRule="exact"/>
        <w:rPr>
          <w:rFonts w:ascii="Times New Roman" w:cs="Times New Roman" w:eastAsia="Times New Roman" w:hAnsi="Times New Roman"/>
          <w:sz w:val="18"/>
          <w:szCs w:val="18"/>
          <w:color w:val="auto"/>
        </w:rPr>
      </w:pPr>
    </w:p>
    <w:p>
      <w:pPr>
        <w:ind w:left="1380" w:hanging="292"/>
        <w:spacing w:after="0" w:line="207" w:lineRule="exact"/>
        <w:tabs>
          <w:tab w:leader="none" w:pos="1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4"/>
              </w:rPr>
              <w:t>3.</w:t>
            </w:r>
          </w:p>
        </w:tc>
        <w:tc>
          <w:tcPr>
            <w:tcW w:w="13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8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60" w:type="dxa"/>
            <w:vAlign w:val="bottom"/>
            <w:tcBorders>
              <w:bottom w:val="single" w:sz="8" w:color="auto"/>
              <w:right w:val="single" w:sz="8" w:color="CCEEFF"/>
            </w:tcBorders>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spacing w:after="0"/>
              <w:rPr>
                <w:sz w:val="24"/>
                <w:szCs w:val="24"/>
                <w:color w:val="auto"/>
              </w:rPr>
            </w:pPr>
          </w:p>
        </w:tc>
        <w:tc>
          <w:tcPr>
            <w:tcW w:w="760" w:type="dxa"/>
            <w:vAlign w:val="bottom"/>
            <w:tcBorders>
              <w:bottom w:val="single" w:sz="8" w:color="auto"/>
              <w:right w:val="single" w:sz="8" w:color="CCEEFF"/>
            </w:tcBorders>
            <w:shd w:val="clear" w:color="auto" w:fill="CCEEFF"/>
          </w:tcPr>
          <w:p>
            <w:pPr>
              <w:spacing w:after="0"/>
              <w:rPr>
                <w:sz w:val="24"/>
                <w:szCs w:val="24"/>
                <w:color w:val="auto"/>
              </w:rPr>
            </w:pPr>
          </w:p>
        </w:tc>
        <w:tc>
          <w:tcPr>
            <w:tcW w:w="88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4.</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Place of Organization</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5.</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4"/>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060" w:type="dxa"/>
            <w:vAlign w:val="bottom"/>
            <w:vMerge w:val="continue"/>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6.</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8,484,270 Ordinary Shares*</w:t>
            </w:r>
          </w:p>
        </w:tc>
        <w:tc>
          <w:tcPr>
            <w:tcW w:w="0" w:type="dxa"/>
            <w:vAlign w:val="bottom"/>
          </w:tcPr>
          <w:p>
            <w:pPr>
              <w:spacing w:after="0"/>
              <w:rPr>
                <w:sz w:val="1"/>
                <w:szCs w:val="1"/>
                <w:color w:val="auto"/>
              </w:rPr>
            </w:pPr>
          </w:p>
        </w:tc>
      </w:tr>
      <w:tr>
        <w:trPr>
          <w:trHeight w:val="120"/>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7.</w:t>
            </w:r>
          </w:p>
        </w:tc>
        <w:tc>
          <w:tcPr>
            <w:tcW w:w="8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8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Person With:</w:t>
            </w:r>
          </w:p>
        </w:tc>
        <w:tc>
          <w:tcPr>
            <w:tcW w:w="5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8.</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8,678,600 Ordinary Shares*</w:t>
            </w:r>
          </w:p>
        </w:tc>
        <w:tc>
          <w:tcPr>
            <w:tcW w:w="0" w:type="dxa"/>
            <w:vAlign w:val="bottom"/>
          </w:tcPr>
          <w:p>
            <w:pPr>
              <w:spacing w:after="0"/>
              <w:rPr>
                <w:sz w:val="1"/>
                <w:szCs w:val="1"/>
                <w:color w:val="auto"/>
              </w:rPr>
            </w:pPr>
          </w:p>
        </w:tc>
      </w:tr>
      <w:tr>
        <w:trPr>
          <w:trHeight w:val="88"/>
        </w:trPr>
        <w:tc>
          <w:tcPr>
            <w:tcW w:w="10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8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9.</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8,678,600 Ordinary Shares*</w:t>
            </w:r>
          </w:p>
        </w:tc>
        <w:tc>
          <w:tcPr>
            <w:tcW w:w="0" w:type="dxa"/>
            <w:vAlign w:val="bottom"/>
          </w:tcPr>
          <w:p>
            <w:pPr>
              <w:spacing w:after="0"/>
              <w:rPr>
                <w:sz w:val="1"/>
                <w:szCs w:val="1"/>
                <w:color w:val="auto"/>
              </w:rPr>
            </w:pPr>
          </w:p>
        </w:tc>
      </w:tr>
      <w:tr>
        <w:trPr>
          <w:trHeight w:val="88"/>
        </w:trPr>
        <w:tc>
          <w:tcPr>
            <w:tcW w:w="1060" w:type="dxa"/>
            <w:vAlign w:val="bottom"/>
            <w:tcBorders>
              <w:bottom w:val="single" w:sz="8" w:color="auto"/>
              <w:right w:val="single" w:sz="8" w:color="auto"/>
            </w:tcBorders>
          </w:tcPr>
          <w:p>
            <w:pPr>
              <w:spacing w:after="0"/>
              <w:rPr>
                <w:sz w:val="7"/>
                <w:szCs w:val="7"/>
                <w:color w:val="auto"/>
              </w:rPr>
            </w:pPr>
          </w:p>
        </w:tc>
        <w:tc>
          <w:tcPr>
            <w:tcW w:w="1018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60"/>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60" w:type="dxa"/>
            <w:vAlign w:val="bottom"/>
            <w:tcBorders>
              <w:bottom w:val="single" w:sz="8" w:color="auto"/>
              <w:right w:val="single" w:sz="8" w:color="auto"/>
            </w:tcBorders>
          </w:tcPr>
          <w:p>
            <w:pPr>
              <w:spacing w:after="0"/>
              <w:rPr>
                <w:sz w:val="4"/>
                <w:szCs w:val="4"/>
                <w:color w:val="auto"/>
              </w:rPr>
            </w:pPr>
          </w:p>
        </w:tc>
        <w:tc>
          <w:tcPr>
            <w:tcW w:w="101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60" w:type="dxa"/>
            <w:vAlign w:val="bottom"/>
            <w:tcBorders>
              <w:bottom w:val="single" w:sz="8" w:color="auto"/>
              <w:right w:val="single" w:sz="8" w:color="auto"/>
            </w:tcBorders>
          </w:tcPr>
          <w:p>
            <w:pPr>
              <w:spacing w:after="0"/>
              <w:rPr>
                <w:sz w:val="7"/>
                <w:szCs w:val="7"/>
                <w:color w:val="auto"/>
              </w:rPr>
            </w:pPr>
          </w:p>
        </w:tc>
        <w:tc>
          <w:tcPr>
            <w:tcW w:w="1018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w:t>
      </w:r>
    </w:p>
    <w:p>
      <w:pPr>
        <w:spacing w:after="0" w:line="27" w:lineRule="exact"/>
        <w:rPr>
          <w:sz w:val="20"/>
          <w:szCs w:val="20"/>
          <w:color w:val="auto"/>
        </w:rPr>
      </w:pPr>
    </w:p>
    <w:p>
      <w:pPr>
        <w:ind w:firstLine="8"/>
        <w:spacing w:after="0" w:line="276" w:lineRule="auto"/>
        <w:tabs>
          <w:tab w:leader="none" w:pos="2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111,069,860 Ordinary Shares issued and outstanding as of May 31, 2024 (as reported by the Issuer in Exhibit 99.1 to its Report on Form 6-K filed with the Securities and Exchange Commission on June 20, 2024).</w:t>
      </w:r>
    </w:p>
    <w:p>
      <w:pPr>
        <w:spacing w:after="0" w:line="351"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Semiconductor Ltd. (the “Issuer”).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Ramat Gavriel Industrial Park, P.O. Box 619, Migdal Haemek, 23105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7"/>
          <w:szCs w:val="17"/>
          <w:color w:val="auto"/>
        </w:rPr>
        <w:t>Name of Person Filing, address and citizenship: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entity is referred to as the “Reporting Person” in this Statement:</w:t>
      </w:r>
    </w:p>
    <w:p>
      <w:pPr>
        <w:spacing w:after="0" w:line="225" w:lineRule="exact"/>
        <w:rPr>
          <w:sz w:val="20"/>
          <w:szCs w:val="20"/>
          <w:color w:val="auto"/>
        </w:rPr>
      </w:pPr>
    </w:p>
    <w:p>
      <w:pPr>
        <w:ind w:left="660" w:right="120"/>
        <w:spacing w:after="0" w:line="297" w:lineRule="auto"/>
        <w:rPr>
          <w:sz w:val="20"/>
          <w:szCs w:val="20"/>
          <w:color w:val="auto"/>
        </w:rPr>
      </w:pPr>
      <w:r>
        <w:rPr>
          <w:rFonts w:ascii="Times New Roman" w:cs="Times New Roman" w:eastAsia="Times New Roman" w:hAnsi="Times New Roman"/>
          <w:sz w:val="18"/>
          <w:szCs w:val="18"/>
          <w:color w:val="auto"/>
        </w:rPr>
        <w:t>Harel Insurance Investments &amp; Financial Services Ltd., an Israeli public company, with a principal business address at Harel House; 3 Aba Hillel Street; Ramat Gan 52118, Israel.</w:t>
      </w:r>
    </w:p>
    <w:p>
      <w:pPr>
        <w:spacing w:after="0" w:line="14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NIS 15.00 per share (the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M87915274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Of the 8,678,600 Ordinary Shares reported in this Statement as beneficially owned by the Reporting Person, (i) 8,205,392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194,330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278,878 Ordinary Shares are beneficially held for its own account. Consequently, this Statement shall not be construed as an admission by the Reporting Person that it is the beneficial owner of more than 278,878 Ordinary Shares covered by this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660" w:right="60"/>
        <w:spacing w:after="0" w:line="246"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2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15, 2024</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INSURANCE INVESTMENTS AND FINANCIAL SERVICES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LTD.</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Alon Kaufman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Title: </w:t>
      </w:r>
      <w:r>
        <w:rPr>
          <w:rFonts w:ascii="Times New Roman" w:cs="Times New Roman" w:eastAsia="Times New Roman" w:hAnsi="Times New Roman"/>
          <w:sz w:val="18"/>
          <w:szCs w:val="18"/>
          <w:u w:val="single" w:color="auto"/>
          <w:color w:val="auto"/>
        </w:rPr>
        <w:t>Alon Kaufman</w:t>
      </w:r>
      <w:r>
        <w:rPr>
          <w:rFonts w:ascii="Times New Roman" w:cs="Times New Roman" w:eastAsia="Times New Roman" w:hAnsi="Times New Roman"/>
          <w:sz w:val="18"/>
          <w:szCs w:val="18"/>
          <w:color w:val="auto"/>
        </w:rPr>
        <w:t>, Vice President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2024-10-15T11:50:00Z</dcterms:created>
  <dcterms:modified xsi:type="dcterms:W3CDTF">2024-10-15T11:50:00Z</dcterms:modified>
</cp:coreProperties>
</file>