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 the month of December 2014 (No. 2)</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Ramat Gavriel Industrial Park</w:t>
      </w:r>
    </w:p>
    <w:p>
      <w:pPr>
        <w:spacing w:after="0" w:line="23"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P.O. Box 619, Migdal Haemek, Israel 23105</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ind w:firstLine="360"/>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840"/>
        <w:spacing w:after="0"/>
        <w:tabs>
          <w:tab w:leader="none" w:pos="62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306" w:right="679" w:bottom="1440" w:gutter="0" w:footer="0" w:header="0"/>
        </w:sectPr>
      </w:pPr>
    </w:p>
    <w:bookmarkStart w:id="1" w:name="page2"/>
    <w:bookmarkEnd w:id="1"/>
    <w:p>
      <w:pPr>
        <w:ind w:firstLine="648"/>
        <w:spacing w:after="0" w:line="264" w:lineRule="auto"/>
        <w:rPr>
          <w:sz w:val="20"/>
          <w:szCs w:val="20"/>
          <w:color w:val="auto"/>
        </w:rPr>
      </w:pPr>
      <w:r>
        <w:rPr>
          <w:rFonts w:ascii="Arial" w:cs="Arial" w:eastAsia="Arial" w:hAnsi="Arial"/>
          <w:sz w:val="18"/>
          <w:szCs w:val="18"/>
          <w:color w:val="auto"/>
        </w:rPr>
        <w:t>On December 8, 2014, Jazz Technologies, Inc., a fully owned company of the Registrant, notified the holders of its approximately $45 million of outstanding Senior Notes originally due June 30, 2015 (the “Notes”) of its election to early redeem on January 7, 2015 all of the outstanding Notes, as permitted by the terms of the Indenture dated July 15, 2010 governing the Notes.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00"/>
          </w:cols>
          <w:pgMar w:left="240" w:top="760" w:right="55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TOWER SEMICONDUCTOR LTD.</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Nati Somekh</w:t>
      </w:r>
    </w:p>
    <w:p>
      <w:pPr>
        <w:spacing w:after="0" w:line="2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December 8, 2014</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 Somekh</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40"/>
          </w:cols>
          <w:pgMar w:left="240" w:top="517" w:right="10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577975" cy="69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77975" cy="6946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TowerJazz Buys Back Its $45 Million Notes Issued in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Reduces Jazz $45 Million Debt Due June 2015 to Zero by Early Redemption Using 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Cash On Hand</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Newport Beach, California and Migdal Haemek, Israel – December 8, 2014 </w:t>
      </w:r>
      <w:r>
        <w:rPr>
          <w:rFonts w:ascii="Arial" w:cs="Arial" w:eastAsia="Arial" w:hAnsi="Arial"/>
          <w:sz w:val="17"/>
          <w:szCs w:val="17"/>
          <w:color w:val="auto"/>
        </w:rPr>
        <w:t>– TowerJazz, the global specialty foundry leader,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decided to early redeem its approximately $45 million 8% coupon senior notes originally due June 30, 2015. In accordance with the Indenture dated as of July 15, 2010, the Company can early redeem these notes in its discretion, and save future interest accruals and payments. The notes will be redeemed on January 7, 2015, causing all of the outstanding 8% Senior Notes due June 2015 to become fully repaid as of such date. In accordance with the indenture, the redemption price is 102 percent of the outstanding principal amount, together with accrued and unpaid interest thereon. As a result, the Company will save approximately $1.7 million of interest payments that otherwise would accrue and be paid during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Tower Semiconductor Ltd. (</w:t>
      </w:r>
      <w:r>
        <w:rPr>
          <w:rFonts w:ascii="Arial" w:cs="Arial" w:eastAsia="Arial" w:hAnsi="Arial"/>
          <w:sz w:val="17"/>
          <w:szCs w:val="17"/>
          <w:u w:val="single" w:color="auto"/>
          <w:color w:val="auto"/>
        </w:rPr>
        <w:t>TSEM</w:t>
      </w:r>
      <w:r>
        <w:rPr>
          <w:rFonts w:ascii="Arial" w:cs="Arial" w:eastAsia="Arial" w:hAnsi="Arial"/>
          <w:sz w:val="17"/>
          <w:szCs w:val="17"/>
          <w:color w:val="auto"/>
        </w:rPr>
        <w:t>) (</w:t>
      </w:r>
      <w:r>
        <w:rPr>
          <w:rFonts w:ascii="Arial" w:cs="Arial" w:eastAsia="Arial" w:hAnsi="Arial"/>
          <w:sz w:val="17"/>
          <w:szCs w:val="17"/>
          <w:u w:val="single" w:color="auto"/>
          <w:color w:val="auto"/>
        </w:rPr>
        <w:t>TSEM.TA</w:t>
      </w:r>
      <w:r>
        <w:rPr>
          <w:rFonts w:ascii="Arial" w:cs="Arial" w:eastAsia="Arial" w:hAnsi="Arial"/>
          <w:sz w:val="17"/>
          <w:szCs w:val="17"/>
          <w:color w:val="auto"/>
        </w:rPr>
        <w:t>)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To provide multi-fab sourcing and extended capacity for its customers, TowerJazz operates two manufacturing facilities in Israel (150mm and 200mm), one in the U.S. (200mm) and three additional facilities in Japan (two 200mm and one 300mm) through </w:t>
      </w:r>
      <w:r>
        <w:rPr>
          <w:rFonts w:ascii="Arial" w:cs="Arial" w:eastAsia="Arial" w:hAnsi="Arial"/>
          <w:sz w:val="17"/>
          <w:szCs w:val="17"/>
          <w:b w:val="1"/>
          <w:bCs w:val="1"/>
          <w:color w:val="auto"/>
        </w:rPr>
        <w:t>TowerJazz Panasonic Semiconductor Co.</w:t>
      </w:r>
      <w:r>
        <w:rPr>
          <w:rFonts w:ascii="Arial" w:cs="Arial" w:eastAsia="Arial" w:hAnsi="Arial"/>
          <w:sz w:val="17"/>
          <w:szCs w:val="17"/>
          <w:color w:val="auto"/>
        </w:rPr>
        <w:t xml:space="preserve"> (TPSCo), established with Panasonic Corporation of which TowerJazz has the majority holding. Through TPSCo, TowerJazz provides leading edge 45nm CMOS, 65nm RF CMOS and 65nm 1.12um pixel technologies. For more information, please visit </w:t>
      </w:r>
      <w:r>
        <w:rPr>
          <w:rFonts w:ascii="Arial" w:cs="Arial" w:eastAsia="Arial" w:hAnsi="Arial"/>
          <w:sz w:val="17"/>
          <w:szCs w:val="17"/>
          <w:u w:val="single" w:color="auto"/>
          <w:color w:val="auto"/>
        </w:rPr>
        <w:t>www.towerjazz.com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www.tpsemico.com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445"/>
        </w:trPr>
        <w:tc>
          <w:tcPr>
            <w:tcW w:w="392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7500" w:type="dxa"/>
            <w:vAlign w:val="bottom"/>
            <w:gridSpan w:val="3"/>
          </w:tcPr>
          <w:p>
            <w:pPr>
              <w:ind w:left="1780"/>
              <w:spacing w:after="0"/>
              <w:rPr>
                <w:sz w:val="20"/>
                <w:szCs w:val="20"/>
                <w:color w:val="auto"/>
              </w:rPr>
            </w:pPr>
            <w:r>
              <w:rPr>
                <w:rFonts w:ascii="Arial" w:cs="Arial" w:eastAsia="Arial" w:hAnsi="Arial"/>
                <w:sz w:val="18"/>
                <w:szCs w:val="18"/>
                <w:color w:val="auto"/>
              </w:rPr>
              <w:t>GK Investor Relations</w:t>
            </w:r>
          </w:p>
        </w:tc>
      </w:tr>
      <w:tr>
        <w:trPr>
          <w:trHeight w:val="212"/>
        </w:trPr>
        <w:tc>
          <w:tcPr>
            <w:tcW w:w="392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500" w:type="dxa"/>
            <w:vAlign w:val="bottom"/>
            <w:gridSpan w:val="3"/>
          </w:tcPr>
          <w:p>
            <w:pPr>
              <w:ind w:left="1780"/>
              <w:spacing w:after="0"/>
              <w:rPr>
                <w:sz w:val="20"/>
                <w:szCs w:val="20"/>
                <w:color w:val="auto"/>
              </w:rPr>
            </w:pPr>
            <w:r>
              <w:rPr>
                <w:rFonts w:ascii="Arial" w:cs="Arial" w:eastAsia="Arial" w:hAnsi="Arial"/>
                <w:sz w:val="18"/>
                <w:szCs w:val="18"/>
                <w:color w:val="auto"/>
              </w:rPr>
              <w:t>Kenny Green, (646) 201 9246</w:t>
            </w:r>
          </w:p>
        </w:tc>
      </w:tr>
      <w:tr>
        <w:trPr>
          <w:trHeight w:val="194"/>
        </w:trPr>
        <w:tc>
          <w:tcPr>
            <w:tcW w:w="39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Noit.levi@towerjazz.com</w:t>
            </w:r>
          </w:p>
        </w:tc>
        <w:tc>
          <w:tcPr>
            <w:tcW w:w="7500" w:type="dxa"/>
            <w:vAlign w:val="bottom"/>
            <w:gridSpan w:val="3"/>
          </w:tcPr>
          <w:p>
            <w:pPr>
              <w:ind w:left="1780"/>
              <w:spacing w:after="0" w:line="194" w:lineRule="exact"/>
              <w:rPr>
                <w:sz w:val="20"/>
                <w:szCs w:val="20"/>
                <w:color w:val="auto"/>
              </w:rPr>
            </w:pPr>
            <w:r>
              <w:rPr>
                <w:rFonts w:ascii="Arial" w:cs="Arial" w:eastAsia="Arial" w:hAnsi="Arial"/>
                <w:sz w:val="18"/>
                <w:szCs w:val="18"/>
                <w:b w:val="1"/>
                <w:bCs w:val="1"/>
                <w:color w:val="auto"/>
              </w:rPr>
              <w:t>towerjazz@gkir.com</w:t>
            </w:r>
          </w:p>
        </w:tc>
      </w:tr>
      <w:tr>
        <w:trPr>
          <w:trHeight w:val="625"/>
        </w:trPr>
        <w:tc>
          <w:tcPr>
            <w:tcW w:w="19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r>
      <w:tr>
        <w:trPr>
          <w:trHeight w:val="71"/>
        </w:trPr>
        <w:tc>
          <w:tcPr>
            <w:tcW w:w="1940" w:type="dxa"/>
            <w:vAlign w:val="bottom"/>
            <w:shd w:val="clear" w:color="auto" w:fill="808080"/>
          </w:tcPr>
          <w:p>
            <w:pPr>
              <w:spacing w:after="0"/>
              <w:rPr>
                <w:sz w:val="6"/>
                <w:szCs w:val="6"/>
                <w:color w:val="auto"/>
              </w:rPr>
            </w:pPr>
          </w:p>
        </w:tc>
        <w:tc>
          <w:tcPr>
            <w:tcW w:w="198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1600" w:type="dxa"/>
            <w:vAlign w:val="bottom"/>
            <w:shd w:val="clear" w:color="auto" w:fill="808080"/>
          </w:tcPr>
          <w:p>
            <w:pPr>
              <w:spacing w:after="0"/>
              <w:rPr>
                <w:sz w:val="6"/>
                <w:szCs w:val="6"/>
                <w:color w:val="auto"/>
              </w:rPr>
            </w:pPr>
          </w:p>
        </w:tc>
        <w:tc>
          <w:tcPr>
            <w:tcW w:w="41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2019-12-23T22:10:49Z</dcterms:created>
  <dcterms:modified xsi:type="dcterms:W3CDTF">2019-12-23T22:10:49Z</dcterms:modified>
</cp:coreProperties>
</file>