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47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For the month of May 2012 (No. 1)</w:t>
      </w:r>
    </w:p>
    <w:p>
      <w:pPr>
        <w:spacing w:after="0" w:line="234" w:lineRule="exact"/>
        <w:rPr>
          <w:sz w:val="24"/>
          <w:szCs w:val="24"/>
          <w:color w:val="auto"/>
        </w:rPr>
      </w:pPr>
    </w:p>
    <w:p>
      <w:pPr>
        <w:jc w:val="center"/>
        <w:ind w:right="-47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306" w:right="719" w:bottom="1440" w:gutter="0" w:footer="0" w:header="0"/>
        </w:sectPr>
      </w:pPr>
    </w:p>
    <w:bookmarkStart w:id="1" w:name="page2"/>
    <w:bookmarkEnd w:id="1"/>
    <w:p>
      <w:pPr>
        <w:jc w:val="both"/>
        <w:ind w:firstLine="648"/>
        <w:spacing w:after="0" w:line="264" w:lineRule="auto"/>
        <w:rPr>
          <w:sz w:val="20"/>
          <w:szCs w:val="20"/>
          <w:color w:val="auto"/>
        </w:rPr>
      </w:pPr>
      <w:r>
        <w:rPr>
          <w:rFonts w:ascii="Arial" w:cs="Arial" w:eastAsia="Arial" w:hAnsi="Arial"/>
          <w:sz w:val="18"/>
          <w:szCs w:val="18"/>
          <w:color w:val="auto"/>
        </w:rPr>
        <w:t>Attached hereto as Exhibit 99.1 is a consent of our independent registered public accounting firm, Brightman Almagor Zohar &amp;Co., to the incorporation into our effective Registration Statements listed in such consent, of their reports dated February 15, 2012 appearing in our Annual Report on Form 20-F for the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firstLine="54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880" w:type="dxa"/>
            <w:vAlign w:val="bottom"/>
          </w:tcPr>
          <w:p>
            <w:pPr>
              <w:ind w:left="2160"/>
              <w:spacing w:after="0"/>
              <w:rPr>
                <w:sz w:val="20"/>
                <w:szCs w:val="20"/>
                <w:color w:val="auto"/>
              </w:rPr>
            </w:pPr>
            <w:r>
              <w:rPr>
                <w:rFonts w:ascii="Arial" w:cs="Arial" w:eastAsia="Arial" w:hAnsi="Arial"/>
                <w:sz w:val="18"/>
                <w:szCs w:val="18"/>
                <w:b w:val="1"/>
                <w:bCs w:val="1"/>
                <w:color w:val="auto"/>
              </w:rPr>
              <w:t>TOWER SEMICONDUCTOR LTD.</w:t>
            </w:r>
          </w:p>
        </w:tc>
      </w:tr>
      <w:tr>
        <w:trPr>
          <w:trHeight w:val="418"/>
        </w:trPr>
        <w:tc>
          <w:tcPr>
            <w:tcW w:w="3540" w:type="dxa"/>
            <w:vAlign w:val="bottom"/>
          </w:tcPr>
          <w:p>
            <w:pPr>
              <w:spacing w:after="0"/>
              <w:rPr>
                <w:sz w:val="20"/>
                <w:szCs w:val="20"/>
                <w:color w:val="auto"/>
              </w:rPr>
            </w:pPr>
            <w:r>
              <w:rPr>
                <w:rFonts w:ascii="Arial" w:cs="Arial" w:eastAsia="Arial" w:hAnsi="Arial"/>
                <w:sz w:val="18"/>
                <w:szCs w:val="18"/>
                <w:color w:val="auto"/>
              </w:rPr>
              <w:t>Date: May 2, 2012</w:t>
            </w:r>
          </w:p>
        </w:tc>
        <w:tc>
          <w:tcPr>
            <w:tcW w:w="7880" w:type="dxa"/>
            <w:vAlign w:val="bottom"/>
          </w:tcPr>
          <w:p>
            <w:pPr>
              <w:ind w:left="2160"/>
              <w:spacing w:after="0"/>
              <w:rPr>
                <w:sz w:val="20"/>
                <w:szCs w:val="20"/>
                <w:color w:val="auto"/>
              </w:rPr>
            </w:pPr>
            <w:r>
              <w:rPr>
                <w:rFonts w:ascii="Arial" w:cs="Arial" w:eastAsia="Arial" w:hAnsi="Arial"/>
                <w:sz w:val="18"/>
                <w:szCs w:val="18"/>
                <w:color w:val="auto"/>
              </w:rPr>
              <w:t>By: /s/ Nati Somekh</w:t>
            </w:r>
          </w:p>
        </w:tc>
      </w:tr>
      <w:tr>
        <w:trPr>
          <w:trHeight w:val="216"/>
        </w:trPr>
        <w:tc>
          <w:tcPr>
            <w:tcW w:w="3540" w:type="dxa"/>
            <w:vAlign w:val="bottom"/>
          </w:tcPr>
          <w:p>
            <w:pPr>
              <w:spacing w:after="0"/>
              <w:rPr>
                <w:sz w:val="18"/>
                <w:szCs w:val="18"/>
                <w:color w:val="auto"/>
              </w:rPr>
            </w:pPr>
          </w:p>
        </w:tc>
        <w:tc>
          <w:tcPr>
            <w:tcW w:w="7880" w:type="dxa"/>
            <w:vAlign w:val="bottom"/>
          </w:tcPr>
          <w:p>
            <w:pPr>
              <w:ind w:left="2160"/>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tcPr>
          <w:p>
            <w:pPr>
              <w:spacing w:after="0"/>
              <w:rPr>
                <w:sz w:val="18"/>
                <w:szCs w:val="18"/>
                <w:color w:val="auto"/>
              </w:rPr>
            </w:pPr>
          </w:p>
        </w:tc>
        <w:tc>
          <w:tcPr>
            <w:tcW w:w="7880" w:type="dxa"/>
            <w:vAlign w:val="bottom"/>
          </w:tcPr>
          <w:p>
            <w:pPr>
              <w:ind w:left="2160"/>
              <w:spacing w:after="0"/>
              <w:rPr>
                <w:sz w:val="20"/>
                <w:szCs w:val="20"/>
                <w:color w:val="auto"/>
              </w:rPr>
            </w:pPr>
            <w:r>
              <w:rPr>
                <w:rFonts w:ascii="Arial" w:cs="Arial" w:eastAsia="Arial" w:hAnsi="Arial"/>
                <w:sz w:val="18"/>
                <w:szCs w:val="18"/>
                <w:color w:val="auto"/>
              </w:rPr>
              <w:t>Nati Somekh</w:t>
            </w:r>
          </w:p>
        </w:tc>
      </w:tr>
      <w:tr>
        <w:trPr>
          <w:trHeight w:val="230"/>
        </w:trPr>
        <w:tc>
          <w:tcPr>
            <w:tcW w:w="3540" w:type="dxa"/>
            <w:vAlign w:val="bottom"/>
          </w:tcPr>
          <w:p>
            <w:pPr>
              <w:spacing w:after="0"/>
              <w:rPr>
                <w:sz w:val="20"/>
                <w:szCs w:val="20"/>
                <w:color w:val="auto"/>
              </w:rPr>
            </w:pPr>
          </w:p>
        </w:tc>
        <w:tc>
          <w:tcPr>
            <w:tcW w:w="7880" w:type="dxa"/>
            <w:vAlign w:val="bottom"/>
          </w:tcPr>
          <w:p>
            <w:pPr>
              <w:ind w:left="2160"/>
              <w:spacing w:after="0"/>
              <w:rPr>
                <w:sz w:val="20"/>
                <w:szCs w:val="20"/>
                <w:color w:val="auto"/>
              </w:rPr>
            </w:pPr>
            <w:r>
              <w:rPr>
                <w:rFonts w:ascii="Arial" w:cs="Arial" w:eastAsia="Arial" w:hAnsi="Arial"/>
                <w:sz w:val="18"/>
                <w:szCs w:val="18"/>
                <w:color w:val="auto"/>
              </w:rPr>
              <w:t>Corporate Secretary</w:t>
            </w:r>
          </w:p>
        </w:tc>
      </w:tr>
      <w:tr>
        <w:trPr>
          <w:trHeight w:val="118"/>
        </w:trPr>
        <w:tc>
          <w:tcPr>
            <w:tcW w:w="3540" w:type="dxa"/>
            <w:vAlign w:val="bottom"/>
          </w:tcPr>
          <w:p>
            <w:pPr>
              <w:spacing w:after="0"/>
              <w:rPr>
                <w:sz w:val="10"/>
                <w:szCs w:val="10"/>
                <w:color w:val="auto"/>
              </w:rPr>
            </w:pPr>
          </w:p>
        </w:tc>
        <w:tc>
          <w:tcPr>
            <w:tcW w:w="7880" w:type="dxa"/>
            <w:vAlign w:val="bottom"/>
          </w:tcPr>
          <w:p>
            <w:pPr>
              <w:spacing w:after="0"/>
              <w:rPr>
                <w:sz w:val="10"/>
                <w:szCs w:val="10"/>
                <w:color w:val="auto"/>
              </w:rPr>
            </w:pPr>
          </w:p>
        </w:tc>
      </w:tr>
      <w:tr>
        <w:trPr>
          <w:trHeight w:val="71"/>
        </w:trPr>
        <w:tc>
          <w:tcPr>
            <w:tcW w:w="3540" w:type="dxa"/>
            <w:vAlign w:val="bottom"/>
            <w:shd w:val="clear" w:color="auto" w:fill="808080"/>
          </w:tcPr>
          <w:p>
            <w:pPr>
              <w:spacing w:after="0"/>
              <w:rPr>
                <w:sz w:val="6"/>
                <w:szCs w:val="6"/>
                <w:color w:val="auto"/>
              </w:rPr>
            </w:pPr>
          </w:p>
        </w:tc>
        <w:tc>
          <w:tcPr>
            <w:tcW w:w="7880" w:type="dxa"/>
            <w:vAlign w:val="bottom"/>
            <w:shd w:val="clear" w:color="auto" w:fill="808080"/>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8410575</wp:posOffset>
            </wp:positionV>
            <wp:extent cx="7250430"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consent to the incorporation by reference in Registration Statements Nos. 333-85090, 333-108896, 333-110486 333-131315, 333-140174, 333-141640, 333-148747, 333-163196, 333-169389, 333-169491, 333-171912 and 333-178166 on Form F-3, and Nos. 33-80947, 333-06482, 333-11720, 333-83204, 333-107943, 333-117565, 333-138837, 333-147071, 333-153710, 333-166428, 333-174276 and 333-178167 on Form S-8, of our reports dated February 15, 2012, relating to the consolidated financial statements of Tower Semiconductor Ltd. (the "Company") and the effectiveness of the Company’s internal control over financial reporting, appearing in the Company’s Annual Report on Form 20-F for the year ended December 31, 2011.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Brightman Almagor Zohar &amp;Co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Brightman Almagor Zohar &amp;Co.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of Deloitte Touche Tohmatsu</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2019-12-09T11:05:51Z</dcterms:created>
  <dcterms:modified xsi:type="dcterms:W3CDTF">2019-12-09T11:05:51Z</dcterms:modified>
</cp:coreProperties>
</file>