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19"/>
        <w:spacing w:after="0"/>
        <w:rPr>
          <w:sz w:val="20"/>
          <w:szCs w:val="20"/>
          <w:color w:val="auto"/>
        </w:rPr>
      </w:pPr>
      <w:r>
        <w:rPr>
          <w:rFonts w:ascii="Courier New" w:cs="Courier New" w:eastAsia="Courier New" w:hAnsi="Courier New"/>
          <w:sz w:val="12"/>
          <w:szCs w:val="12"/>
          <w:color w:val="auto"/>
        </w:rPr>
        <w:t>FORM 6-K</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SECURITIES AND EXCHANGE COMMISSION</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Washington, D.C. 20549</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For the month of February 2008 (No. 2)</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TOWER SEMICONDUCTOR LTD.</w:t>
      </w:r>
    </w:p>
    <w:p>
      <w:pPr>
        <w:jc w:val="center"/>
        <w:ind w:right="4559"/>
        <w:spacing w:after="0"/>
        <w:rPr>
          <w:sz w:val="20"/>
          <w:szCs w:val="20"/>
          <w:color w:val="auto"/>
        </w:rPr>
      </w:pPr>
      <w:r>
        <w:rPr>
          <w:rFonts w:ascii="Courier New" w:cs="Courier New" w:eastAsia="Courier New" w:hAnsi="Courier New"/>
          <w:sz w:val="12"/>
          <w:szCs w:val="12"/>
          <w:color w:val="auto"/>
        </w:rPr>
        <w:t>(Translation of registrant's name into English)</w:t>
      </w:r>
    </w:p>
    <w:p>
      <w:pPr>
        <w:spacing w:after="0" w:line="133" w:lineRule="exact"/>
        <w:rPr>
          <w:sz w:val="24"/>
          <w:szCs w:val="24"/>
          <w:color w:val="auto"/>
        </w:rPr>
      </w:pPr>
    </w:p>
    <w:p>
      <w:pPr>
        <w:jc w:val="center"/>
        <w:ind w:right="4559"/>
        <w:spacing w:after="0"/>
        <w:rPr>
          <w:sz w:val="20"/>
          <w:szCs w:val="20"/>
          <w:color w:val="auto"/>
        </w:rPr>
      </w:pPr>
      <w:r>
        <w:rPr>
          <w:rFonts w:ascii="Courier New" w:cs="Courier New" w:eastAsia="Courier New" w:hAnsi="Courier New"/>
          <w:sz w:val="12"/>
          <w:szCs w:val="12"/>
          <w:color w:val="auto"/>
        </w:rPr>
        <w:t>RAMAT GAVRIEL INDUSTRIAL PARK</w:t>
      </w:r>
    </w:p>
    <w:p>
      <w:pPr>
        <w:ind w:left="1400"/>
        <w:spacing w:after="0"/>
        <w:rPr>
          <w:sz w:val="20"/>
          <w:szCs w:val="20"/>
          <w:color w:val="auto"/>
        </w:rPr>
      </w:pPr>
      <w:r>
        <w:rPr>
          <w:rFonts w:ascii="Courier New" w:cs="Courier New" w:eastAsia="Courier New" w:hAnsi="Courier New"/>
          <w:sz w:val="12"/>
          <w:szCs w:val="12"/>
          <w:color w:val="auto"/>
        </w:rPr>
        <w:t>P.O. BOX 619, MIGDAL HAEMEK, ISRAEL 23105</w:t>
      </w:r>
    </w:p>
    <w:p>
      <w:pPr>
        <w:ind w:left="1400"/>
        <w:spacing w:after="0" w:line="237" w:lineRule="auto"/>
        <w:rPr>
          <w:sz w:val="20"/>
          <w:szCs w:val="20"/>
          <w:color w:val="auto"/>
        </w:rPr>
      </w:pPr>
      <w:r>
        <w:rPr>
          <w:rFonts w:ascii="Courier New" w:cs="Courier New" w:eastAsia="Courier New" w:hAnsi="Courier New"/>
          <w:sz w:val="12"/>
          <w:szCs w:val="12"/>
          <w:color w:val="auto"/>
        </w:rPr>
        <w:t>(Address of principal executive offices)</w:t>
      </w:r>
    </w:p>
    <w:p>
      <w:pPr>
        <w:spacing w:after="0" w:line="139" w:lineRule="exact"/>
        <w:rPr>
          <w:sz w:val="24"/>
          <w:szCs w:val="24"/>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Indicate by check mark whether the registrant files or will file annual reports under cover Form 20-F or Form 40-F.</w:t>
      </w:r>
    </w:p>
    <w:p>
      <w:pPr>
        <w:spacing w:after="0" w:line="135" w:lineRule="exact"/>
        <w:rPr>
          <w:sz w:val="24"/>
          <w:szCs w:val="24"/>
          <w:color w:val="auto"/>
        </w:rPr>
      </w:pPr>
    </w:p>
    <w:p>
      <w:pPr>
        <w:ind w:left="1740"/>
        <w:spacing w:after="0"/>
        <w:tabs>
          <w:tab w:leader="none" w:pos="3000" w:val="left"/>
        </w:tabs>
        <w:rPr>
          <w:sz w:val="20"/>
          <w:szCs w:val="20"/>
          <w:color w:val="auto"/>
        </w:rPr>
      </w:pPr>
      <w:r>
        <w:rPr>
          <w:rFonts w:ascii="Courier New" w:cs="Courier New" w:eastAsia="Courier New" w:hAnsi="Courier New"/>
          <w:sz w:val="12"/>
          <w:szCs w:val="12"/>
          <w:color w:val="auto"/>
        </w:rPr>
        <w:t>Form 20-F [X]</w:t>
      </w:r>
      <w:r>
        <w:rPr>
          <w:sz w:val="20"/>
          <w:szCs w:val="20"/>
          <w:color w:val="auto"/>
        </w:rPr>
        <w:tab/>
      </w:r>
      <w:r>
        <w:rPr>
          <w:rFonts w:ascii="Courier New" w:cs="Courier New" w:eastAsia="Courier New" w:hAnsi="Courier New"/>
          <w:sz w:val="11"/>
          <w:szCs w:val="11"/>
          <w:color w:val="auto"/>
        </w:rPr>
        <w:t>Form 40-F [_]</w:t>
      </w:r>
    </w:p>
    <w:p>
      <w:pPr>
        <w:spacing w:after="0" w:line="139" w:lineRule="exact"/>
        <w:rPr>
          <w:sz w:val="24"/>
          <w:szCs w:val="24"/>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ind w:left="2180"/>
        <w:spacing w:after="0"/>
        <w:tabs>
          <w:tab w:leader="none" w:pos="300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On February 6, 2008, the Registrant announced its financial results for the fourth quarter and fiscal year ended December 31, 2007 and on February 7, 2008 issued its consolidated financial statements as of December 31, 2007 and 2006 and for the years ended December 31, 2007, 2006 and 2005. Attached hereto are the following exhibits</w:t>
      </w:r>
    </w:p>
    <w:p>
      <w:pPr>
        <w:sectPr>
          <w:pgSz w:w="11900" w:h="16838" w:orient="portrait"/>
          <w:cols w:equalWidth="0" w:num="1">
            <w:col w:w="10239"/>
          </w:cols>
          <w:pgMar w:left="220" w:top="479" w:right="1440" w:bottom="1440" w:gutter="0" w:footer="0" w:header="0"/>
        </w:sectPr>
      </w:pPr>
    </w:p>
    <w:p>
      <w:pPr>
        <w:spacing w:after="0" w:line="139" w:lineRule="exact"/>
        <w:rPr>
          <w:sz w:val="24"/>
          <w:szCs w:val="24"/>
          <w:color w:val="auto"/>
        </w:rPr>
      </w:pPr>
    </w:p>
    <w:p>
      <w:pPr>
        <w:ind w:left="340"/>
        <w:spacing w:after="0"/>
        <w:rPr>
          <w:sz w:val="20"/>
          <w:szCs w:val="20"/>
          <w:color w:val="auto"/>
        </w:rPr>
      </w:pPr>
      <w:r>
        <w:rPr>
          <w:rFonts w:ascii="Courier New" w:cs="Courier New" w:eastAsia="Courier New" w:hAnsi="Courier New"/>
          <w:sz w:val="11"/>
          <w:szCs w:val="11"/>
          <w:color w:val="auto"/>
        </w:rPr>
        <w:t>Exhibit 99.1</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Registrant's consolidated financial statements as</w:t>
      </w:r>
    </w:p>
    <w:p>
      <w:pPr>
        <w:spacing w:after="0"/>
        <w:rPr>
          <w:sz w:val="20"/>
          <w:szCs w:val="20"/>
          <w:color w:val="auto"/>
        </w:rPr>
      </w:pPr>
      <w:r>
        <w:rPr>
          <w:rFonts w:ascii="Courier New" w:cs="Courier New" w:eastAsia="Courier New" w:hAnsi="Courier New"/>
          <w:sz w:val="12"/>
          <w:szCs w:val="12"/>
          <w:color w:val="auto"/>
        </w:rPr>
        <w:t>of December 31, 2007 and 2006 and for the years ended</w:t>
      </w:r>
    </w:p>
    <w:p>
      <w:pPr>
        <w:spacing w:after="0" w:line="237" w:lineRule="auto"/>
        <w:rPr>
          <w:sz w:val="20"/>
          <w:szCs w:val="20"/>
          <w:color w:val="auto"/>
        </w:rPr>
      </w:pPr>
      <w:r>
        <w:rPr>
          <w:rFonts w:ascii="Courier New" w:cs="Courier New" w:eastAsia="Courier New" w:hAnsi="Courier New"/>
          <w:sz w:val="12"/>
          <w:szCs w:val="12"/>
          <w:color w:val="auto"/>
        </w:rPr>
        <w:t>December 31, 2007, 2006 and 2005, and the report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thereon dated February 6, 2008 of Brightman Almagor &amp; Co.</w:t>
      </w:r>
    </w:p>
    <w:p>
      <w:pPr>
        <w:spacing w:after="0" w:line="146" w:lineRule="exact"/>
        <w:rPr>
          <w:sz w:val="24"/>
          <w:szCs w:val="24"/>
          <w:color w:val="auto"/>
        </w:rPr>
      </w:pPr>
    </w:p>
    <w:p>
      <w:pPr>
        <w:sectPr>
          <w:pgSz w:w="11900" w:h="16838" w:orient="portrait"/>
          <w:cols w:equalWidth="0" w:num="2">
            <w:col w:w="1180" w:space="420"/>
            <w:col w:w="8639"/>
          </w:cols>
          <w:pgMar w:left="220" w:top="479" w:right="1440" w:bottom="1440" w:gutter="0" w:footer="0" w:header="0"/>
          <w:type w:val="continuous"/>
        </w:sectPr>
      </w:pPr>
    </w:p>
    <w:p>
      <w:pPr>
        <w:ind w:left="340"/>
        <w:spacing w:after="0"/>
        <w:rPr>
          <w:sz w:val="20"/>
          <w:szCs w:val="20"/>
          <w:color w:val="auto"/>
        </w:rPr>
      </w:pPr>
      <w:r>
        <w:rPr>
          <w:rFonts w:ascii="Courier New" w:cs="Courier New" w:eastAsia="Courier New" w:hAnsi="Courier New"/>
          <w:sz w:val="11"/>
          <w:szCs w:val="11"/>
          <w:color w:val="auto"/>
        </w:rPr>
        <w:t>Exhibit 99.2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1"/>
          <w:szCs w:val="11"/>
          <w:color w:val="auto"/>
        </w:rPr>
        <w:t>Management's Discussion and Analysis of Financial</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Condition and Results of Operations</w:t>
      </w:r>
    </w:p>
    <w:p>
      <w:pPr>
        <w:spacing w:after="0" w:line="139" w:lineRule="exact"/>
        <w:rPr>
          <w:sz w:val="24"/>
          <w:szCs w:val="24"/>
          <w:color w:val="auto"/>
        </w:rPr>
      </w:pPr>
    </w:p>
    <w:p>
      <w:pPr>
        <w:sectPr>
          <w:pgSz w:w="11900" w:h="16838" w:orient="portrait"/>
          <w:cols w:equalWidth="0" w:num="2">
            <w:col w:w="1180" w:space="420"/>
            <w:col w:w="8639"/>
          </w:cols>
          <w:pgMar w:left="220" w:top="479" w:right="1440" w:bottom="1440" w:gutter="0" w:footer="0" w:header="0"/>
          <w:type w:val="continuous"/>
        </w:sectPr>
      </w:pPr>
    </w:p>
    <w:p>
      <w:pPr>
        <w:ind w:left="340"/>
        <w:spacing w:after="0"/>
        <w:rPr>
          <w:sz w:val="20"/>
          <w:szCs w:val="20"/>
          <w:color w:val="auto"/>
        </w:rPr>
      </w:pPr>
      <w:r>
        <w:rPr>
          <w:rFonts w:ascii="Courier New" w:cs="Courier New" w:eastAsia="Courier New" w:hAnsi="Courier New"/>
          <w:sz w:val="11"/>
          <w:szCs w:val="11"/>
          <w:color w:val="auto"/>
        </w:rPr>
        <w:t>Exhibit 99.3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1"/>
          <w:szCs w:val="11"/>
          <w:color w:val="auto"/>
        </w:rPr>
        <w:t>Consent of Independent Registered Accounting Firm</w:t>
      </w:r>
    </w:p>
    <w:p>
      <w:pPr>
        <w:spacing w:after="0" w:line="146" w:lineRule="exact"/>
        <w:rPr>
          <w:sz w:val="24"/>
          <w:szCs w:val="24"/>
          <w:color w:val="auto"/>
        </w:rPr>
      </w:pPr>
    </w:p>
    <w:p>
      <w:pPr>
        <w:sectPr>
          <w:pgSz w:w="11900" w:h="16838" w:orient="portrait"/>
          <w:cols w:equalWidth="0" w:num="2">
            <w:col w:w="1180" w:space="420"/>
            <w:col w:w="8639"/>
          </w:cols>
          <w:pgMar w:left="220" w:top="479" w:right="1440" w:bottom="1440" w:gutter="0" w:footer="0" w:header="0"/>
          <w:type w:val="continuous"/>
        </w:sectPr>
      </w:pPr>
    </w:p>
    <w:p>
      <w:pPr>
        <w:ind w:right="4759" w:firstLine="351"/>
        <w:spacing w:after="0" w:line="236" w:lineRule="auto"/>
        <w:rPr>
          <w:sz w:val="20"/>
          <w:szCs w:val="20"/>
          <w:color w:val="auto"/>
        </w:rPr>
      </w:pPr>
      <w:r>
        <w:rPr>
          <w:rFonts w:ascii="Courier New" w:cs="Courier New" w:eastAsia="Courier New" w:hAnsi="Courier New"/>
          <w:sz w:val="12"/>
          <w:szCs w:val="12"/>
          <w:color w:val="auto"/>
        </w:rPr>
        <w:t>This Form 6-K, including all exhibits hereto, is hereby incorporated by reference into (1) all effective registration statements filed by us under the Securities Act of 1933 and (2) Registration Statement No. 333-148747 on Form F-3.</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SIGNATURES</w:t>
      </w:r>
    </w:p>
    <w:p>
      <w:pPr>
        <w:spacing w:after="0" w:line="139" w:lineRule="exact"/>
        <w:rPr>
          <w:sz w:val="24"/>
          <w:szCs w:val="24"/>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Pursuant to the requirements of the Securities Exchange Act of 1934, the registrant has duly caused this report to be signed on its behalf by the undersigned, thereunto duly authorized.</w:t>
      </w:r>
    </w:p>
    <w:p>
      <w:pPr>
        <w:spacing w:after="0" w:line="135" w:lineRule="exact"/>
        <w:rPr>
          <w:sz w:val="24"/>
          <w:szCs w:val="24"/>
          <w:color w:val="auto"/>
        </w:rPr>
      </w:pPr>
    </w:p>
    <w:p>
      <w:pPr>
        <w:ind w:left="3720"/>
        <w:spacing w:after="0"/>
        <w:rPr>
          <w:sz w:val="20"/>
          <w:szCs w:val="20"/>
          <w:color w:val="auto"/>
        </w:rPr>
      </w:pPr>
      <w:r>
        <w:rPr>
          <w:rFonts w:ascii="Courier New" w:cs="Courier New" w:eastAsia="Courier New" w:hAnsi="Courier New"/>
          <w:sz w:val="12"/>
          <w:szCs w:val="12"/>
          <w:color w:val="auto"/>
        </w:rPr>
        <w:t>TOWER SEMICONDUCTOR LTD.</w:t>
      </w:r>
    </w:p>
    <w:p>
      <w:pPr>
        <w:sectPr>
          <w:pgSz w:w="11900" w:h="16838" w:orient="portrait"/>
          <w:cols w:equalWidth="0" w:num="1">
            <w:col w:w="10239"/>
          </w:cols>
          <w:pgMar w:left="220" w:top="479" w:right="1440" w:bottom="1440" w:gutter="0" w:footer="0" w:header="0"/>
          <w:type w:val="continuous"/>
        </w:sectPr>
      </w:pPr>
    </w:p>
    <w:p>
      <w:pPr>
        <w:spacing w:after="0" w:line="27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Date: February 7, 2008</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By: /s/ Nati Somekh Gilboa</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Nati Somekh Gilboa</w:t>
      </w:r>
    </w:p>
    <w:p>
      <w:pPr>
        <w:spacing w:after="0"/>
        <w:rPr>
          <w:sz w:val="20"/>
          <w:szCs w:val="20"/>
          <w:color w:val="auto"/>
        </w:rPr>
      </w:pPr>
      <w:r>
        <w:rPr>
          <w:rFonts w:ascii="Courier New" w:cs="Courier New" w:eastAsia="Courier New" w:hAnsi="Courier New"/>
          <w:sz w:val="12"/>
          <w:szCs w:val="12"/>
          <w:color w:val="auto"/>
        </w:rPr>
        <w:t>Corporate Secretary</w:t>
      </w:r>
    </w:p>
    <w:p>
      <w:pPr>
        <w:sectPr>
          <w:pgSz w:w="11900" w:h="16838" w:orient="portrait"/>
          <w:cols w:equalWidth="0" w:num="2">
            <w:col w:w="3000" w:space="720"/>
            <w:col w:w="6519"/>
          </w:cols>
          <w:pgMar w:left="220" w:top="479" w:right="1440" w:bottom="1440" w:gutter="0" w:footer="0" w:header="0"/>
          <w:type w:val="continuous"/>
        </w:sectPr>
      </w:pPr>
    </w:p>
    <w:bookmarkStart w:id="1" w:name="page2"/>
    <w:bookmarkEnd w:id="1"/>
    <w:p>
      <w:pPr>
        <w:spacing w:after="0" w:line="36"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2"/>
          <w:szCs w:val="12"/>
          <w:color w:val="auto"/>
        </w:rPr>
        <w:t>EXHIBIT 99.1</w:t>
      </w:r>
    </w:p>
    <w:p>
      <w:pPr>
        <w:spacing w:after="0" w:line="134" w:lineRule="exact"/>
        <w:rPr>
          <w:sz w:val="20"/>
          <w:szCs w:val="20"/>
          <w:color w:val="auto"/>
        </w:rPr>
      </w:pPr>
    </w:p>
    <w:p>
      <w:pPr>
        <w:ind w:left="1960"/>
        <w:spacing w:after="0"/>
        <w:rPr>
          <w:sz w:val="20"/>
          <w:szCs w:val="20"/>
          <w:color w:val="auto"/>
        </w:rPr>
      </w:pPr>
      <w:r>
        <w:rPr>
          <w:rFonts w:ascii="Courier New" w:cs="Courier New" w:eastAsia="Courier New" w:hAnsi="Courier New"/>
          <w:sz w:val="12"/>
          <w:szCs w:val="12"/>
          <w:color w:val="auto"/>
        </w:rPr>
        <w:t>TOWER SEMICONDUCTOR LTD.</w:t>
      </w:r>
    </w:p>
    <w:p>
      <w:pPr>
        <w:ind w:left="2320"/>
        <w:spacing w:after="0"/>
        <w:rPr>
          <w:sz w:val="20"/>
          <w:szCs w:val="20"/>
          <w:color w:val="auto"/>
        </w:rPr>
      </w:pPr>
      <w:r>
        <w:rPr>
          <w:rFonts w:ascii="Courier New" w:cs="Courier New" w:eastAsia="Courier New" w:hAnsi="Courier New"/>
          <w:sz w:val="12"/>
          <w:szCs w:val="12"/>
          <w:color w:val="auto"/>
        </w:rPr>
        <w:t>AND SUBSIDIARY</w:t>
      </w:r>
    </w:p>
    <w:p>
      <w:pPr>
        <w:ind w:left="1680"/>
        <w:spacing w:after="0" w:line="237" w:lineRule="auto"/>
        <w:rPr>
          <w:sz w:val="20"/>
          <w:szCs w:val="20"/>
          <w:color w:val="auto"/>
        </w:rPr>
      </w:pPr>
      <w:r>
        <w:rPr>
          <w:rFonts w:ascii="Courier New" w:cs="Courier New" w:eastAsia="Courier New" w:hAnsi="Courier New"/>
          <w:sz w:val="12"/>
          <w:szCs w:val="12"/>
          <w:color w:val="auto"/>
        </w:rPr>
        <w:t>CONSOLIDATED FINANCIAL STATEMENTS</w:t>
      </w:r>
    </w:p>
    <w:p>
      <w:pPr>
        <w:ind w:left="2020"/>
        <w:spacing w:after="0"/>
        <w:rPr>
          <w:sz w:val="20"/>
          <w:szCs w:val="20"/>
          <w:color w:val="auto"/>
        </w:rPr>
      </w:pPr>
      <w:r>
        <w:rPr>
          <w:rFonts w:ascii="Courier New" w:cs="Courier New" w:eastAsia="Courier New" w:hAnsi="Courier New"/>
          <w:sz w:val="12"/>
          <w:szCs w:val="12"/>
          <w:color w:val="auto"/>
        </w:rPr>
        <w:t>AS OF DECEMBER 31, 2007</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560" w:type="dxa"/>
            <w:vAlign w:val="bottom"/>
          </w:tcPr>
          <w:p>
            <w:pPr>
              <w:ind w:left="1460"/>
              <w:spacing w:after="0"/>
              <w:rPr>
                <w:sz w:val="20"/>
                <w:szCs w:val="20"/>
                <w:color w:val="auto"/>
              </w:rPr>
            </w:pPr>
            <w:r>
              <w:rPr>
                <w:rFonts w:ascii="Courier New" w:cs="Courier New" w:eastAsia="Courier New" w:hAnsi="Courier New"/>
                <w:sz w:val="12"/>
                <w:szCs w:val="12"/>
                <w:color w:val="auto"/>
              </w:rPr>
              <w:t>TOWER SEMICONDUCTOR LTD. AND SUBSIDIARY</w:t>
            </w:r>
          </w:p>
        </w:tc>
        <w:tc>
          <w:tcPr>
            <w:tcW w:w="980" w:type="dxa"/>
            <w:vAlign w:val="bottom"/>
          </w:tcPr>
          <w:p>
            <w:pPr>
              <w:spacing w:after="0"/>
              <w:rPr>
                <w:sz w:val="11"/>
                <w:szCs w:val="11"/>
                <w:color w:val="auto"/>
              </w:rPr>
            </w:pPr>
          </w:p>
        </w:tc>
      </w:tr>
      <w:tr>
        <w:trPr>
          <w:trHeight w:val="270"/>
        </w:trPr>
        <w:tc>
          <w:tcPr>
            <w:tcW w:w="4560" w:type="dxa"/>
            <w:vAlign w:val="bottom"/>
          </w:tcPr>
          <w:p>
            <w:pPr>
              <w:ind w:left="1320"/>
              <w:spacing w:after="0"/>
              <w:rPr>
                <w:sz w:val="20"/>
                <w:szCs w:val="20"/>
                <w:color w:val="auto"/>
              </w:rPr>
            </w:pPr>
            <w:r>
              <w:rPr>
                <w:rFonts w:ascii="Courier New" w:cs="Courier New" w:eastAsia="Courier New" w:hAnsi="Courier New"/>
                <w:sz w:val="12"/>
                <w:szCs w:val="12"/>
                <w:color w:val="auto"/>
              </w:rPr>
              <w:t>INDEX TO CONSOLIDATED FINANCIAL STATEMENTS</w:t>
            </w:r>
          </w:p>
        </w:tc>
        <w:tc>
          <w:tcPr>
            <w:tcW w:w="980" w:type="dxa"/>
            <w:vAlign w:val="bottom"/>
          </w:tcPr>
          <w:p>
            <w:pPr>
              <w:spacing w:after="0"/>
              <w:rPr>
                <w:sz w:val="23"/>
                <w:szCs w:val="23"/>
                <w:color w:val="auto"/>
              </w:rPr>
            </w:pPr>
          </w:p>
        </w:tc>
      </w:tr>
      <w:tr>
        <w:trPr>
          <w:trHeight w:val="270"/>
        </w:trPr>
        <w:tc>
          <w:tcPr>
            <w:tcW w:w="4560" w:type="dxa"/>
            <w:vAlign w:val="bottom"/>
          </w:tcPr>
          <w:p>
            <w:pPr>
              <w:spacing w:after="0"/>
              <w:rPr>
                <w:sz w:val="23"/>
                <w:szCs w:val="23"/>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Page</w:t>
            </w:r>
          </w:p>
        </w:tc>
      </w:tr>
      <w:tr>
        <w:trPr>
          <w:trHeight w:val="135"/>
        </w:trPr>
        <w:tc>
          <w:tcPr>
            <w:tcW w:w="4560" w:type="dxa"/>
            <w:vAlign w:val="bottom"/>
          </w:tcPr>
          <w:p>
            <w:pPr>
              <w:spacing w:after="0"/>
              <w:rPr>
                <w:sz w:val="11"/>
                <w:szCs w:val="11"/>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r>
      <w:tr>
        <w:trPr>
          <w:trHeight w:val="270"/>
        </w:trPr>
        <w:tc>
          <w:tcPr>
            <w:tcW w:w="4560" w:type="dxa"/>
            <w:vAlign w:val="bottom"/>
          </w:tcPr>
          <w:p>
            <w:pPr>
              <w:spacing w:after="0"/>
              <w:rPr>
                <w:sz w:val="20"/>
                <w:szCs w:val="20"/>
                <w:color w:val="auto"/>
              </w:rPr>
            </w:pPr>
            <w:r>
              <w:rPr>
                <w:rFonts w:ascii="Courier New" w:cs="Courier New" w:eastAsia="Courier New" w:hAnsi="Courier New"/>
                <w:sz w:val="12"/>
                <w:szCs w:val="12"/>
                <w:color w:val="auto"/>
              </w:rPr>
              <w:t>REPORT OF INDEPENDENT REGISTERED PUBLIC ACCOUNTING FIRM</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F-1</w:t>
            </w:r>
          </w:p>
        </w:tc>
      </w:tr>
      <w:tr>
        <w:trPr>
          <w:trHeight w:val="270"/>
        </w:trPr>
        <w:tc>
          <w:tcPr>
            <w:tcW w:w="4560" w:type="dxa"/>
            <w:vAlign w:val="bottom"/>
          </w:tcPr>
          <w:p>
            <w:pPr>
              <w:spacing w:after="0"/>
              <w:rPr>
                <w:sz w:val="20"/>
                <w:szCs w:val="20"/>
                <w:color w:val="auto"/>
              </w:rPr>
            </w:pPr>
            <w:r>
              <w:rPr>
                <w:rFonts w:ascii="Courier New" w:cs="Courier New" w:eastAsia="Courier New" w:hAnsi="Courier New"/>
                <w:sz w:val="12"/>
                <w:szCs w:val="12"/>
                <w:color w:val="auto"/>
              </w:rPr>
              <w:t>BALANCE SHEETS</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F-2</w:t>
            </w:r>
          </w:p>
        </w:tc>
      </w:tr>
      <w:tr>
        <w:trPr>
          <w:trHeight w:val="270"/>
        </w:trPr>
        <w:tc>
          <w:tcPr>
            <w:tcW w:w="4560" w:type="dxa"/>
            <w:vAlign w:val="bottom"/>
          </w:tcPr>
          <w:p>
            <w:pPr>
              <w:spacing w:after="0"/>
              <w:rPr>
                <w:sz w:val="20"/>
                <w:szCs w:val="20"/>
                <w:color w:val="auto"/>
              </w:rPr>
            </w:pPr>
            <w:r>
              <w:rPr>
                <w:rFonts w:ascii="Courier New" w:cs="Courier New" w:eastAsia="Courier New" w:hAnsi="Courier New"/>
                <w:sz w:val="12"/>
                <w:szCs w:val="12"/>
                <w:color w:val="auto"/>
              </w:rPr>
              <w:t>STATEMENTS OF OPERATIONS</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F-3</w:t>
            </w:r>
          </w:p>
        </w:tc>
      </w:tr>
      <w:tr>
        <w:trPr>
          <w:trHeight w:val="270"/>
        </w:trPr>
        <w:tc>
          <w:tcPr>
            <w:tcW w:w="4560" w:type="dxa"/>
            <w:vAlign w:val="bottom"/>
          </w:tcPr>
          <w:p>
            <w:pPr>
              <w:spacing w:after="0"/>
              <w:rPr>
                <w:sz w:val="20"/>
                <w:szCs w:val="20"/>
                <w:color w:val="auto"/>
              </w:rPr>
            </w:pPr>
            <w:r>
              <w:rPr>
                <w:rFonts w:ascii="Courier New" w:cs="Courier New" w:eastAsia="Courier New" w:hAnsi="Courier New"/>
                <w:sz w:val="12"/>
                <w:szCs w:val="12"/>
                <w:color w:val="auto"/>
              </w:rPr>
              <w:t>STATEMENTS OF CHANGES IN SHAREHOLDERS' EQUITY</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F-4</w:t>
            </w:r>
          </w:p>
        </w:tc>
      </w:tr>
      <w:tr>
        <w:trPr>
          <w:trHeight w:val="270"/>
        </w:trPr>
        <w:tc>
          <w:tcPr>
            <w:tcW w:w="4560" w:type="dxa"/>
            <w:vAlign w:val="bottom"/>
          </w:tcPr>
          <w:p>
            <w:pPr>
              <w:spacing w:after="0"/>
              <w:rPr>
                <w:sz w:val="20"/>
                <w:szCs w:val="20"/>
                <w:color w:val="auto"/>
              </w:rPr>
            </w:pPr>
            <w:r>
              <w:rPr>
                <w:rFonts w:ascii="Courier New" w:cs="Courier New" w:eastAsia="Courier New" w:hAnsi="Courier New"/>
                <w:sz w:val="12"/>
                <w:szCs w:val="12"/>
                <w:color w:val="auto"/>
              </w:rPr>
              <w:t>STATEMENTS OF CASH FLOWS</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F-5</w:t>
            </w:r>
          </w:p>
        </w:tc>
      </w:tr>
      <w:tr>
        <w:trPr>
          <w:trHeight w:val="270"/>
        </w:trPr>
        <w:tc>
          <w:tcPr>
            <w:tcW w:w="4560" w:type="dxa"/>
            <w:vAlign w:val="bottom"/>
          </w:tcPr>
          <w:p>
            <w:pPr>
              <w:spacing w:after="0"/>
              <w:rPr>
                <w:sz w:val="20"/>
                <w:szCs w:val="20"/>
                <w:color w:val="auto"/>
              </w:rPr>
            </w:pPr>
            <w:r>
              <w:rPr>
                <w:rFonts w:ascii="Courier New" w:cs="Courier New" w:eastAsia="Courier New" w:hAnsi="Courier New"/>
                <w:sz w:val="12"/>
                <w:szCs w:val="12"/>
                <w:color w:val="auto"/>
              </w:rPr>
              <w:t>NOTES TO FINANCIAL STATEMENTS</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F-6 - F-55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00"/>
        <w:spacing w:after="0"/>
        <w:rPr>
          <w:sz w:val="20"/>
          <w:szCs w:val="20"/>
          <w:color w:val="auto"/>
        </w:rPr>
      </w:pPr>
      <w:r>
        <w:rPr>
          <w:rFonts w:ascii="Courier New" w:cs="Courier New" w:eastAsia="Courier New" w:hAnsi="Courier New"/>
          <w:sz w:val="12"/>
          <w:szCs w:val="12"/>
          <w:color w:val="auto"/>
        </w:rPr>
        <w:t>REPORT OF INDEPENDENT REGISTERED PUBLIC ACCOUNTING FIRM</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THE BOARD OF DIRECTORS AND STOCKHOLDERS OF</w:t>
      </w: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138"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We have audited the accompanying consolidated balance sheets of Tower Semiconductors Ltd. and subsidiaries (the "Company") as of December 31, 2007 and 2006, and the related consolidated statements of income, stockholders' equity, and cash flows for each of the three years in the period ended December 31, 2007. These financial statements are the responsibility of the Company's management. Our responsibility is to express an opinion on the financial statements and financial statement schedules based on our audits.</w:t>
      </w:r>
    </w:p>
    <w:p>
      <w:pPr>
        <w:spacing w:after="0" w:line="141"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In our opinion, such consolidated financial statements present fairly, in all material respects, the financial position of Tower Semiconductors Ltd. and subsidiaries as of December 31, 2007 and 2006, and the results of their operations and their cash flows for each of the three years in the period ended December 31, 2007, in conformity with accounting principles generally accepted in the United States of America.</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Brightman Almagor &amp; Co.</w:t>
      </w:r>
    </w:p>
    <w:p>
      <w:pPr>
        <w:spacing w:after="0"/>
        <w:rPr>
          <w:sz w:val="20"/>
          <w:szCs w:val="20"/>
          <w:color w:val="auto"/>
        </w:rPr>
      </w:pPr>
      <w:r>
        <w:rPr>
          <w:rFonts w:ascii="Courier New" w:cs="Courier New" w:eastAsia="Courier New" w:hAnsi="Courier New"/>
          <w:sz w:val="12"/>
          <w:szCs w:val="12"/>
          <w:color w:val="auto"/>
        </w:rPr>
        <w:t>Certified Public Accountants</w:t>
      </w:r>
    </w:p>
    <w:p>
      <w:pPr>
        <w:spacing w:after="0" w:line="237" w:lineRule="auto"/>
        <w:rPr>
          <w:sz w:val="20"/>
          <w:szCs w:val="20"/>
          <w:color w:val="auto"/>
        </w:rPr>
      </w:pPr>
      <w:r>
        <w:rPr>
          <w:rFonts w:ascii="Courier New" w:cs="Courier New" w:eastAsia="Courier New" w:hAnsi="Courier New"/>
          <w:sz w:val="12"/>
          <w:szCs w:val="12"/>
          <w:color w:val="auto"/>
        </w:rPr>
        <w:t>A Member Firm of Deloitte Touche Tohmatsu</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 Israel</w:t>
      </w:r>
    </w:p>
    <w:p>
      <w:pPr>
        <w:spacing w:after="0"/>
        <w:rPr>
          <w:sz w:val="20"/>
          <w:szCs w:val="20"/>
          <w:color w:val="auto"/>
        </w:rPr>
      </w:pPr>
      <w:r>
        <w:rPr>
          <w:rFonts w:ascii="Courier New" w:cs="Courier New" w:eastAsia="Courier New" w:hAnsi="Courier New"/>
          <w:sz w:val="12"/>
          <w:szCs w:val="12"/>
          <w:color w:val="auto"/>
        </w:rPr>
        <w:t>February 6, 2008</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660" w:type="dxa"/>
            <w:vAlign w:val="bottom"/>
          </w:tcPr>
          <w:p>
            <w:pPr>
              <w:ind w:left="2600"/>
              <w:spacing w:after="0"/>
              <w:rPr>
                <w:sz w:val="20"/>
                <w:szCs w:val="20"/>
                <w:color w:val="auto"/>
              </w:rPr>
            </w:pPr>
            <w:r>
              <w:rPr>
                <w:rFonts w:ascii="Courier New" w:cs="Courier New" w:eastAsia="Courier New" w:hAnsi="Courier New"/>
                <w:sz w:val="12"/>
                <w:szCs w:val="12"/>
                <w:color w:val="auto"/>
              </w:rPr>
              <w:t>F - 1</w:t>
            </w:r>
          </w:p>
        </w:tc>
        <w:tc>
          <w:tcPr>
            <w:tcW w:w="1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522"/>
        </w:trPr>
        <w:tc>
          <w:tcPr>
            <w:tcW w:w="4660" w:type="dxa"/>
            <w:vAlign w:val="bottom"/>
          </w:tcPr>
          <w:p>
            <w:pPr>
              <w:ind w:left="760"/>
              <w:spacing w:after="0"/>
              <w:rPr>
                <w:sz w:val="20"/>
                <w:szCs w:val="20"/>
                <w:color w:val="auto"/>
              </w:rPr>
            </w:pPr>
            <w:r>
              <w:rPr>
                <w:rFonts w:ascii="Courier New" w:cs="Courier New" w:eastAsia="Courier New" w:hAnsi="Courier New"/>
                <w:sz w:val="12"/>
                <w:szCs w:val="12"/>
                <w:color w:val="auto"/>
              </w:rPr>
              <w:t>TOWER SEMICONDUCTOR LTD. AND SUBSIDIARY</w:t>
            </w: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35"/>
        </w:trPr>
        <w:tc>
          <w:tcPr>
            <w:tcW w:w="4660" w:type="dxa"/>
            <w:vAlign w:val="bottom"/>
          </w:tcPr>
          <w:p>
            <w:pPr>
              <w:ind w:left="1260"/>
              <w:spacing w:after="0"/>
              <w:rPr>
                <w:sz w:val="20"/>
                <w:szCs w:val="20"/>
                <w:color w:val="auto"/>
              </w:rPr>
            </w:pPr>
            <w:r>
              <w:rPr>
                <w:rFonts w:ascii="Courier New" w:cs="Courier New" w:eastAsia="Courier New" w:hAnsi="Courier New"/>
                <w:sz w:val="12"/>
                <w:szCs w:val="12"/>
                <w:color w:val="auto"/>
              </w:rPr>
              <w:t>CONSOLIDATED BALANCE SHEETS</w:t>
            </w:r>
          </w:p>
        </w:tc>
        <w:tc>
          <w:tcPr>
            <w:tcW w:w="1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660" w:type="dxa"/>
            <w:vAlign w:val="bottom"/>
          </w:tcPr>
          <w:p>
            <w:pPr>
              <w:ind w:left="420"/>
              <w:spacing w:after="0"/>
              <w:rPr>
                <w:sz w:val="20"/>
                <w:szCs w:val="20"/>
                <w:color w:val="auto"/>
              </w:rPr>
            </w:pPr>
            <w:r>
              <w:rPr>
                <w:rFonts w:ascii="Courier New" w:cs="Courier New" w:eastAsia="Courier New" w:hAnsi="Courier New"/>
                <w:sz w:val="12"/>
                <w:szCs w:val="12"/>
                <w:color w:val="auto"/>
                <w:w w:val="97"/>
              </w:rPr>
              <w:t>(dollars in thousands, except share data and per share data)</w:t>
            </w:r>
          </w:p>
        </w:tc>
        <w:tc>
          <w:tcPr>
            <w:tcW w:w="1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46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20" w:type="dxa"/>
            <w:vAlign w:val="bottom"/>
            <w:gridSpan w:val="3"/>
          </w:tcPr>
          <w:p>
            <w:pPr>
              <w:jc w:val="right"/>
              <w:ind w:right="16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4660" w:type="dxa"/>
            <w:vAlign w:val="bottom"/>
          </w:tcPr>
          <w:p>
            <w:pPr>
              <w:spacing w:after="0"/>
              <w:rPr>
                <w:sz w:val="11"/>
                <w:szCs w:val="11"/>
                <w:color w:val="auto"/>
              </w:rPr>
            </w:pPr>
          </w:p>
        </w:tc>
        <w:tc>
          <w:tcPr>
            <w:tcW w:w="29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660" w:type="dxa"/>
            <w:vAlign w:val="bottom"/>
          </w:tcPr>
          <w:p>
            <w:pPr>
              <w:spacing w:after="0"/>
              <w:rPr>
                <w:sz w:val="11"/>
                <w:szCs w:val="11"/>
                <w:color w:val="auto"/>
              </w:rPr>
            </w:pPr>
          </w:p>
        </w:tc>
        <w:tc>
          <w:tcPr>
            <w:tcW w:w="1300" w:type="dxa"/>
            <w:vAlign w:val="bottom"/>
          </w:tcPr>
          <w:p>
            <w:pPr>
              <w:jc w:val="right"/>
              <w:ind w:right="705"/>
              <w:spacing w:after="0"/>
              <w:rPr>
                <w:sz w:val="20"/>
                <w:szCs w:val="20"/>
                <w:color w:val="auto"/>
              </w:rPr>
            </w:pPr>
            <w:r>
              <w:rPr>
                <w:rFonts w:ascii="Courier New" w:cs="Courier New" w:eastAsia="Courier New" w:hAnsi="Courier New"/>
                <w:sz w:val="12"/>
                <w:szCs w:val="12"/>
                <w:color w:val="auto"/>
              </w:rPr>
              <w:t>NOTE</w:t>
            </w:r>
          </w:p>
        </w:tc>
        <w:tc>
          <w:tcPr>
            <w:tcW w:w="700" w:type="dxa"/>
            <w:vAlign w:val="bottom"/>
          </w:tcPr>
          <w:p>
            <w:pPr>
              <w:jc w:val="right"/>
              <w:ind w:right="361"/>
              <w:spacing w:after="0"/>
              <w:rPr>
                <w:sz w:val="20"/>
                <w:szCs w:val="20"/>
                <w:color w:val="auto"/>
              </w:rPr>
            </w:pPr>
            <w:r>
              <w:rPr>
                <w:rFonts w:ascii="Courier New" w:cs="Courier New" w:eastAsia="Courier New" w:hAnsi="Courier New"/>
                <w:sz w:val="12"/>
                <w:szCs w:val="12"/>
                <w:color w:val="auto"/>
                <w:w w:val="90"/>
              </w:rPr>
              <w:t>2007</w:t>
            </w:r>
          </w:p>
        </w:tc>
        <w:tc>
          <w:tcPr>
            <w:tcW w:w="28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4660" w:type="dxa"/>
            <w:vAlign w:val="bottom"/>
          </w:tcPr>
          <w:p>
            <w:pPr>
              <w:spacing w:after="0"/>
              <w:rPr>
                <w:sz w:val="11"/>
                <w:szCs w:val="11"/>
                <w:color w:val="auto"/>
              </w:rPr>
            </w:pPr>
          </w:p>
        </w:tc>
        <w:tc>
          <w:tcPr>
            <w:tcW w:w="20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66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1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CURRENT ASSETS</w:t>
            </w:r>
          </w:p>
        </w:tc>
        <w:tc>
          <w:tcPr>
            <w:tcW w:w="1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CASH AND CASH EQUIVALENTS</w:t>
            </w:r>
          </w:p>
        </w:tc>
        <w:tc>
          <w:tcPr>
            <w:tcW w:w="1300" w:type="dxa"/>
            <w:vAlign w:val="bottom"/>
          </w:tcPr>
          <w:p>
            <w:pPr>
              <w:jc w:val="right"/>
              <w:ind w:right="85"/>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44,536</w:t>
            </w:r>
          </w:p>
        </w:tc>
        <w:tc>
          <w:tcPr>
            <w:tcW w:w="2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39,710</w:t>
            </w: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SHORT-TERM INTEREST-BEARING DEPOSITS</w:t>
            </w:r>
          </w:p>
        </w:tc>
        <w:tc>
          <w:tcPr>
            <w:tcW w:w="130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1,230</w:t>
            </w: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TRADE ACCOUNTS RECEIVABLE:</w:t>
            </w:r>
          </w:p>
        </w:tc>
        <w:tc>
          <w:tcPr>
            <w:tcW w:w="1300" w:type="dxa"/>
            <w:vAlign w:val="bottom"/>
          </w:tcPr>
          <w:p>
            <w:pPr>
              <w:jc w:val="right"/>
              <w:ind w:right="425"/>
              <w:spacing w:after="0"/>
              <w:rPr>
                <w:sz w:val="20"/>
                <w:szCs w:val="20"/>
                <w:color w:val="auto"/>
              </w:rPr>
            </w:pPr>
            <w:r>
              <w:rPr>
                <w:rFonts w:ascii="Courier New" w:cs="Courier New" w:eastAsia="Courier New" w:hAnsi="Courier New"/>
                <w:sz w:val="12"/>
                <w:szCs w:val="12"/>
                <w:color w:val="auto"/>
              </w:rPr>
              <w:t>15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660" w:type="dxa"/>
            <w:vAlign w:val="bottom"/>
          </w:tcPr>
          <w:p>
            <w:pPr>
              <w:ind w:left="620"/>
              <w:spacing w:after="0"/>
              <w:rPr>
                <w:sz w:val="20"/>
                <w:szCs w:val="20"/>
                <w:color w:val="auto"/>
              </w:rPr>
            </w:pPr>
            <w:r>
              <w:rPr>
                <w:rFonts w:ascii="Courier New" w:cs="Courier New" w:eastAsia="Courier New" w:hAnsi="Courier New"/>
                <w:sz w:val="12"/>
                <w:szCs w:val="12"/>
                <w:color w:val="auto"/>
              </w:rPr>
              <w:t>RELATED PARTIES</w:t>
            </w:r>
          </w:p>
        </w:tc>
        <w:tc>
          <w:tcPr>
            <w:tcW w:w="130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12,823</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13,625</w:t>
            </w:r>
          </w:p>
        </w:tc>
      </w:tr>
      <w:tr>
        <w:trPr>
          <w:trHeight w:val="135"/>
        </w:trPr>
        <w:tc>
          <w:tcPr>
            <w:tcW w:w="4660" w:type="dxa"/>
            <w:vAlign w:val="bottom"/>
          </w:tcPr>
          <w:p>
            <w:pPr>
              <w:ind w:left="620"/>
              <w:spacing w:after="0"/>
              <w:rPr>
                <w:sz w:val="20"/>
                <w:szCs w:val="20"/>
                <w:color w:val="auto"/>
              </w:rPr>
            </w:pPr>
            <w:r>
              <w:rPr>
                <w:rFonts w:ascii="Courier New" w:cs="Courier New" w:eastAsia="Courier New" w:hAnsi="Courier New"/>
                <w:sz w:val="12"/>
                <w:szCs w:val="12"/>
                <w:color w:val="auto"/>
              </w:rPr>
              <w:t>OTHERS</w:t>
            </w:r>
          </w:p>
        </w:tc>
        <w:tc>
          <w:tcPr>
            <w:tcW w:w="130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32,154</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17,873</w:t>
            </w: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OTHER RECEIVABLES</w:t>
            </w:r>
          </w:p>
        </w:tc>
        <w:tc>
          <w:tcPr>
            <w:tcW w:w="1300" w:type="dxa"/>
            <w:vAlign w:val="bottom"/>
          </w:tcPr>
          <w:p>
            <w:pPr>
              <w:jc w:val="right"/>
              <w:ind w:right="425"/>
              <w:spacing w:after="0"/>
              <w:rPr>
                <w:sz w:val="20"/>
                <w:szCs w:val="20"/>
                <w:color w:val="auto"/>
              </w:rPr>
            </w:pPr>
            <w:r>
              <w:rPr>
                <w:rFonts w:ascii="Courier New" w:cs="Courier New" w:eastAsia="Courier New" w:hAnsi="Courier New"/>
                <w:sz w:val="12"/>
                <w:szCs w:val="12"/>
                <w:color w:val="auto"/>
              </w:rPr>
              <w:t>3</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4,748</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5,425</w:t>
            </w: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INVENTORIES</w:t>
            </w:r>
          </w:p>
        </w:tc>
        <w:tc>
          <w:tcPr>
            <w:tcW w:w="1300" w:type="dxa"/>
            <w:vAlign w:val="bottom"/>
          </w:tcPr>
          <w:p>
            <w:pPr>
              <w:jc w:val="right"/>
              <w:ind w:right="425"/>
              <w:spacing w:after="0"/>
              <w:rPr>
                <w:sz w:val="20"/>
                <w:szCs w:val="20"/>
                <w:color w:val="auto"/>
              </w:rPr>
            </w:pPr>
            <w:r>
              <w:rPr>
                <w:rFonts w:ascii="Courier New" w:cs="Courier New" w:eastAsia="Courier New" w:hAnsi="Courier New"/>
                <w:sz w:val="12"/>
                <w:szCs w:val="12"/>
                <w:color w:val="auto"/>
              </w:rPr>
              <w:t>4</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27,806</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34,763</w:t>
            </w: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OTHER CURRENT ASSETS</w:t>
            </w:r>
          </w:p>
        </w:tc>
        <w:tc>
          <w:tcPr>
            <w:tcW w:w="130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1,580</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1,473</w:t>
            </w:r>
          </w:p>
        </w:tc>
      </w:tr>
      <w:tr>
        <w:trPr>
          <w:trHeight w:val="135"/>
        </w:trPr>
        <w:tc>
          <w:tcPr>
            <w:tcW w:w="4660" w:type="dxa"/>
            <w:vAlign w:val="bottom"/>
          </w:tcPr>
          <w:p>
            <w:pPr>
              <w:spacing w:after="0"/>
              <w:rPr>
                <w:sz w:val="11"/>
                <w:szCs w:val="11"/>
                <w:color w:val="auto"/>
              </w:rPr>
            </w:pPr>
          </w:p>
        </w:tc>
        <w:tc>
          <w:tcPr>
            <w:tcW w:w="20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660" w:type="dxa"/>
            <w:vAlign w:val="bottom"/>
          </w:tcPr>
          <w:p>
            <w:pPr>
              <w:ind w:left="840"/>
              <w:spacing w:after="0"/>
              <w:rPr>
                <w:sz w:val="20"/>
                <w:szCs w:val="20"/>
                <w:color w:val="auto"/>
              </w:rPr>
            </w:pPr>
            <w:r>
              <w:rPr>
                <w:rFonts w:ascii="Courier New" w:cs="Courier New" w:eastAsia="Courier New" w:hAnsi="Courier New"/>
                <w:sz w:val="12"/>
                <w:szCs w:val="12"/>
                <w:color w:val="auto"/>
              </w:rPr>
              <w:t>TOTAL CURRENT ASSETS</w:t>
            </w:r>
          </w:p>
        </w:tc>
        <w:tc>
          <w:tcPr>
            <w:tcW w:w="130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123,647</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114,099</w:t>
            </w:r>
          </w:p>
        </w:tc>
      </w:tr>
      <w:tr>
        <w:trPr>
          <w:trHeight w:val="135"/>
        </w:trPr>
        <w:tc>
          <w:tcPr>
            <w:tcW w:w="4660" w:type="dxa"/>
            <w:vAlign w:val="bottom"/>
          </w:tcPr>
          <w:p>
            <w:pPr>
              <w:spacing w:after="0"/>
              <w:rPr>
                <w:sz w:val="11"/>
                <w:szCs w:val="11"/>
                <w:color w:val="auto"/>
              </w:rPr>
            </w:pPr>
          </w:p>
        </w:tc>
        <w:tc>
          <w:tcPr>
            <w:tcW w:w="20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LONG-TERM INVESTMENTS</w:t>
            </w:r>
          </w:p>
        </w:tc>
        <w:tc>
          <w:tcPr>
            <w:tcW w:w="1300" w:type="dxa"/>
            <w:vAlign w:val="bottom"/>
          </w:tcPr>
          <w:p>
            <w:pPr>
              <w:jc w:val="right"/>
              <w:ind w:right="425"/>
              <w:spacing w:after="0"/>
              <w:rPr>
                <w:sz w:val="20"/>
                <w:szCs w:val="20"/>
                <w:color w:val="auto"/>
              </w:rPr>
            </w:pPr>
            <w:r>
              <w:rPr>
                <w:rFonts w:ascii="Courier New" w:cs="Courier New" w:eastAsia="Courier New" w:hAnsi="Courier New"/>
                <w:sz w:val="12"/>
                <w:szCs w:val="12"/>
                <w:color w:val="auto"/>
              </w:rPr>
              <w:t>5</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15,093</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15,325</w:t>
            </w:r>
          </w:p>
        </w:tc>
      </w:tr>
      <w:tr>
        <w:trPr>
          <w:trHeight w:val="135"/>
        </w:trPr>
        <w:tc>
          <w:tcPr>
            <w:tcW w:w="4660" w:type="dxa"/>
            <w:vAlign w:val="bottom"/>
          </w:tcPr>
          <w:p>
            <w:pPr>
              <w:spacing w:after="0"/>
              <w:rPr>
                <w:sz w:val="11"/>
                <w:szCs w:val="11"/>
                <w:color w:val="auto"/>
              </w:rPr>
            </w:pPr>
          </w:p>
        </w:tc>
        <w:tc>
          <w:tcPr>
            <w:tcW w:w="20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PROPERTY AND EQUIPMENT, NET</w:t>
            </w:r>
          </w:p>
        </w:tc>
        <w:tc>
          <w:tcPr>
            <w:tcW w:w="1300" w:type="dxa"/>
            <w:vAlign w:val="bottom"/>
          </w:tcPr>
          <w:p>
            <w:pPr>
              <w:jc w:val="right"/>
              <w:ind w:right="425"/>
              <w:spacing w:after="0"/>
              <w:rPr>
                <w:sz w:val="20"/>
                <w:szCs w:val="20"/>
                <w:color w:val="auto"/>
              </w:rPr>
            </w:pPr>
            <w:r>
              <w:rPr>
                <w:rFonts w:ascii="Courier New" w:cs="Courier New" w:eastAsia="Courier New" w:hAnsi="Courier New"/>
                <w:sz w:val="12"/>
                <w:szCs w:val="12"/>
                <w:color w:val="auto"/>
              </w:rPr>
              <w:t>6</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502,287</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532,798</w:t>
            </w:r>
          </w:p>
        </w:tc>
      </w:tr>
      <w:tr>
        <w:trPr>
          <w:trHeight w:val="135"/>
        </w:trPr>
        <w:tc>
          <w:tcPr>
            <w:tcW w:w="4660" w:type="dxa"/>
            <w:vAlign w:val="bottom"/>
          </w:tcPr>
          <w:p>
            <w:pPr>
              <w:spacing w:after="0"/>
              <w:rPr>
                <w:sz w:val="11"/>
                <w:szCs w:val="11"/>
                <w:color w:val="auto"/>
              </w:rPr>
            </w:pPr>
          </w:p>
        </w:tc>
        <w:tc>
          <w:tcPr>
            <w:tcW w:w="20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INTANGIBLE ASSETS, NET</w:t>
            </w:r>
          </w:p>
        </w:tc>
        <w:tc>
          <w:tcPr>
            <w:tcW w:w="1300" w:type="dxa"/>
            <w:vAlign w:val="bottom"/>
          </w:tcPr>
          <w:p>
            <w:pPr>
              <w:jc w:val="right"/>
              <w:ind w:right="365"/>
              <w:spacing w:after="0"/>
              <w:rPr>
                <w:sz w:val="20"/>
                <w:szCs w:val="20"/>
                <w:color w:val="auto"/>
              </w:rPr>
            </w:pPr>
            <w:r>
              <w:rPr>
                <w:rFonts w:ascii="Courier New" w:cs="Courier New" w:eastAsia="Courier New" w:hAnsi="Courier New"/>
                <w:sz w:val="12"/>
                <w:szCs w:val="12"/>
                <w:color w:val="auto"/>
              </w:rPr>
              <w:t>13A(2)</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34,711</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44,981</w:t>
            </w:r>
          </w:p>
        </w:tc>
      </w:tr>
      <w:tr>
        <w:trPr>
          <w:trHeight w:val="135"/>
        </w:trPr>
        <w:tc>
          <w:tcPr>
            <w:tcW w:w="4660" w:type="dxa"/>
            <w:vAlign w:val="bottom"/>
          </w:tcPr>
          <w:p>
            <w:pPr>
              <w:spacing w:after="0"/>
              <w:rPr>
                <w:sz w:val="11"/>
                <w:szCs w:val="11"/>
                <w:color w:val="auto"/>
              </w:rPr>
            </w:pPr>
          </w:p>
        </w:tc>
        <w:tc>
          <w:tcPr>
            <w:tcW w:w="20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ectPr>
          <w:pgSz w:w="11900" w:h="16875" w:orient="portrait"/>
          <w:cols w:equalWidth="0" w:num="1">
            <w:col w:w="10239"/>
          </w:cols>
          <w:pgMar w:left="220" w:top="407" w:right="1440" w:bottom="0" w:gutter="0" w:footer="0" w:header="0"/>
        </w:sectPr>
      </w:pPr>
    </w:p>
    <w:bookmarkStart w:id="2" w:name="page3"/>
    <w:bookmarkEnd w:id="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4240" w:type="dxa"/>
            <w:vAlign w:val="bottom"/>
          </w:tcPr>
          <w:p>
            <w:pPr>
              <w:ind w:left="280"/>
              <w:spacing w:after="0"/>
              <w:rPr>
                <w:sz w:val="20"/>
                <w:szCs w:val="20"/>
                <w:color w:val="auto"/>
              </w:rPr>
            </w:pPr>
            <w:r>
              <w:rPr>
                <w:rFonts w:ascii="Courier New" w:cs="Courier New" w:eastAsia="Courier New" w:hAnsi="Courier New"/>
                <w:sz w:val="12"/>
                <w:szCs w:val="12"/>
                <w:color w:val="auto"/>
              </w:rPr>
              <w:t>OTHER ASSETS , NET</w:t>
            </w:r>
          </w:p>
        </w:tc>
        <w:tc>
          <w:tcPr>
            <w:tcW w:w="13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w:t>
            </w:r>
          </w:p>
        </w:tc>
        <w:tc>
          <w:tcPr>
            <w:tcW w:w="300" w:type="dxa"/>
            <w:vAlign w:val="bottom"/>
          </w:tcPr>
          <w:p>
            <w:pPr>
              <w:spacing w:after="0"/>
              <w:rPr>
                <w:sz w:val="11"/>
                <w:szCs w:val="11"/>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11,044</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6,929</w:t>
            </w:r>
          </w:p>
        </w:tc>
      </w:tr>
      <w:tr>
        <w:trPr>
          <w:trHeight w:val="135"/>
        </w:trPr>
        <w:tc>
          <w:tcPr>
            <w:tcW w:w="4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240" w:type="dxa"/>
            <w:vAlign w:val="bottom"/>
          </w:tcPr>
          <w:p>
            <w:pPr>
              <w:ind w:left="840"/>
              <w:spacing w:after="0"/>
              <w:rPr>
                <w:sz w:val="20"/>
                <w:szCs w:val="20"/>
                <w:color w:val="auto"/>
              </w:rPr>
            </w:pPr>
            <w:r>
              <w:rPr>
                <w:rFonts w:ascii="Courier New" w:cs="Courier New" w:eastAsia="Courier New" w:hAnsi="Courier New"/>
                <w:sz w:val="12"/>
                <w:szCs w:val="12"/>
                <w:color w:val="auto"/>
              </w:rPr>
              <w:t>TOTAL ASSETS</w:t>
            </w:r>
          </w:p>
        </w:tc>
        <w:tc>
          <w:tcPr>
            <w:tcW w:w="1380" w:type="dxa"/>
            <w:vAlign w:val="bottom"/>
          </w:tcPr>
          <w:p>
            <w:pPr>
              <w:spacing w:after="0"/>
              <w:rPr>
                <w:sz w:val="23"/>
                <w:szCs w:val="23"/>
                <w:color w:val="auto"/>
              </w:rPr>
            </w:pPr>
          </w:p>
        </w:tc>
        <w:tc>
          <w:tcPr>
            <w:tcW w:w="3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686,782</w:t>
            </w:r>
          </w:p>
        </w:tc>
        <w:tc>
          <w:tcPr>
            <w:tcW w:w="3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714,132</w:t>
            </w:r>
          </w:p>
        </w:tc>
      </w:tr>
      <w:tr>
        <w:trPr>
          <w:trHeight w:val="135"/>
        </w:trPr>
        <w:tc>
          <w:tcPr>
            <w:tcW w:w="4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240" w:type="dxa"/>
            <w:vAlign w:val="bottom"/>
          </w:tcPr>
          <w:p>
            <w:pPr>
              <w:spacing w:after="0"/>
              <w:rPr>
                <w:sz w:val="20"/>
                <w:szCs w:val="20"/>
                <w:color w:val="auto"/>
              </w:rPr>
            </w:pPr>
            <w:r>
              <w:rPr>
                <w:rFonts w:ascii="Courier New" w:cs="Courier New" w:eastAsia="Courier New" w:hAnsi="Courier New"/>
                <w:sz w:val="12"/>
                <w:szCs w:val="12"/>
                <w:color w:val="auto"/>
              </w:rPr>
              <w:t>LIABILITIES AND SHAREHOLDERS' EQUITY</w:t>
            </w:r>
          </w:p>
        </w:tc>
        <w:tc>
          <w:tcPr>
            <w:tcW w:w="1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4240" w:type="dxa"/>
            <w:vAlign w:val="bottom"/>
          </w:tcPr>
          <w:p>
            <w:pPr>
              <w:ind w:left="280"/>
              <w:spacing w:after="0"/>
              <w:rPr>
                <w:sz w:val="20"/>
                <w:szCs w:val="20"/>
                <w:color w:val="auto"/>
              </w:rPr>
            </w:pPr>
            <w:r>
              <w:rPr>
                <w:rFonts w:ascii="Courier New" w:cs="Courier New" w:eastAsia="Courier New" w:hAnsi="Courier New"/>
                <w:sz w:val="12"/>
                <w:szCs w:val="12"/>
                <w:color w:val="auto"/>
              </w:rPr>
              <w:t>CURRENT LIABILITIES</w:t>
            </w:r>
          </w:p>
        </w:tc>
        <w:tc>
          <w:tcPr>
            <w:tcW w:w="1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4240" w:type="dxa"/>
            <w:vAlign w:val="bottom"/>
          </w:tcPr>
          <w:p>
            <w:pPr>
              <w:ind w:left="48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13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w:t>
            </w:r>
          </w:p>
        </w:tc>
        <w:tc>
          <w:tcPr>
            <w:tcW w:w="3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7,887</w:t>
            </w:r>
          </w:p>
        </w:tc>
        <w:tc>
          <w:tcPr>
            <w:tcW w:w="3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6,902</w:t>
            </w:r>
          </w:p>
        </w:tc>
      </w:tr>
      <w:tr>
        <w:trPr>
          <w:trHeight w:val="135"/>
        </w:trPr>
        <w:tc>
          <w:tcPr>
            <w:tcW w:w="4240" w:type="dxa"/>
            <w:vAlign w:val="bottom"/>
          </w:tcPr>
          <w:p>
            <w:pPr>
              <w:ind w:left="480"/>
              <w:spacing w:after="0"/>
              <w:rPr>
                <w:sz w:val="20"/>
                <w:szCs w:val="20"/>
                <w:color w:val="auto"/>
              </w:rPr>
            </w:pPr>
            <w:r>
              <w:rPr>
                <w:rFonts w:ascii="Courier New" w:cs="Courier New" w:eastAsia="Courier New" w:hAnsi="Courier New"/>
                <w:sz w:val="12"/>
                <w:szCs w:val="12"/>
                <w:color w:val="auto"/>
              </w:rPr>
              <w:t>TRADE ACCOUNTS PAYABLE</w:t>
            </w:r>
          </w:p>
        </w:tc>
        <w:tc>
          <w:tcPr>
            <w:tcW w:w="1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49,025</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55,128</w:t>
            </w:r>
          </w:p>
        </w:tc>
      </w:tr>
      <w:tr>
        <w:trPr>
          <w:trHeight w:val="135"/>
        </w:trPr>
        <w:tc>
          <w:tcPr>
            <w:tcW w:w="4240" w:type="dxa"/>
            <w:vAlign w:val="bottom"/>
          </w:tcPr>
          <w:p>
            <w:pPr>
              <w:ind w:left="480"/>
              <w:spacing w:after="0"/>
              <w:rPr>
                <w:sz w:val="20"/>
                <w:szCs w:val="20"/>
                <w:color w:val="auto"/>
              </w:rPr>
            </w:pPr>
            <w:r>
              <w:rPr>
                <w:rFonts w:ascii="Courier New" w:cs="Courier New" w:eastAsia="Courier New" w:hAnsi="Courier New"/>
                <w:sz w:val="12"/>
                <w:szCs w:val="12"/>
                <w:color w:val="auto"/>
              </w:rPr>
              <w:t>OTHER CURRENT LIABILITIES</w:t>
            </w:r>
          </w:p>
        </w:tc>
        <w:tc>
          <w:tcPr>
            <w:tcW w:w="13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w:t>
            </w:r>
          </w:p>
        </w:tc>
        <w:tc>
          <w:tcPr>
            <w:tcW w:w="300" w:type="dxa"/>
            <w:vAlign w:val="bottom"/>
          </w:tcPr>
          <w:p>
            <w:pPr>
              <w:spacing w:after="0"/>
              <w:rPr>
                <w:sz w:val="11"/>
                <w:szCs w:val="11"/>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20,024</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22,096</w:t>
            </w:r>
          </w:p>
        </w:tc>
      </w:tr>
      <w:tr>
        <w:trPr>
          <w:trHeight w:val="135"/>
        </w:trPr>
        <w:tc>
          <w:tcPr>
            <w:tcW w:w="4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240" w:type="dxa"/>
            <w:vAlign w:val="bottom"/>
          </w:tcPr>
          <w:p>
            <w:pPr>
              <w:ind w:left="840"/>
              <w:spacing w:after="0"/>
              <w:rPr>
                <w:sz w:val="20"/>
                <w:szCs w:val="20"/>
                <w:color w:val="auto"/>
              </w:rPr>
            </w:pPr>
            <w:r>
              <w:rPr>
                <w:rFonts w:ascii="Courier New" w:cs="Courier New" w:eastAsia="Courier New" w:hAnsi="Courier New"/>
                <w:sz w:val="12"/>
                <w:szCs w:val="12"/>
                <w:color w:val="auto"/>
              </w:rPr>
              <w:t>TOTAL CURRENT LIABILITIES</w:t>
            </w:r>
          </w:p>
        </w:tc>
        <w:tc>
          <w:tcPr>
            <w:tcW w:w="1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76,936</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84,126</w:t>
            </w:r>
          </w:p>
        </w:tc>
      </w:tr>
      <w:tr>
        <w:trPr>
          <w:trHeight w:val="270"/>
        </w:trPr>
        <w:tc>
          <w:tcPr>
            <w:tcW w:w="4240" w:type="dxa"/>
            <w:vAlign w:val="bottom"/>
          </w:tcPr>
          <w:p>
            <w:pPr>
              <w:ind w:left="280"/>
              <w:spacing w:after="0"/>
              <w:rPr>
                <w:sz w:val="20"/>
                <w:szCs w:val="20"/>
                <w:color w:val="auto"/>
              </w:rPr>
            </w:pPr>
            <w:r>
              <w:rPr>
                <w:rFonts w:ascii="Courier New" w:cs="Courier New" w:eastAsia="Courier New" w:hAnsi="Courier New"/>
                <w:sz w:val="12"/>
                <w:szCs w:val="12"/>
                <w:color w:val="auto"/>
              </w:rPr>
              <w:t>LONG-TERM DEBT FROM BANKS (*)</w:t>
            </w:r>
          </w:p>
        </w:tc>
        <w:tc>
          <w:tcPr>
            <w:tcW w:w="13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9, 11</w:t>
            </w:r>
          </w:p>
        </w:tc>
        <w:tc>
          <w:tcPr>
            <w:tcW w:w="300" w:type="dxa"/>
            <w:vAlign w:val="bottom"/>
          </w:tcPr>
          <w:p>
            <w:pPr>
              <w:spacing w:after="0"/>
              <w:rPr>
                <w:sz w:val="23"/>
                <w:szCs w:val="23"/>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379,314</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432,430</w:t>
            </w:r>
          </w:p>
        </w:tc>
      </w:tr>
      <w:tr>
        <w:trPr>
          <w:trHeight w:val="270"/>
        </w:trPr>
        <w:tc>
          <w:tcPr>
            <w:tcW w:w="4240" w:type="dxa"/>
            <w:vAlign w:val="bottom"/>
          </w:tcPr>
          <w:p>
            <w:pPr>
              <w:ind w:left="280"/>
              <w:spacing w:after="0"/>
              <w:rPr>
                <w:sz w:val="20"/>
                <w:szCs w:val="20"/>
                <w:color w:val="auto"/>
              </w:rPr>
            </w:pPr>
            <w:r>
              <w:rPr>
                <w:rFonts w:ascii="Courier New" w:cs="Courier New" w:eastAsia="Courier New" w:hAnsi="Courier New"/>
                <w:sz w:val="12"/>
                <w:szCs w:val="12"/>
                <w:color w:val="auto"/>
              </w:rPr>
              <w:t>DEBENTURES (**)</w:t>
            </w:r>
          </w:p>
        </w:tc>
        <w:tc>
          <w:tcPr>
            <w:tcW w:w="13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10, 11</w:t>
            </w:r>
          </w:p>
        </w:tc>
        <w:tc>
          <w:tcPr>
            <w:tcW w:w="300" w:type="dxa"/>
            <w:vAlign w:val="bottom"/>
          </w:tcPr>
          <w:p>
            <w:pPr>
              <w:spacing w:after="0"/>
              <w:rPr>
                <w:sz w:val="23"/>
                <w:szCs w:val="23"/>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117,460</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83,863</w:t>
            </w:r>
          </w:p>
        </w:tc>
      </w:tr>
      <w:tr>
        <w:trPr>
          <w:trHeight w:val="270"/>
        </w:trPr>
        <w:tc>
          <w:tcPr>
            <w:tcW w:w="4240" w:type="dxa"/>
            <w:vAlign w:val="bottom"/>
          </w:tcPr>
          <w:p>
            <w:pPr>
              <w:ind w:left="280"/>
              <w:spacing w:after="0"/>
              <w:rPr>
                <w:sz w:val="20"/>
                <w:szCs w:val="20"/>
                <w:color w:val="auto"/>
              </w:rPr>
            </w:pPr>
            <w:r>
              <w:rPr>
                <w:rFonts w:ascii="Courier New" w:cs="Courier New" w:eastAsia="Courier New" w:hAnsi="Courier New"/>
                <w:sz w:val="12"/>
                <w:szCs w:val="12"/>
                <w:color w:val="auto"/>
              </w:rPr>
              <w:t>LONG-TERM CUSTOMERS' ADVANCES</w:t>
            </w:r>
          </w:p>
        </w:tc>
        <w:tc>
          <w:tcPr>
            <w:tcW w:w="13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13A</w:t>
            </w:r>
          </w:p>
        </w:tc>
        <w:tc>
          <w:tcPr>
            <w:tcW w:w="300" w:type="dxa"/>
            <w:vAlign w:val="bottom"/>
          </w:tcPr>
          <w:p>
            <w:pPr>
              <w:spacing w:after="0"/>
              <w:rPr>
                <w:sz w:val="23"/>
                <w:szCs w:val="23"/>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27,983</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46,042</w:t>
            </w:r>
          </w:p>
        </w:tc>
      </w:tr>
      <w:tr>
        <w:trPr>
          <w:trHeight w:val="270"/>
        </w:trPr>
        <w:tc>
          <w:tcPr>
            <w:tcW w:w="4240" w:type="dxa"/>
            <w:vAlign w:val="bottom"/>
          </w:tcPr>
          <w:p>
            <w:pPr>
              <w:ind w:left="280"/>
              <w:spacing w:after="0"/>
              <w:rPr>
                <w:sz w:val="20"/>
                <w:szCs w:val="20"/>
                <w:color w:val="auto"/>
              </w:rPr>
            </w:pPr>
            <w:r>
              <w:rPr>
                <w:rFonts w:ascii="Courier New" w:cs="Courier New" w:eastAsia="Courier New" w:hAnsi="Courier New"/>
                <w:sz w:val="12"/>
                <w:szCs w:val="12"/>
                <w:color w:val="auto"/>
              </w:rPr>
              <w:t>OTHER LONG-TERM LIABILITIES</w:t>
            </w:r>
          </w:p>
        </w:tc>
        <w:tc>
          <w:tcPr>
            <w:tcW w:w="13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w:t>
            </w:r>
          </w:p>
        </w:tc>
        <w:tc>
          <w:tcPr>
            <w:tcW w:w="300" w:type="dxa"/>
            <w:vAlign w:val="bottom"/>
          </w:tcPr>
          <w:p>
            <w:pPr>
              <w:spacing w:after="0"/>
              <w:rPr>
                <w:sz w:val="23"/>
                <w:szCs w:val="23"/>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40,380</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28,155</w:t>
            </w:r>
          </w:p>
        </w:tc>
      </w:tr>
      <w:tr>
        <w:trPr>
          <w:trHeight w:val="135"/>
        </w:trPr>
        <w:tc>
          <w:tcPr>
            <w:tcW w:w="4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240" w:type="dxa"/>
            <w:vAlign w:val="bottom"/>
          </w:tcPr>
          <w:p>
            <w:pPr>
              <w:ind w:left="840"/>
              <w:spacing w:after="0"/>
              <w:rPr>
                <w:sz w:val="20"/>
                <w:szCs w:val="20"/>
                <w:color w:val="auto"/>
              </w:rPr>
            </w:pPr>
            <w:r>
              <w:rPr>
                <w:rFonts w:ascii="Courier New" w:cs="Courier New" w:eastAsia="Courier New" w:hAnsi="Courier New"/>
                <w:sz w:val="12"/>
                <w:szCs w:val="12"/>
                <w:color w:val="auto"/>
              </w:rPr>
              <w:t>TOTAL LIABILITIES</w:t>
            </w:r>
          </w:p>
        </w:tc>
        <w:tc>
          <w:tcPr>
            <w:tcW w:w="1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642,073</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674,616</w:t>
            </w:r>
          </w:p>
        </w:tc>
      </w:tr>
      <w:tr>
        <w:trPr>
          <w:trHeight w:val="135"/>
        </w:trPr>
        <w:tc>
          <w:tcPr>
            <w:tcW w:w="4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240" w:type="dxa"/>
            <w:vAlign w:val="bottom"/>
          </w:tcPr>
          <w:p>
            <w:pPr>
              <w:ind w:left="280"/>
              <w:spacing w:after="0"/>
              <w:rPr>
                <w:sz w:val="20"/>
                <w:szCs w:val="20"/>
                <w:color w:val="auto"/>
              </w:rPr>
            </w:pPr>
            <w:r>
              <w:rPr>
                <w:rFonts w:ascii="Courier New" w:cs="Courier New" w:eastAsia="Courier New" w:hAnsi="Courier New"/>
                <w:sz w:val="12"/>
                <w:szCs w:val="12"/>
                <w:color w:val="auto"/>
              </w:rPr>
              <w:t>SHAREHOLDERS' EQUITY</w:t>
            </w:r>
          </w:p>
        </w:tc>
        <w:tc>
          <w:tcPr>
            <w:tcW w:w="13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 13A, 14</w:t>
            </w:r>
          </w:p>
        </w:tc>
        <w:tc>
          <w:tcPr>
            <w:tcW w:w="300" w:type="dxa"/>
            <w:vAlign w:val="bottom"/>
          </w:tcPr>
          <w:p>
            <w:pPr>
              <w:spacing w:after="0"/>
              <w:rPr>
                <w:sz w:val="23"/>
                <w:szCs w:val="23"/>
                <w:color w:val="auto"/>
              </w:rPr>
            </w:pP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44,709</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39,516</w:t>
            </w:r>
          </w:p>
        </w:tc>
      </w:tr>
      <w:tr>
        <w:trPr>
          <w:trHeight w:val="135"/>
        </w:trPr>
        <w:tc>
          <w:tcPr>
            <w:tcW w:w="4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240" w:type="dxa"/>
            <w:vAlign w:val="bottom"/>
          </w:tcPr>
          <w:p>
            <w:pPr>
              <w:ind w:left="840"/>
              <w:spacing w:after="0"/>
              <w:rPr>
                <w:sz w:val="20"/>
                <w:szCs w:val="20"/>
                <w:color w:val="auto"/>
              </w:rPr>
            </w:pPr>
            <w:r>
              <w:rPr>
                <w:rFonts w:ascii="Courier New" w:cs="Courier New" w:eastAsia="Courier New" w:hAnsi="Courier New"/>
                <w:sz w:val="12"/>
                <w:szCs w:val="12"/>
                <w:color w:val="auto"/>
              </w:rPr>
              <w:t>TOTAL LIABILITIES AND SHAREHOLDERS' EQUITY</w:t>
            </w:r>
          </w:p>
        </w:tc>
        <w:tc>
          <w:tcPr>
            <w:tcW w:w="1380" w:type="dxa"/>
            <w:vAlign w:val="bottom"/>
          </w:tcPr>
          <w:p>
            <w:pPr>
              <w:spacing w:after="0"/>
              <w:rPr>
                <w:sz w:val="23"/>
                <w:szCs w:val="23"/>
                <w:color w:val="auto"/>
              </w:rPr>
            </w:pPr>
          </w:p>
        </w:tc>
        <w:tc>
          <w:tcPr>
            <w:tcW w:w="3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686,782</w:t>
            </w:r>
          </w:p>
        </w:tc>
        <w:tc>
          <w:tcPr>
            <w:tcW w:w="3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714,132</w:t>
            </w:r>
          </w:p>
        </w:tc>
      </w:tr>
      <w:tr>
        <w:trPr>
          <w:trHeight w:val="135"/>
        </w:trPr>
        <w:tc>
          <w:tcPr>
            <w:tcW w:w="4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jc w:val="both"/>
        <w:ind w:left="8" w:right="7380" w:hanging="8"/>
        <w:spacing w:after="0" w:line="473" w:lineRule="auto"/>
        <w:tabs>
          <w:tab w:leader="none" w:pos="289"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OF WHICH $365,563 AT FAIR VALUE AS OF DECEMBER 31, 2007 (**) OF WHICH $28,484 AT FAIR VALUE AS OF DECEMBER 31, 2007 SEE NOTES TO CONSOLIDATED FINANCIAL STATEMENTS.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3640" w:type="dxa"/>
            <w:vAlign w:val="bottom"/>
          </w:tcPr>
          <w:p>
            <w:pPr>
              <w:ind w:left="2600"/>
              <w:spacing w:after="0"/>
              <w:rPr>
                <w:sz w:val="20"/>
                <w:szCs w:val="20"/>
                <w:color w:val="auto"/>
              </w:rPr>
            </w:pPr>
            <w:r>
              <w:rPr>
                <w:rFonts w:ascii="Courier New" w:cs="Courier New" w:eastAsia="Courier New" w:hAnsi="Courier New"/>
                <w:sz w:val="12"/>
                <w:szCs w:val="12"/>
                <w:color w:val="auto"/>
              </w:rPr>
              <w:t>F - 2</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522"/>
        </w:trPr>
        <w:tc>
          <w:tcPr>
            <w:tcW w:w="4560" w:type="dxa"/>
            <w:vAlign w:val="bottom"/>
            <w:gridSpan w:val="2"/>
          </w:tcPr>
          <w:p>
            <w:pPr>
              <w:jc w:val="center"/>
              <w:ind w:left="1041"/>
              <w:spacing w:after="0"/>
              <w:rPr>
                <w:sz w:val="20"/>
                <w:szCs w:val="20"/>
                <w:color w:val="auto"/>
              </w:rPr>
            </w:pPr>
            <w:r>
              <w:rPr>
                <w:rFonts w:ascii="Courier New" w:cs="Courier New" w:eastAsia="Courier New" w:hAnsi="Courier New"/>
                <w:sz w:val="12"/>
                <w:szCs w:val="12"/>
                <w:color w:val="auto"/>
                <w:w w:val="97"/>
              </w:rPr>
              <w:t>TOWER SEMICONDUCTOR LTD. AND SUBSIDIARY</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5"/>
        </w:trPr>
        <w:tc>
          <w:tcPr>
            <w:tcW w:w="4560" w:type="dxa"/>
            <w:vAlign w:val="bottom"/>
            <w:gridSpan w:val="2"/>
          </w:tcPr>
          <w:p>
            <w:pPr>
              <w:jc w:val="center"/>
              <w:ind w:left="1061"/>
              <w:spacing w:after="0"/>
              <w:rPr>
                <w:sz w:val="20"/>
                <w:szCs w:val="20"/>
                <w:color w:val="auto"/>
              </w:rPr>
            </w:pPr>
            <w:r>
              <w:rPr>
                <w:rFonts w:ascii="Courier New" w:cs="Courier New" w:eastAsia="Courier New" w:hAnsi="Courier New"/>
                <w:sz w:val="12"/>
                <w:szCs w:val="12"/>
                <w:color w:val="auto"/>
                <w:w w:val="97"/>
              </w:rPr>
              <w:t>CONSOLIDATED STATEMENTS OF OPERATIONS</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980" w:type="dxa"/>
            <w:vAlign w:val="bottom"/>
            <w:gridSpan w:val="3"/>
          </w:tcPr>
          <w:p>
            <w:pPr>
              <w:jc w:val="center"/>
              <w:ind w:left="561"/>
              <w:spacing w:after="0"/>
              <w:rPr>
                <w:sz w:val="20"/>
                <w:szCs w:val="20"/>
                <w:color w:val="auto"/>
              </w:rPr>
            </w:pPr>
            <w:r>
              <w:rPr>
                <w:rFonts w:ascii="Courier New" w:cs="Courier New" w:eastAsia="Courier New" w:hAnsi="Courier New"/>
                <w:sz w:val="12"/>
                <w:szCs w:val="12"/>
                <w:color w:val="auto"/>
                <w:w w:val="97"/>
              </w:rPr>
              <w:t>(dollars in thousands, except share data and per share data)</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Year ended December 31,</w:t>
            </w: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40" w:type="dxa"/>
            <w:vAlign w:val="bottom"/>
            <w:gridSpan w:val="7"/>
          </w:tcPr>
          <w:p>
            <w:pPr>
              <w:jc w:val="right"/>
              <w:ind w:right="341"/>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Note</w:t>
            </w:r>
          </w:p>
        </w:tc>
        <w:tc>
          <w:tcPr>
            <w:tcW w:w="380" w:type="dxa"/>
            <w:vAlign w:val="bottom"/>
          </w:tcPr>
          <w:p>
            <w:pPr>
              <w:spacing w:after="0"/>
              <w:rPr>
                <w:sz w:val="11"/>
                <w:szCs w:val="11"/>
                <w:color w:val="auto"/>
              </w:rPr>
            </w:pPr>
          </w:p>
        </w:tc>
        <w:tc>
          <w:tcPr>
            <w:tcW w:w="840" w:type="dxa"/>
            <w:vAlign w:val="bottom"/>
          </w:tcPr>
          <w:p>
            <w:pPr>
              <w:jc w:val="right"/>
              <w:ind w:right="501"/>
              <w:spacing w:after="0"/>
              <w:rPr>
                <w:sz w:val="20"/>
                <w:szCs w:val="20"/>
                <w:color w:val="auto"/>
              </w:rPr>
            </w:pPr>
            <w:r>
              <w:rPr>
                <w:rFonts w:ascii="Courier New" w:cs="Courier New" w:eastAsia="Courier New" w:hAnsi="Courier New"/>
                <w:sz w:val="12"/>
                <w:szCs w:val="12"/>
                <w:color w:val="auto"/>
                <w:w w:val="90"/>
              </w:rPr>
              <w:t>2007</w:t>
            </w:r>
          </w:p>
        </w:tc>
        <w:tc>
          <w:tcPr>
            <w:tcW w:w="140" w:type="dxa"/>
            <w:vAlign w:val="bottom"/>
          </w:tcPr>
          <w:p>
            <w:pPr>
              <w:spacing w:after="0"/>
              <w:rPr>
                <w:sz w:val="11"/>
                <w:szCs w:val="11"/>
                <w:color w:val="auto"/>
              </w:rPr>
            </w:pPr>
          </w:p>
        </w:tc>
        <w:tc>
          <w:tcPr>
            <w:tcW w:w="60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0"/>
              </w:rPr>
              <w:t>2006</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481"/>
              <w:spacing w:after="0"/>
              <w:rPr>
                <w:sz w:val="20"/>
                <w:szCs w:val="20"/>
                <w:color w:val="auto"/>
              </w:rPr>
            </w:pPr>
            <w:r>
              <w:rPr>
                <w:rFonts w:ascii="Courier New" w:cs="Courier New" w:eastAsia="Courier New" w:hAnsi="Courier New"/>
                <w:sz w:val="12"/>
                <w:szCs w:val="12"/>
                <w:color w:val="auto"/>
              </w:rPr>
              <w:t>2005</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260" w:type="dxa"/>
            <w:vAlign w:val="bottom"/>
          </w:tcPr>
          <w:p>
            <w:pPr>
              <w:spacing w:after="0"/>
              <w:rPr>
                <w:sz w:val="11"/>
                <w:szCs w:val="11"/>
                <w:color w:val="auto"/>
              </w:rPr>
            </w:pPr>
          </w:p>
        </w:tc>
        <w:tc>
          <w:tcPr>
            <w:tcW w:w="102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ind w:left="340"/>
              <w:spacing w:after="0"/>
              <w:rPr>
                <w:sz w:val="20"/>
                <w:szCs w:val="20"/>
                <w:color w:val="auto"/>
              </w:rPr>
            </w:pPr>
            <w:r>
              <w:rPr>
                <w:rFonts w:ascii="Courier New" w:cs="Courier New" w:eastAsia="Courier New" w:hAnsi="Courier New"/>
                <w:sz w:val="12"/>
                <w:szCs w:val="12"/>
                <w:color w:val="auto"/>
              </w:rPr>
              <w:t>SALES</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15</w:t>
            </w: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$ 230,853</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$ 187,438</w:t>
            </w:r>
          </w:p>
        </w:tc>
        <w:tc>
          <w:tcPr>
            <w:tcW w:w="260" w:type="dxa"/>
            <w:vAlign w:val="bottom"/>
          </w:tcPr>
          <w:p>
            <w:pPr>
              <w:spacing w:after="0"/>
              <w:rPr>
                <w:sz w:val="11"/>
                <w:szCs w:val="11"/>
                <w:color w:val="auto"/>
              </w:rPr>
            </w:pPr>
          </w:p>
        </w:tc>
        <w:tc>
          <w:tcPr>
            <w:tcW w:w="140" w:type="dxa"/>
            <w:vAlign w:val="bottom"/>
          </w:tcPr>
          <w:p>
            <w:pPr>
              <w:jc w:val="right"/>
              <w:ind w:right="23"/>
              <w:spacing w:after="0"/>
              <w:rPr>
                <w:sz w:val="20"/>
                <w:szCs w:val="20"/>
                <w:color w:val="auto"/>
              </w:rPr>
            </w:pPr>
            <w:r>
              <w:rPr>
                <w:rFonts w:ascii="Courier New" w:cs="Courier New" w:eastAsia="Courier New" w:hAnsi="Courier New"/>
                <w:sz w:val="9"/>
                <w:szCs w:val="9"/>
                <w:color w:val="auto"/>
                <w:w w:val="73"/>
              </w:rPr>
              <w:t>$</w:t>
            </w:r>
          </w:p>
        </w:tc>
        <w:tc>
          <w:tcPr>
            <w:tcW w:w="88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93,991</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56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REVENUES RELATED TO A JOINT DEVELOPMENT AGREEMENT</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13B</w:t>
            </w:r>
          </w:p>
        </w:tc>
        <w:tc>
          <w:tcPr>
            <w:tcW w:w="380" w:type="dxa"/>
            <w:vAlign w:val="bottom"/>
          </w:tcPr>
          <w:p>
            <w:pPr>
              <w:spacing w:after="0"/>
              <w:rPr>
                <w:sz w:val="11"/>
                <w:szCs w:val="11"/>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8,000</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260" w:type="dxa"/>
            <w:vAlign w:val="bottom"/>
          </w:tcPr>
          <w:p>
            <w:pPr>
              <w:spacing w:after="0"/>
              <w:rPr>
                <w:sz w:val="11"/>
                <w:szCs w:val="11"/>
                <w:color w:val="auto"/>
              </w:rPr>
            </w:pPr>
          </w:p>
        </w:tc>
        <w:tc>
          <w:tcPr>
            <w:tcW w:w="102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5"/>
              </w:rPr>
              <w:t>230,853</w:t>
            </w:r>
          </w:p>
        </w:tc>
        <w:tc>
          <w:tcPr>
            <w:tcW w:w="1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187,438</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341"/>
              <w:spacing w:after="0"/>
              <w:rPr>
                <w:sz w:val="20"/>
                <w:szCs w:val="20"/>
                <w:color w:val="auto"/>
              </w:rPr>
            </w:pPr>
            <w:r>
              <w:rPr>
                <w:rFonts w:ascii="Courier New" w:cs="Courier New" w:eastAsia="Courier New" w:hAnsi="Courier New"/>
                <w:sz w:val="12"/>
                <w:szCs w:val="12"/>
                <w:color w:val="auto"/>
                <w:w w:val="91"/>
              </w:rPr>
              <w:t>101,991</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5"/>
              </w:rPr>
              <w:t>284,771</w:t>
            </w:r>
          </w:p>
        </w:tc>
        <w:tc>
          <w:tcPr>
            <w:tcW w:w="14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267,520</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41"/>
              <w:spacing w:after="0"/>
              <w:rPr>
                <w:sz w:val="20"/>
                <w:szCs w:val="20"/>
                <w:color w:val="auto"/>
              </w:rPr>
            </w:pPr>
            <w:r>
              <w:rPr>
                <w:rFonts w:ascii="Courier New" w:cs="Courier New" w:eastAsia="Courier New" w:hAnsi="Courier New"/>
                <w:sz w:val="12"/>
                <w:szCs w:val="12"/>
                <w:color w:val="auto"/>
                <w:w w:val="91"/>
              </w:rPr>
              <w:t>238,358</w:t>
            </w: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260" w:type="dxa"/>
            <w:vAlign w:val="bottom"/>
          </w:tcPr>
          <w:p>
            <w:pPr>
              <w:spacing w:after="0"/>
              <w:rPr>
                <w:sz w:val="11"/>
                <w:szCs w:val="11"/>
                <w:color w:val="auto"/>
              </w:rPr>
            </w:pPr>
          </w:p>
        </w:tc>
        <w:tc>
          <w:tcPr>
            <w:tcW w:w="102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ind w:left="560"/>
              <w:spacing w:after="0"/>
              <w:rPr>
                <w:sz w:val="20"/>
                <w:szCs w:val="20"/>
                <w:color w:val="auto"/>
              </w:rPr>
            </w:pPr>
            <w:r>
              <w:rPr>
                <w:rFonts w:ascii="Courier New" w:cs="Courier New" w:eastAsia="Courier New" w:hAnsi="Courier New"/>
                <w:sz w:val="12"/>
                <w:szCs w:val="12"/>
                <w:color w:val="auto"/>
              </w:rPr>
              <w:t>GROSS LOSS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(53,918)</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w w:val="97"/>
              </w:rPr>
              <w:t>(80,082)</w:t>
            </w:r>
          </w:p>
        </w:tc>
        <w:tc>
          <w:tcPr>
            <w:tcW w:w="260" w:type="dxa"/>
            <w:vAlign w:val="bottom"/>
          </w:tcPr>
          <w:p>
            <w:pPr>
              <w:spacing w:after="0"/>
              <w:rPr>
                <w:sz w:val="23"/>
                <w:szCs w:val="23"/>
                <w:color w:val="auto"/>
              </w:rPr>
            </w:pPr>
          </w:p>
        </w:tc>
        <w:tc>
          <w:tcPr>
            <w:tcW w:w="10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(136,367)</w:t>
            </w: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260" w:type="dxa"/>
            <w:vAlign w:val="bottom"/>
          </w:tcPr>
          <w:p>
            <w:pPr>
              <w:spacing w:after="0"/>
              <w:rPr>
                <w:sz w:val="11"/>
                <w:szCs w:val="11"/>
                <w:color w:val="auto"/>
              </w:rPr>
            </w:pPr>
          </w:p>
        </w:tc>
        <w:tc>
          <w:tcPr>
            <w:tcW w:w="102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OPERATING COSTS AND EXPENSES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3640" w:type="dxa"/>
            <w:vAlign w:val="bottom"/>
          </w:tcPr>
          <w:p>
            <w:pPr>
              <w:ind w:left="340"/>
              <w:spacing w:after="0"/>
              <w:rPr>
                <w:sz w:val="20"/>
                <w:szCs w:val="20"/>
                <w:color w:val="auto"/>
              </w:rPr>
            </w:pPr>
            <w:r>
              <w:rPr>
                <w:rFonts w:ascii="Courier New" w:cs="Courier New" w:eastAsia="Courier New" w:hAnsi="Courier New"/>
                <w:sz w:val="12"/>
                <w:szCs w:val="12"/>
                <w:color w:val="auto"/>
              </w:rPr>
              <w:t>RESEARCH AND DEVELOPMENT</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13,790</w:t>
            </w:r>
          </w:p>
        </w:tc>
        <w:tc>
          <w:tcPr>
            <w:tcW w:w="14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15,048</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16,029</w:t>
            </w: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ind w:left="340"/>
              <w:spacing w:after="0"/>
              <w:rPr>
                <w:sz w:val="20"/>
                <w:szCs w:val="20"/>
                <w:color w:val="auto"/>
              </w:rPr>
            </w:pPr>
            <w:r>
              <w:rPr>
                <w:rFonts w:ascii="Courier New" w:cs="Courier New" w:eastAsia="Courier New" w:hAnsi="Courier New"/>
                <w:sz w:val="12"/>
                <w:szCs w:val="12"/>
                <w:color w:val="auto"/>
              </w:rPr>
              <w:t>MARKETING, GENERAL AND ADMINISTRATIVE</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31,604</w:t>
            </w:r>
          </w:p>
        </w:tc>
        <w:tc>
          <w:tcPr>
            <w:tcW w:w="1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25,831</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17,418</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260" w:type="dxa"/>
            <w:vAlign w:val="bottom"/>
          </w:tcPr>
          <w:p>
            <w:pPr>
              <w:spacing w:after="0"/>
              <w:rPr>
                <w:sz w:val="11"/>
                <w:szCs w:val="11"/>
                <w:color w:val="auto"/>
              </w:rPr>
            </w:pPr>
          </w:p>
        </w:tc>
        <w:tc>
          <w:tcPr>
            <w:tcW w:w="102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45,394</w:t>
            </w:r>
          </w:p>
        </w:tc>
        <w:tc>
          <w:tcPr>
            <w:tcW w:w="14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40,879</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33,447</w:t>
            </w: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260" w:type="dxa"/>
            <w:vAlign w:val="bottom"/>
          </w:tcPr>
          <w:p>
            <w:pPr>
              <w:spacing w:after="0"/>
              <w:rPr>
                <w:sz w:val="11"/>
                <w:szCs w:val="11"/>
                <w:color w:val="auto"/>
              </w:rPr>
            </w:pPr>
          </w:p>
        </w:tc>
        <w:tc>
          <w:tcPr>
            <w:tcW w:w="102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ind w:left="560"/>
              <w:spacing w:after="0"/>
              <w:rPr>
                <w:sz w:val="20"/>
                <w:szCs w:val="20"/>
                <w:color w:val="auto"/>
              </w:rPr>
            </w:pPr>
            <w:r>
              <w:rPr>
                <w:rFonts w:ascii="Courier New" w:cs="Courier New" w:eastAsia="Courier New" w:hAnsi="Courier New"/>
                <w:sz w:val="12"/>
                <w:szCs w:val="12"/>
                <w:color w:val="auto"/>
              </w:rPr>
              <w:t>OPERATING LOSS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(99,312)</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(120,961)</w:t>
            </w:r>
          </w:p>
        </w:tc>
        <w:tc>
          <w:tcPr>
            <w:tcW w:w="260" w:type="dxa"/>
            <w:vAlign w:val="bottom"/>
          </w:tcPr>
          <w:p>
            <w:pPr>
              <w:spacing w:after="0"/>
              <w:rPr>
                <w:sz w:val="23"/>
                <w:szCs w:val="23"/>
                <w:color w:val="auto"/>
              </w:rPr>
            </w:pPr>
          </w:p>
        </w:tc>
        <w:tc>
          <w:tcPr>
            <w:tcW w:w="10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(169,814)</w:t>
            </w: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11, 16</w:t>
            </w:r>
          </w:p>
        </w:tc>
        <w:tc>
          <w:tcPr>
            <w:tcW w:w="380" w:type="dxa"/>
            <w:vAlign w:val="bottom"/>
          </w:tcPr>
          <w:p>
            <w:pPr>
              <w:spacing w:after="0"/>
              <w:rPr>
                <w:sz w:val="23"/>
                <w:szCs w:val="23"/>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(34,976)</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w w:val="97"/>
              </w:rPr>
              <w:t>(47,563)</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3"/>
              </w:rPr>
              <w:t>(35,651)</w:t>
            </w: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92</w:t>
            </w:r>
          </w:p>
        </w:tc>
        <w:tc>
          <w:tcPr>
            <w:tcW w:w="14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597</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2,383</w:t>
            </w: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260" w:type="dxa"/>
            <w:vAlign w:val="bottom"/>
          </w:tcPr>
          <w:p>
            <w:pPr>
              <w:spacing w:after="0"/>
              <w:rPr>
                <w:sz w:val="11"/>
                <w:szCs w:val="11"/>
                <w:color w:val="auto"/>
              </w:rPr>
            </w:pPr>
          </w:p>
        </w:tc>
        <w:tc>
          <w:tcPr>
            <w:tcW w:w="102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ind w:left="980"/>
              <w:spacing w:after="0"/>
              <w:rPr>
                <w:sz w:val="20"/>
                <w:szCs w:val="20"/>
                <w:color w:val="auto"/>
              </w:rPr>
            </w:pPr>
            <w:r>
              <w:rPr>
                <w:rFonts w:ascii="Courier New" w:cs="Courier New" w:eastAsia="Courier New" w:hAnsi="Courier New"/>
                <w:sz w:val="12"/>
                <w:szCs w:val="12"/>
                <w:color w:val="auto"/>
              </w:rPr>
              <w:t>LOSS FOR THE YEAR</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$(134,196)</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$(167,927)</w:t>
            </w:r>
          </w:p>
        </w:tc>
        <w:tc>
          <w:tcPr>
            <w:tcW w:w="260" w:type="dxa"/>
            <w:vAlign w:val="bottom"/>
          </w:tcPr>
          <w:p>
            <w:pPr>
              <w:spacing w:after="0"/>
              <w:rPr>
                <w:sz w:val="23"/>
                <w:szCs w:val="23"/>
                <w:color w:val="auto"/>
              </w:rPr>
            </w:pPr>
          </w:p>
        </w:tc>
        <w:tc>
          <w:tcPr>
            <w:tcW w:w="10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w w:val="94"/>
              </w:rPr>
              <w:t>$(203,082)</w:t>
            </w: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260" w:type="dxa"/>
            <w:vAlign w:val="bottom"/>
          </w:tcPr>
          <w:p>
            <w:pPr>
              <w:spacing w:after="0"/>
              <w:rPr>
                <w:sz w:val="11"/>
                <w:szCs w:val="11"/>
                <w:color w:val="auto"/>
              </w:rPr>
            </w:pPr>
          </w:p>
        </w:tc>
        <w:tc>
          <w:tcPr>
            <w:tcW w:w="102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BASIC LOSS PER ORDINARY SHARE</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3640" w:type="dxa"/>
            <w:vAlign w:val="bottom"/>
          </w:tcPr>
          <w:p>
            <w:pPr>
              <w:ind w:left="340"/>
              <w:spacing w:after="0"/>
              <w:rPr>
                <w:sz w:val="20"/>
                <w:szCs w:val="20"/>
                <w:color w:val="auto"/>
              </w:rPr>
            </w:pPr>
            <w:r>
              <w:rPr>
                <w:rFonts w:ascii="Courier New" w:cs="Courier New" w:eastAsia="Courier New" w:hAnsi="Courier New"/>
                <w:sz w:val="12"/>
                <w:szCs w:val="12"/>
                <w:color w:val="auto"/>
              </w:rPr>
              <w:t>LOSS PER SHARE</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(1.13)</w:t>
            </w:r>
          </w:p>
        </w:tc>
        <w:tc>
          <w:tcPr>
            <w:tcW w:w="14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(2.03)</w:t>
            </w:r>
          </w:p>
        </w:tc>
        <w:tc>
          <w:tcPr>
            <w:tcW w:w="260" w:type="dxa"/>
            <w:vAlign w:val="bottom"/>
          </w:tcPr>
          <w:p>
            <w:pPr>
              <w:spacing w:after="0"/>
              <w:rPr>
                <w:sz w:val="23"/>
                <w:szCs w:val="23"/>
                <w:color w:val="auto"/>
              </w:rPr>
            </w:pPr>
          </w:p>
        </w:tc>
        <w:tc>
          <w:tcPr>
            <w:tcW w:w="140" w:type="dxa"/>
            <w:vAlign w:val="bottom"/>
          </w:tcPr>
          <w:p>
            <w:pPr>
              <w:jc w:val="right"/>
              <w:ind w:right="23"/>
              <w:spacing w:after="0"/>
              <w:rPr>
                <w:sz w:val="20"/>
                <w:szCs w:val="20"/>
                <w:color w:val="auto"/>
              </w:rPr>
            </w:pPr>
            <w:r>
              <w:rPr>
                <w:rFonts w:ascii="Courier New" w:cs="Courier New" w:eastAsia="Courier New" w:hAnsi="Courier New"/>
                <w:sz w:val="9"/>
                <w:szCs w:val="9"/>
                <w:color w:val="auto"/>
                <w:w w:val="73"/>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(3.06)</w:t>
            </w: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260" w:type="dxa"/>
            <w:vAlign w:val="bottom"/>
          </w:tcPr>
          <w:p>
            <w:pPr>
              <w:spacing w:after="0"/>
              <w:rPr>
                <w:sz w:val="11"/>
                <w:szCs w:val="11"/>
                <w:color w:val="auto"/>
              </w:rPr>
            </w:pPr>
          </w:p>
        </w:tc>
        <w:tc>
          <w:tcPr>
            <w:tcW w:w="102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ind w:left="340"/>
              <w:spacing w:after="0"/>
              <w:rPr>
                <w:sz w:val="20"/>
                <w:szCs w:val="20"/>
                <w:color w:val="auto"/>
              </w:rPr>
            </w:pPr>
            <w:r>
              <w:rPr>
                <w:rFonts w:ascii="Courier New" w:cs="Courier New" w:eastAsia="Courier New" w:hAnsi="Courier New"/>
                <w:sz w:val="12"/>
                <w:szCs w:val="12"/>
                <w:color w:val="auto"/>
              </w:rPr>
              <w:t>WEIGHTED AVERAGE NUMBER OF ORDINARY</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ind w:left="560"/>
              <w:spacing w:after="0"/>
              <w:rPr>
                <w:sz w:val="20"/>
                <w:szCs w:val="20"/>
                <w:color w:val="auto"/>
              </w:rPr>
            </w:pPr>
            <w:r>
              <w:rPr>
                <w:rFonts w:ascii="Courier New" w:cs="Courier New" w:eastAsia="Courier New" w:hAnsi="Courier New"/>
                <w:sz w:val="12"/>
                <w:szCs w:val="12"/>
                <w:color w:val="auto"/>
              </w:rPr>
              <w:t>SHARES OUTSTANDING - IN THOUSANDS</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5"/>
              </w:rPr>
              <w:t>118,857</w:t>
            </w:r>
          </w:p>
        </w:tc>
        <w:tc>
          <w:tcPr>
            <w:tcW w:w="14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82,581</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66,371</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260" w:type="dxa"/>
            <w:vAlign w:val="bottom"/>
          </w:tcPr>
          <w:p>
            <w:pPr>
              <w:spacing w:after="0"/>
              <w:rPr>
                <w:sz w:val="11"/>
                <w:szCs w:val="11"/>
                <w:color w:val="auto"/>
              </w:rPr>
            </w:pPr>
          </w:p>
        </w:tc>
        <w:tc>
          <w:tcPr>
            <w:tcW w:w="102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SEE NOTES TO CONSOLIDATED FINANCIAL STATEMENTS.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405"/>
        </w:trPr>
        <w:tc>
          <w:tcPr>
            <w:tcW w:w="3640" w:type="dxa"/>
            <w:vAlign w:val="bottom"/>
          </w:tcPr>
          <w:p>
            <w:pPr>
              <w:ind w:left="2600"/>
              <w:spacing w:after="0"/>
              <w:rPr>
                <w:sz w:val="20"/>
                <w:szCs w:val="20"/>
                <w:color w:val="auto"/>
              </w:rPr>
            </w:pPr>
            <w:r>
              <w:rPr>
                <w:rFonts w:ascii="Courier New" w:cs="Courier New" w:eastAsia="Courier New" w:hAnsi="Courier New"/>
                <w:sz w:val="12"/>
                <w:szCs w:val="12"/>
                <w:color w:val="auto"/>
              </w:rPr>
              <w:t>F - 3</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22"/>
        </w:trPr>
        <w:tc>
          <w:tcPr>
            <w:tcW w:w="3640" w:type="dxa"/>
            <w:vAlign w:val="bottom"/>
          </w:tcPr>
          <w:p>
            <w:pPr>
              <w:jc w:val="center"/>
              <w:ind w:left="1901"/>
              <w:spacing w:after="0"/>
              <w:rPr>
                <w:sz w:val="20"/>
                <w:szCs w:val="20"/>
                <w:color w:val="auto"/>
              </w:rPr>
            </w:pPr>
            <w:r>
              <w:rPr>
                <w:rFonts w:ascii="Courier New" w:cs="Courier New" w:eastAsia="Courier New" w:hAnsi="Courier New"/>
                <w:sz w:val="12"/>
                <w:szCs w:val="12"/>
                <w:color w:val="auto"/>
                <w:w w:val="97"/>
              </w:rPr>
              <w:t>TOWER SEMICONDUCTOR LTD.</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5"/>
        </w:trPr>
        <w:tc>
          <w:tcPr>
            <w:tcW w:w="4980" w:type="dxa"/>
            <w:vAlign w:val="bottom"/>
            <w:gridSpan w:val="3"/>
          </w:tcPr>
          <w:p>
            <w:pPr>
              <w:jc w:val="center"/>
              <w:ind w:left="621"/>
              <w:spacing w:after="0"/>
              <w:rPr>
                <w:sz w:val="20"/>
                <w:szCs w:val="20"/>
                <w:color w:val="auto"/>
              </w:rPr>
            </w:pPr>
            <w:r>
              <w:rPr>
                <w:rFonts w:ascii="Courier New" w:cs="Courier New" w:eastAsia="Courier New" w:hAnsi="Courier New"/>
                <w:sz w:val="12"/>
                <w:szCs w:val="12"/>
                <w:color w:val="auto"/>
                <w:w w:val="97"/>
              </w:rPr>
              <w:t>STATEMENTS OF CHANGES IN SHAREHOLDERS' EQUITY (DEFICIT)</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980" w:type="dxa"/>
            <w:vAlign w:val="bottom"/>
            <w:gridSpan w:val="3"/>
          </w:tcPr>
          <w:p>
            <w:pPr>
              <w:jc w:val="center"/>
              <w:ind w:left="561"/>
              <w:spacing w:after="0"/>
              <w:rPr>
                <w:sz w:val="20"/>
                <w:szCs w:val="20"/>
                <w:color w:val="auto"/>
              </w:rPr>
            </w:pPr>
            <w:r>
              <w:rPr>
                <w:rFonts w:ascii="Courier New" w:cs="Courier New" w:eastAsia="Courier New" w:hAnsi="Courier New"/>
                <w:sz w:val="12"/>
                <w:szCs w:val="12"/>
                <w:color w:val="auto"/>
                <w:w w:val="97"/>
              </w:rPr>
              <w:t>(dollars in thousands, except share data and per share data)</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jc w:val="center"/>
              <w:ind w:right="21"/>
              <w:spacing w:after="0"/>
              <w:rPr>
                <w:sz w:val="20"/>
                <w:szCs w:val="20"/>
                <w:color w:val="auto"/>
              </w:rPr>
            </w:pPr>
            <w:r>
              <w:rPr>
                <w:rFonts w:ascii="Courier New" w:cs="Courier New" w:eastAsia="Courier New" w:hAnsi="Courier New"/>
                <w:sz w:val="12"/>
                <w:szCs w:val="12"/>
                <w:color w:val="auto"/>
                <w:w w:val="95"/>
              </w:rPr>
              <w:t>Accumulated</w:t>
            </w: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Ordinary shares</w:t>
            </w:r>
          </w:p>
        </w:tc>
        <w:tc>
          <w:tcPr>
            <w:tcW w:w="46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Additional</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7"/>
              </w:rPr>
              <w:t>Cumulative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ind w:right="21"/>
              <w:spacing w:after="0"/>
              <w:rPr>
                <w:sz w:val="20"/>
                <w:szCs w:val="20"/>
                <w:color w:val="auto"/>
              </w:rPr>
            </w:pPr>
            <w:r>
              <w:rPr>
                <w:rFonts w:ascii="Courier New" w:cs="Courier New" w:eastAsia="Courier New" w:hAnsi="Courier New"/>
                <w:sz w:val="12"/>
                <w:szCs w:val="12"/>
                <w:color w:val="auto"/>
                <w:w w:val="99"/>
              </w:rPr>
              <w:t>other</w:t>
            </w: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6"/>
              </w:rPr>
              <w:t>-------------------------</w:t>
            </w:r>
          </w:p>
        </w:tc>
        <w:tc>
          <w:tcPr>
            <w:tcW w:w="9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paid-in</w:t>
            </w:r>
          </w:p>
        </w:tc>
        <w:tc>
          <w:tcPr>
            <w:tcW w:w="98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Capital</w:t>
            </w:r>
          </w:p>
        </w:tc>
        <w:tc>
          <w:tcPr>
            <w:tcW w:w="100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stock based</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Treasury</w:t>
            </w:r>
          </w:p>
        </w:tc>
        <w:tc>
          <w:tcPr>
            <w:tcW w:w="1040" w:type="dxa"/>
            <w:vAlign w:val="bottom"/>
          </w:tcPr>
          <w:p>
            <w:pPr>
              <w:jc w:val="center"/>
              <w:ind w:right="21"/>
              <w:spacing w:after="0"/>
              <w:rPr>
                <w:sz w:val="20"/>
                <w:szCs w:val="20"/>
                <w:color w:val="auto"/>
              </w:rPr>
            </w:pPr>
            <w:r>
              <w:rPr>
                <w:rFonts w:ascii="Courier New" w:cs="Courier New" w:eastAsia="Courier New" w:hAnsi="Courier New"/>
                <w:sz w:val="12"/>
                <w:szCs w:val="12"/>
                <w:color w:val="auto"/>
                <w:w w:val="98"/>
              </w:rPr>
              <w:t>comprehensive</w:t>
            </w: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Accumulated</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Co</w:t>
            </w:r>
          </w:p>
        </w:tc>
      </w:tr>
      <w:tr>
        <w:trPr>
          <w:trHeight w:val="135"/>
        </w:trPr>
        <w:tc>
          <w:tcPr>
            <w:tcW w:w="364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Shares</w:t>
            </w:r>
          </w:p>
        </w:tc>
        <w:tc>
          <w:tcPr>
            <w:tcW w:w="8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Amount</w:t>
            </w:r>
          </w:p>
        </w:tc>
        <w:tc>
          <w:tcPr>
            <w:tcW w:w="9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capital</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notes</w:t>
            </w:r>
          </w:p>
        </w:tc>
        <w:tc>
          <w:tcPr>
            <w:tcW w:w="140" w:type="dxa"/>
            <w:vAlign w:val="bottom"/>
          </w:tcPr>
          <w:p>
            <w:pPr>
              <w:spacing w:after="0"/>
              <w:rPr>
                <w:sz w:val="11"/>
                <w:szCs w:val="11"/>
                <w:color w:val="auto"/>
              </w:rPr>
            </w:pPr>
          </w:p>
        </w:tc>
        <w:tc>
          <w:tcPr>
            <w:tcW w:w="100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7"/>
              </w:rPr>
              <w:t>compensation</w:t>
            </w: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stock</w:t>
            </w:r>
          </w:p>
        </w:tc>
        <w:tc>
          <w:tcPr>
            <w:tcW w:w="10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gain (loss)</w:t>
            </w:r>
          </w:p>
        </w:tc>
        <w:tc>
          <w:tcPr>
            <w:tcW w:w="10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deficit</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i</w:t>
            </w:r>
          </w:p>
        </w:tc>
      </w:tr>
      <w:tr>
        <w:trPr>
          <w:trHeight w:val="135"/>
        </w:trPr>
        <w:tc>
          <w:tcPr>
            <w:tcW w:w="364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ind w:left="280"/>
              <w:spacing w:after="0"/>
              <w:rPr>
                <w:sz w:val="20"/>
                <w:szCs w:val="20"/>
                <w:color w:val="auto"/>
              </w:rPr>
            </w:pPr>
            <w:r>
              <w:rPr>
                <w:rFonts w:ascii="Courier New" w:cs="Courier New" w:eastAsia="Courier New" w:hAnsi="Courier New"/>
                <w:sz w:val="12"/>
                <w:szCs w:val="12"/>
                <w:color w:val="auto"/>
                <w:w w:val="94"/>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r>
      <w:tr>
        <w:trPr>
          <w:trHeight w:val="270"/>
        </w:trPr>
        <w:tc>
          <w:tcPr>
            <w:tcW w:w="3640" w:type="dxa"/>
            <w:vAlign w:val="bottom"/>
          </w:tcPr>
          <w:p>
            <w:pPr>
              <w:ind w:left="280"/>
              <w:spacing w:after="0"/>
              <w:rPr>
                <w:sz w:val="20"/>
                <w:szCs w:val="20"/>
                <w:color w:val="auto"/>
              </w:rPr>
            </w:pPr>
            <w:r>
              <w:rPr>
                <w:rFonts w:ascii="Courier New" w:cs="Courier New" w:eastAsia="Courier New" w:hAnsi="Courier New"/>
                <w:sz w:val="12"/>
                <w:szCs w:val="12"/>
                <w:color w:val="auto"/>
              </w:rPr>
              <w:t>BALANCE - JANUARY 1, 2005</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66,999,796</w:t>
            </w:r>
          </w:p>
        </w:tc>
        <w:tc>
          <w:tcPr>
            <w:tcW w:w="4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w w:val="92"/>
              </w:rPr>
              <w:t>16,274</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519,839</w:t>
            </w:r>
          </w:p>
        </w:tc>
        <w:tc>
          <w:tcPr>
            <w:tcW w:w="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20"/>
                <w:szCs w:val="20"/>
                <w:color w:val="auto"/>
              </w:rPr>
            </w:pPr>
            <w:r>
              <w:rPr>
                <w:rFonts w:ascii="Courier New" w:cs="Courier New" w:eastAsia="Courier New" w:hAnsi="Courier New"/>
                <w:sz w:val="12"/>
                <w:szCs w:val="12"/>
                <w:color w:val="auto"/>
                <w:w w:val="82"/>
              </w:rPr>
              <w:t>--</w:t>
            </w:r>
          </w:p>
        </w:tc>
        <w:tc>
          <w:tcPr>
            <w:tcW w:w="6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gridSpan w:val="2"/>
          </w:tcPr>
          <w:p>
            <w:pPr>
              <w:jc w:val="right"/>
              <w:ind w:right="23"/>
              <w:spacing w:after="0"/>
              <w:rPr>
                <w:sz w:val="20"/>
                <w:szCs w:val="20"/>
                <w:color w:val="auto"/>
              </w:rPr>
            </w:pPr>
            <w:r>
              <w:rPr>
                <w:rFonts w:ascii="Courier New" w:cs="Courier New" w:eastAsia="Courier New" w:hAnsi="Courier New"/>
                <w:sz w:val="12"/>
                <w:szCs w:val="12"/>
                <w:color w:val="auto"/>
              </w:rPr>
              <w:t>(26)</w:t>
            </w:r>
          </w:p>
        </w:tc>
        <w:tc>
          <w:tcPr>
            <w:tcW w:w="880" w:type="dxa"/>
            <w:vAlign w:val="bottom"/>
          </w:tcPr>
          <w:p>
            <w:pPr>
              <w:ind w:left="140"/>
              <w:spacing w:after="0"/>
              <w:rPr>
                <w:sz w:val="20"/>
                <w:szCs w:val="20"/>
                <w:color w:val="auto"/>
              </w:rPr>
            </w:pPr>
            <w:r>
              <w:rPr>
                <w:rFonts w:ascii="Courier New" w:cs="Courier New" w:eastAsia="Courier New" w:hAnsi="Courier New"/>
                <w:sz w:val="12"/>
                <w:szCs w:val="12"/>
                <w:color w:val="auto"/>
                <w:w w:val="99"/>
              </w:rPr>
              <w:t>$  (9,072)</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(7,055)</w:t>
            </w:r>
          </w:p>
        </w:tc>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rPr>
              <w:t>$   (356,642)</w:t>
            </w:r>
          </w:p>
        </w:tc>
        <w:tc>
          <w:tcPr>
            <w:tcW w:w="180" w:type="dxa"/>
            <w:vAlign w:val="bottom"/>
          </w:tcPr>
          <w:p>
            <w:pPr>
              <w:spacing w:after="0"/>
              <w:rPr>
                <w:sz w:val="23"/>
                <w:szCs w:val="23"/>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1,232,260</w:t>
            </w:r>
          </w:p>
        </w:tc>
        <w:tc>
          <w:tcPr>
            <w:tcW w:w="4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274</w:t>
            </w:r>
          </w:p>
        </w:tc>
        <w:tc>
          <w:tcPr>
            <w:tcW w:w="5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w w:val="99"/>
              </w:rPr>
              <w:t>1,520</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 THE FACILITY</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AGREEMENT WITH THE BANKS, NOTE 14B(5)</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w w:val="99"/>
              </w:rPr>
              <w:t>2,793</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 RIGHTS</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OFFERED TO EMPLOYEES, NOTE 14I</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448</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OTHER COMPREHENSIVE GAIN</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5,501</w:t>
            </w: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rPr>
              <w:t>(203,082)</w:t>
            </w:r>
          </w:p>
        </w:tc>
        <w:tc>
          <w:tcPr>
            <w:tcW w:w="180" w:type="dxa"/>
            <w:vAlign w:val="bottom"/>
          </w:tcPr>
          <w:p>
            <w:pPr>
              <w:spacing w:after="0"/>
              <w:rPr>
                <w:sz w:val="11"/>
                <w:szCs w:val="11"/>
                <w:color w:val="auto"/>
              </w:rPr>
            </w:pPr>
          </w:p>
        </w:tc>
      </w:tr>
    </w:tbl>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COMPREHENSIVE INCOME (LOSS)</w:t>
      </w:r>
    </w:p>
    <w:p>
      <w:pPr>
        <w:sectPr>
          <w:pgSz w:w="11900" w:h="16838" w:orient="portrait"/>
          <w:cols w:equalWidth="0" w:num="1">
            <w:col w:w="11528"/>
          </w:cols>
          <w:pgMar w:left="212" w:top="272" w:right="15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36"/>
        </w:trPr>
        <w:tc>
          <w:tcPr>
            <w:tcW w:w="3640" w:type="dxa"/>
            <w:vAlign w:val="bottom"/>
          </w:tcPr>
          <w:p>
            <w:pPr>
              <w:spacing w:after="0"/>
              <w:rPr>
                <w:sz w:val="11"/>
                <w:szCs w:val="11"/>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w w:val="99"/>
              </w:rPr>
              <w:t>----------</w:t>
            </w: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640" w:type="dxa"/>
            <w:vAlign w:val="bottom"/>
          </w:tcPr>
          <w:p>
            <w:pPr>
              <w:ind w:left="280"/>
              <w:spacing w:after="0"/>
              <w:rPr>
                <w:sz w:val="20"/>
                <w:szCs w:val="20"/>
                <w:color w:val="auto"/>
              </w:rPr>
            </w:pPr>
            <w:r>
              <w:rPr>
                <w:rFonts w:ascii="Courier New" w:cs="Courier New" w:eastAsia="Courier New" w:hAnsi="Courier New"/>
                <w:sz w:val="12"/>
                <w:szCs w:val="12"/>
                <w:color w:val="auto"/>
              </w:rPr>
              <w:t>BALANCE - DECEMBER 31, 2005</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68,232,056</w:t>
            </w:r>
          </w:p>
        </w:tc>
        <w:tc>
          <w:tcPr>
            <w:tcW w:w="2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16,548</w:t>
            </w:r>
          </w:p>
        </w:tc>
        <w:tc>
          <w:tcPr>
            <w:tcW w:w="2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524,600</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w:t>
            </w:r>
          </w:p>
        </w:tc>
        <w:tc>
          <w:tcPr>
            <w:tcW w:w="1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(9,072)</w:t>
            </w:r>
          </w:p>
        </w:tc>
        <w:tc>
          <w:tcPr>
            <w:tcW w:w="9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 (1,554)</w:t>
            </w:r>
          </w:p>
        </w:tc>
        <w:tc>
          <w:tcPr>
            <w:tcW w:w="3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(559,724)</w:t>
            </w: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ISSUANCE OF SHARES AND WARRANTS</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16,729,145</w:t>
            </w:r>
          </w:p>
        </w:tc>
        <w:tc>
          <w:tcPr>
            <w:tcW w:w="280" w:type="dxa"/>
            <w:vAlign w:val="bottom"/>
          </w:tcPr>
          <w:p>
            <w:pPr>
              <w:spacing w:after="0"/>
              <w:rPr>
                <w:sz w:val="23"/>
                <w:szCs w:val="23"/>
                <w:color w:val="auto"/>
              </w:rPr>
            </w:pP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3,860</w:t>
            </w:r>
          </w:p>
        </w:tc>
        <w:tc>
          <w:tcPr>
            <w:tcW w:w="280" w:type="dxa"/>
            <w:vAlign w:val="bottom"/>
          </w:tcPr>
          <w:p>
            <w:pPr>
              <w:spacing w:after="0"/>
              <w:rPr>
                <w:sz w:val="23"/>
                <w:szCs w:val="23"/>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26,126</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CONVERSION OF CONVERTIBLE DEBENTURES TO SHARES</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16,734,316</w:t>
            </w:r>
          </w:p>
        </w:tc>
        <w:tc>
          <w:tcPr>
            <w:tcW w:w="280" w:type="dxa"/>
            <w:vAlign w:val="bottom"/>
          </w:tcPr>
          <w:p>
            <w:pPr>
              <w:spacing w:after="0"/>
              <w:rPr>
                <w:sz w:val="11"/>
                <w:szCs w:val="11"/>
                <w:color w:val="auto"/>
              </w:rPr>
            </w:pP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3,696</w:t>
            </w: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15,634</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4"/>
              </w:rPr>
              <w:t>4,896</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EXERCISE OF OPTIONS</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7,250</w:t>
            </w:r>
          </w:p>
        </w:tc>
        <w:tc>
          <w:tcPr>
            <w:tcW w:w="280" w:type="dxa"/>
            <w:vAlign w:val="bottom"/>
          </w:tcPr>
          <w:p>
            <w:pPr>
              <w:spacing w:after="0"/>
              <w:rPr>
                <w:sz w:val="11"/>
                <w:szCs w:val="11"/>
                <w:color w:val="auto"/>
              </w:rPr>
            </w:pP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w:t>
            </w: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EXERCISE OF WARRANTS</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350,000</w:t>
            </w:r>
          </w:p>
        </w:tc>
        <w:tc>
          <w:tcPr>
            <w:tcW w:w="280" w:type="dxa"/>
            <w:vAlign w:val="bottom"/>
          </w:tcPr>
          <w:p>
            <w:pPr>
              <w:spacing w:after="0"/>
              <w:rPr>
                <w:sz w:val="11"/>
                <w:szCs w:val="11"/>
                <w:color w:val="auto"/>
              </w:rPr>
            </w:pP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81</w:t>
            </w: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469</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 THE FACILITY</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AGREEMENT WITH THE BANKS, NOTE 14B(5)</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4,146</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CAPITAL NOTES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176,401</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OTHER COMPREHENSIVE GAIN</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1,351</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(167,927)</w:t>
            </w: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COMPREHENSIVE INCOME (LOSS)</w:t>
            </w: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405"/>
        </w:trPr>
        <w:tc>
          <w:tcPr>
            <w:tcW w:w="3640" w:type="dxa"/>
            <w:vAlign w:val="bottom"/>
          </w:tcPr>
          <w:p>
            <w:pPr>
              <w:spacing w:after="0"/>
              <w:rPr>
                <w:sz w:val="24"/>
                <w:szCs w:val="24"/>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w w:val="99"/>
              </w:rPr>
              <w:t>----------</w:t>
            </w: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640" w:type="dxa"/>
            <w:vAlign w:val="bottom"/>
          </w:tcPr>
          <w:p>
            <w:pPr>
              <w:ind w:left="280"/>
              <w:spacing w:after="0"/>
              <w:rPr>
                <w:sz w:val="20"/>
                <w:szCs w:val="20"/>
                <w:color w:val="auto"/>
              </w:rPr>
            </w:pPr>
            <w:r>
              <w:rPr>
                <w:rFonts w:ascii="Courier New" w:cs="Courier New" w:eastAsia="Courier New" w:hAnsi="Courier New"/>
                <w:sz w:val="12"/>
                <w:szCs w:val="12"/>
                <w:color w:val="auto"/>
              </w:rPr>
              <w:t>BALANCE - DECEMBER 31, 2006</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102,052,767</w:t>
            </w:r>
          </w:p>
        </w:tc>
        <w:tc>
          <w:tcPr>
            <w:tcW w:w="2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24,187</w:t>
            </w:r>
          </w:p>
        </w:tc>
        <w:tc>
          <w:tcPr>
            <w:tcW w:w="2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570,984</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176,401</w:t>
            </w:r>
          </w:p>
        </w:tc>
        <w:tc>
          <w:tcPr>
            <w:tcW w:w="3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4"/>
              </w:rPr>
              <w:t>4,870</w:t>
            </w:r>
          </w:p>
        </w:tc>
        <w:tc>
          <w:tcPr>
            <w:tcW w:w="1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(9,072)</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(203)</w:t>
            </w:r>
          </w:p>
        </w:tc>
        <w:tc>
          <w:tcPr>
            <w:tcW w:w="3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(727,651)</w:t>
            </w: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ISSUANCE OF SHARES AND WARRANTS</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22,705,598</w:t>
            </w:r>
          </w:p>
        </w:tc>
        <w:tc>
          <w:tcPr>
            <w:tcW w:w="280" w:type="dxa"/>
            <w:vAlign w:val="bottom"/>
          </w:tcPr>
          <w:p>
            <w:pPr>
              <w:spacing w:after="0"/>
              <w:rPr>
                <w:sz w:val="23"/>
                <w:szCs w:val="23"/>
                <w:color w:val="auto"/>
              </w:rPr>
            </w:pP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5,398</w:t>
            </w:r>
          </w:p>
        </w:tc>
        <w:tc>
          <w:tcPr>
            <w:tcW w:w="280" w:type="dxa"/>
            <w:vAlign w:val="bottom"/>
          </w:tcPr>
          <w:p>
            <w:pPr>
              <w:spacing w:after="0"/>
              <w:rPr>
                <w:sz w:val="23"/>
                <w:szCs w:val="23"/>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29,469</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CONVERSION OF CONVERTIBLE DEBENTURES TO SHARES</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591,520</w:t>
            </w:r>
          </w:p>
        </w:tc>
        <w:tc>
          <w:tcPr>
            <w:tcW w:w="280" w:type="dxa"/>
            <w:vAlign w:val="bottom"/>
          </w:tcPr>
          <w:p>
            <w:pPr>
              <w:spacing w:after="0"/>
              <w:rPr>
                <w:sz w:val="11"/>
                <w:szCs w:val="11"/>
                <w:color w:val="auto"/>
              </w:rPr>
            </w:pP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142</w:t>
            </w: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674</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4"/>
              </w:rPr>
              <w:t>8,731</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EXERCISE OF OPTIONS</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176,231</w:t>
            </w:r>
          </w:p>
        </w:tc>
        <w:tc>
          <w:tcPr>
            <w:tcW w:w="280" w:type="dxa"/>
            <w:vAlign w:val="bottom"/>
          </w:tcPr>
          <w:p>
            <w:pPr>
              <w:spacing w:after="0"/>
              <w:rPr>
                <w:sz w:val="11"/>
                <w:szCs w:val="11"/>
                <w:color w:val="auto"/>
              </w:rPr>
            </w:pP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44</w:t>
            </w: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183</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RECLASSIFICATION OF BIFURCATED CONVERSION</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OPTION TO SHAREHOLDERS' EQUITY</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28,377</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STOCK-BASED COMPENSATION, NOTE 14B(5)</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1,331</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(167)</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CUMULATIVE EFFECT ADJUSTMENT OF THE FACILITY</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AGREEMENT TO RETAINED EARNINGS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65,207</w:t>
            </w: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(134,196)</w:t>
            </w: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COMPREHENSIVE INCOME (LOSS)</w:t>
            </w: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3640" w:type="dxa"/>
            <w:vAlign w:val="bottom"/>
          </w:tcPr>
          <w:p>
            <w:pPr>
              <w:spacing w:after="0"/>
              <w:rPr>
                <w:sz w:val="23"/>
                <w:szCs w:val="23"/>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w w:val="99"/>
              </w:rPr>
              <w:t>----------</w:t>
            </w: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640" w:type="dxa"/>
            <w:vAlign w:val="bottom"/>
          </w:tcPr>
          <w:p>
            <w:pPr>
              <w:ind w:left="280"/>
              <w:spacing w:after="0"/>
              <w:rPr>
                <w:sz w:val="20"/>
                <w:szCs w:val="20"/>
                <w:color w:val="auto"/>
              </w:rPr>
            </w:pPr>
            <w:r>
              <w:rPr>
                <w:rFonts w:ascii="Courier New" w:cs="Courier New" w:eastAsia="Courier New" w:hAnsi="Courier New"/>
                <w:sz w:val="12"/>
                <w:szCs w:val="12"/>
                <w:color w:val="auto"/>
              </w:rPr>
              <w:t>BALANCE - DECEMBER 31, 2007</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125,526,116</w:t>
            </w:r>
          </w:p>
        </w:tc>
        <w:tc>
          <w:tcPr>
            <w:tcW w:w="2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29,771</w:t>
            </w:r>
          </w:p>
        </w:tc>
        <w:tc>
          <w:tcPr>
            <w:tcW w:w="2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631,018</w:t>
            </w:r>
          </w:p>
        </w:tc>
        <w:tc>
          <w:tcPr>
            <w:tcW w:w="2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176,401</w:t>
            </w:r>
          </w:p>
        </w:tc>
        <w:tc>
          <w:tcPr>
            <w:tcW w:w="9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$ 13,601</w:t>
            </w:r>
          </w:p>
        </w:tc>
        <w:tc>
          <w:tcPr>
            <w:tcW w:w="1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(9,072)</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(370)</w:t>
            </w:r>
          </w:p>
        </w:tc>
        <w:tc>
          <w:tcPr>
            <w:tcW w:w="3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(796,640)</w:t>
            </w:r>
          </w:p>
        </w:tc>
      </w:tr>
      <w:tr>
        <w:trPr>
          <w:trHeight w:val="135"/>
        </w:trPr>
        <w:tc>
          <w:tcPr>
            <w:tcW w:w="3640" w:type="dxa"/>
            <w:vAlign w:val="bottom"/>
          </w:tcPr>
          <w:p>
            <w:pPr>
              <w:spacing w:after="0"/>
              <w:rPr>
                <w:sz w:val="11"/>
                <w:szCs w:val="11"/>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w w:val="99"/>
              </w:rPr>
              <w:t>==========</w:t>
            </w: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w w:val="98"/>
              </w:rPr>
              <w:t>=========</w:t>
            </w:r>
          </w:p>
        </w:tc>
        <w:tc>
          <w:tcPr>
            <w:tcW w:w="90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SEE NOTES TO CONSOLIDATED FINANCIAL STATEMENTS.</w:t>
            </w: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405"/>
        </w:trPr>
        <w:tc>
          <w:tcPr>
            <w:tcW w:w="3640" w:type="dxa"/>
            <w:vAlign w:val="bottom"/>
          </w:tcPr>
          <w:p>
            <w:pPr>
              <w:ind w:left="2600"/>
              <w:spacing w:after="0"/>
              <w:rPr>
                <w:sz w:val="20"/>
                <w:szCs w:val="20"/>
                <w:color w:val="auto"/>
              </w:rPr>
            </w:pPr>
            <w:r>
              <w:rPr>
                <w:rFonts w:ascii="Courier New" w:cs="Courier New" w:eastAsia="Courier New" w:hAnsi="Courier New"/>
                <w:sz w:val="12"/>
                <w:szCs w:val="12"/>
                <w:color w:val="auto"/>
              </w:rPr>
              <w:t>F - 4</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22"/>
        </w:trPr>
        <w:tc>
          <w:tcPr>
            <w:tcW w:w="4660" w:type="dxa"/>
            <w:vAlign w:val="bottom"/>
            <w:gridSpan w:val="2"/>
          </w:tcPr>
          <w:p>
            <w:pPr>
              <w:ind w:left="1460"/>
              <w:spacing w:after="0"/>
              <w:rPr>
                <w:sz w:val="20"/>
                <w:szCs w:val="20"/>
                <w:color w:val="auto"/>
              </w:rPr>
            </w:pPr>
            <w:r>
              <w:rPr>
                <w:rFonts w:ascii="Courier New" w:cs="Courier New" w:eastAsia="Courier New" w:hAnsi="Courier New"/>
                <w:sz w:val="12"/>
                <w:szCs w:val="12"/>
                <w:color w:val="auto"/>
              </w:rPr>
              <w:t>TOWER SEMICONDUCTOR LTD. AND SUBSIDIARY</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5"/>
        </w:trPr>
        <w:tc>
          <w:tcPr>
            <w:tcW w:w="4660" w:type="dxa"/>
            <w:vAlign w:val="bottom"/>
            <w:gridSpan w:val="2"/>
          </w:tcPr>
          <w:p>
            <w:pPr>
              <w:ind w:left="1540"/>
              <w:spacing w:after="0"/>
              <w:rPr>
                <w:sz w:val="20"/>
                <w:szCs w:val="20"/>
                <w:color w:val="auto"/>
              </w:rPr>
            </w:pPr>
            <w:r>
              <w:rPr>
                <w:rFonts w:ascii="Courier New" w:cs="Courier New" w:eastAsia="Courier New" w:hAnsi="Courier New"/>
                <w:sz w:val="12"/>
                <w:szCs w:val="12"/>
                <w:color w:val="auto"/>
              </w:rPr>
              <w:t>CONSOLIDATED STATEMENTS OF CASH FLOWS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4940" w:type="dxa"/>
            <w:vAlign w:val="bottom"/>
            <w:gridSpan w:val="3"/>
          </w:tcPr>
          <w:p>
            <w:pPr>
              <w:ind w:left="700"/>
              <w:spacing w:after="0"/>
              <w:rPr>
                <w:sz w:val="20"/>
                <w:szCs w:val="20"/>
                <w:color w:val="auto"/>
              </w:rPr>
            </w:pPr>
            <w:r>
              <w:rPr>
                <w:rFonts w:ascii="Courier New" w:cs="Courier New" w:eastAsia="Courier New" w:hAnsi="Courier New"/>
                <w:sz w:val="12"/>
                <w:szCs w:val="12"/>
                <w:color w:val="auto"/>
                <w:w w:val="97"/>
              </w:rPr>
              <w:t>(dollars in thousands, except share data and per share data)</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70"/>
        </w:trPr>
        <w:tc>
          <w:tcPr>
            <w:tcW w:w="3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YEAR ENDED DECEMBER 31,</w:t>
            </w: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920" w:type="dxa"/>
            <w:vAlign w:val="bottom"/>
            <w:gridSpan w:val="6"/>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2007</w:t>
            </w:r>
          </w:p>
        </w:tc>
        <w:tc>
          <w:tcPr>
            <w:tcW w:w="240" w:type="dxa"/>
            <w:vAlign w:val="bottom"/>
          </w:tcPr>
          <w:p>
            <w:pPr>
              <w:spacing w:after="0"/>
              <w:rPr>
                <w:sz w:val="11"/>
                <w:szCs w:val="11"/>
                <w:color w:val="auto"/>
              </w:rPr>
            </w:pPr>
          </w:p>
        </w:tc>
        <w:tc>
          <w:tcPr>
            <w:tcW w:w="7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2006</w:t>
            </w:r>
          </w:p>
        </w:tc>
        <w:tc>
          <w:tcPr>
            <w:tcW w:w="320" w:type="dxa"/>
            <w:vAlign w:val="bottom"/>
          </w:tcPr>
          <w:p>
            <w:pPr>
              <w:spacing w:after="0"/>
              <w:rPr>
                <w:sz w:val="11"/>
                <w:szCs w:val="11"/>
                <w:color w:val="auto"/>
              </w:rPr>
            </w:pPr>
          </w:p>
        </w:tc>
        <w:tc>
          <w:tcPr>
            <w:tcW w:w="6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2005</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CASH FLOWS - OPERATING ACTIVITIES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70"/>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LOSS FOR THE YEAR</w:t>
            </w: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$(134,196)</w:t>
            </w:r>
          </w:p>
        </w:tc>
        <w:tc>
          <w:tcPr>
            <w:tcW w:w="9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$(167,927)</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$(203,082)</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Adjustments to reconcile loss for the year</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466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TO NET CASH PROVIDED BY (USED IN) OPERATING ACTIVITIES: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466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INCOME AND EXPENSE ITEMS NOT INVOLVING CASH FLOWS: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620"/>
              <w:spacing w:after="0"/>
              <w:rPr>
                <w:sz w:val="20"/>
                <w:szCs w:val="20"/>
                <w:color w:val="auto"/>
              </w:rPr>
            </w:pPr>
            <w:r>
              <w:rPr>
                <w:rFonts w:ascii="Courier New" w:cs="Courier New" w:eastAsia="Courier New" w:hAnsi="Courier New"/>
                <w:sz w:val="12"/>
                <w:szCs w:val="12"/>
                <w:color w:val="auto"/>
              </w:rPr>
              <w:t>DEPRECIATION AND AMORTIZATION</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154,343</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171,743</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153,189</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466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EFFECT OF INDEXATION AND TRANSLATION ON DEBENTURES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6,227</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2,569</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(1,031)</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620"/>
              <w:spacing w:after="0"/>
              <w:rPr>
                <w:sz w:val="20"/>
                <w:szCs w:val="20"/>
                <w:color w:val="auto"/>
              </w:rPr>
            </w:pPr>
            <w:r>
              <w:rPr>
                <w:rFonts w:ascii="Courier New" w:cs="Courier New" w:eastAsia="Courier New" w:hAnsi="Courier New"/>
                <w:sz w:val="12"/>
                <w:szCs w:val="12"/>
                <w:color w:val="auto"/>
              </w:rPr>
              <w:t>WRITE DOWN OF CUSTOMER ADVANCE</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(9,747)</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620"/>
              <w:spacing w:after="0"/>
              <w:rPr>
                <w:sz w:val="20"/>
                <w:szCs w:val="20"/>
                <w:color w:val="auto"/>
              </w:rPr>
            </w:pPr>
            <w:r>
              <w:rPr>
                <w:rFonts w:ascii="Courier New" w:cs="Courier New" w:eastAsia="Courier New" w:hAnsi="Courier New"/>
                <w:sz w:val="12"/>
                <w:szCs w:val="12"/>
                <w:color w:val="auto"/>
              </w:rPr>
              <w:t>OTHER INCOME, NET</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(92)</w:t>
            </w:r>
          </w:p>
        </w:tc>
        <w:tc>
          <w:tcPr>
            <w:tcW w:w="24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(597)</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(2,383)</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480"/>
              <w:spacing w:after="0"/>
              <w:rPr>
                <w:sz w:val="20"/>
                <w:szCs w:val="20"/>
                <w:color w:val="auto"/>
              </w:rPr>
            </w:pPr>
            <w:r>
              <w:rPr>
                <w:rFonts w:ascii="Courier New" w:cs="Courier New" w:eastAsia="Courier New" w:hAnsi="Courier New"/>
                <w:sz w:val="12"/>
                <w:szCs w:val="12"/>
                <w:color w:val="auto"/>
              </w:rPr>
              <w:t>CHANGES IN ASSETS AND LIABILITIES: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466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DECREASE (INCREASE) IN TRADE ACCOUNTS RECEIVABLE</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(13,479)</w:t>
            </w:r>
          </w:p>
        </w:tc>
        <w:tc>
          <w:tcPr>
            <w:tcW w:w="24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(14,722)</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2,510</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554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DECREASE (INCREASE) IN OTHER RECEIVABLES AND OTHER CURRENT ASSETS</w:t>
            </w: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333</w:t>
            </w:r>
          </w:p>
        </w:tc>
        <w:tc>
          <w:tcPr>
            <w:tcW w:w="24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(2,662)</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1,988</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620"/>
              <w:spacing w:after="0"/>
              <w:rPr>
                <w:sz w:val="20"/>
                <w:szCs w:val="20"/>
                <w:color w:val="auto"/>
              </w:rPr>
            </w:pPr>
            <w:r>
              <w:rPr>
                <w:rFonts w:ascii="Courier New" w:cs="Courier New" w:eastAsia="Courier New" w:hAnsi="Courier New"/>
                <w:sz w:val="12"/>
                <w:szCs w:val="12"/>
                <w:color w:val="auto"/>
              </w:rPr>
              <w:t>DECREASE (INCREASE) IN INVENTORIES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459</w:t>
            </w:r>
          </w:p>
        </w:tc>
        <w:tc>
          <w:tcPr>
            <w:tcW w:w="24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(14,064)</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1,086</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466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INCREASE (DECREASE) IN TRADE ACCOUNTS PAYABLE</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15,435</w:t>
            </w:r>
          </w:p>
        </w:tc>
        <w:tc>
          <w:tcPr>
            <w:tcW w:w="24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(4,733)</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3,289</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466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INCREASE (DECREASE) IN OTHER CURRENT LIABILITIES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(1,363)</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6,551</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(1,839)</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466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INCREASE (DECREASE) IN OTHER LONG-TERM LIABILITIES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935</w:t>
            </w:r>
          </w:p>
        </w:tc>
        <w:tc>
          <w:tcPr>
            <w:tcW w:w="24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(3,285)</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(5,368)</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18,855</w:t>
            </w:r>
          </w:p>
        </w:tc>
        <w:tc>
          <w:tcPr>
            <w:tcW w:w="24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(27,127)</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w w:val="93"/>
              </w:rPr>
              <w:t>(51,641)</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466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DECREASE IN LONG-TERM CUSTOMERS' ADVANCES, NET</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(2,172)</w:t>
            </w:r>
          </w:p>
        </w:tc>
        <w:tc>
          <w:tcPr>
            <w:tcW w:w="24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(2,306)</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(760)</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4660" w:type="dxa"/>
            <w:vAlign w:val="bottom"/>
            <w:gridSpan w:val="2"/>
          </w:tcPr>
          <w:p>
            <w:pPr>
              <w:ind w:left="760"/>
              <w:spacing w:after="0"/>
              <w:rPr>
                <w:sz w:val="20"/>
                <w:szCs w:val="20"/>
                <w:color w:val="auto"/>
              </w:rPr>
            </w:pPr>
            <w:r>
              <w:rPr>
                <w:rFonts w:ascii="Courier New" w:cs="Courier New" w:eastAsia="Courier New" w:hAnsi="Courier New"/>
                <w:sz w:val="12"/>
                <w:szCs w:val="12"/>
                <w:color w:val="auto"/>
              </w:rPr>
              <w:t>NET CASH PROVIDED BY (USED IN) OPERATING ACTIVITIES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16,683</w:t>
            </w:r>
          </w:p>
        </w:tc>
        <w:tc>
          <w:tcPr>
            <w:tcW w:w="24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(29,433)</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w w:val="93"/>
              </w:rPr>
              <w:t>(52,401)</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CASH FLOWS - INVESTING ACTIVITIES</w:t>
            </w: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46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DECREASE IN DESIGNATED CASH, SHORT-TERM AND LONG-TERM</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35"/>
        </w:trPr>
        <w:tc>
          <w:tcPr>
            <w:tcW w:w="3640" w:type="dxa"/>
            <w:vAlign w:val="bottom"/>
          </w:tcPr>
          <w:p>
            <w:pPr>
              <w:ind w:left="420"/>
              <w:spacing w:after="0"/>
              <w:rPr>
                <w:sz w:val="20"/>
                <w:szCs w:val="20"/>
                <w:color w:val="auto"/>
              </w:rPr>
            </w:pPr>
            <w:r>
              <w:rPr>
                <w:rFonts w:ascii="Courier New" w:cs="Courier New" w:eastAsia="Courier New" w:hAnsi="Courier New"/>
                <w:sz w:val="12"/>
                <w:szCs w:val="12"/>
                <w:color w:val="auto"/>
              </w:rPr>
              <w:t>INTEREST-BEARING DEPOSITS, NET</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31,661</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27,266</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PROPERTY AND EQUIPMENT</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(107,485)</w:t>
            </w:r>
          </w:p>
        </w:tc>
        <w:tc>
          <w:tcPr>
            <w:tcW w:w="24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(161,187)</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w w:val="93"/>
              </w:rPr>
              <w:t>(47,215)</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INVESTMENT GRANTS RECEIVED</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1,654</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5,219</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7,496</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4660" w:type="dxa"/>
            <w:vAlign w:val="bottom"/>
            <w:gridSpan w:val="2"/>
          </w:tcPr>
          <w:p>
            <w:pPr>
              <w:ind w:left="200"/>
              <w:spacing w:after="0"/>
              <w:rPr>
                <w:sz w:val="20"/>
                <w:szCs w:val="20"/>
                <w:color w:val="auto"/>
              </w:rPr>
            </w:pPr>
            <w:r>
              <w:rPr>
                <w:rFonts w:ascii="Courier New" w:cs="Courier New" w:eastAsia="Courier New" w:hAnsi="Courier New"/>
                <w:sz w:val="12"/>
                <w:szCs w:val="12"/>
                <w:color w:val="auto"/>
                <w:w w:val="97"/>
              </w:rPr>
              <w:t>PROCEEDS RELATED TO SALE AND DISPOSAL OF PROPERTY AND EQUIPMENT</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108</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600</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2,179</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w w:val="96"/>
              </w:rPr>
              <w:t>INVESTMENTS IN OTHER ASSETS AND INTANGIBLE ASSETS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(1,547)</w:t>
            </w:r>
          </w:p>
        </w:tc>
        <w:tc>
          <w:tcPr>
            <w:tcW w:w="24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(5,074)</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(3,841)</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46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DECREASE (INCREASE) IN SHORT-TERM INTEREST-BEARING DEPOSITS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1,230</w:t>
            </w:r>
          </w:p>
        </w:tc>
        <w:tc>
          <w:tcPr>
            <w:tcW w:w="24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(1,230)</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LONG-TERM INVESTMENTS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(950)</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760"/>
              <w:spacing w:after="0"/>
              <w:rPr>
                <w:sz w:val="20"/>
                <w:szCs w:val="20"/>
                <w:color w:val="auto"/>
              </w:rPr>
            </w:pPr>
            <w:r>
              <w:rPr>
                <w:rFonts w:ascii="Courier New" w:cs="Courier New" w:eastAsia="Courier New" w:hAnsi="Courier New"/>
                <w:sz w:val="12"/>
                <w:szCs w:val="12"/>
                <w:color w:val="auto"/>
              </w:rPr>
              <w:t>NET CASH USED IN INVESTING ACTIVITIES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(106,990)</w:t>
            </w:r>
          </w:p>
        </w:tc>
        <w:tc>
          <w:tcPr>
            <w:tcW w:w="24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(130,011)</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w w:val="93"/>
              </w:rPr>
              <w:t>(14,115)</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CASH FLOWS - FINANCING ACTIVITIES</w:t>
            </w: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46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PROCEEDS FROM ISSUANCE OF DEBENTURES AND WARRANTS, NET</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50,690</w:t>
            </w:r>
          </w:p>
        </w:tc>
        <w:tc>
          <w:tcPr>
            <w:tcW w:w="240" w:type="dxa"/>
            <w:vAlign w:val="bottom"/>
          </w:tcPr>
          <w:p>
            <w:pPr>
              <w:spacing w:after="0"/>
              <w:rPr>
                <w:sz w:val="23"/>
                <w:szCs w:val="23"/>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58,766</w:t>
            </w:r>
          </w:p>
        </w:tc>
        <w:tc>
          <w:tcPr>
            <w:tcW w:w="32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25,086</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PROCEEDS FROM LONG-TERM LOANS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28,000</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18,295</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21,103</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466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PROCEEDS FROM ISSUANCE OF ORDINARY SHARES AND WARRANTS, NET</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26,534</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20,673</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PROCEEDS FROM EXERCISE OF WARRANTS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550</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PROCEEDS ON ACCOUNT OF CAPITAL NOTES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100,000</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REPAYMENT OF DEBENTURE</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(7,088)</w:t>
            </w:r>
          </w:p>
        </w:tc>
        <w:tc>
          <w:tcPr>
            <w:tcW w:w="24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(6,476)</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PROCEEDS FROM EXERCISE OF SHARE OPTIONS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227</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DEBTS REPAYMENT</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(3,230)</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760"/>
              <w:spacing w:after="0"/>
              <w:rPr>
                <w:sz w:val="20"/>
                <w:szCs w:val="20"/>
                <w:color w:val="auto"/>
              </w:rPr>
            </w:pPr>
            <w:r>
              <w:rPr>
                <w:rFonts w:ascii="Courier New" w:cs="Courier New" w:eastAsia="Courier New" w:hAnsi="Courier New"/>
                <w:sz w:val="12"/>
                <w:szCs w:val="12"/>
                <w:color w:val="auto"/>
                <w:w w:val="96"/>
              </w:rPr>
              <w:t>NET CASH PROVIDED BY FINANCING ACTIVITIES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95,133</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191,817</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46,189</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70"/>
        </w:trPr>
        <w:tc>
          <w:tcPr>
            <w:tcW w:w="466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INCREASE (DECREASE) IN CASH AND CASH EQUIVALENTS</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4,826</w:t>
            </w:r>
          </w:p>
        </w:tc>
        <w:tc>
          <w:tcPr>
            <w:tcW w:w="240" w:type="dxa"/>
            <w:vAlign w:val="bottom"/>
          </w:tcPr>
          <w:p>
            <w:pPr>
              <w:spacing w:after="0"/>
              <w:rPr>
                <w:sz w:val="23"/>
                <w:szCs w:val="23"/>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32,373</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w w:val="93"/>
              </w:rPr>
              <w:t>(20,327)</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CASH AND CASH EQUIVALENTS - BEGINNING OF YEAR</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39,710</w:t>
            </w:r>
          </w:p>
        </w:tc>
        <w:tc>
          <w:tcPr>
            <w:tcW w:w="24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7,337</w:t>
            </w:r>
          </w:p>
        </w:tc>
        <w:tc>
          <w:tcPr>
            <w:tcW w:w="320" w:type="dxa"/>
            <w:vAlign w:val="bottom"/>
          </w:tcPr>
          <w:p>
            <w:pPr>
              <w:spacing w:after="0"/>
              <w:rPr>
                <w:sz w:val="11"/>
                <w:szCs w:val="11"/>
                <w:color w:val="auto"/>
              </w:rPr>
            </w:pP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27,664</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70"/>
        </w:trPr>
        <w:tc>
          <w:tcPr>
            <w:tcW w:w="3640" w:type="dxa"/>
            <w:vAlign w:val="bottom"/>
          </w:tcPr>
          <w:p>
            <w:pPr>
              <w:ind w:left="480"/>
              <w:spacing w:after="0"/>
              <w:rPr>
                <w:sz w:val="20"/>
                <w:szCs w:val="20"/>
                <w:color w:val="auto"/>
              </w:rPr>
            </w:pPr>
            <w:r>
              <w:rPr>
                <w:rFonts w:ascii="Courier New" w:cs="Courier New" w:eastAsia="Courier New" w:hAnsi="Courier New"/>
                <w:sz w:val="12"/>
                <w:szCs w:val="12"/>
                <w:color w:val="auto"/>
              </w:rPr>
              <w:t>CASH AND CASH EQUIVALENTS - END OF YEAR</w:t>
            </w: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44,536</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39,710</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7,337</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NON-CASH ACTIVITIES</w:t>
            </w: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PROPERTY AND EQUIPMENT</w:t>
            </w: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17,982</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42,575</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12,792</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RELATED TO</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340"/>
              <w:spacing w:after="0"/>
              <w:rPr>
                <w:sz w:val="20"/>
                <w:szCs w:val="20"/>
                <w:color w:val="auto"/>
              </w:rPr>
            </w:pPr>
            <w:r>
              <w:rPr>
                <w:rFonts w:ascii="Courier New" w:cs="Courier New" w:eastAsia="Courier New" w:hAnsi="Courier New"/>
                <w:sz w:val="12"/>
                <w:szCs w:val="12"/>
                <w:color w:val="auto"/>
              </w:rPr>
              <w:t>THE FACILITY AGREEMENT WITH THE BANKS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4,146</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2,793</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(SEE NOTE 14B(5))</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1,331</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bl>
    <w:p>
      <w:pPr>
        <w:sectPr>
          <w:pgSz w:w="11900" w:h="16838" w:orient="portrait"/>
          <w:cols w:equalWidth="0" w:num="1">
            <w:col w:w="11300"/>
          </w:cols>
          <w:pgMar w:left="220" w:top="407" w:right="37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6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RELATED TO RIGHTS OFFERED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5620" w:type="dxa"/>
            <w:vAlign w:val="bottom"/>
          </w:tcPr>
          <w:p>
            <w:pPr>
              <w:ind w:left="340"/>
              <w:spacing w:after="0"/>
              <w:rPr>
                <w:sz w:val="20"/>
                <w:szCs w:val="20"/>
                <w:color w:val="auto"/>
              </w:rPr>
            </w:pPr>
            <w:r>
              <w:rPr>
                <w:rFonts w:ascii="Courier New" w:cs="Courier New" w:eastAsia="Courier New" w:hAnsi="Courier New"/>
                <w:sz w:val="12"/>
                <w:szCs w:val="12"/>
                <w:color w:val="auto"/>
              </w:rPr>
              <w:t>TO EMPLOYEES, (SEE NOTE 14I)</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448</w:t>
            </w:r>
          </w:p>
        </w:tc>
      </w:tr>
      <w:tr>
        <w:trPr>
          <w:trHeight w:val="135"/>
        </w:trPr>
        <w:tc>
          <w:tcPr>
            <w:tcW w:w="56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OTHER ASSETS</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433</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442</w:t>
            </w:r>
          </w:p>
        </w:tc>
      </w:tr>
      <w:tr>
        <w:trPr>
          <w:trHeight w:val="135"/>
        </w:trPr>
        <w:tc>
          <w:tcPr>
            <w:tcW w:w="56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CONVERSION OF LONG-TERM CUSTOMERS' ADVANCES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5620" w:type="dxa"/>
            <w:vAlign w:val="bottom"/>
          </w:tcPr>
          <w:p>
            <w:pPr>
              <w:ind w:left="340"/>
              <w:spacing w:after="0"/>
              <w:rPr>
                <w:sz w:val="20"/>
                <w:szCs w:val="20"/>
                <w:color w:val="auto"/>
              </w:rPr>
            </w:pPr>
            <w:r>
              <w:rPr>
                <w:rFonts w:ascii="Courier New" w:cs="Courier New" w:eastAsia="Courier New" w:hAnsi="Courier New"/>
                <w:sz w:val="12"/>
                <w:szCs w:val="12"/>
                <w:color w:val="auto"/>
              </w:rPr>
              <w:t>TO SHARE CAPITAL</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6,414</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7,621</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1,794</w:t>
            </w:r>
          </w:p>
        </w:tc>
      </w:tr>
      <w:tr>
        <w:trPr>
          <w:trHeight w:val="135"/>
        </w:trPr>
        <w:tc>
          <w:tcPr>
            <w:tcW w:w="56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CONVERSION OF CONVERTIBLE DEBENTURES TO SHARES CAPITAL</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816</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19,330</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w w:val="99"/>
              </w:rPr>
              <w:t>CUMULATIVE EFFECT ADJUSTMENT OF THE FACILITY AGREEMENT TO RETAINED EARNINGS</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65,207</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RECLASSIFICATION OF BIFURCATED CONVERSION OPTION TO SHAREHOLDERS' EQUITY</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28,377</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CONVERSION OF LONG TERM DEBT TO CAPITAL NOTES</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76,401</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5620" w:type="dxa"/>
            <w:vAlign w:val="bottom"/>
          </w:tcPr>
          <w:p>
            <w:pPr>
              <w:spacing w:after="0"/>
              <w:rPr>
                <w:sz w:val="20"/>
                <w:szCs w:val="20"/>
                <w:color w:val="auto"/>
              </w:rPr>
            </w:pPr>
            <w:r>
              <w:rPr>
                <w:rFonts w:ascii="Courier New" w:cs="Courier New" w:eastAsia="Courier New" w:hAnsi="Courier New"/>
                <w:sz w:val="12"/>
                <w:szCs w:val="12"/>
                <w:color w:val="auto"/>
              </w:rPr>
              <w:t>SUPPLEMENTAL DISCLOSURE OF CASH FLOW INFORMATION</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0"/>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CASH PAID DURING THE YEAR FOR INTEREST</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28,831</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35,008</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32,805</w:t>
            </w:r>
          </w:p>
        </w:tc>
      </w:tr>
      <w:tr>
        <w:trPr>
          <w:trHeight w:val="135"/>
        </w:trPr>
        <w:tc>
          <w:tcPr>
            <w:tcW w:w="56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CASH PAID DURING THE YEAR FOR INCOME TAXES</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55</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134</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86</w:t>
            </w:r>
          </w:p>
        </w:tc>
      </w:tr>
      <w:tr>
        <w:trPr>
          <w:trHeight w:val="135"/>
        </w:trPr>
        <w:tc>
          <w:tcPr>
            <w:tcW w:w="56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DESCRIPTION OF BUSINESS AND GENERAL</w:t>
      </w:r>
    </w:p>
    <w:p>
      <w:pPr>
        <w:spacing w:after="0" w:line="139" w:lineRule="exact"/>
        <w:rPr>
          <w:sz w:val="20"/>
          <w:szCs w:val="20"/>
          <w:color w:val="auto"/>
        </w:rPr>
      </w:pPr>
    </w:p>
    <w:p>
      <w:pPr>
        <w:ind w:left="340" w:right="4619"/>
        <w:spacing w:after="0" w:line="238" w:lineRule="auto"/>
        <w:rPr>
          <w:sz w:val="20"/>
          <w:szCs w:val="20"/>
          <w:color w:val="auto"/>
        </w:rPr>
      </w:pPr>
      <w:r>
        <w:rPr>
          <w:rFonts w:ascii="Courier New" w:cs="Courier New" w:eastAsia="Courier New" w:hAnsi="Courier New"/>
          <w:sz w:val="12"/>
          <w:szCs w:val="12"/>
          <w:color w:val="auto"/>
        </w:rPr>
        <w:t>Tower Semiconductor Ltd. ("the Company"), incorporated in Israel, commenced operations in 1993. The Company is an independent wafer foundry that delivers customized solutions in a variety of advanced complementary metal oxide semiconductor (CMOS) technologies, including digital CMOS, mixed-signal and RF (radio frequency) CMOS, CMOS image sensors and power management devices. The Company manufactures integrated circuits in geometries ranging between 1.0 and 0.35 microns at its 150-millimeter fabrication facility ("Fab 1"), and in geometries ranging between 0.18 and 0.13 microns at its 200-millimeter fabrication facility ("Fab 2"). As a foundry, the Company manufactures wafers using its advanced technological capabilities and the proprietary integrated circuit designs of its customers.</w:t>
      </w:r>
    </w:p>
    <w:p>
      <w:pPr>
        <w:spacing w:after="0" w:line="139" w:lineRule="exact"/>
        <w:rPr>
          <w:sz w:val="20"/>
          <w:szCs w:val="20"/>
          <w:color w:val="auto"/>
        </w:rPr>
      </w:pPr>
    </w:p>
    <w:p>
      <w:pPr>
        <w:ind w:left="340" w:right="4619"/>
        <w:spacing w:after="0" w:line="237" w:lineRule="auto"/>
        <w:rPr>
          <w:sz w:val="20"/>
          <w:szCs w:val="20"/>
          <w:color w:val="auto"/>
        </w:rPr>
      </w:pPr>
      <w:r>
        <w:rPr>
          <w:rFonts w:ascii="Courier New" w:cs="Courier New" w:eastAsia="Courier New" w:hAnsi="Courier New"/>
          <w:sz w:val="12"/>
          <w:szCs w:val="12"/>
          <w:color w:val="auto"/>
        </w:rPr>
        <w:t>The industry in which the Company operates is characterized by wide fluctuations in supply and demand. Such industry is also characterized by the complexity and sensitivity of the manufacturing process, by high levels of fixed costs, and by the need for constant advancements in production technology.</w:t>
      </w:r>
    </w:p>
    <w:p>
      <w:pPr>
        <w:spacing w:after="0" w:line="139" w:lineRule="exact"/>
        <w:rPr>
          <w:sz w:val="20"/>
          <w:szCs w:val="20"/>
          <w:color w:val="auto"/>
        </w:rPr>
      </w:pPr>
    </w:p>
    <w:p>
      <w:pPr>
        <w:ind w:left="340" w:right="4619"/>
        <w:spacing w:after="0" w:line="235" w:lineRule="auto"/>
        <w:rPr>
          <w:sz w:val="20"/>
          <w:szCs w:val="20"/>
          <w:color w:val="auto"/>
        </w:rPr>
      </w:pPr>
      <w:r>
        <w:rPr>
          <w:rFonts w:ascii="Courier New" w:cs="Courier New" w:eastAsia="Courier New" w:hAnsi="Courier New"/>
          <w:sz w:val="12"/>
          <w:szCs w:val="12"/>
          <w:color w:val="auto"/>
        </w:rPr>
        <w:t>The Company's Ordinary Shares are traded on the NASDAQ Global Market and on the Tel-Aviv Stock Exchange.</w:t>
      </w:r>
    </w:p>
    <w:p>
      <w:pPr>
        <w:spacing w:after="0" w:line="139" w:lineRule="exact"/>
        <w:rPr>
          <w:sz w:val="20"/>
          <w:szCs w:val="20"/>
          <w:color w:val="auto"/>
        </w:rPr>
      </w:pPr>
    </w:p>
    <w:p>
      <w:pPr>
        <w:ind w:left="340" w:right="4619"/>
        <w:spacing w:after="0" w:line="237" w:lineRule="auto"/>
        <w:rPr>
          <w:sz w:val="20"/>
          <w:szCs w:val="20"/>
          <w:color w:val="auto"/>
        </w:rPr>
      </w:pPr>
      <w:r>
        <w:rPr>
          <w:rFonts w:ascii="Courier New" w:cs="Courier New" w:eastAsia="Courier New" w:hAnsi="Courier New"/>
          <w:sz w:val="12"/>
          <w:szCs w:val="12"/>
          <w:color w:val="auto"/>
        </w:rPr>
        <w:t>In recent years, the Company has experienced significant recurring losses, recurring negative cash flows from operating activities and an increasing accumulated deficit. The Company is working in various ways to mitigate its financial difficulties. Since the second half of 2005, the Company increased its customer base, mainly in Fab 2, modified its organizational structure to better address its customers and its market positioning, increased its sales and its EBITDA, reduced its losses, increased its capacity level, utilization rates, raised funds and restructured its bank debt. See also Note 9B and Notes 14I-M.</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w:t>
      </w:r>
    </w:p>
    <w:p>
      <w:pPr>
        <w:spacing w:after="0" w:line="139" w:lineRule="exact"/>
        <w:rPr>
          <w:sz w:val="20"/>
          <w:szCs w:val="20"/>
          <w:color w:val="auto"/>
        </w:rPr>
      </w:pPr>
    </w:p>
    <w:p>
      <w:pPr>
        <w:ind w:left="340" w:right="4619"/>
        <w:spacing w:after="0" w:line="237" w:lineRule="auto"/>
        <w:rPr>
          <w:sz w:val="20"/>
          <w:szCs w:val="20"/>
          <w:color w:val="auto"/>
        </w:rPr>
      </w:pPr>
      <w:r>
        <w:rPr>
          <w:rFonts w:ascii="Courier New" w:cs="Courier New" w:eastAsia="Courier New" w:hAnsi="Courier New"/>
          <w:sz w:val="12"/>
          <w:szCs w:val="12"/>
          <w:color w:val="auto"/>
        </w:rPr>
        <w:t>The Company's consolidated financial statements are presented in accordance with U.S. generally accepted accounting principles ("US GAAP"). The Company recasted the comparative amounts included in this financial statements to US GAAP. In prior years the Company prepared its financial reports in accordance with generally accepted accounting principles in Israel. ("IL GAAP") and provided reconciliation to US GAAP in the notes to the financial statements.</w:t>
      </w:r>
    </w:p>
    <w:p>
      <w:pPr>
        <w:spacing w:after="0" w:line="137" w:lineRule="exact"/>
        <w:rPr>
          <w:sz w:val="20"/>
          <w:szCs w:val="20"/>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USE OF ESTIMATES IN PREPARATION OF FINANCIAL STATEMENTS</w:t>
      </w:r>
    </w:p>
    <w:p>
      <w:pPr>
        <w:spacing w:after="0" w:line="138"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13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PRINCIPLES OF CONSOLIDATION</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consolidated financial statements include the financial statements of the Company and its wholly-owned marketing subsidiary in the United States, after elimination of material inter-company transactions and balances. The effect of the subsidiary's operations on the Company's revenues, net loss and total assets was immaterial for the dates and periods presented.</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CASH AND CASH EQUIVALENTS</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Cash and cash equivalents consist of banks deposits and short-term investments (primarily time deposits and certificates of deposit) with original maturities of three months or less.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ALLOWANCE FOR DOUBTFUL ACCOUNTS</w:t>
      </w:r>
    </w:p>
    <w:p>
      <w:pPr>
        <w:spacing w:after="0" w:line="138" w:lineRule="exact"/>
        <w:rPr>
          <w:rFonts w:ascii="Courier New" w:cs="Courier New" w:eastAsia="Courier New" w:hAnsi="Courier New"/>
          <w:sz w:val="12"/>
          <w:szCs w:val="12"/>
          <w:color w:val="auto"/>
        </w:rPr>
      </w:pPr>
    </w:p>
    <w:p>
      <w:pPr>
        <w:ind w:left="700" w:right="51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allowance for doubtful accounts is computed on the specific identification basis for accounts whose collectibility, in management's estimation, is uncertain.</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INVENTORIES</w:t>
      </w:r>
    </w:p>
    <w:p>
      <w:pPr>
        <w:sectPr>
          <w:pgSz w:w="11900" w:h="16838" w:orient="portrait"/>
          <w:cols w:equalWidth="0" w:num="1">
            <w:col w:w="10239"/>
          </w:cols>
          <w:pgMar w:left="220" w:top="137" w:right="1440" w:bottom="0" w:gutter="0" w:footer="0" w:header="0"/>
        </w:sectPr>
      </w:pPr>
    </w:p>
    <w:bookmarkStart w:id="5" w:name="page6"/>
    <w:bookmarkEnd w:id="5"/>
    <w:p>
      <w:pPr>
        <w:ind w:left="700"/>
        <w:spacing w:after="0"/>
        <w:rPr>
          <w:sz w:val="20"/>
          <w:szCs w:val="20"/>
          <w:color w:val="auto"/>
        </w:rPr>
      </w:pPr>
      <w:r>
        <w:rPr>
          <w:rFonts w:ascii="Courier New" w:cs="Courier New" w:eastAsia="Courier New" w:hAnsi="Courier New"/>
          <w:sz w:val="12"/>
          <w:szCs w:val="12"/>
          <w:color w:val="auto"/>
        </w:rPr>
        <w:t>Inventories are stated at the lower of cost or market. Cost is</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determined for raw materials and supplies on the basis of the weighted</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moving average cost per unit. Cost is determined for work in process</w:t>
      </w:r>
    </w:p>
    <w:p>
      <w:pPr>
        <w:ind w:left="700"/>
        <w:spacing w:after="0"/>
        <w:rPr>
          <w:sz w:val="20"/>
          <w:szCs w:val="20"/>
          <w:color w:val="auto"/>
        </w:rPr>
      </w:pPr>
      <w:r>
        <w:rPr>
          <w:rFonts w:ascii="Courier New" w:cs="Courier New" w:eastAsia="Courier New" w:hAnsi="Courier New"/>
          <w:sz w:val="12"/>
          <w:szCs w:val="12"/>
          <w:color w:val="auto"/>
        </w:rPr>
        <w:t>and finished goods on the basis of actual production costs.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PROPERTY AND EQUIPMENT</w:t>
      </w:r>
    </w:p>
    <w:p>
      <w:pPr>
        <w:spacing w:after="0" w:line="138" w:lineRule="exact"/>
        <w:rPr>
          <w:rFonts w:ascii="Courier New" w:cs="Courier New" w:eastAsia="Courier New" w:hAnsi="Courier New"/>
          <w:sz w:val="12"/>
          <w:szCs w:val="12"/>
          <w:color w:val="auto"/>
        </w:rPr>
      </w:pPr>
    </w:p>
    <w:p>
      <w:pPr>
        <w:ind w:left="1040" w:right="4619" w:hanging="345"/>
        <w:spacing w:after="0" w:line="238" w:lineRule="auto"/>
        <w:tabs>
          <w:tab w:leader="none" w:pos="1040"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Property and equipment are presented at cost, including financing expenses and other capitalizable costs. Capitalizable costs include only incremental direct costs that are identifiable with, and related to, the property and equipment and are incurred prior to its initial operation. Identifiable incremental direct costs include costs associated with the funding, acquiring, constructing, establishing and installing property and equipment (whether performed by others or by the Company), and costs directly related to preproduction test runs of property and equipment that are necessary to get it ready for its intended use. Those costs include payroll and payroll-related costs of employees who devote time and are dedicated to the acquiring, constructing, establishing and installing of property and equipment. Allocation, when appropriate, of capitalizable incremental direct costs is based on management's estimates and methodologies including time sheet inputs.</w:t>
      </w:r>
    </w:p>
    <w:p>
      <w:pPr>
        <w:spacing w:after="0" w:line="139" w:lineRule="exact"/>
        <w:rPr>
          <w:rFonts w:ascii="Courier New" w:cs="Courier New" w:eastAsia="Courier New" w:hAnsi="Courier New"/>
          <w:sz w:val="12"/>
          <w:szCs w:val="12"/>
          <w:color w:val="auto"/>
        </w:rPr>
      </w:pPr>
    </w:p>
    <w:p>
      <w:pPr>
        <w:ind w:left="1040" w:right="469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Cost is presented net of investment grants received or receivable, and less accumulated depreciation and amortization. The accrual for grants receivable is determined based on qualified investments made during the reporting period, provided that the primary criteria for entitlement have been met.</w:t>
      </w:r>
    </w:p>
    <w:p>
      <w:pPr>
        <w:spacing w:after="0" w:line="127" w:lineRule="exact"/>
        <w:rPr>
          <w:rFonts w:ascii="Courier New" w:cs="Courier New" w:eastAsia="Courier New" w:hAnsi="Courier New"/>
          <w:sz w:val="12"/>
          <w:szCs w:val="12"/>
          <w:color w:val="auto"/>
        </w:rPr>
      </w:pPr>
    </w:p>
    <w:p>
      <w:pPr>
        <w:ind w:left="104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During the second quarter of 2007, the Company reassessed the estimated useful lives of its machinery and equipment and as a result, effective as of April 1, 2007, machinery and equipment is to be depreciated over estimated useful lives of 7 years rather than 5 years as estimated prior to such date. The change reflects the Company's best estimate of the useful lives of its equipment and is also based on experience accumulated from Fab 1 and on recent trends in industry practices. The Company believes that the change better reflects the economics associated with the ownership of the equipment. This change has been accounted for as a change in estimate and was applied prospectively. For the effect of this change, see Note 6A.</w:t>
      </w:r>
    </w:p>
    <w:p>
      <w:pPr>
        <w:spacing w:after="0" w:line="139"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Depreciation is calculated based on the straight-line method over</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estimated economic lives commonly used in the industry of the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assets or terms of the related leases, as follows:</w:t>
      </w:r>
    </w:p>
    <w:p>
      <w:pPr>
        <w:spacing w:after="0" w:line="134" w:lineRule="exact"/>
        <w:rPr>
          <w:sz w:val="20"/>
          <w:szCs w:val="20"/>
          <w:color w:val="auto"/>
        </w:rPr>
      </w:pPr>
    </w:p>
    <w:tbl>
      <w:tblPr>
        <w:tblLayout w:type="fixed"/>
        <w:tblInd w:w="1040" w:type="dxa"/>
        <w:tblCellMar>
          <w:top w:w="0" w:type="dxa"/>
          <w:left w:w="0" w:type="dxa"/>
          <w:bottom w:w="0" w:type="dxa"/>
          <w:right w:w="0" w:type="dxa"/>
        </w:tblCellMar>
      </w:tblPr>
      <w:tr>
        <w:trPr>
          <w:trHeight w:val="136"/>
        </w:trPr>
        <w:tc>
          <w:tcPr>
            <w:tcW w:w="3300" w:type="dxa"/>
            <w:vAlign w:val="bottom"/>
          </w:tcPr>
          <w:p>
            <w:pPr>
              <w:spacing w:after="0"/>
              <w:rPr>
                <w:sz w:val="20"/>
                <w:szCs w:val="20"/>
                <w:color w:val="auto"/>
              </w:rPr>
            </w:pPr>
            <w:r>
              <w:rPr>
                <w:rFonts w:ascii="Courier New" w:cs="Courier New" w:eastAsia="Courier New" w:hAnsi="Courier New"/>
                <w:sz w:val="12"/>
                <w:szCs w:val="12"/>
                <w:color w:val="auto"/>
              </w:rPr>
              <w:t>Building (including facility infrastructure)</w:t>
            </w:r>
          </w:p>
        </w:tc>
        <w:tc>
          <w:tcPr>
            <w:tcW w:w="100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95"/>
              </w:rPr>
              <w:t>14-25 years</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Machinery and equipment</w:t>
            </w:r>
          </w:p>
        </w:tc>
        <w:tc>
          <w:tcPr>
            <w:tcW w:w="320" w:type="dxa"/>
            <w:vAlign w:val="bottom"/>
          </w:tcPr>
          <w:p>
            <w:pPr>
              <w:ind w:left="220"/>
              <w:spacing w:after="0"/>
              <w:rPr>
                <w:sz w:val="20"/>
                <w:szCs w:val="20"/>
                <w:color w:val="auto"/>
              </w:rPr>
            </w:pPr>
            <w:r>
              <w:rPr>
                <w:rFonts w:ascii="Courier New" w:cs="Courier New" w:eastAsia="Courier New" w:hAnsi="Courier New"/>
                <w:sz w:val="12"/>
                <w:szCs w:val="12"/>
                <w:color w:val="auto"/>
              </w:rPr>
              <w:t>7</w:t>
            </w:r>
          </w:p>
        </w:tc>
        <w:tc>
          <w:tcPr>
            <w:tcW w:w="680" w:type="dxa"/>
            <w:vAlign w:val="bottom"/>
          </w:tcPr>
          <w:p>
            <w:pPr>
              <w:ind w:left="40"/>
              <w:spacing w:after="0"/>
              <w:rPr>
                <w:sz w:val="20"/>
                <w:szCs w:val="20"/>
                <w:color w:val="auto"/>
              </w:rPr>
            </w:pPr>
            <w:r>
              <w:rPr>
                <w:rFonts w:ascii="Courier New" w:cs="Courier New" w:eastAsia="Courier New" w:hAnsi="Courier New"/>
                <w:sz w:val="12"/>
                <w:szCs w:val="12"/>
                <w:color w:val="auto"/>
                <w:w w:val="95"/>
              </w:rPr>
              <w:t>years (*)</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Transportation vehicles</w:t>
            </w:r>
          </w:p>
        </w:tc>
        <w:tc>
          <w:tcPr>
            <w:tcW w:w="320" w:type="dxa"/>
            <w:vAlign w:val="bottom"/>
          </w:tcPr>
          <w:p>
            <w:pPr>
              <w:ind w:left="220"/>
              <w:spacing w:after="0"/>
              <w:rPr>
                <w:sz w:val="20"/>
                <w:szCs w:val="20"/>
                <w:color w:val="auto"/>
              </w:rPr>
            </w:pPr>
            <w:r>
              <w:rPr>
                <w:rFonts w:ascii="Courier New" w:cs="Courier New" w:eastAsia="Courier New" w:hAnsi="Courier New"/>
                <w:sz w:val="12"/>
                <w:szCs w:val="12"/>
                <w:color w:val="auto"/>
              </w:rPr>
              <w:t>7</w:t>
            </w:r>
          </w:p>
        </w:tc>
        <w:tc>
          <w:tcPr>
            <w:tcW w:w="680" w:type="dxa"/>
            <w:vAlign w:val="bottom"/>
          </w:tcPr>
          <w:p>
            <w:pPr>
              <w:ind w:left="40"/>
              <w:spacing w:after="0"/>
              <w:rPr>
                <w:sz w:val="20"/>
                <w:szCs w:val="20"/>
                <w:color w:val="auto"/>
              </w:rPr>
            </w:pPr>
            <w:r>
              <w:rPr>
                <w:rFonts w:ascii="Courier New" w:cs="Courier New" w:eastAsia="Courier New" w:hAnsi="Courier New"/>
                <w:sz w:val="12"/>
                <w:szCs w:val="12"/>
                <w:color w:val="auto"/>
              </w:rPr>
              <w:t>years</w:t>
            </w:r>
          </w:p>
        </w:tc>
      </w:tr>
    </w:tbl>
    <w:p>
      <w:pPr>
        <w:spacing w:after="0" w:line="134" w:lineRule="exact"/>
        <w:rPr>
          <w:sz w:val="20"/>
          <w:szCs w:val="20"/>
          <w:color w:val="auto"/>
        </w:rPr>
      </w:pPr>
    </w:p>
    <w:p>
      <w:pPr>
        <w:ind w:left="1320" w:hanging="274"/>
        <w:spacing w:after="0"/>
        <w:tabs>
          <w:tab w:leader="none" w:pos="1320" w:val="left"/>
        </w:tabs>
        <w:numPr>
          <w:ilvl w:val="1"/>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5 years through March 31, 2007.</w:t>
      </w:r>
    </w:p>
    <w:p>
      <w:pPr>
        <w:spacing w:after="0" w:line="138" w:lineRule="exact"/>
        <w:rPr>
          <w:rFonts w:ascii="Courier New" w:cs="Courier New" w:eastAsia="Courier New" w:hAnsi="Courier New"/>
          <w:sz w:val="12"/>
          <w:szCs w:val="12"/>
          <w:color w:val="auto"/>
        </w:rPr>
      </w:pPr>
    </w:p>
    <w:p>
      <w:pPr>
        <w:ind w:left="1040" w:right="4839" w:hanging="345"/>
        <w:spacing w:after="0" w:line="273" w:lineRule="auto"/>
        <w:tabs>
          <w:tab w:leader="none" w:pos="1040"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Impairment examinations and recognition are performed and determined based on the accounting policy outlined in Q below.</w:t>
      </w:r>
    </w:p>
    <w:p>
      <w:pPr>
        <w:spacing w:after="0" w:line="25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- 8</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INTANGIBLE ASSETS</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TECHNOLOGY - The cost of Fab 2 technologies includes the technology process cost and incremental direct costs associated with implementing the technologies until the technologies are ready for their intended use. The costs in relation to Fab 2 technologies are amortized over the expected estimated economic life of the technologies, commonly used in the industry. Amortization phases commence on the dates on which each of the Fab 2 manufacturing lines is ready for its intended use. The technologies are presented net of accumulated amortization as of December 31, 2007 and 2006 in the amounts of $63,911 and $53,741.</w:t>
      </w:r>
    </w:p>
    <w:p>
      <w:pPr>
        <w:spacing w:after="0" w:line="131" w:lineRule="exact"/>
        <w:rPr>
          <w:rFonts w:ascii="Courier New" w:cs="Courier New" w:eastAsia="Courier New" w:hAnsi="Courier New"/>
          <w:sz w:val="12"/>
          <w:szCs w:val="12"/>
          <w:color w:val="auto"/>
        </w:rPr>
      </w:pPr>
    </w:p>
    <w:p>
      <w:pPr>
        <w:ind w:left="700" w:right="47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Impairment examinations and recognition are performed and determined based on the accounting policy outlined in Q below.</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ASSETS</w:t>
      </w:r>
    </w:p>
    <w:p>
      <w:pPr>
        <w:spacing w:after="0" w:line="134"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DEFERRED FINANCING CHARGES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Deferred financing charges in relation to funding the ramp-up of Fab 2 are amortized over the lives of the borrowings as an adjustment to the yield using the effective interest method. During the ramp up period of Fab 2, amortized deferred financing charges are capitalized to property and equipment.</w:t>
      </w:r>
    </w:p>
    <w:p>
      <w:pPr>
        <w:spacing w:after="0" w:line="135"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PREPAID LONG-TERM LAND LEASE</w:t>
      </w:r>
    </w:p>
    <w:p>
      <w:pPr>
        <w:spacing w:after="0" w:line="138" w:lineRule="exact"/>
        <w:rPr>
          <w:rFonts w:ascii="Courier New" w:cs="Courier New" w:eastAsia="Courier New" w:hAnsi="Courier New"/>
          <w:sz w:val="12"/>
          <w:szCs w:val="12"/>
          <w:color w:val="auto"/>
        </w:rPr>
      </w:pPr>
    </w:p>
    <w:p>
      <w:pPr>
        <w:ind w:left="700" w:right="48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Prepaid lease payments to the Israel Land Administration ("ILA") as detailed in Notes 13A(8) and 13C are amortized during the lease period.</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CONVERTIBLE DEBENTURES</w:t>
      </w:r>
    </w:p>
    <w:p>
      <w:pPr>
        <w:spacing w:after="0" w:line="138" w:lineRule="exact"/>
        <w:rPr>
          <w:rFonts w:ascii="Courier New" w:cs="Courier New" w:eastAsia="Courier New" w:hAnsi="Courier New"/>
          <w:sz w:val="12"/>
          <w:szCs w:val="12"/>
          <w:color w:val="auto"/>
        </w:rPr>
      </w:pPr>
    </w:p>
    <w:p>
      <w:pPr>
        <w:ind w:left="700" w:right="50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Accounting Principles Board Opinion No. 14 ("APB 14"), the proceeds from the sale of the securities are allocated to each security issued based on their relative fair value.</w:t>
      </w:r>
    </w:p>
    <w:p>
      <w:pPr>
        <w:spacing w:after="0" w:line="139"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SFAS 133 generally provides three criteria that, if met, require companies to bifurcate conversion options from their host instruments and account for them as free standing derivative financial instruments. These three criteria are (a) the economic characteristics and risks of the embedded derivative instrument are not clearly and closely related to the economic characteristics and risks of the host contract, (b) the hybrid instrument that embodies both the embedded</w:t>
      </w:r>
    </w:p>
    <w:p>
      <w:pPr>
        <w:sectPr>
          <w:pgSz w:w="11900" w:h="16838" w:orient="portrait"/>
          <w:cols w:equalWidth="0" w:num="1">
            <w:col w:w="10239"/>
          </w:cols>
          <w:pgMar w:left="220" w:top="137" w:right="1440" w:bottom="0" w:gutter="0" w:footer="0" w:header="0"/>
        </w:sectPr>
      </w:pPr>
    </w:p>
    <w:bookmarkStart w:id="6" w:name="page7"/>
    <w:bookmarkEnd w:id="6"/>
    <w:p>
      <w:pPr>
        <w:ind w:left="700"/>
        <w:spacing w:after="0"/>
        <w:rPr>
          <w:sz w:val="20"/>
          <w:szCs w:val="20"/>
          <w:color w:val="auto"/>
        </w:rPr>
      </w:pPr>
      <w:r>
        <w:rPr>
          <w:rFonts w:ascii="Courier New" w:cs="Courier New" w:eastAsia="Courier New" w:hAnsi="Courier New"/>
          <w:sz w:val="11"/>
          <w:szCs w:val="11"/>
          <w:color w:val="auto"/>
        </w:rPr>
        <w:t>derivative instrument and the host contract is not remeasured at fair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value under otherwise applicable generally accepted accounting</w:t>
      </w:r>
    </w:p>
    <w:p>
      <w:pPr>
        <w:ind w:left="700"/>
        <w:spacing w:after="0"/>
        <w:rPr>
          <w:sz w:val="20"/>
          <w:szCs w:val="20"/>
          <w:color w:val="auto"/>
        </w:rPr>
      </w:pPr>
      <w:r>
        <w:rPr>
          <w:rFonts w:ascii="Courier New" w:cs="Courier New" w:eastAsia="Courier New" w:hAnsi="Courier New"/>
          <w:sz w:val="12"/>
          <w:szCs w:val="12"/>
          <w:color w:val="auto"/>
        </w:rPr>
        <w:t>principles with changes in fair value reported in earnings and (c) a</w:t>
      </w:r>
    </w:p>
    <w:p>
      <w:pPr>
        <w:ind w:left="700"/>
        <w:spacing w:after="0" w:line="237" w:lineRule="auto"/>
        <w:rPr>
          <w:sz w:val="20"/>
          <w:szCs w:val="20"/>
          <w:color w:val="auto"/>
        </w:rPr>
      </w:pPr>
      <w:r>
        <w:rPr>
          <w:rFonts w:ascii="Courier New" w:cs="Courier New" w:eastAsia="Courier New" w:hAnsi="Courier New"/>
          <w:sz w:val="12"/>
          <w:szCs w:val="12"/>
          <w:color w:val="auto"/>
        </w:rPr>
        <w:t>separate instrument with the same terms as the embedded derivative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instrument would be considered a derivative instrument subject to the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requirements of SFAS 133. One scope exception provided by SFAS 133 and</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relevant to convertibles is when the embedded conversion feature is</w:t>
      </w:r>
    </w:p>
    <w:p>
      <w:pPr>
        <w:ind w:left="700"/>
        <w:spacing w:after="0"/>
        <w:rPr>
          <w:sz w:val="20"/>
          <w:szCs w:val="20"/>
          <w:color w:val="auto"/>
        </w:rPr>
      </w:pPr>
      <w:r>
        <w:rPr>
          <w:rFonts w:ascii="Courier New" w:cs="Courier New" w:eastAsia="Courier New" w:hAnsi="Courier New"/>
          <w:sz w:val="12"/>
          <w:szCs w:val="12"/>
          <w:color w:val="auto"/>
        </w:rPr>
        <w:t>both indexed to and classified in the Company's equity based on the</w:t>
      </w:r>
    </w:p>
    <w:p>
      <w:pPr>
        <w:ind w:left="700"/>
        <w:spacing w:after="0" w:line="237" w:lineRule="auto"/>
        <w:rPr>
          <w:sz w:val="20"/>
          <w:szCs w:val="20"/>
          <w:color w:val="auto"/>
        </w:rPr>
      </w:pPr>
      <w:r>
        <w:rPr>
          <w:rFonts w:ascii="Courier New" w:cs="Courier New" w:eastAsia="Courier New" w:hAnsi="Courier New"/>
          <w:sz w:val="12"/>
          <w:szCs w:val="12"/>
          <w:color w:val="auto"/>
        </w:rPr>
        <w:t>criteria established in EITF 00-19 and other EITF's. Financing costs</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are generally expensed as incurred unless directly related to the new</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ramp-up of equipment. In such case the costs are capitalized to</w:t>
      </w:r>
    </w:p>
    <w:p>
      <w:pPr>
        <w:ind w:left="700"/>
        <w:spacing w:after="0"/>
        <w:rPr>
          <w:sz w:val="20"/>
          <w:szCs w:val="20"/>
          <w:color w:val="auto"/>
        </w:rPr>
      </w:pPr>
      <w:r>
        <w:rPr>
          <w:rFonts w:ascii="Courier New" w:cs="Courier New" w:eastAsia="Courier New" w:hAnsi="Courier New"/>
          <w:sz w:val="12"/>
          <w:szCs w:val="12"/>
          <w:color w:val="auto"/>
        </w:rPr>
        <w:t>property and equipment during the installation period until the</w:t>
      </w:r>
    </w:p>
    <w:p>
      <w:pPr>
        <w:ind w:left="700"/>
        <w:spacing w:after="0" w:line="237" w:lineRule="auto"/>
        <w:rPr>
          <w:sz w:val="20"/>
          <w:szCs w:val="20"/>
          <w:color w:val="auto"/>
        </w:rPr>
      </w:pPr>
      <w:r>
        <w:rPr>
          <w:rFonts w:ascii="Courier New" w:cs="Courier New" w:eastAsia="Courier New" w:hAnsi="Courier New"/>
          <w:sz w:val="12"/>
          <w:szCs w:val="12"/>
          <w:color w:val="auto"/>
        </w:rPr>
        <w:t>equipment ready for its intended use.</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INCOME TAXES</w:t>
      </w:r>
    </w:p>
    <w:p>
      <w:pPr>
        <w:spacing w:after="0" w:line="138"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 accounts for income taxes in accordance with SFAS No. 109, "Accounting for Income Taxes" ("SFAS No. 109"). This Statement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w:t>
      </w:r>
    </w:p>
    <w:p>
      <w:pPr>
        <w:spacing w:after="0" w:line="127"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Deferred tax assets are recognized, if it is probable that such assets would be realized, for temporary differences, which will result in deductible amounts in future years and for carryforwards. An allowance against such deferred tax asset is recognized if it is probable that some portion or all of the deferred tax assets will not be realized. Due to the material loss carryforward of the Company as of December 31, 2007 and uncertainties with regard to its utilization in the future, no deferred taxes were recorded in the Company's results of operations.</w:t>
      </w:r>
    </w:p>
    <w:p>
      <w:pPr>
        <w:spacing w:after="0" w:line="13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REVENUE RECOGNITION</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Revenues are recognized when persuasive evidence of an agreement exists with fixed or determinable prices, shipment has occurred or as services are rendered, when title has been transferred, collectibility is reasonably assured and acceptance provisions criteria are satisfied, based on performing electronic, functional and quality tests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An accrual for estimated returns, computed primarily on the basis of historical experience, is recorded at the time when revenues are recognized.</w:t>
      </w:r>
    </w:p>
    <w:p>
      <w:pPr>
        <w:spacing w:after="0" w:line="12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RESEARCH AND DEVELOPMENT</w:t>
      </w:r>
    </w:p>
    <w:p>
      <w:pPr>
        <w:spacing w:after="0" w:line="138" w:lineRule="exact"/>
        <w:rPr>
          <w:rFonts w:ascii="Courier New" w:cs="Courier New" w:eastAsia="Courier New" w:hAnsi="Courier New"/>
          <w:sz w:val="12"/>
          <w:szCs w:val="12"/>
          <w:color w:val="auto"/>
        </w:rPr>
      </w:pPr>
    </w:p>
    <w:p>
      <w:pPr>
        <w:ind w:left="70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26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ORDINARY SHARE</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Basic earnings per share is calculated, in accordance with SFAS No. 128, "Earnings Per Share" ("SFAS No. 128"), by dividing profit or loss attributable to ordinary equity holders of the entity (the numerator) by the weighted average number of Ordinary Shares outstanding (the denominator) during the reported period. Diluted earnings per share is calculated by adjusting profit or loss attributable to ordinary equity holders of the entity, and the weighted average number of shares outstanding, for the effects of all dilutive potential Ordinary Shares.</w:t>
      </w:r>
    </w:p>
    <w:p>
      <w:pPr>
        <w:spacing w:after="0" w:line="13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Accordance with SFAS 130, 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are included in comprehensive income but excluded from net income.</w:t>
      </w:r>
    </w:p>
    <w:p>
      <w:pPr>
        <w:spacing w:after="0" w:line="137"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FUNCTIONAL CURRENCY AND TRANSACTION GAINS AND LOSSES</w:t>
      </w:r>
    </w:p>
    <w:p>
      <w:pPr>
        <w:spacing w:after="0" w:line="138"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currency of the primary economic environment in which the Company conducts its operations is the U.S. dollar ("dollar"). Accordingly, the Company uses the dollar as its functional and reporting currency. Financing expenses, net in 2007 and 2006 include net foreign currency transaction losses of $3,526, and $3,659, respectively. Financing expenses, net in 2005 include net foreign currency transaction gains of $1,398.</w:t>
      </w:r>
    </w:p>
    <w:p>
      <w:pPr>
        <w:spacing w:after="0" w:line="13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STOCK-BASED COMPENSATION</w:t>
      </w:r>
    </w:p>
    <w:p>
      <w:pPr>
        <w:spacing w:after="0" w:line="138"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January 1, 2006, the Company adopted the provisions of SFAS No. 123 (revised 2004), "Share-Based Payment" (SFAS No. 123(R)), under which employee share-based equity awards accounted for under the fair value method. Accordingly, stock-based compensation to employees and directors is measured at the grant date, based on the fair value of the award. The Company elected the modified prospective method as its</w:t>
      </w:r>
    </w:p>
    <w:p>
      <w:pPr>
        <w:sectPr>
          <w:pgSz w:w="11900" w:h="16838" w:orient="portrait"/>
          <w:cols w:equalWidth="0" w:num="1">
            <w:col w:w="10239"/>
          </w:cols>
          <w:pgMar w:left="220" w:top="141" w:right="1440" w:bottom="0" w:gutter="0" w:footer="0" w:header="0"/>
        </w:sectPr>
      </w:pPr>
    </w:p>
    <w:bookmarkStart w:id="7" w:name="page8"/>
    <w:bookmarkEnd w:id="7"/>
    <w:p>
      <w:pPr>
        <w:spacing w:after="0" w:line="5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transition method. Under the modified prospective method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compensation cost recognized by the Company beginning in 2006 includes</w:t>
      </w:r>
    </w:p>
    <w:p>
      <w:pPr>
        <w:spacing w:after="0" w:line="10" w:lineRule="exact"/>
        <w:rPr>
          <w:sz w:val="20"/>
          <w:szCs w:val="20"/>
          <w:color w:val="auto"/>
        </w:rPr>
      </w:pPr>
    </w:p>
    <w:p>
      <w:pPr>
        <w:ind w:left="700" w:right="4619" w:hanging="5"/>
        <w:spacing w:after="0" w:line="237" w:lineRule="auto"/>
        <w:tabs>
          <w:tab w:leader="none" w:pos="981"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compensation cost for all equity incentive awards granted prior to, but not yet vested as of January 1, 2006, based on the grant-date fair value estimated in accordance with the original provisions of SFAS No. 123, and (b) compensation cost for all stock-based compensations granted subsequent to January 1, 2006, based on the grant-date fair value estimated in accordance with the provisions of SFAS No. 123(R). The Company uses the straight-line attribution method to recognize stock-based compensation costs over the service period of the award.</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- 11</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STOCK-BASED COMPENSATION (CONT.)</w:t>
      </w:r>
    </w:p>
    <w:p>
      <w:pPr>
        <w:spacing w:after="0" w:line="138" w:lineRule="exact"/>
        <w:rPr>
          <w:rFonts w:ascii="Courier New" w:cs="Courier New" w:eastAsia="Courier New" w:hAnsi="Courier New"/>
          <w:sz w:val="12"/>
          <w:szCs w:val="12"/>
          <w:color w:val="auto"/>
        </w:rPr>
      </w:pPr>
    </w:p>
    <w:p>
      <w:pPr>
        <w:ind w:left="700" w:right="475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As for the periods before the adoption of the Standard, the Company accounted for employee and director stock-based compensation in accordance with Accounting Principles Board Opinion No. 25, "Accounting for Stock Issued to Employees" ("APB 25") and authoritative interpretations thereof. Accordingly, the Company accounted for share options granted to employees and directors based on the intrinsic value of the options on the measurement date.</w:t>
      </w:r>
    </w:p>
    <w:p>
      <w:pPr>
        <w:spacing w:after="0" w:line="124"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PRO FORMA LOSS PER SHARE ACCORDING TO SFAS 123 AND SFAS 148</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Had compensation cost for the Company's share option plans been</w:t>
      </w:r>
    </w:p>
    <w:p>
      <w:pPr>
        <w:ind w:left="1040"/>
        <w:spacing w:after="0"/>
        <w:rPr>
          <w:sz w:val="20"/>
          <w:szCs w:val="20"/>
          <w:color w:val="auto"/>
        </w:rPr>
      </w:pPr>
      <w:r>
        <w:rPr>
          <w:rFonts w:ascii="Courier New" w:cs="Courier New" w:eastAsia="Courier New" w:hAnsi="Courier New"/>
          <w:sz w:val="12"/>
          <w:szCs w:val="12"/>
          <w:color w:val="auto"/>
        </w:rPr>
        <w:t>determined based on the fair value at the grant dates for all</w:t>
      </w:r>
    </w:p>
    <w:p>
      <w:pPr>
        <w:ind w:left="1040"/>
        <w:spacing w:after="0" w:line="237" w:lineRule="auto"/>
        <w:rPr>
          <w:sz w:val="20"/>
          <w:szCs w:val="20"/>
          <w:color w:val="auto"/>
        </w:rPr>
      </w:pPr>
      <w:r>
        <w:rPr>
          <w:rFonts w:ascii="Courier New" w:cs="Courier New" w:eastAsia="Courier New" w:hAnsi="Courier New"/>
          <w:sz w:val="12"/>
          <w:szCs w:val="12"/>
          <w:color w:val="auto"/>
        </w:rPr>
        <w:t>awards made through December 31, 2005 in accordance with SFAS</w:t>
      </w:r>
    </w:p>
    <w:p>
      <w:pPr>
        <w:ind w:left="1040"/>
        <w:spacing w:after="0"/>
        <w:rPr>
          <w:sz w:val="20"/>
          <w:szCs w:val="20"/>
          <w:color w:val="auto"/>
        </w:rPr>
      </w:pPr>
      <w:r>
        <w:rPr>
          <w:rFonts w:ascii="Courier New" w:cs="Courier New" w:eastAsia="Courier New" w:hAnsi="Courier New"/>
          <w:sz w:val="12"/>
          <w:szCs w:val="12"/>
          <w:color w:val="auto"/>
        </w:rPr>
        <w:t>123, as amended by SFAS 148, the Company's pro forma loss per</w:t>
      </w:r>
    </w:p>
    <w:p>
      <w:pPr>
        <w:ind w:left="1040"/>
        <w:spacing w:after="0" w:line="237" w:lineRule="auto"/>
        <w:rPr>
          <w:sz w:val="20"/>
          <w:szCs w:val="20"/>
          <w:color w:val="auto"/>
        </w:rPr>
      </w:pPr>
      <w:r>
        <w:rPr>
          <w:rFonts w:ascii="Courier New" w:cs="Courier New" w:eastAsia="Courier New" w:hAnsi="Courier New"/>
          <w:sz w:val="12"/>
          <w:szCs w:val="12"/>
          <w:color w:val="auto"/>
        </w:rPr>
        <w:t>share would have been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600" w:type="dxa"/>
            <w:vAlign w:val="bottom"/>
          </w:tcPr>
          <w:p>
            <w:pPr>
              <w:spacing w:after="0"/>
              <w:rPr>
                <w:sz w:val="11"/>
                <w:szCs w:val="11"/>
                <w:color w:val="auto"/>
              </w:rPr>
            </w:pPr>
          </w:p>
        </w:tc>
        <w:tc>
          <w:tcPr>
            <w:tcW w:w="17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For the year ended</w:t>
            </w:r>
          </w:p>
        </w:tc>
      </w:tr>
      <w:tr>
        <w:trPr>
          <w:trHeight w:val="135"/>
        </w:trPr>
        <w:tc>
          <w:tcPr>
            <w:tcW w:w="2600" w:type="dxa"/>
            <w:vAlign w:val="bottom"/>
          </w:tcPr>
          <w:p>
            <w:pPr>
              <w:spacing w:after="0"/>
              <w:rPr>
                <w:sz w:val="11"/>
                <w:szCs w:val="11"/>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December 31, 2005</w:t>
            </w:r>
          </w:p>
        </w:tc>
      </w:tr>
      <w:tr>
        <w:trPr>
          <w:trHeight w:val="135"/>
        </w:trPr>
        <w:tc>
          <w:tcPr>
            <w:tcW w:w="2600" w:type="dxa"/>
            <w:vAlign w:val="bottom"/>
          </w:tcPr>
          <w:p>
            <w:pPr>
              <w:spacing w:after="0"/>
              <w:rPr>
                <w:sz w:val="11"/>
                <w:szCs w:val="11"/>
                <w:color w:val="auto"/>
              </w:rPr>
            </w:pPr>
          </w:p>
        </w:tc>
        <w:tc>
          <w:tcPr>
            <w:tcW w:w="174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PRO FORMA LOSS</w:t>
            </w: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Loss for the year, as reported</w:t>
            </w:r>
          </w:p>
        </w:tc>
        <w:tc>
          <w:tcPr>
            <w:tcW w:w="17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$(203,082)</w:t>
            </w: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Less - stock-based compensation</w:t>
            </w: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determined under APB 25</w:t>
            </w:r>
          </w:p>
        </w:tc>
        <w:tc>
          <w:tcPr>
            <w:tcW w:w="900" w:type="dxa"/>
            <w:vAlign w:val="bottom"/>
          </w:tcPr>
          <w:p>
            <w:pPr>
              <w:spacing w:after="0"/>
              <w:rPr>
                <w:sz w:val="11"/>
                <w:szCs w:val="11"/>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Add - stock-based compensation</w:t>
            </w: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determined under SFAS 123</w:t>
            </w:r>
          </w:p>
        </w:tc>
        <w:tc>
          <w:tcPr>
            <w:tcW w:w="90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(4,229)</w:t>
            </w:r>
          </w:p>
        </w:tc>
      </w:tr>
      <w:tr>
        <w:trPr>
          <w:trHeight w:val="135"/>
        </w:trPr>
        <w:tc>
          <w:tcPr>
            <w:tcW w:w="2600" w:type="dxa"/>
            <w:vAlign w:val="bottom"/>
          </w:tcPr>
          <w:p>
            <w:pPr>
              <w:spacing w:after="0"/>
              <w:rPr>
                <w:sz w:val="11"/>
                <w:szCs w:val="11"/>
                <w:color w:val="auto"/>
              </w:rPr>
            </w:pPr>
          </w:p>
        </w:tc>
        <w:tc>
          <w:tcPr>
            <w:tcW w:w="174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Pro forma loss</w:t>
            </w:r>
          </w:p>
        </w:tc>
        <w:tc>
          <w:tcPr>
            <w:tcW w:w="17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$(207,311)</w:t>
            </w:r>
          </w:p>
        </w:tc>
      </w:tr>
      <w:tr>
        <w:trPr>
          <w:trHeight w:val="135"/>
        </w:trPr>
        <w:tc>
          <w:tcPr>
            <w:tcW w:w="2600" w:type="dxa"/>
            <w:vAlign w:val="bottom"/>
          </w:tcPr>
          <w:p>
            <w:pPr>
              <w:spacing w:after="0"/>
              <w:rPr>
                <w:sz w:val="11"/>
                <w:szCs w:val="11"/>
                <w:color w:val="auto"/>
              </w:rPr>
            </w:pPr>
          </w:p>
        </w:tc>
        <w:tc>
          <w:tcPr>
            <w:tcW w:w="174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r>
      <w:tr>
        <w:trPr>
          <w:trHeight w:val="270"/>
        </w:trPr>
        <w:tc>
          <w:tcPr>
            <w:tcW w:w="2600" w:type="dxa"/>
            <w:vAlign w:val="bottom"/>
          </w:tcPr>
          <w:p>
            <w:pPr>
              <w:spacing w:after="0"/>
              <w:rPr>
                <w:sz w:val="20"/>
                <w:szCs w:val="20"/>
                <w:color w:val="auto"/>
              </w:rPr>
            </w:pPr>
            <w:r>
              <w:rPr>
                <w:rFonts w:ascii="Courier New" w:cs="Courier New" w:eastAsia="Courier New" w:hAnsi="Courier New"/>
                <w:sz w:val="12"/>
                <w:szCs w:val="12"/>
                <w:color w:val="auto"/>
              </w:rPr>
              <w:t>BASIC LOSS PER SHARE</w:t>
            </w:r>
          </w:p>
        </w:tc>
        <w:tc>
          <w:tcPr>
            <w:tcW w:w="9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As reported</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(3.06)</w:t>
            </w:r>
          </w:p>
        </w:tc>
      </w:tr>
      <w:tr>
        <w:trPr>
          <w:trHeight w:val="135"/>
        </w:trPr>
        <w:tc>
          <w:tcPr>
            <w:tcW w:w="2600" w:type="dxa"/>
            <w:vAlign w:val="bottom"/>
          </w:tcPr>
          <w:p>
            <w:pPr>
              <w:spacing w:after="0"/>
              <w:rPr>
                <w:sz w:val="11"/>
                <w:szCs w:val="11"/>
                <w:color w:val="auto"/>
              </w:rPr>
            </w:pPr>
          </w:p>
        </w:tc>
        <w:tc>
          <w:tcPr>
            <w:tcW w:w="174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r>
      <w:tr>
        <w:trPr>
          <w:trHeight w:val="135"/>
        </w:trPr>
        <w:tc>
          <w:tcPr>
            <w:tcW w:w="2600" w:type="dxa"/>
            <w:vAlign w:val="bottom"/>
          </w:tcPr>
          <w:p>
            <w:pPr>
              <w:spacing w:after="0"/>
              <w:rPr>
                <w:sz w:val="20"/>
                <w:szCs w:val="20"/>
                <w:color w:val="auto"/>
              </w:rPr>
            </w:pPr>
            <w:r>
              <w:rPr>
                <w:rFonts w:ascii="Courier New" w:cs="Courier New" w:eastAsia="Courier New" w:hAnsi="Courier New"/>
                <w:sz w:val="12"/>
                <w:szCs w:val="12"/>
                <w:color w:val="auto"/>
              </w:rPr>
              <w:t>Pro forma</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(3.12)</w:t>
            </w:r>
          </w:p>
        </w:tc>
      </w:tr>
      <w:tr>
        <w:trPr>
          <w:trHeight w:val="135"/>
        </w:trPr>
        <w:tc>
          <w:tcPr>
            <w:tcW w:w="2600" w:type="dxa"/>
            <w:vAlign w:val="bottom"/>
          </w:tcPr>
          <w:p>
            <w:pPr>
              <w:spacing w:after="0"/>
              <w:rPr>
                <w:sz w:val="11"/>
                <w:szCs w:val="11"/>
                <w:color w:val="auto"/>
              </w:rPr>
            </w:pPr>
          </w:p>
        </w:tc>
        <w:tc>
          <w:tcPr>
            <w:tcW w:w="174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STOCK-BASED COMPENSATION IN FINANCING TRANSACTIONS</w:t>
      </w:r>
    </w:p>
    <w:p>
      <w:pPr>
        <w:spacing w:after="0" w:line="139"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Company calculates the fair value of stock-based compensation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included in its financing transactions. That fair value is</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recognized in equity. The amount of fair value of the warrants is</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considered a discount on the debt issued and adjust the yield on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 financing transaction.</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IMPAIRMENT OF LONG-LIVED ASSETS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Management reviews long-lived assets on a periodic basis, as well as when such a review is required based upon relevant circumstances, to determine whether events or changes in circumstances indicate that the carrying amount of such assets may not be recoverable. Management's review of possible impairment charges for the periods presented was performed based on management's business plan and approved by the board of directors of the Company. The business plan is based, among other things, on the future completion of the ramp-up of Fab 2. Application of SFAS No. 144 "Accounting for the Impairment or Disposal of Long-Lived Assets" ("SFAS No. 144") resulted in no impairment charges for the periods presented.</w:t>
      </w:r>
    </w:p>
    <w:p>
      <w:pPr>
        <w:spacing w:after="0" w:line="140"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DERIVATIVES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issues from time to time derivatives, whether embedded or freestanding, that are denominated in currency other than its functional currency (generally the NIS in which its shares are also traded). The Company consider those instruments to be indexed only to its own stock and not dual indexed. The Company considered the various guidance on that issue and decided that pending the final consensus in EITF 07-5 it will continue to consider such instruments as indexed solely to its own shares.</w:t>
      </w:r>
    </w:p>
    <w:p>
      <w:pPr>
        <w:spacing w:after="0" w:line="137"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INITIAL ADOPTION OF NEW STANDARDS</w:t>
      </w:r>
    </w:p>
    <w:p>
      <w:pPr>
        <w:spacing w:after="0" w:line="138"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SFAS NO. 159, "THE FAIR VALUE OPTION FOR FINANCIAL ASSETS AND FINANCIAL LIABILITIES" - In February 2007, the FASB issued SFAS No. 159, "The Fair Value Option for Financial Assets and Financial Liabilities" (SFAS No. 159). SFAS No. 159 permits companies to choose to measure certain financial instruments and certain other items at fair value. The standard requires that unrealized gains and losses on items for which the fair value option has been elected be reported in earnings. The Company adopted the provisions of this standard, together with the adoption of FASB No. 157 FAIR VALUE MEASUREMENTS, starting with the first quarter of 2007.</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- 13</w:t>
      </w:r>
    </w:p>
    <w:p>
      <w:pPr>
        <w:sectPr>
          <w:pgSz w:w="11900" w:h="16895" w:orient="portrait"/>
          <w:cols w:equalWidth="0" w:num="1">
            <w:col w:w="10239"/>
          </w:cols>
          <w:pgMar w:left="220" w:top="137" w:right="1440" w:bottom="0" w:gutter="0" w:footer="0" w:header="0"/>
        </w:sectPr>
      </w:pPr>
    </w:p>
    <w:p>
      <w:pPr>
        <w:spacing w:after="0" w:line="391" w:lineRule="exact"/>
        <w:rPr>
          <w:sz w:val="20"/>
          <w:szCs w:val="20"/>
          <w:color w:val="auto"/>
        </w:rPr>
      </w:pPr>
    </w:p>
    <w:p>
      <w:pPr>
        <w:ind w:left="1460"/>
        <w:spacing w:after="0"/>
        <w:rPr>
          <w:sz w:val="20"/>
          <w:szCs w:val="20"/>
          <w:color w:val="auto"/>
        </w:rPr>
      </w:pPr>
      <w:r>
        <w:rPr>
          <w:rFonts w:ascii="Courier New" w:cs="Courier New" w:eastAsia="Courier New" w:hAnsi="Courier New"/>
          <w:sz w:val="11"/>
          <w:szCs w:val="11"/>
          <w:color w:val="auto"/>
        </w:rPr>
        <w:t>TOWER SEMICONDUCTOR LTD. AND SUBSIDIARY</w:t>
      </w:r>
    </w:p>
    <w:p>
      <w:pPr>
        <w:sectPr>
          <w:pgSz w:w="11900" w:h="16895" w:orient="portrait"/>
          <w:cols w:equalWidth="0" w:num="1">
            <w:col w:w="10239"/>
          </w:cols>
          <w:pgMar w:left="220" w:top="137" w:right="1440" w:bottom="0" w:gutter="0" w:footer="0" w:header="0"/>
          <w:type w:val="continuous"/>
        </w:sectPr>
      </w:pPr>
    </w:p>
    <w:bookmarkStart w:id="8" w:name="page9"/>
    <w:bookmarkEnd w:id="8"/>
    <w:p>
      <w:pPr>
        <w:jc w:val="center"/>
        <w:ind w:right="4619"/>
        <w:spacing w:after="0"/>
        <w:rPr>
          <w:sz w:val="20"/>
          <w:szCs w:val="20"/>
          <w:color w:val="auto"/>
        </w:rPr>
      </w:pPr>
      <w:r>
        <w:rPr>
          <w:rFonts w:ascii="Courier New" w:cs="Courier New" w:eastAsia="Courier New" w:hAnsi="Courier New"/>
          <w:sz w:val="12"/>
          <w:szCs w:val="12"/>
          <w:color w:val="auto"/>
        </w:rPr>
        <w:t>NOTES TO CONSOLIDATED FINANCIAL STATEMENTS</w:t>
      </w:r>
    </w:p>
    <w:p>
      <w:pPr>
        <w:jc w:val="center"/>
        <w:ind w:right="4619"/>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RECENTLY ISSUED ACCOUNTING STANDARDS</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SFAS NO. 141 (REVISED 2007 ) "BUSINESS COMBINATIONS" - In December 2007, the FASB issued FASB 141(R), "Business Combinations" of which the objective is to improve the relevance, representational faithfulness, and comparability of the information that a reporting entity provides in its financial reports about a business combination and its effects. The new standard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In December 2007, the FASB issued FASB 160 "Non-controlling Interests in Consolidated Financial Statements - an amendment of ARB No.51" of which the objective is to improve the relevance, comparability, and transparency of the financial information that a reporting entity provides in its consolidated financial statements by establishing accounting and reporting standards by requiring all entities to report non controlling (minority) interests in subsidiaries in the same way - as equity in the consolidated financial statements. Moreover, Statement 160 eliminates the diversity that currently exists in accounting for transactions between an entity and non-controlling interests by requiring they be treated as equity transactions. Both FASB 141(R) and FASB 160 are effective for fiscal years beginning after December 15, 2008. The Company is currently examining this new standard; however, at this stage, it is unable to estimate the standard's effect, if any, on its financial position and results of operations.</w:t>
      </w:r>
    </w:p>
    <w:p>
      <w:pPr>
        <w:spacing w:after="0" w:line="200" w:lineRule="exact"/>
        <w:rPr>
          <w:rFonts w:ascii="Courier New" w:cs="Courier New" w:eastAsia="Courier New" w:hAnsi="Courier New"/>
          <w:sz w:val="12"/>
          <w:szCs w:val="12"/>
          <w:color w:val="auto"/>
        </w:rPr>
      </w:pPr>
    </w:p>
    <w:p>
      <w:pPr>
        <w:spacing w:after="0" w:line="203"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RECLASSIFICATION</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Certain amounts in prior years' financial statements have been</w:t>
      </w:r>
    </w:p>
    <w:p>
      <w:pPr>
        <w:ind w:left="700"/>
        <w:spacing w:after="0"/>
        <w:rPr>
          <w:sz w:val="20"/>
          <w:szCs w:val="20"/>
          <w:color w:val="auto"/>
        </w:rPr>
      </w:pPr>
      <w:r>
        <w:rPr>
          <w:rFonts w:ascii="Courier New" w:cs="Courier New" w:eastAsia="Courier New" w:hAnsi="Courier New"/>
          <w:sz w:val="12"/>
          <w:szCs w:val="12"/>
          <w:color w:val="auto"/>
        </w:rPr>
        <w:t>reclassified in order to conform to the 2007 presentation.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720" w:type="dxa"/>
            <w:vAlign w:val="bottom"/>
          </w:tcPr>
          <w:p>
            <w:pPr>
              <w:spacing w:after="0"/>
              <w:rPr>
                <w:sz w:val="20"/>
                <w:szCs w:val="20"/>
                <w:color w:val="auto"/>
              </w:rPr>
            </w:pPr>
            <w:r>
              <w:rPr>
                <w:rFonts w:ascii="Courier New" w:cs="Courier New" w:eastAsia="Courier New" w:hAnsi="Courier New"/>
                <w:sz w:val="12"/>
                <w:szCs w:val="12"/>
                <w:color w:val="auto"/>
              </w:rPr>
              <w:t>NOTE 3 - OTHER RECEIVABLES</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70"/>
        </w:trPr>
        <w:tc>
          <w:tcPr>
            <w:tcW w:w="3720" w:type="dxa"/>
            <w:vAlign w:val="bottom"/>
          </w:tcPr>
          <w:p>
            <w:pPr>
              <w:ind w:left="340"/>
              <w:spacing w:after="0"/>
              <w:rPr>
                <w:sz w:val="20"/>
                <w:szCs w:val="20"/>
                <w:color w:val="auto"/>
              </w:rPr>
            </w:pPr>
            <w:r>
              <w:rPr>
                <w:rFonts w:ascii="Courier New" w:cs="Courier New" w:eastAsia="Courier New" w:hAnsi="Courier New"/>
                <w:sz w:val="12"/>
                <w:szCs w:val="12"/>
                <w:color w:val="auto"/>
              </w:rPr>
              <w:t>Other receivables consist of the following:</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3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5"/>
              </w:rPr>
              <w:t>As of December 31,</w:t>
            </w:r>
          </w:p>
        </w:tc>
      </w:tr>
      <w:tr>
        <w:trPr>
          <w:trHeight w:val="135"/>
        </w:trPr>
        <w:tc>
          <w:tcPr>
            <w:tcW w:w="3720" w:type="dxa"/>
            <w:vAlign w:val="bottom"/>
          </w:tcPr>
          <w:p>
            <w:pPr>
              <w:spacing w:after="0"/>
              <w:rPr>
                <w:sz w:val="11"/>
                <w:szCs w:val="11"/>
                <w:color w:val="auto"/>
              </w:rPr>
            </w:pPr>
          </w:p>
        </w:tc>
        <w:tc>
          <w:tcPr>
            <w:tcW w:w="15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0"/>
              </w:rPr>
              <w:t>2007</w:t>
            </w:r>
          </w:p>
        </w:tc>
        <w:tc>
          <w:tcPr>
            <w:tcW w:w="240" w:type="dxa"/>
            <w:vAlign w:val="bottom"/>
          </w:tcPr>
          <w:p>
            <w:pPr>
              <w:spacing w:after="0"/>
              <w:rPr>
                <w:sz w:val="11"/>
                <w:szCs w:val="11"/>
                <w:color w:val="auto"/>
              </w:rPr>
            </w:pPr>
          </w:p>
        </w:tc>
        <w:tc>
          <w:tcPr>
            <w:tcW w:w="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3720" w:type="dxa"/>
            <w:vAlign w:val="bottom"/>
          </w:tcPr>
          <w:p>
            <w:pPr>
              <w:spacing w:after="0"/>
              <w:rPr>
                <w:sz w:val="11"/>
                <w:szCs w:val="11"/>
                <w:color w:val="auto"/>
              </w:rPr>
            </w:pP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20" w:type="dxa"/>
            <w:vAlign w:val="bottom"/>
          </w:tcPr>
          <w:p>
            <w:pPr>
              <w:spacing w:after="0"/>
              <w:rPr>
                <w:sz w:val="20"/>
                <w:szCs w:val="20"/>
                <w:color w:val="auto"/>
              </w:rPr>
            </w:pPr>
            <w:r>
              <w:rPr>
                <w:rFonts w:ascii="Courier New" w:cs="Courier New" w:eastAsia="Courier New" w:hAnsi="Courier New"/>
                <w:sz w:val="12"/>
                <w:szCs w:val="12"/>
                <w:color w:val="auto"/>
              </w:rPr>
              <w:t>Government of Israel - investment grants receivable</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24</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1,530</w:t>
            </w: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Other government agencies</w:t>
            </w:r>
          </w:p>
        </w:tc>
        <w:tc>
          <w:tcPr>
            <w:tcW w:w="28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4,661</w:t>
            </w:r>
          </w:p>
        </w:tc>
        <w:tc>
          <w:tcPr>
            <w:tcW w:w="2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3,847</w:t>
            </w: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Others</w:t>
            </w:r>
          </w:p>
        </w:tc>
        <w:tc>
          <w:tcPr>
            <w:tcW w:w="28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63</w:t>
            </w:r>
          </w:p>
        </w:tc>
        <w:tc>
          <w:tcPr>
            <w:tcW w:w="2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48</w:t>
            </w:r>
          </w:p>
        </w:tc>
      </w:tr>
      <w:tr>
        <w:trPr>
          <w:trHeight w:val="135"/>
        </w:trPr>
        <w:tc>
          <w:tcPr>
            <w:tcW w:w="3720" w:type="dxa"/>
            <w:vAlign w:val="bottom"/>
          </w:tcPr>
          <w:p>
            <w:pPr>
              <w:spacing w:after="0"/>
              <w:rPr>
                <w:sz w:val="11"/>
                <w:szCs w:val="11"/>
                <w:color w:val="auto"/>
              </w:rPr>
            </w:pP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20" w:type="dxa"/>
            <w:vAlign w:val="bottom"/>
          </w:tcPr>
          <w:p>
            <w:pPr>
              <w:spacing w:after="0"/>
              <w:rPr>
                <w:sz w:val="11"/>
                <w:szCs w:val="11"/>
                <w:color w:val="auto"/>
              </w:rPr>
            </w:pP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4,748</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5,425</w:t>
            </w:r>
          </w:p>
        </w:tc>
      </w:tr>
      <w:tr>
        <w:trPr>
          <w:trHeight w:val="135"/>
        </w:trPr>
        <w:tc>
          <w:tcPr>
            <w:tcW w:w="3720" w:type="dxa"/>
            <w:vAlign w:val="bottom"/>
          </w:tcPr>
          <w:p>
            <w:pPr>
              <w:spacing w:after="0"/>
              <w:rPr>
                <w:sz w:val="11"/>
                <w:szCs w:val="11"/>
                <w:color w:val="auto"/>
              </w:rPr>
            </w:pP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405"/>
        </w:trPr>
        <w:tc>
          <w:tcPr>
            <w:tcW w:w="3720" w:type="dxa"/>
            <w:vAlign w:val="bottom"/>
          </w:tcPr>
          <w:p>
            <w:pPr>
              <w:ind w:left="2600"/>
              <w:spacing w:after="0"/>
              <w:rPr>
                <w:sz w:val="20"/>
                <w:szCs w:val="20"/>
                <w:color w:val="auto"/>
              </w:rPr>
            </w:pPr>
            <w:r>
              <w:rPr>
                <w:rFonts w:ascii="Courier New" w:cs="Courier New" w:eastAsia="Courier New" w:hAnsi="Courier New"/>
                <w:sz w:val="12"/>
                <w:szCs w:val="12"/>
                <w:color w:val="auto"/>
              </w:rPr>
              <w:t>F - 14</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INVENTORIES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Inventories consist of the following (*):</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440" w:type="dxa"/>
            <w:vAlign w:val="bottom"/>
          </w:tcPr>
          <w:p>
            <w:pPr>
              <w:spacing w:after="0"/>
              <w:rPr>
                <w:sz w:val="11"/>
                <w:szCs w:val="11"/>
                <w:color w:val="auto"/>
              </w:rPr>
            </w:pPr>
          </w:p>
        </w:tc>
        <w:tc>
          <w:tcPr>
            <w:tcW w:w="1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1440" w:type="dxa"/>
            <w:vAlign w:val="bottom"/>
          </w:tcPr>
          <w:p>
            <w:pPr>
              <w:spacing w:after="0"/>
              <w:rPr>
                <w:sz w:val="11"/>
                <w:szCs w:val="11"/>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440" w:type="dxa"/>
            <w:vAlign w:val="bottom"/>
          </w:tcPr>
          <w:p>
            <w:pPr>
              <w:spacing w:after="0"/>
              <w:rPr>
                <w:sz w:val="11"/>
                <w:szCs w:val="11"/>
                <w:color w:val="auto"/>
              </w:rPr>
            </w:pPr>
          </w:p>
        </w:tc>
        <w:tc>
          <w:tcPr>
            <w:tcW w:w="11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2007</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1440" w:type="dxa"/>
            <w:vAlign w:val="bottom"/>
          </w:tcPr>
          <w:p>
            <w:pPr>
              <w:spacing w:after="0"/>
              <w:rPr>
                <w:sz w:val="11"/>
                <w:szCs w:val="11"/>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1440" w:type="dxa"/>
            <w:vAlign w:val="bottom"/>
          </w:tcPr>
          <w:p>
            <w:pPr>
              <w:spacing w:after="0"/>
              <w:rPr>
                <w:sz w:val="20"/>
                <w:szCs w:val="20"/>
                <w:color w:val="auto"/>
              </w:rPr>
            </w:pPr>
            <w:r>
              <w:rPr>
                <w:rFonts w:ascii="Courier New" w:cs="Courier New" w:eastAsia="Courier New" w:hAnsi="Courier New"/>
                <w:sz w:val="12"/>
                <w:szCs w:val="12"/>
                <w:color w:val="auto"/>
              </w:rPr>
              <w:t>Raw materials</w:t>
            </w:r>
          </w:p>
        </w:tc>
        <w:tc>
          <w:tcPr>
            <w:tcW w:w="11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$ 12,351</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$ 11,234</w:t>
            </w:r>
          </w:p>
        </w:tc>
      </w:tr>
      <w:tr>
        <w:trPr>
          <w:trHeight w:val="135"/>
        </w:trPr>
        <w:tc>
          <w:tcPr>
            <w:tcW w:w="1440" w:type="dxa"/>
            <w:vAlign w:val="bottom"/>
          </w:tcPr>
          <w:p>
            <w:pPr>
              <w:spacing w:after="0"/>
              <w:rPr>
                <w:sz w:val="20"/>
                <w:szCs w:val="20"/>
                <w:color w:val="auto"/>
              </w:rPr>
            </w:pPr>
            <w:r>
              <w:rPr>
                <w:rFonts w:ascii="Courier New" w:cs="Courier New" w:eastAsia="Courier New" w:hAnsi="Courier New"/>
                <w:sz w:val="12"/>
                <w:szCs w:val="12"/>
                <w:color w:val="auto"/>
              </w:rPr>
              <w:t>Work in process</w:t>
            </w:r>
          </w:p>
        </w:tc>
        <w:tc>
          <w:tcPr>
            <w:tcW w:w="11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14,964</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22,884</w:t>
            </w:r>
          </w:p>
        </w:tc>
      </w:tr>
      <w:tr>
        <w:trPr>
          <w:trHeight w:val="135"/>
        </w:trPr>
        <w:tc>
          <w:tcPr>
            <w:tcW w:w="1440" w:type="dxa"/>
            <w:vAlign w:val="bottom"/>
          </w:tcPr>
          <w:p>
            <w:pPr>
              <w:spacing w:after="0"/>
              <w:rPr>
                <w:sz w:val="20"/>
                <w:szCs w:val="20"/>
                <w:color w:val="auto"/>
              </w:rPr>
            </w:pPr>
            <w:r>
              <w:rPr>
                <w:rFonts w:ascii="Courier New" w:cs="Courier New" w:eastAsia="Courier New" w:hAnsi="Courier New"/>
                <w:sz w:val="12"/>
                <w:szCs w:val="12"/>
                <w:color w:val="auto"/>
              </w:rPr>
              <w:t>Finished goods</w:t>
            </w:r>
          </w:p>
        </w:tc>
        <w:tc>
          <w:tcPr>
            <w:tcW w:w="11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491</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645</w:t>
            </w:r>
          </w:p>
        </w:tc>
      </w:tr>
      <w:tr>
        <w:trPr>
          <w:trHeight w:val="135"/>
        </w:trPr>
        <w:tc>
          <w:tcPr>
            <w:tcW w:w="1440" w:type="dxa"/>
            <w:vAlign w:val="bottom"/>
          </w:tcPr>
          <w:p>
            <w:pPr>
              <w:spacing w:after="0"/>
              <w:rPr>
                <w:sz w:val="11"/>
                <w:szCs w:val="11"/>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440" w:type="dxa"/>
            <w:vAlign w:val="bottom"/>
          </w:tcPr>
          <w:p>
            <w:pPr>
              <w:spacing w:after="0"/>
              <w:rPr>
                <w:sz w:val="11"/>
                <w:szCs w:val="11"/>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$ 27,806</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$ 34,763</w:t>
            </w:r>
          </w:p>
        </w:tc>
      </w:tr>
      <w:tr>
        <w:trPr>
          <w:trHeight w:val="135"/>
        </w:trPr>
        <w:tc>
          <w:tcPr>
            <w:tcW w:w="1440" w:type="dxa"/>
            <w:vAlign w:val="bottom"/>
          </w:tcPr>
          <w:p>
            <w:pPr>
              <w:spacing w:after="0"/>
              <w:rPr>
                <w:sz w:val="11"/>
                <w:szCs w:val="11"/>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340" w:right="4979" w:firstLine="3"/>
        <w:spacing w:after="0" w:line="235" w:lineRule="auto"/>
        <w:tabs>
          <w:tab w:leader="none" w:pos="621"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of aggregate write-downs to net realizable value of $6,497 and $5,948 as of December 31, 2007 and 2006, respectively.</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LONG-TERM INVESTMENTS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Long-term investments consist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w w:val="95"/>
              </w:rPr>
              <w:t>As of December 31,</w:t>
            </w:r>
          </w:p>
        </w:tc>
      </w:tr>
      <w:tr>
        <w:trPr>
          <w:trHeight w:val="135"/>
        </w:trPr>
        <w:tc>
          <w:tcPr>
            <w:tcW w:w="3320" w:type="dxa"/>
            <w:vAlign w:val="bottom"/>
          </w:tcPr>
          <w:p>
            <w:pPr>
              <w:spacing w:after="0"/>
              <w:rPr>
                <w:sz w:val="11"/>
                <w:szCs w:val="11"/>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0"/>
              </w:rPr>
              <w:t>2007</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3320" w:type="dxa"/>
            <w:vAlign w:val="bottom"/>
          </w:tcPr>
          <w:p>
            <w:pPr>
              <w:spacing w:after="0"/>
              <w:rPr>
                <w:sz w:val="11"/>
                <w:szCs w:val="11"/>
                <w:color w:val="auto"/>
              </w:rPr>
            </w:pPr>
          </w:p>
        </w:tc>
        <w:tc>
          <w:tcPr>
            <w:tcW w:w="10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320" w:type="dxa"/>
            <w:vAlign w:val="bottom"/>
          </w:tcPr>
          <w:p>
            <w:pPr>
              <w:spacing w:after="0"/>
              <w:rPr>
                <w:sz w:val="20"/>
                <w:szCs w:val="20"/>
                <w:color w:val="auto"/>
              </w:rPr>
            </w:pPr>
            <w:r>
              <w:rPr>
                <w:rFonts w:ascii="Courier New" w:cs="Courier New" w:eastAsia="Courier New" w:hAnsi="Courier New"/>
                <w:sz w:val="12"/>
                <w:szCs w:val="12"/>
                <w:color w:val="auto"/>
              </w:rPr>
              <w:t>Severance pay funds, see Note 12B</w:t>
            </w: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2"/>
              </w:rPr>
              <w:t>13,848</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$ 13,535</w:t>
            </w:r>
          </w:p>
        </w:tc>
      </w:tr>
      <w:tr>
        <w:trPr>
          <w:trHeight w:val="135"/>
        </w:trPr>
        <w:tc>
          <w:tcPr>
            <w:tcW w:w="3320" w:type="dxa"/>
            <w:vAlign w:val="bottom"/>
          </w:tcPr>
          <w:p>
            <w:pPr>
              <w:spacing w:after="0"/>
              <w:rPr>
                <w:sz w:val="20"/>
                <w:szCs w:val="20"/>
                <w:color w:val="auto"/>
              </w:rPr>
            </w:pPr>
            <w:r>
              <w:rPr>
                <w:rFonts w:ascii="Courier New" w:cs="Courier New" w:eastAsia="Courier New" w:hAnsi="Courier New"/>
                <w:sz w:val="12"/>
                <w:szCs w:val="12"/>
                <w:color w:val="auto"/>
              </w:rPr>
              <w:t>Investment in Limited partnership, see below</w:t>
            </w:r>
          </w:p>
        </w:tc>
        <w:tc>
          <w:tcPr>
            <w:tcW w:w="400" w:type="dxa"/>
            <w:vAlign w:val="bottom"/>
          </w:tcPr>
          <w:p>
            <w:pPr>
              <w:spacing w:after="0"/>
              <w:rPr>
                <w:sz w:val="11"/>
                <w:szCs w:val="11"/>
                <w:color w:val="auto"/>
              </w:rPr>
            </w:pP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950</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20" w:type="dxa"/>
            <w:vAlign w:val="bottom"/>
          </w:tcPr>
          <w:p>
            <w:pPr>
              <w:spacing w:after="0"/>
              <w:rPr>
                <w:sz w:val="20"/>
                <w:szCs w:val="20"/>
                <w:color w:val="auto"/>
              </w:rPr>
            </w:pPr>
            <w:r>
              <w:rPr>
                <w:rFonts w:ascii="Courier New" w:cs="Courier New" w:eastAsia="Courier New" w:hAnsi="Courier New"/>
                <w:sz w:val="12"/>
                <w:szCs w:val="12"/>
                <w:color w:val="auto"/>
              </w:rPr>
              <w:t>Others</w:t>
            </w:r>
          </w:p>
        </w:tc>
        <w:tc>
          <w:tcPr>
            <w:tcW w:w="400" w:type="dxa"/>
            <w:vAlign w:val="bottom"/>
          </w:tcPr>
          <w:p>
            <w:pPr>
              <w:spacing w:after="0"/>
              <w:rPr>
                <w:sz w:val="11"/>
                <w:szCs w:val="11"/>
                <w:color w:val="auto"/>
              </w:rPr>
            </w:pP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295</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1,790</w:t>
            </w:r>
          </w:p>
        </w:tc>
      </w:tr>
      <w:tr>
        <w:trPr>
          <w:trHeight w:val="135"/>
        </w:trPr>
        <w:tc>
          <w:tcPr>
            <w:tcW w:w="3320" w:type="dxa"/>
            <w:vAlign w:val="bottom"/>
          </w:tcPr>
          <w:p>
            <w:pPr>
              <w:spacing w:after="0"/>
              <w:rPr>
                <w:sz w:val="11"/>
                <w:szCs w:val="11"/>
                <w:color w:val="auto"/>
              </w:rPr>
            </w:pPr>
          </w:p>
        </w:tc>
        <w:tc>
          <w:tcPr>
            <w:tcW w:w="10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20" w:type="dxa"/>
            <w:vAlign w:val="bottom"/>
          </w:tcPr>
          <w:p>
            <w:pPr>
              <w:spacing w:after="0"/>
              <w:rPr>
                <w:sz w:val="11"/>
                <w:szCs w:val="11"/>
                <w:color w:val="auto"/>
              </w:rPr>
            </w:pP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2"/>
              </w:rPr>
              <w:t>15,093</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$ 15,325</w:t>
            </w:r>
          </w:p>
        </w:tc>
      </w:tr>
      <w:tr>
        <w:trPr>
          <w:trHeight w:val="135"/>
        </w:trPr>
        <w:tc>
          <w:tcPr>
            <w:tcW w:w="3320" w:type="dxa"/>
            <w:vAlign w:val="bottom"/>
          </w:tcPr>
          <w:p>
            <w:pPr>
              <w:spacing w:after="0"/>
              <w:rPr>
                <w:sz w:val="11"/>
                <w:szCs w:val="11"/>
                <w:color w:val="auto"/>
              </w:rPr>
            </w:pPr>
          </w:p>
        </w:tc>
        <w:tc>
          <w:tcPr>
            <w:tcW w:w="10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INVESTMENT IN LIMITED PARTNERSHIP:</w:t>
      </w:r>
    </w:p>
    <w:p>
      <w:pPr>
        <w:spacing w:after="0" w:line="139" w:lineRule="exact"/>
        <w:rPr>
          <w:sz w:val="20"/>
          <w:szCs w:val="20"/>
          <w:color w:val="auto"/>
        </w:rPr>
      </w:pPr>
    </w:p>
    <w:p>
      <w:pPr>
        <w:ind w:left="340" w:right="4699"/>
        <w:spacing w:after="0" w:line="237" w:lineRule="auto"/>
        <w:rPr>
          <w:sz w:val="20"/>
          <w:szCs w:val="20"/>
          <w:color w:val="auto"/>
        </w:rPr>
      </w:pPr>
      <w:r>
        <w:rPr>
          <w:rFonts w:ascii="Courier New" w:cs="Courier New" w:eastAsia="Courier New" w:hAnsi="Courier New"/>
          <w:sz w:val="12"/>
          <w:szCs w:val="12"/>
          <w:color w:val="auto"/>
        </w:rPr>
        <w:t>In December 2007, the Company together with CMT Medical Technologies Ltd., a leading provider of advanced digital X-ray imaging systems for medical diagnosis, establishment a limited partnership to develop and market X-ray detectors for medical applications. The Company owns 38% of the limited partnership and accounts for the investment in the limited partnership using the equity method.</w:t>
      </w:r>
    </w:p>
    <w:p>
      <w:pPr>
        <w:spacing w:after="0" w:line="136"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6 - PROPERTY AND EQUIPMENT, NET</w:t>
      </w:r>
    </w:p>
    <w:p>
      <w:pPr>
        <w:spacing w:after="0" w:line="134" w:lineRule="exact"/>
        <w:rPr>
          <w:sz w:val="20"/>
          <w:szCs w:val="20"/>
          <w:color w:val="auto"/>
        </w:rPr>
      </w:pPr>
    </w:p>
    <w:p>
      <w:pPr>
        <w:ind w:left="700" w:hanging="357"/>
        <w:spacing w:after="0"/>
        <w:tabs>
          <w:tab w:leader="none" w:pos="700"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Composition:</w:t>
      </w:r>
    </w:p>
    <w:p>
      <w:pPr>
        <w:sectPr>
          <w:pgSz w:w="11900" w:h="16838" w:orient="portrait"/>
          <w:cols w:equalWidth="0" w:num="1">
            <w:col w:w="10239"/>
          </w:cols>
          <w:pgMar w:left="220" w:top="137"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36"/>
        </w:trPr>
        <w:tc>
          <w:tcPr>
            <w:tcW w:w="3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3360" w:type="dxa"/>
            <w:vAlign w:val="bottom"/>
          </w:tcPr>
          <w:p>
            <w:pPr>
              <w:spacing w:after="0"/>
              <w:rPr>
                <w:sz w:val="11"/>
                <w:szCs w:val="11"/>
                <w:color w:val="auto"/>
              </w:rPr>
            </w:pPr>
          </w:p>
        </w:tc>
        <w:tc>
          <w:tcPr>
            <w:tcW w:w="20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2007</w:t>
            </w:r>
          </w:p>
        </w:tc>
        <w:tc>
          <w:tcPr>
            <w:tcW w:w="280" w:type="dxa"/>
            <w:vAlign w:val="bottom"/>
          </w:tcPr>
          <w:p>
            <w:pPr>
              <w:spacing w:after="0"/>
              <w:rPr>
                <w:sz w:val="11"/>
                <w:szCs w:val="11"/>
                <w:color w:val="auto"/>
              </w:rPr>
            </w:pPr>
          </w:p>
        </w:tc>
        <w:tc>
          <w:tcPr>
            <w:tcW w:w="6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3360" w:type="dxa"/>
            <w:vAlign w:val="bottom"/>
          </w:tcPr>
          <w:p>
            <w:pPr>
              <w:spacing w:after="0"/>
              <w:rPr>
                <w:sz w:val="11"/>
                <w:szCs w:val="11"/>
                <w:color w:val="auto"/>
              </w:rPr>
            </w:pPr>
          </w:p>
        </w:tc>
        <w:tc>
          <w:tcPr>
            <w:tcW w:w="11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COST:</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Buildings (including facility infrastructure)</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235,960</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233,781</w:t>
            </w: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Machinery and equipment</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985,608</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895,725</w:t>
            </w: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Transportation vehicles</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304</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307</w:t>
            </w:r>
          </w:p>
        </w:tc>
      </w:tr>
      <w:tr>
        <w:trPr>
          <w:trHeight w:val="135"/>
        </w:trPr>
        <w:tc>
          <w:tcPr>
            <w:tcW w:w="3360" w:type="dxa"/>
            <w:vAlign w:val="bottom"/>
          </w:tcPr>
          <w:p>
            <w:pPr>
              <w:spacing w:after="0"/>
              <w:rPr>
                <w:sz w:val="11"/>
                <w:szCs w:val="11"/>
                <w:color w:val="auto"/>
              </w:rPr>
            </w:pPr>
          </w:p>
        </w:tc>
        <w:tc>
          <w:tcPr>
            <w:tcW w:w="11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1,221,872</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1,129,813</w:t>
            </w:r>
          </w:p>
        </w:tc>
      </w:tr>
      <w:tr>
        <w:trPr>
          <w:trHeight w:val="135"/>
        </w:trPr>
        <w:tc>
          <w:tcPr>
            <w:tcW w:w="3360" w:type="dxa"/>
            <w:vAlign w:val="bottom"/>
          </w:tcPr>
          <w:p>
            <w:pPr>
              <w:spacing w:after="0"/>
              <w:rPr>
                <w:sz w:val="11"/>
                <w:szCs w:val="11"/>
                <w:color w:val="auto"/>
              </w:rPr>
            </w:pPr>
          </w:p>
        </w:tc>
        <w:tc>
          <w:tcPr>
            <w:tcW w:w="11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ACCUMULATED DEPRECIATION AND AMORTIZATION</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Buildings (including facility infrastructure)</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75,227</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61,200</w:t>
            </w: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Machinery and equipment</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644,111</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535,548</w:t>
            </w: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Transportation vehicles</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247</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267</w:t>
            </w:r>
          </w:p>
        </w:tc>
      </w:tr>
      <w:tr>
        <w:trPr>
          <w:trHeight w:val="135"/>
        </w:trPr>
        <w:tc>
          <w:tcPr>
            <w:tcW w:w="3360" w:type="dxa"/>
            <w:vAlign w:val="bottom"/>
          </w:tcPr>
          <w:p>
            <w:pPr>
              <w:spacing w:after="0"/>
              <w:rPr>
                <w:sz w:val="11"/>
                <w:szCs w:val="11"/>
                <w:color w:val="auto"/>
              </w:rPr>
            </w:pPr>
          </w:p>
        </w:tc>
        <w:tc>
          <w:tcPr>
            <w:tcW w:w="11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719,585</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597,015</w:t>
            </w:r>
          </w:p>
        </w:tc>
      </w:tr>
      <w:tr>
        <w:trPr>
          <w:trHeight w:val="135"/>
        </w:trPr>
        <w:tc>
          <w:tcPr>
            <w:tcW w:w="3360" w:type="dxa"/>
            <w:vAlign w:val="bottom"/>
          </w:tcPr>
          <w:p>
            <w:pPr>
              <w:spacing w:after="0"/>
              <w:rPr>
                <w:sz w:val="11"/>
                <w:szCs w:val="11"/>
                <w:color w:val="auto"/>
              </w:rPr>
            </w:pPr>
          </w:p>
        </w:tc>
        <w:tc>
          <w:tcPr>
            <w:tcW w:w="11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502,287</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532,798</w:t>
            </w:r>
          </w:p>
        </w:tc>
      </w:tr>
      <w:tr>
        <w:trPr>
          <w:trHeight w:val="135"/>
        </w:trPr>
        <w:tc>
          <w:tcPr>
            <w:tcW w:w="3360" w:type="dxa"/>
            <w:vAlign w:val="bottom"/>
          </w:tcPr>
          <w:p>
            <w:pPr>
              <w:spacing w:after="0"/>
              <w:rPr>
                <w:sz w:val="11"/>
                <w:szCs w:val="11"/>
                <w:color w:val="auto"/>
              </w:rPr>
            </w:pPr>
          </w:p>
        </w:tc>
        <w:tc>
          <w:tcPr>
            <w:tcW w:w="11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Supplemental disclosure relating to cost of property and equipment:</w:t>
      </w:r>
    </w:p>
    <w:p>
      <w:pPr>
        <w:spacing w:after="0" w:line="139" w:lineRule="exact"/>
        <w:rPr>
          <w:sz w:val="20"/>
          <w:szCs w:val="20"/>
          <w:color w:val="auto"/>
        </w:rPr>
      </w:pPr>
    </w:p>
    <w:p>
      <w:pPr>
        <w:ind w:left="1040" w:right="4979" w:hanging="345"/>
        <w:spacing w:after="0" w:line="264" w:lineRule="auto"/>
        <w:tabs>
          <w:tab w:leader="none" w:pos="1040" w:val="left"/>
        </w:tabs>
        <w:numPr>
          <w:ilvl w:val="0"/>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 of December 31, 2007 and 2006, the cost of property and equipment included costs relating to Fab 2 in the amount of $966,164 and $879,413, respectively. Said amounts are net of investment grants of $164,675 and $164,587, respectively.</w:t>
      </w:r>
    </w:p>
    <w:p>
      <w:pPr>
        <w:spacing w:after="0" w:line="127" w:lineRule="exact"/>
        <w:rPr>
          <w:rFonts w:ascii="Courier New" w:cs="Courier New" w:eastAsia="Courier New" w:hAnsi="Courier New"/>
          <w:sz w:val="11"/>
          <w:szCs w:val="11"/>
          <w:color w:val="auto"/>
        </w:rPr>
      </w:pPr>
    </w:p>
    <w:p>
      <w:pPr>
        <w:ind w:left="1040" w:right="4619" w:hanging="345"/>
        <w:spacing w:after="0" w:line="236" w:lineRule="auto"/>
        <w:tabs>
          <w:tab w:leader="none" w:pos="104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of December 31, 2007, the cost of buildings, machinery and equipment was reflected net of investment grants in the aggregate of $267,922 (as of December 31, 2006 - $267,866).</w:t>
      </w:r>
    </w:p>
    <w:p>
      <w:pPr>
        <w:spacing w:after="0" w:line="139" w:lineRule="exact"/>
        <w:rPr>
          <w:rFonts w:ascii="Courier New" w:cs="Courier New" w:eastAsia="Courier New" w:hAnsi="Courier New"/>
          <w:sz w:val="12"/>
          <w:szCs w:val="12"/>
          <w:color w:val="auto"/>
        </w:rPr>
      </w:pPr>
    </w:p>
    <w:p>
      <w:pPr>
        <w:ind w:left="1040" w:right="4699" w:hanging="345"/>
        <w:spacing w:after="0" w:line="236" w:lineRule="auto"/>
        <w:tabs>
          <w:tab w:leader="none" w:pos="104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Cost of property and equipment as of December 31, 2007 and 2006 includes capitalized financing costs in the aggregate of $19,625 and $11,839, respectively.</w:t>
      </w:r>
    </w:p>
    <w:p>
      <w:pPr>
        <w:spacing w:after="0" w:line="139" w:lineRule="exact"/>
        <w:rPr>
          <w:rFonts w:ascii="Courier New" w:cs="Courier New" w:eastAsia="Courier New" w:hAnsi="Courier New"/>
          <w:sz w:val="12"/>
          <w:szCs w:val="12"/>
          <w:color w:val="auto"/>
        </w:rPr>
      </w:pPr>
    </w:p>
    <w:p>
      <w:pPr>
        <w:ind w:left="1040" w:right="4699" w:hanging="345"/>
        <w:spacing w:after="0" w:line="236" w:lineRule="auto"/>
        <w:tabs>
          <w:tab w:leader="none" w:pos="104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Depreciation expenses, in relation to Fab 2 property and equipment were $113,393, $123,422 and $114,141 in 2007, 2006 and 2005 respectively.</w:t>
      </w:r>
    </w:p>
    <w:p>
      <w:pPr>
        <w:spacing w:after="0" w:line="139" w:lineRule="exact"/>
        <w:rPr>
          <w:rFonts w:ascii="Courier New" w:cs="Courier New" w:eastAsia="Courier New" w:hAnsi="Courier New"/>
          <w:sz w:val="12"/>
          <w:szCs w:val="12"/>
          <w:color w:val="auto"/>
        </w:rPr>
      </w:pPr>
    </w:p>
    <w:p>
      <w:pPr>
        <w:ind w:left="1040" w:right="4699" w:hanging="345"/>
        <w:spacing w:after="0" w:line="236" w:lineRule="auto"/>
        <w:tabs>
          <w:tab w:leader="none" w:pos="104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Had depreciation been calculated using five years of useful life depreciation method (see Note 2F(1)), depreciation expenses for 2007 would have been $167,356 as compared to $122,647 recognized in this financial statements.</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6 - PROPERTY AND EQUIPMENT, NET (CONT.)</w:t>
      </w:r>
    </w:p>
    <w:p>
      <w:pPr>
        <w:spacing w:after="0" w:line="134" w:lineRule="exact"/>
        <w:rPr>
          <w:sz w:val="20"/>
          <w:szCs w:val="20"/>
          <w:color w:val="auto"/>
        </w:rPr>
      </w:pPr>
    </w:p>
    <w:p>
      <w:pPr>
        <w:ind w:left="700" w:hanging="357"/>
        <w:spacing w:after="0"/>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 GRANTS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1996, an investment program ("1996 program") for expansion of Fab 1 in the aggregate amount (as amended in December 1999 and 2001) of $228,680, entitling the Company to investment grants, was approved by the Investment Center. The Company completed its investments under the 1996 program in December 2001 and invested through such date approximately $207,000. In May 2002, the Company submitted the final report in relation to the 1996 program. As of December 31, 2007, the report has not yet received final approval from the Investment Center.</w:t>
      </w:r>
    </w:p>
    <w:p>
      <w:pPr>
        <w:spacing w:after="0" w:line="142" w:lineRule="exact"/>
        <w:rPr>
          <w:rFonts w:ascii="Courier New" w:cs="Courier New" w:eastAsia="Courier New" w:hAnsi="Courier New"/>
          <w:sz w:val="12"/>
          <w:szCs w:val="12"/>
          <w:color w:val="auto"/>
        </w:rPr>
      </w:pPr>
    </w:p>
    <w:p>
      <w:pPr>
        <w:ind w:left="700" w:right="497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13A(7) with respect to the Fab 2 program approved by the Investment Center in December 2000.</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Entitlement to the above grants and other tax benefits is subject to various conditions stipulated by the Israeli Law for the Encouragement of Capital Investments - 1959 ("Investments Law") and the regulations promulgated thereunder, as well as the criteria set forth in the certificates of approval. In the event the Company fails to comply with such conditions, the Company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of the Company's assets, see also Note 17A.</w:t>
      </w:r>
    </w:p>
    <w:p>
      <w:pPr>
        <w:spacing w:after="0" w:line="140"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liens, see Note 13A(7) Notes 13D(1) and (2) and 9D.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580" w:type="dxa"/>
            <w:vAlign w:val="bottom"/>
          </w:tcPr>
          <w:p>
            <w:pPr>
              <w:spacing w:after="0"/>
              <w:rPr>
                <w:sz w:val="20"/>
                <w:szCs w:val="20"/>
                <w:color w:val="auto"/>
              </w:rPr>
            </w:pPr>
            <w:r>
              <w:rPr>
                <w:rFonts w:ascii="Courier New" w:cs="Courier New" w:eastAsia="Courier New" w:hAnsi="Courier New"/>
                <w:sz w:val="12"/>
                <w:szCs w:val="12"/>
                <w:color w:val="auto"/>
              </w:rPr>
              <w:t>NOTE 7 - OTHER ASSETS, NET</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70"/>
        </w:trPr>
        <w:tc>
          <w:tcPr>
            <w:tcW w:w="3580" w:type="dxa"/>
            <w:vAlign w:val="bottom"/>
          </w:tcPr>
          <w:p>
            <w:pPr>
              <w:ind w:left="340"/>
              <w:spacing w:after="0"/>
              <w:rPr>
                <w:sz w:val="20"/>
                <w:szCs w:val="20"/>
                <w:color w:val="auto"/>
              </w:rPr>
            </w:pPr>
            <w:r>
              <w:rPr>
                <w:rFonts w:ascii="Courier New" w:cs="Courier New" w:eastAsia="Courier New" w:hAnsi="Courier New"/>
                <w:sz w:val="12"/>
                <w:szCs w:val="12"/>
                <w:color w:val="auto"/>
              </w:rPr>
              <w:t>Other assets, net consist of the following:</w:t>
            </w:r>
          </w:p>
        </w:tc>
        <w:tc>
          <w:tcPr>
            <w:tcW w:w="9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3580" w:type="dxa"/>
            <w:vAlign w:val="bottom"/>
          </w:tcPr>
          <w:p>
            <w:pPr>
              <w:spacing w:after="0"/>
              <w:rPr>
                <w:sz w:val="23"/>
                <w:szCs w:val="23"/>
                <w:color w:val="auto"/>
              </w:rPr>
            </w:pPr>
          </w:p>
        </w:tc>
        <w:tc>
          <w:tcPr>
            <w:tcW w:w="16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358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11"/>
                <w:szCs w:val="11"/>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2007</w:t>
            </w: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3580" w:type="dxa"/>
            <w:vAlign w:val="bottom"/>
          </w:tcPr>
          <w:p>
            <w:pPr>
              <w:spacing w:after="0"/>
              <w:rPr>
                <w:sz w:val="11"/>
                <w:szCs w:val="11"/>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580" w:type="dxa"/>
            <w:vAlign w:val="bottom"/>
          </w:tcPr>
          <w:p>
            <w:pPr>
              <w:spacing w:after="0"/>
              <w:rPr>
                <w:sz w:val="20"/>
                <w:szCs w:val="20"/>
                <w:color w:val="auto"/>
              </w:rPr>
            </w:pPr>
            <w:r>
              <w:rPr>
                <w:rFonts w:ascii="Courier New" w:cs="Courier New" w:eastAsia="Courier New" w:hAnsi="Courier New"/>
                <w:sz w:val="12"/>
                <w:szCs w:val="12"/>
                <w:color w:val="auto"/>
              </w:rPr>
              <w:t>Prepaid expenses - long-term</w:t>
            </w: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$ 1,270</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$ 1,346</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Deferred Financing Charges, net</w:t>
            </w: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1,734</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Debentures issuance expenses, net (see Note 14)</w:t>
            </w: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3,418</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834</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Prepaid long-term Land Lease, net (see Note 13C)</w:t>
            </w: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4,622</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4,749</w:t>
            </w:r>
          </w:p>
        </w:tc>
      </w:tr>
      <w:tr>
        <w:trPr>
          <w:trHeight w:val="135"/>
        </w:trPr>
        <w:tc>
          <w:tcPr>
            <w:tcW w:w="3580" w:type="dxa"/>
            <w:vAlign w:val="bottom"/>
          </w:tcPr>
          <w:p>
            <w:pPr>
              <w:spacing w:after="0"/>
              <w:rPr>
                <w:sz w:val="11"/>
                <w:szCs w:val="11"/>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11"/>
                <w:szCs w:val="11"/>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$11,044</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$ 6,929</w:t>
            </w:r>
          </w:p>
        </w:tc>
      </w:tr>
      <w:tr>
        <w:trPr>
          <w:trHeight w:val="135"/>
        </w:trPr>
        <w:tc>
          <w:tcPr>
            <w:tcW w:w="3580" w:type="dxa"/>
            <w:vAlign w:val="bottom"/>
          </w:tcPr>
          <w:p>
            <w:pPr>
              <w:spacing w:after="0"/>
              <w:rPr>
                <w:sz w:val="11"/>
                <w:szCs w:val="11"/>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405"/>
        </w:trPr>
        <w:tc>
          <w:tcPr>
            <w:tcW w:w="3580" w:type="dxa"/>
            <w:vAlign w:val="bottom"/>
          </w:tcPr>
          <w:p>
            <w:pPr>
              <w:ind w:left="2600"/>
              <w:spacing w:after="0"/>
              <w:rPr>
                <w:sz w:val="20"/>
                <w:szCs w:val="20"/>
                <w:color w:val="auto"/>
              </w:rPr>
            </w:pPr>
            <w:r>
              <w:rPr>
                <w:rFonts w:ascii="Courier New" w:cs="Courier New" w:eastAsia="Courier New" w:hAnsi="Courier New"/>
                <w:sz w:val="12"/>
                <w:szCs w:val="12"/>
                <w:color w:val="auto"/>
              </w:rPr>
              <w:t>F - 17</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8 - OTHER CURRENT LIABILITIES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Other current liabilities consist of the following:</w:t>
      </w:r>
    </w:p>
    <w:p>
      <w:pPr>
        <w:spacing w:after="0" w:line="134" w:lineRule="exact"/>
        <w:rPr>
          <w:sz w:val="20"/>
          <w:szCs w:val="20"/>
          <w:color w:val="auto"/>
        </w:rPr>
      </w:pPr>
    </w:p>
    <w:p>
      <w:pPr>
        <w:ind w:left="5260"/>
        <w:spacing w:after="0"/>
        <w:rPr>
          <w:sz w:val="20"/>
          <w:szCs w:val="20"/>
          <w:color w:val="auto"/>
        </w:rPr>
      </w:pPr>
      <w:r>
        <w:rPr>
          <w:rFonts w:ascii="Courier New" w:cs="Courier New" w:eastAsia="Courier New" w:hAnsi="Courier New"/>
          <w:sz w:val="12"/>
          <w:szCs w:val="12"/>
          <w:color w:val="auto"/>
        </w:rPr>
        <w:t>As of December 31,</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5200"/>
        <w:spacing w:after="0"/>
        <w:tabs>
          <w:tab w:leader="none" w:pos="6160" w:val="left"/>
        </w:tabs>
        <w:rPr>
          <w:sz w:val="20"/>
          <w:szCs w:val="20"/>
          <w:color w:val="auto"/>
        </w:rPr>
      </w:pPr>
      <w:r>
        <w:rPr>
          <w:rFonts w:ascii="Courier New" w:cs="Courier New" w:eastAsia="Courier New" w:hAnsi="Courier New"/>
          <w:sz w:val="12"/>
          <w:szCs w:val="12"/>
          <w:color w:val="auto"/>
        </w:rPr>
        <w:t>2007</w:t>
      </w:r>
      <w:r>
        <w:rPr>
          <w:sz w:val="20"/>
          <w:szCs w:val="20"/>
          <w:color w:val="auto"/>
        </w:rPr>
        <w:tab/>
      </w:r>
      <w:r>
        <w:rPr>
          <w:rFonts w:ascii="Courier New" w:cs="Courier New" w:eastAsia="Courier New" w:hAnsi="Courier New"/>
          <w:sz w:val="12"/>
          <w:szCs w:val="12"/>
          <w:color w:val="auto"/>
        </w:rPr>
        <w:t>2006</w:t>
      </w:r>
    </w:p>
    <w:p>
      <w:pPr>
        <w:spacing w:after="0" w:line="4" w:lineRule="exact"/>
        <w:rPr>
          <w:sz w:val="20"/>
          <w:szCs w:val="20"/>
          <w:color w:val="auto"/>
        </w:rPr>
      </w:pPr>
    </w:p>
    <w:p>
      <w:pPr>
        <w:ind w:left="5060"/>
        <w:spacing w:after="0"/>
        <w:tabs>
          <w:tab w:leader="none" w:pos="6020" w:val="left"/>
        </w:tabs>
        <w:rPr>
          <w:sz w:val="20"/>
          <w:szCs w:val="20"/>
          <w:color w:val="auto"/>
        </w:rPr>
      </w:pPr>
      <w:r>
        <w:rPr>
          <w:rFonts w:ascii="Courier New" w:cs="Courier New" w:eastAsia="Courier New" w:hAnsi="Courier New"/>
          <w:sz w:val="11"/>
          <w:szCs w:val="11"/>
          <w:color w:val="auto"/>
        </w:rPr>
        <w:t>--------</w:t>
      </w:r>
      <w:r>
        <w:rPr>
          <w:sz w:val="20"/>
          <w:szCs w:val="20"/>
          <w:color w:val="auto"/>
        </w:rPr>
        <w:tab/>
      </w:r>
      <w:r>
        <w:rPr>
          <w:rFonts w:ascii="Courier New" w:cs="Courier New" w:eastAsia="Courier New" w:hAnsi="Courier New"/>
          <w:sz w:val="11"/>
          <w:szCs w:val="11"/>
          <w:color w:val="auto"/>
        </w:rPr>
        <w:t>--------</w:t>
      </w:r>
    </w:p>
    <w:p>
      <w:pPr>
        <w:sectPr>
          <w:pgSz w:w="11900" w:h="16838" w:orient="portrait"/>
          <w:cols w:equalWidth="0" w:num="1">
            <w:col w:w="10239"/>
          </w:cols>
          <w:pgMar w:left="220" w:top="137"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36"/>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Accrued salaries</w:t>
            </w: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  6,138</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  8,730</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Vacation accrual</w:t>
            </w: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3,574</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3,385</w:t>
            </w:r>
          </w:p>
        </w:tc>
      </w:tr>
      <w:tr>
        <w:trPr>
          <w:trHeight w:val="135"/>
        </w:trPr>
        <w:tc>
          <w:tcPr>
            <w:tcW w:w="4660" w:type="dxa"/>
            <w:vAlign w:val="bottom"/>
            <w:gridSpan w:val="3"/>
          </w:tcPr>
          <w:p>
            <w:pPr>
              <w:spacing w:after="0"/>
              <w:rPr>
                <w:sz w:val="20"/>
                <w:szCs w:val="20"/>
                <w:color w:val="auto"/>
              </w:rPr>
            </w:pPr>
            <w:r>
              <w:rPr>
                <w:rFonts w:ascii="Courier New" w:cs="Courier New" w:eastAsia="Courier New" w:hAnsi="Courier New"/>
                <w:sz w:val="12"/>
                <w:szCs w:val="12"/>
                <w:color w:val="auto"/>
                <w:w w:val="97"/>
              </w:rPr>
              <w:t>Interest payable (primarily in relation to convertible debentures)</w:t>
            </w: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742</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1,089</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Due to related parties</w:t>
            </w: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7,459</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5,895</w:t>
            </w:r>
          </w:p>
        </w:tc>
      </w:tr>
      <w:tr>
        <w:trPr>
          <w:trHeight w:val="135"/>
        </w:trPr>
        <w:tc>
          <w:tcPr>
            <w:tcW w:w="62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2,111</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2,997</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$ 20,024</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$ 22,096</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NOTE 9 - LONG-TERM DEBT FROM BANKS</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620" w:type="dxa"/>
            <w:vAlign w:val="bottom"/>
          </w:tcPr>
          <w:p>
            <w:pPr>
              <w:ind w:left="340"/>
              <w:spacing w:after="0"/>
              <w:rPr>
                <w:sz w:val="20"/>
                <w:szCs w:val="20"/>
                <w:color w:val="auto"/>
              </w:rPr>
            </w:pPr>
            <w:r>
              <w:rPr>
                <w:rFonts w:ascii="Courier New" w:cs="Courier New" w:eastAsia="Courier New" w:hAnsi="Courier New"/>
                <w:sz w:val="12"/>
                <w:szCs w:val="12"/>
                <w:color w:val="auto"/>
              </w:rPr>
              <w:t>A.</w:t>
            </w:r>
          </w:p>
        </w:tc>
        <w:tc>
          <w:tcPr>
            <w:tcW w:w="2880" w:type="dxa"/>
            <w:vAlign w:val="bottom"/>
          </w:tcPr>
          <w:p>
            <w:pPr>
              <w:ind w:left="80"/>
              <w:spacing w:after="0"/>
              <w:rPr>
                <w:sz w:val="20"/>
                <w:szCs w:val="20"/>
                <w:color w:val="auto"/>
              </w:rPr>
            </w:pPr>
            <w:r>
              <w:rPr>
                <w:rFonts w:ascii="Courier New" w:cs="Courier New" w:eastAsia="Courier New" w:hAnsi="Courier New"/>
                <w:sz w:val="12"/>
                <w:szCs w:val="12"/>
                <w:color w:val="auto"/>
              </w:rPr>
              <w:t>Composition:</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6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50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As of December 31, 2007</w:t>
            </w:r>
          </w:p>
        </w:tc>
        <w:tc>
          <w:tcPr>
            <w:tcW w:w="600" w:type="dxa"/>
            <w:vAlign w:val="bottom"/>
          </w:tcPr>
          <w:p>
            <w:pPr>
              <w:spacing w:after="0"/>
              <w:rPr>
                <w:sz w:val="23"/>
                <w:szCs w:val="23"/>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500" w:type="dxa"/>
            <w:vAlign w:val="bottom"/>
            <w:gridSpan w:val="2"/>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500" w:type="dxa"/>
            <w:vAlign w:val="bottom"/>
            <w:gridSpan w:val="2"/>
          </w:tcPr>
          <w:p>
            <w:pPr>
              <w:jc w:val="right"/>
              <w:ind w:right="1101"/>
              <w:spacing w:after="0"/>
              <w:rPr>
                <w:sz w:val="20"/>
                <w:szCs w:val="20"/>
                <w:color w:val="auto"/>
              </w:rPr>
            </w:pPr>
            <w:r>
              <w:rPr>
                <w:rFonts w:ascii="Courier New" w:cs="Courier New" w:eastAsia="Courier New" w:hAnsi="Courier New"/>
                <w:sz w:val="12"/>
                <w:szCs w:val="12"/>
                <w:color w:val="auto"/>
              </w:rPr>
              <w:t>Effective interest</w:t>
            </w: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ind w:left="420"/>
              <w:spacing w:after="0"/>
              <w:rPr>
                <w:sz w:val="20"/>
                <w:szCs w:val="20"/>
                <w:color w:val="auto"/>
              </w:rPr>
            </w:pPr>
            <w:r>
              <w:rPr>
                <w:rFonts w:ascii="Courier New" w:cs="Courier New" w:eastAsia="Courier New" w:hAnsi="Courier New"/>
                <w:sz w:val="12"/>
                <w:szCs w:val="12"/>
                <w:color w:val="auto"/>
              </w:rPr>
              <w:t>rate (*)</w:t>
            </w:r>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r>
      <w:tr>
        <w:trPr>
          <w:trHeight w:val="270"/>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In U.S. Dollar</w:t>
            </w:r>
          </w:p>
        </w:tc>
        <w:tc>
          <w:tcPr>
            <w:tcW w:w="11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5.98%</w:t>
            </w: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$ 288,693</w:t>
            </w:r>
          </w:p>
        </w:tc>
        <w:tc>
          <w:tcPr>
            <w:tcW w:w="600" w:type="dxa"/>
            <w:vAlign w:val="bottom"/>
          </w:tcPr>
          <w:p>
            <w:pPr>
              <w:spacing w:after="0"/>
              <w:rPr>
                <w:sz w:val="23"/>
                <w:szCs w:val="23"/>
                <w:color w:val="auto"/>
              </w:rPr>
            </w:pP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In U.S. Dollar</w:t>
            </w:r>
          </w:p>
        </w:tc>
        <w:tc>
          <w:tcPr>
            <w:tcW w:w="11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5.10%</w:t>
            </w: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80,000</w:t>
            </w:r>
          </w:p>
        </w:tc>
        <w:tc>
          <w:tcPr>
            <w:tcW w:w="600" w:type="dxa"/>
            <w:vAlign w:val="bottom"/>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In U.S. Dollar</w:t>
            </w:r>
          </w:p>
        </w:tc>
        <w:tc>
          <w:tcPr>
            <w:tcW w:w="11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7.88%</w:t>
            </w: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14,000</w:t>
            </w: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w w:val="98"/>
              </w:rPr>
              <w:t>Total long-term debt from Banks- principle amount</w:t>
            </w: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382,693</w:t>
            </w:r>
          </w:p>
        </w:tc>
        <w:tc>
          <w:tcPr>
            <w:tcW w:w="600" w:type="dxa"/>
            <w:vAlign w:val="bottom"/>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Fair value adjustments</w:t>
            </w:r>
          </w:p>
        </w:tc>
        <w:tc>
          <w:tcPr>
            <w:tcW w:w="1160" w:type="dxa"/>
            <w:vAlign w:val="bottom"/>
          </w:tcPr>
          <w:p>
            <w:pPr>
              <w:spacing w:after="0"/>
              <w:rPr>
                <w:sz w:val="11"/>
                <w:szCs w:val="11"/>
                <w:color w:val="auto"/>
              </w:rPr>
            </w:pPr>
          </w:p>
        </w:tc>
        <w:tc>
          <w:tcPr>
            <w:tcW w:w="13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(3,379)</w:t>
            </w: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Total long-term debt from Banks</w:t>
            </w: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$ 379,314</w:t>
            </w: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r>
      <w:tr>
        <w:trPr>
          <w:trHeight w:val="270"/>
        </w:trPr>
        <w:tc>
          <w:tcPr>
            <w:tcW w:w="6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As of December 31, 2006</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w w:val="98"/>
              </w:rPr>
              <w:t>Effective interest</w:t>
            </w: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rate (*)</w:t>
            </w: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In U.S. Dollar</w:t>
            </w:r>
          </w:p>
        </w:tc>
        <w:tc>
          <w:tcPr>
            <w:tcW w:w="1160" w:type="dxa"/>
            <w:vAlign w:val="bottom"/>
          </w:tcPr>
          <w:p>
            <w:pPr>
              <w:spacing w:after="0"/>
              <w:rPr>
                <w:sz w:val="23"/>
                <w:szCs w:val="23"/>
                <w:color w:val="auto"/>
              </w:rPr>
            </w:pPr>
          </w:p>
        </w:tc>
        <w:tc>
          <w:tcPr>
            <w:tcW w:w="13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6.48%</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$288,693</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In U.S. Dollar</w:t>
            </w:r>
          </w:p>
        </w:tc>
        <w:tc>
          <w:tcPr>
            <w:tcW w:w="1160" w:type="dxa"/>
            <w:vAlign w:val="bottom"/>
          </w:tcPr>
          <w:p>
            <w:pPr>
              <w:spacing w:after="0"/>
              <w:rPr>
                <w:sz w:val="11"/>
                <w:szCs w:val="11"/>
                <w:color w:val="auto"/>
              </w:rPr>
            </w:pPr>
          </w:p>
        </w:tc>
        <w:tc>
          <w:tcPr>
            <w:tcW w:w="13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5.10%</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80,000</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In U.S. Dollar</w:t>
            </w: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w w:val="98"/>
              </w:rPr>
              <w:t>Total long-term debt from Banks- principle amount</w:t>
            </w: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368,693</w:t>
            </w:r>
          </w:p>
        </w:tc>
      </w:tr>
      <w:tr>
        <w:trPr>
          <w:trHeight w:val="135"/>
        </w:trPr>
        <w:tc>
          <w:tcPr>
            <w:tcW w:w="4660" w:type="dxa"/>
            <w:vAlign w:val="bottom"/>
            <w:gridSpan w:val="3"/>
          </w:tcPr>
          <w:p>
            <w:pPr>
              <w:spacing w:after="0"/>
              <w:rPr>
                <w:sz w:val="20"/>
                <w:szCs w:val="20"/>
                <w:color w:val="auto"/>
              </w:rPr>
            </w:pPr>
            <w:r>
              <w:rPr>
                <w:rFonts w:ascii="Courier New" w:cs="Courier New" w:eastAsia="Courier New" w:hAnsi="Courier New"/>
                <w:sz w:val="12"/>
                <w:szCs w:val="12"/>
                <w:color w:val="auto"/>
                <w:w w:val="97"/>
              </w:rPr>
              <w:t>Deferred gain on debt restructuring in accordance with SFAS No. 15</w:t>
            </w: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53,622</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Total carrying amount</w:t>
            </w: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422,315</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Embedded feature</w:t>
            </w: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10,115</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Total long-term debt from Banks</w:t>
            </w: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$432,430</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620" w:type="dxa"/>
            <w:vAlign w:val="bottom"/>
          </w:tcPr>
          <w:p>
            <w:pPr>
              <w:ind w:left="340"/>
              <w:spacing w:after="0"/>
              <w:rPr>
                <w:sz w:val="20"/>
                <w:szCs w:val="20"/>
                <w:color w:val="auto"/>
              </w:rPr>
            </w:pPr>
            <w:r>
              <w:rPr>
                <w:rFonts w:ascii="Courier New" w:cs="Courier New" w:eastAsia="Courier New" w:hAnsi="Courier New"/>
                <w:sz w:val="12"/>
                <w:szCs w:val="12"/>
                <w:color w:val="auto"/>
              </w:rPr>
              <w:t>(*)</w:t>
            </w:r>
          </w:p>
        </w:tc>
        <w:tc>
          <w:tcPr>
            <w:tcW w:w="2880" w:type="dxa"/>
            <w:vAlign w:val="bottom"/>
          </w:tcPr>
          <w:p>
            <w:pPr>
              <w:ind w:left="80"/>
              <w:spacing w:after="0"/>
              <w:rPr>
                <w:sz w:val="20"/>
                <w:szCs w:val="20"/>
                <w:color w:val="auto"/>
              </w:rPr>
            </w:pPr>
            <w:r>
              <w:rPr>
                <w:rFonts w:ascii="Courier New" w:cs="Courier New" w:eastAsia="Courier New" w:hAnsi="Courier New"/>
                <w:sz w:val="12"/>
                <w:szCs w:val="12"/>
                <w:color w:val="auto"/>
              </w:rPr>
              <w:t>See E below</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405"/>
        </w:trPr>
        <w:tc>
          <w:tcPr>
            <w:tcW w:w="620" w:type="dxa"/>
            <w:vAlign w:val="bottom"/>
          </w:tcPr>
          <w:p>
            <w:pPr>
              <w:spacing w:after="0"/>
              <w:rPr>
                <w:sz w:val="24"/>
                <w:szCs w:val="24"/>
                <w:color w:val="auto"/>
              </w:rPr>
            </w:pPr>
          </w:p>
        </w:tc>
        <w:tc>
          <w:tcPr>
            <w:tcW w:w="2880" w:type="dxa"/>
            <w:vAlign w:val="bottom"/>
          </w:tcPr>
          <w:p>
            <w:pPr>
              <w:ind w:left="1980"/>
              <w:spacing w:after="0"/>
              <w:rPr>
                <w:sz w:val="20"/>
                <w:szCs w:val="20"/>
                <w:color w:val="auto"/>
              </w:rPr>
            </w:pPr>
            <w:r>
              <w:rPr>
                <w:rFonts w:ascii="Courier New" w:cs="Courier New" w:eastAsia="Courier New" w:hAnsi="Courier New"/>
                <w:sz w:val="12"/>
                <w:szCs w:val="12"/>
                <w:color w:val="auto"/>
              </w:rPr>
              <w:t>F - 18</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LONG-TERM DEBT FROM BANKS (CONT.)</w:t>
      </w:r>
    </w:p>
    <w:p>
      <w:pPr>
        <w:spacing w:after="0" w:line="134" w:lineRule="exact"/>
        <w:rPr>
          <w:sz w:val="20"/>
          <w:szCs w:val="20"/>
          <w:color w:val="auto"/>
        </w:rPr>
      </w:pPr>
    </w:p>
    <w:p>
      <w:pPr>
        <w:ind w:left="700" w:hanging="357"/>
        <w:spacing w:after="0"/>
        <w:tabs>
          <w:tab w:leader="none" w:pos="700"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2001, the Company entered into a Facility Agreement, as amended to date, with two leading Israeli banks ("Banks") entitling the Company to borrow an aggregate, of $500,000 to finance the construction and equipping of Fab 2 ("Facility Agreement"). Of that amount, the Company withdrew an aggregate of $497,000. Under the original terms of the Facility Agreement the loans bore interest at a rate of three-month USD LIBOR plus 1.55% per annum payable at the end of each quarter. The loans were originally to be paid in 12 quarterly installments 3 years from date of each loan drawn down. The loans were subject to certain prepayment provisions. The Facility Agreement was since amended in various instances. Prior to the closing of the September 2006 Amendment, the loans bore interest based on the three-month USD LIBOR rate plus 2.5%. For interest rates following September 2006 Amendment, see below.</w:t>
      </w:r>
    </w:p>
    <w:p>
      <w:pPr>
        <w:spacing w:after="0" w:line="139"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JULY 2005 AMENDMENT - In July 2005, the Company and its Banks entered into a definitive amendment to the Facility Agreement, which closed in August 2005. The Amendment provided, among other things, for the Banks to provide additional financing of up to approximately $30,000, subject to the Company raising through the issuance of shares or convertible debentures $30,000 by March 31, 2006. In connection with the Amendment, The Israel Corporation Ltd ("TIC" or "Equity Investor") and SanDisk Corporation, Alliance Semiconductor Corporation and Macronix International Co. Ltd. (collectively, the "primary Wafer Partners") committed to invest an aggregate of $23,500 towards such funding in the context of a rights offering. Following the satisfaction of all the Company's commitments under the July 2005 Amendment, the Banks provided the Company with $29,693 in additional loans.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LONG-TERM DEBT FROM BANKS (CONT.)</w:t>
      </w:r>
    </w:p>
    <w:p>
      <w:pPr>
        <w:spacing w:after="0" w:line="134" w:lineRule="exact"/>
        <w:rPr>
          <w:sz w:val="20"/>
          <w:szCs w:val="20"/>
          <w:color w:val="auto"/>
        </w:rPr>
      </w:pPr>
    </w:p>
    <w:p>
      <w:pPr>
        <w:ind w:left="700" w:hanging="357"/>
        <w:spacing w:after="0"/>
        <w:tabs>
          <w:tab w:leader="none" w:pos="70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SEPTEMBER 2006 AMENDMENT - As part of the financing for the ramp-up plan, in September 2006, the Company closed a definitive amendment to the Facility Agreement to refinance the approximately $527,000 of long-term debt under its Facility Agreement. Pursuant to the Amendment, among other things: (i) $158,000 of the debt under the Facility Agreement was converted into capital notes of the Company, which notes are convertible into 51,973,684 of the Company's Ordinary Shares, representing twice the average closing price per share during the ten days prior to signing on the Memorandum of Understanding ("MOU") that preceded the final Amendment; (ii) the interest rate applicable for the quarterly actual interest payment on the loans was decreased from three-month USD LIBOR plus 2.5% per annum to three-month USD LIBOR plus 1.1% per annum, effective from May 17, 2006 (the "Decreased Amount"). As compensation for the Decreased Amount and subject to adjustment, in January 2011, the Banks will be issued such number of shares (or equity equivalent capital notes or convertible</w:t>
      </w:r>
    </w:p>
    <w:p>
      <w:pPr>
        <w:sectPr>
          <w:pgSz w:w="11900" w:h="16838" w:orient="portrait"/>
          <w:cols w:equalWidth="0" w:num="1">
            <w:col w:w="10239"/>
          </w:cols>
          <w:pgMar w:left="220" w:top="137" w:right="1440" w:bottom="0" w:gutter="0" w:footer="0" w:header="0"/>
        </w:sectPr>
      </w:pPr>
    </w:p>
    <w:bookmarkStart w:id="11" w:name="page12"/>
    <w:bookmarkEnd w:id="11"/>
    <w:p>
      <w:pPr>
        <w:ind w:left="700"/>
        <w:spacing w:after="0"/>
        <w:rPr>
          <w:sz w:val="20"/>
          <w:szCs w:val="20"/>
          <w:color w:val="auto"/>
        </w:rPr>
      </w:pPr>
      <w:r>
        <w:rPr>
          <w:rFonts w:ascii="Courier New" w:cs="Courier New" w:eastAsia="Courier New" w:hAnsi="Courier New"/>
          <w:sz w:val="12"/>
          <w:szCs w:val="12"/>
          <w:color w:val="auto"/>
        </w:rPr>
        <w:t>debentures) that equals the Decreased Amount divided by the average</w:t>
      </w:r>
    </w:p>
    <w:p>
      <w:pPr>
        <w:ind w:left="700"/>
        <w:spacing w:after="0"/>
        <w:rPr>
          <w:sz w:val="20"/>
          <w:szCs w:val="20"/>
          <w:color w:val="auto"/>
        </w:rPr>
      </w:pPr>
      <w:r>
        <w:rPr>
          <w:rFonts w:ascii="Courier New" w:cs="Courier New" w:eastAsia="Courier New" w:hAnsi="Courier New"/>
          <w:sz w:val="12"/>
          <w:szCs w:val="12"/>
          <w:color w:val="auto"/>
        </w:rPr>
        <w:t>closing price of the Company's Ordinary Shares during the fourth</w:t>
      </w:r>
    </w:p>
    <w:p>
      <w:pPr>
        <w:ind w:left="700"/>
        <w:spacing w:after="0" w:line="237" w:lineRule="auto"/>
        <w:rPr>
          <w:sz w:val="20"/>
          <w:szCs w:val="20"/>
          <w:color w:val="auto"/>
        </w:rPr>
      </w:pPr>
      <w:r>
        <w:rPr>
          <w:rFonts w:ascii="Courier New" w:cs="Courier New" w:eastAsia="Courier New" w:hAnsi="Courier New"/>
          <w:sz w:val="12"/>
          <w:szCs w:val="12"/>
          <w:color w:val="auto"/>
        </w:rPr>
        <w:t>quarter of 2010 (the "Fourth Quarter 2010 Price"). If during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second half of 2010, the closing price of Company's Ordinary Shares on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every trading day during this period exceeds $3.49, then the Banks</w:t>
      </w:r>
    </w:p>
    <w:p>
      <w:pPr>
        <w:ind w:left="700"/>
        <w:spacing w:after="0"/>
        <w:rPr>
          <w:sz w:val="20"/>
          <w:szCs w:val="20"/>
          <w:color w:val="auto"/>
        </w:rPr>
      </w:pPr>
      <w:r>
        <w:rPr>
          <w:rFonts w:ascii="Courier New" w:cs="Courier New" w:eastAsia="Courier New" w:hAnsi="Courier New"/>
          <w:sz w:val="12"/>
          <w:szCs w:val="12"/>
          <w:color w:val="auto"/>
        </w:rPr>
        <w:t>will only be granted such number of shares (or equity equivalent</w:t>
      </w:r>
    </w:p>
    <w:p>
      <w:pPr>
        <w:ind w:left="700"/>
        <w:spacing w:after="0" w:line="237" w:lineRule="auto"/>
        <w:rPr>
          <w:sz w:val="20"/>
          <w:szCs w:val="20"/>
          <w:color w:val="auto"/>
        </w:rPr>
      </w:pPr>
      <w:r>
        <w:rPr>
          <w:rFonts w:ascii="Courier New" w:cs="Courier New" w:eastAsia="Courier New" w:hAnsi="Courier New"/>
          <w:sz w:val="12"/>
          <w:szCs w:val="12"/>
          <w:color w:val="auto"/>
        </w:rPr>
        <w:t>capital notes or convertible debentures) that equals half of the</w:t>
      </w:r>
    </w:p>
    <w:p>
      <w:pPr>
        <w:ind w:left="700"/>
        <w:spacing w:after="0"/>
        <w:rPr>
          <w:sz w:val="20"/>
          <w:szCs w:val="20"/>
          <w:color w:val="auto"/>
        </w:rPr>
      </w:pPr>
      <w:r>
        <w:rPr>
          <w:rFonts w:ascii="Courier New" w:cs="Courier New" w:eastAsia="Courier New" w:hAnsi="Courier New"/>
          <w:sz w:val="12"/>
          <w:szCs w:val="12"/>
          <w:color w:val="auto"/>
        </w:rPr>
        <w:t>Decreased Amount divided by the Fourth Quarter 2010 Price. If during</w:t>
      </w:r>
    </w:p>
    <w:p>
      <w:pPr>
        <w:ind w:left="700"/>
        <w:spacing w:after="0" w:line="237" w:lineRule="auto"/>
        <w:rPr>
          <w:sz w:val="20"/>
          <w:szCs w:val="20"/>
          <w:color w:val="auto"/>
        </w:rPr>
      </w:pPr>
      <w:r>
        <w:rPr>
          <w:rFonts w:ascii="Courier New" w:cs="Courier New" w:eastAsia="Courier New" w:hAnsi="Courier New"/>
          <w:sz w:val="12"/>
          <w:szCs w:val="12"/>
          <w:color w:val="auto"/>
        </w:rPr>
        <w:t>the period ending December 31, 2010, the Banks sell a portion of the</w:t>
      </w:r>
    </w:p>
    <w:p>
      <w:pPr>
        <w:ind w:left="700"/>
        <w:spacing w:after="0"/>
        <w:rPr>
          <w:sz w:val="20"/>
          <w:szCs w:val="20"/>
          <w:color w:val="auto"/>
        </w:rPr>
      </w:pPr>
      <w:r>
        <w:rPr>
          <w:rFonts w:ascii="Courier New" w:cs="Courier New" w:eastAsia="Courier New" w:hAnsi="Courier New"/>
          <w:sz w:val="12"/>
          <w:szCs w:val="12"/>
          <w:color w:val="auto"/>
        </w:rPr>
        <w:t>capital notes or shares issuable upon the conversion of the capital</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notes described in (i) above, at a price per share in excess of $3.49,</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then the consideration payable for the interest rate reduction will be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reduced proportionately. The amounts payable in securities of the</w:t>
      </w:r>
    </w:p>
    <w:p>
      <w:pPr>
        <w:ind w:left="700"/>
        <w:spacing w:after="0"/>
        <w:rPr>
          <w:sz w:val="20"/>
          <w:szCs w:val="20"/>
          <w:color w:val="auto"/>
        </w:rPr>
      </w:pPr>
      <w:r>
        <w:rPr>
          <w:rFonts w:ascii="Courier New" w:cs="Courier New" w:eastAsia="Courier New" w:hAnsi="Courier New"/>
          <w:sz w:val="12"/>
          <w:szCs w:val="12"/>
          <w:color w:val="auto"/>
        </w:rPr>
        <w:t>Company may be payable in cash under certain circumstances and the</w:t>
      </w:r>
    </w:p>
    <w:p>
      <w:pPr>
        <w:ind w:left="700"/>
        <w:spacing w:after="0" w:line="237" w:lineRule="auto"/>
        <w:rPr>
          <w:sz w:val="20"/>
          <w:szCs w:val="20"/>
          <w:color w:val="auto"/>
        </w:rPr>
      </w:pPr>
      <w:r>
        <w:rPr>
          <w:rFonts w:ascii="Courier New" w:cs="Courier New" w:eastAsia="Courier New" w:hAnsi="Courier New"/>
          <w:sz w:val="12"/>
          <w:szCs w:val="12"/>
          <w:color w:val="auto"/>
        </w:rPr>
        <w:t>Decreased Amount may be reduced in the event the Company prepays any</w:t>
      </w:r>
    </w:p>
    <w:p>
      <w:pPr>
        <w:ind w:left="700"/>
        <w:spacing w:after="0"/>
        <w:rPr>
          <w:sz w:val="20"/>
          <w:szCs w:val="20"/>
          <w:color w:val="auto"/>
        </w:rPr>
      </w:pPr>
      <w:r>
        <w:rPr>
          <w:rFonts w:ascii="Courier New" w:cs="Courier New" w:eastAsia="Courier New" w:hAnsi="Courier New"/>
          <w:sz w:val="12"/>
          <w:szCs w:val="12"/>
          <w:color w:val="auto"/>
        </w:rPr>
        <w:t>part of the outstanding loans; (iii) the commencement date for the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repayment of the outstanding loans, which following the conversion are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approximately $369,000, was postponed from July 2007 to September</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2009, such that the outstanding loans shall be repaid in 12 quarterly</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installments between September 2009 and June 2012; (iv) the exercise</w:t>
      </w:r>
    </w:p>
    <w:p>
      <w:pPr>
        <w:ind w:left="700"/>
        <w:spacing w:after="0"/>
        <w:rPr>
          <w:sz w:val="20"/>
          <w:szCs w:val="20"/>
          <w:color w:val="auto"/>
        </w:rPr>
      </w:pPr>
      <w:r>
        <w:rPr>
          <w:rFonts w:ascii="Courier New" w:cs="Courier New" w:eastAsia="Courier New" w:hAnsi="Courier New"/>
          <w:sz w:val="12"/>
          <w:szCs w:val="12"/>
          <w:color w:val="auto"/>
        </w:rPr>
        <w:t>periods of the warrants held by the Banks immediately prior to the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signing of the September 2006 Amendment, were extended such that they</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are exercisable until September 2011, see also Note 14B(5)(a); and (v)</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financial ratios and covenants that the Company is to satisfy were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revised to be inline with the Company's working plan as of the time of</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Amendment.</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SEPTEMBER 2007 CREDIT LINE AGREEMENTS WITH THE BANKS AND TIC AND</w:t>
      </w:r>
    </w:p>
    <w:p>
      <w:pPr>
        <w:ind w:left="700"/>
        <w:spacing w:after="0"/>
        <w:rPr>
          <w:sz w:val="20"/>
          <w:szCs w:val="20"/>
          <w:color w:val="auto"/>
        </w:rPr>
      </w:pPr>
      <w:r>
        <w:rPr>
          <w:rFonts w:ascii="Courier New" w:cs="Courier New" w:eastAsia="Courier New" w:hAnsi="Courier New"/>
          <w:sz w:val="12"/>
          <w:szCs w:val="12"/>
          <w:color w:val="auto"/>
        </w:rPr>
        <w:t>SEPTEMBER 2007 AMENDMENT - In September 2007, the Company signed and</w:t>
      </w:r>
    </w:p>
    <w:p>
      <w:pPr>
        <w:ind w:left="700"/>
        <w:spacing w:after="0" w:line="237" w:lineRule="auto"/>
        <w:rPr>
          <w:sz w:val="20"/>
          <w:szCs w:val="20"/>
          <w:color w:val="auto"/>
        </w:rPr>
      </w:pPr>
      <w:r>
        <w:rPr>
          <w:rFonts w:ascii="Courier New" w:cs="Courier New" w:eastAsia="Courier New" w:hAnsi="Courier New"/>
          <w:sz w:val="12"/>
          <w:szCs w:val="12"/>
          <w:color w:val="auto"/>
        </w:rPr>
        <w:t>closed definitive agreements with the Banks and with TIC, providing</w:t>
      </w:r>
    </w:p>
    <w:p>
      <w:pPr>
        <w:ind w:left="700"/>
        <w:spacing w:after="0"/>
        <w:rPr>
          <w:sz w:val="20"/>
          <w:szCs w:val="20"/>
          <w:color w:val="auto"/>
        </w:rPr>
      </w:pPr>
      <w:r>
        <w:rPr>
          <w:rFonts w:ascii="Courier New" w:cs="Courier New" w:eastAsia="Courier New" w:hAnsi="Courier New"/>
          <w:sz w:val="12"/>
          <w:szCs w:val="12"/>
          <w:color w:val="auto"/>
        </w:rPr>
        <w:t>for credit lines totaling up to $60,000, 25% of which from each Bank</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and 50% from TIC, to be used for the funding of equipment required for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 ramp up plan in Fab 2 to increase its capacity to beyond 24,000</w:t>
      </w:r>
    </w:p>
    <w:p>
      <w:pPr>
        <w:ind w:left="700"/>
        <w:spacing w:after="0"/>
        <w:rPr>
          <w:sz w:val="20"/>
          <w:szCs w:val="20"/>
          <w:color w:val="auto"/>
        </w:rPr>
      </w:pPr>
      <w:r>
        <w:rPr>
          <w:rFonts w:ascii="Courier New" w:cs="Courier New" w:eastAsia="Courier New" w:hAnsi="Courier New"/>
          <w:sz w:val="12"/>
          <w:szCs w:val="12"/>
          <w:color w:val="auto"/>
        </w:rPr>
        <w:t>wafers per month. As of December 31, 2007, $28,000 had been borrowed</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under these credit lines and an additional $32,000 was borrowed during</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January 2008, each drawdown comprised of 25% from each bank and 50%</w:t>
      </w:r>
    </w:p>
    <w:p>
      <w:pPr>
        <w:ind w:left="700"/>
        <w:spacing w:after="0"/>
        <w:rPr>
          <w:sz w:val="20"/>
          <w:szCs w:val="20"/>
          <w:color w:val="auto"/>
        </w:rPr>
      </w:pPr>
      <w:r>
        <w:rPr>
          <w:rFonts w:ascii="Courier New" w:cs="Courier New" w:eastAsia="Courier New" w:hAnsi="Courier New"/>
          <w:sz w:val="12"/>
          <w:szCs w:val="12"/>
          <w:color w:val="auto"/>
        </w:rPr>
        <w:t>from TIC. Loans under the credit lines are bearing interest at an</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annual rate of three-month USD LIBOR plus 3% and are repayable 2 years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from the date any loan was borrowed. The Company paid the Banks and</w:t>
      </w:r>
    </w:p>
    <w:p>
      <w:pPr>
        <w:ind w:left="700"/>
        <w:spacing w:after="0"/>
        <w:rPr>
          <w:sz w:val="20"/>
          <w:szCs w:val="20"/>
          <w:color w:val="auto"/>
        </w:rPr>
      </w:pPr>
      <w:r>
        <w:rPr>
          <w:rFonts w:ascii="Courier New" w:cs="Courier New" w:eastAsia="Courier New" w:hAnsi="Courier New"/>
          <w:sz w:val="12"/>
          <w:szCs w:val="12"/>
          <w:color w:val="auto"/>
        </w:rPr>
        <w:t>TIC customary fees. For details regarding 5,411,764 warrants granted</w:t>
      </w:r>
    </w:p>
    <w:p>
      <w:pPr>
        <w:ind w:left="700"/>
        <w:spacing w:after="0" w:line="237" w:lineRule="auto"/>
        <w:rPr>
          <w:sz w:val="20"/>
          <w:szCs w:val="20"/>
          <w:color w:val="auto"/>
        </w:rPr>
      </w:pPr>
      <w:r>
        <w:rPr>
          <w:rFonts w:ascii="Courier New" w:cs="Courier New" w:eastAsia="Courier New" w:hAnsi="Courier New"/>
          <w:sz w:val="12"/>
          <w:szCs w:val="12"/>
          <w:color w:val="auto"/>
        </w:rPr>
        <w:t>to the Banks and TIC in connection with this agreement, see Note</w:t>
      </w:r>
    </w:p>
    <w:p>
      <w:pPr>
        <w:ind w:left="700"/>
        <w:spacing w:after="0"/>
        <w:rPr>
          <w:sz w:val="20"/>
          <w:szCs w:val="20"/>
          <w:color w:val="auto"/>
        </w:rPr>
      </w:pPr>
      <w:r>
        <w:rPr>
          <w:rFonts w:ascii="Courier New" w:cs="Courier New" w:eastAsia="Courier New" w:hAnsi="Courier New"/>
          <w:sz w:val="12"/>
          <w:szCs w:val="12"/>
          <w:color w:val="auto"/>
        </w:rPr>
        <w:t>14B(5). Further, in September 2007, the Company signed and closed a</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definitive amendment to the Facility Agreement to mainly reflect into</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it the Credit Line Agreements described above and to revise the</w:t>
      </w:r>
    </w:p>
    <w:p>
      <w:pPr>
        <w:ind w:left="700"/>
        <w:spacing w:after="0"/>
        <w:rPr>
          <w:sz w:val="20"/>
          <w:szCs w:val="20"/>
          <w:color w:val="auto"/>
        </w:rPr>
      </w:pPr>
      <w:r>
        <w:rPr>
          <w:rFonts w:ascii="Courier New" w:cs="Courier New" w:eastAsia="Courier New" w:hAnsi="Courier New"/>
          <w:sz w:val="12"/>
          <w:szCs w:val="12"/>
          <w:color w:val="auto"/>
        </w:rPr>
        <w:t>financial ratios and covenants that the Company is to satisfy to be</w:t>
      </w:r>
    </w:p>
    <w:p>
      <w:pPr>
        <w:ind w:left="700"/>
        <w:spacing w:after="0" w:line="237" w:lineRule="auto"/>
        <w:rPr>
          <w:sz w:val="20"/>
          <w:szCs w:val="20"/>
          <w:color w:val="auto"/>
        </w:rPr>
      </w:pPr>
      <w:r>
        <w:rPr>
          <w:rFonts w:ascii="Courier New" w:cs="Courier New" w:eastAsia="Courier New" w:hAnsi="Courier New"/>
          <w:sz w:val="12"/>
          <w:szCs w:val="12"/>
          <w:color w:val="auto"/>
        </w:rPr>
        <w:t>inline with the Company's working plan as of the time of the</w:t>
      </w:r>
    </w:p>
    <w:p>
      <w:pPr>
        <w:ind w:left="700"/>
        <w:spacing w:after="0"/>
        <w:rPr>
          <w:sz w:val="20"/>
          <w:szCs w:val="20"/>
          <w:color w:val="auto"/>
        </w:rPr>
      </w:pPr>
      <w:r>
        <w:rPr>
          <w:rFonts w:ascii="Courier New" w:cs="Courier New" w:eastAsia="Courier New" w:hAnsi="Courier New"/>
          <w:sz w:val="12"/>
          <w:szCs w:val="12"/>
          <w:color w:val="auto"/>
        </w:rPr>
        <w:t>Amendment.</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LONG-TERM DEBT FROM BANKS (CONT.)</w:t>
      </w:r>
    </w:p>
    <w:p>
      <w:pPr>
        <w:spacing w:after="0" w:line="134" w:lineRule="exact"/>
        <w:rPr>
          <w:sz w:val="20"/>
          <w:szCs w:val="20"/>
          <w:color w:val="auto"/>
        </w:rPr>
      </w:pPr>
    </w:p>
    <w:p>
      <w:pPr>
        <w:ind w:left="700" w:hanging="357"/>
        <w:spacing w:after="0"/>
        <w:tabs>
          <w:tab w:leader="none" w:pos="70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34"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FOR THE LOANS UNDER THE FACILITY AGREEMENT</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Loans received under the Facility Agreement, as amended to date, are presented commencing January 1, 2007 at fair value, with changes in value reflected on the statement of operations, following an election under FASB No. 159 "The Fair Value Option for Financial Assets and Financial Liabilities". Such loans bear interest based on the three-month USD LIBOR rate plus 1.1%, effective from May 17, 2006. Prior to the fair value election, in 2006, the loans under the Amendment of September 2006 was treated as a troubled debt restructuring within the scope of FASB No. 15 which required the following: (i) the amount considered settled for shares and classified in equity is based on the price per share as quoted at the closing date; (ii) the remaining balance after deduction of the amount used as proceeds for the shares issuance in (i) above, will remain outstanding; (iii) a new, lower effective interest rate will be calculated as the interest rate that equates future payments to the outstanding balance; and (iv) no gains or losses are recognized in the current period.</w:t>
      </w:r>
    </w:p>
    <w:p>
      <w:pPr>
        <w:spacing w:after="0" w:line="140"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obligation to issue additional securities of the Company in January 2011 under the restructuring in September 2006 Amendment as compensation to the Decreased Amount, is considered to include an embedded derivative that should be separately accounted for. The Company considered the obligation to issue shares as agreed with the Banks and determined that it contains two components: (i) a contingent component and (ii) an uncontingent component. The contingent component is the obligation to issue shares equal to half of the amount of the Decreased Amount if the Fourth Quarter 2010 Price is less than $3.49. The uncontingent component is the obligation to issue shares equal to half of the Decreased Amount regardless of the Fourth Quarter 2010 Price. The Company accounted for the uncontingent component as an additional interest expense and calculated the effective interest rate to include such expense. The Company treated the uncontingent component as an embedded derivative that needs to be bifurcated and separately accounted for based on fair value. Initial separation of the embedded derivative will be done using the "with and without" method described in DIG Issue B6. Changes in the fair value of the embedded derivative will be included in financing expenses.</w:t>
      </w:r>
    </w:p>
    <w:p>
      <w:pPr>
        <w:spacing w:after="0" w:line="262"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first quarter of 2007, the Company adopted the provisions of SFAS No. 159. As required by such Standard the Company also adopted the provisions of FASB 157 FAIR VALUE MEASUREMENTS. The adoption of the Standard is effective January 1, 2007. According to the Standard the Company can choose to carry at fair value eligible items as defined in the Standard, from the date of early adoption and accordingly the Company decided to apply the fair value option to the Facility Agreement.</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- 21</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LONG-TERM DEBT FROM BANKS (CONT.)</w:t>
      </w:r>
    </w:p>
    <w:p>
      <w:pPr>
        <w:spacing w:after="0" w:line="134" w:lineRule="exact"/>
        <w:rPr>
          <w:sz w:val="20"/>
          <w:szCs w:val="20"/>
          <w:color w:val="auto"/>
        </w:rPr>
      </w:pPr>
    </w:p>
    <w:p>
      <w:pPr>
        <w:ind w:left="700" w:hanging="357"/>
        <w:spacing w:after="0"/>
        <w:tabs>
          <w:tab w:leader="none" w:pos="700"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ectPr>
          <w:pgSz w:w="11900" w:h="16838" w:orient="portrait"/>
          <w:cols w:equalWidth="0" w:num="1">
            <w:col w:w="10239"/>
          </w:cols>
          <w:pgMar w:left="220" w:top="137" w:right="1440" w:bottom="0" w:gutter="0" w:footer="0" w:header="0"/>
        </w:sectPr>
      </w:pPr>
    </w:p>
    <w:bookmarkStart w:id="12" w:name="page13"/>
    <w:bookmarkEnd w:id="12"/>
    <w:p>
      <w:pPr>
        <w:ind w:left="700"/>
        <w:spacing w:after="0"/>
        <w:rPr>
          <w:sz w:val="20"/>
          <w:szCs w:val="20"/>
          <w:color w:val="auto"/>
        </w:rPr>
      </w:pPr>
      <w:r>
        <w:rPr>
          <w:rFonts w:ascii="Courier New" w:cs="Courier New" w:eastAsia="Courier New" w:hAnsi="Courier New"/>
          <w:sz w:val="12"/>
          <w:szCs w:val="12"/>
          <w:color w:val="auto"/>
        </w:rPr>
        <w:t>ACCOUNTING FOR THE LOANS UNDER THE FACILITY AGREEMENT (CONT.)</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effect of the election of fair value option to the Facility</w:t>
      </w:r>
    </w:p>
    <w:p>
      <w:pPr>
        <w:ind w:left="700"/>
        <w:spacing w:after="0"/>
        <w:rPr>
          <w:sz w:val="20"/>
          <w:szCs w:val="20"/>
          <w:color w:val="auto"/>
        </w:rPr>
      </w:pPr>
      <w:r>
        <w:rPr>
          <w:rFonts w:ascii="Courier New" w:cs="Courier New" w:eastAsia="Courier New" w:hAnsi="Courier New"/>
          <w:sz w:val="12"/>
          <w:szCs w:val="12"/>
          <w:color w:val="auto"/>
        </w:rPr>
        <w:t>Agreement as of January 1, 2007 was a gain of $65,207 which has been</w:t>
      </w:r>
    </w:p>
    <w:p>
      <w:pPr>
        <w:ind w:left="700"/>
        <w:spacing w:after="0" w:line="237" w:lineRule="auto"/>
        <w:rPr>
          <w:sz w:val="20"/>
          <w:szCs w:val="20"/>
          <w:color w:val="auto"/>
        </w:rPr>
      </w:pPr>
      <w:r>
        <w:rPr>
          <w:rFonts w:ascii="Courier New" w:cs="Courier New" w:eastAsia="Courier New" w:hAnsi="Courier New"/>
          <w:sz w:val="12"/>
          <w:szCs w:val="12"/>
          <w:color w:val="auto"/>
        </w:rPr>
        <w:t>recorded as a cumulative effect adjustment to retained loss (no tax</w:t>
      </w:r>
    </w:p>
    <w:p>
      <w:pPr>
        <w:ind w:left="700"/>
        <w:spacing w:after="0"/>
        <w:rPr>
          <w:sz w:val="20"/>
          <w:szCs w:val="20"/>
          <w:color w:val="auto"/>
        </w:rPr>
      </w:pPr>
      <w:r>
        <w:rPr>
          <w:rFonts w:ascii="Courier New" w:cs="Courier New" w:eastAsia="Courier New" w:hAnsi="Courier New"/>
          <w:sz w:val="12"/>
          <w:szCs w:val="12"/>
          <w:color w:val="auto"/>
        </w:rPr>
        <w:t>effects have been recorded). The carrying amount of the Facility</w:t>
      </w:r>
    </w:p>
    <w:p>
      <w:pPr>
        <w:ind w:left="700"/>
        <w:spacing w:after="0" w:line="237" w:lineRule="auto"/>
        <w:rPr>
          <w:sz w:val="20"/>
          <w:szCs w:val="20"/>
          <w:color w:val="auto"/>
        </w:rPr>
      </w:pPr>
      <w:r>
        <w:rPr>
          <w:rFonts w:ascii="Courier New" w:cs="Courier New" w:eastAsia="Courier New" w:hAnsi="Courier New"/>
          <w:sz w:val="12"/>
          <w:szCs w:val="12"/>
          <w:color w:val="auto"/>
        </w:rPr>
        <w:t>Agreement prior to the adoption was $432,430 and immediately after was</w:t>
      </w:r>
    </w:p>
    <w:p>
      <w:pPr>
        <w:ind w:left="700"/>
        <w:spacing w:after="0"/>
        <w:rPr>
          <w:sz w:val="20"/>
          <w:szCs w:val="20"/>
          <w:color w:val="auto"/>
        </w:rPr>
      </w:pPr>
      <w:r>
        <w:rPr>
          <w:rFonts w:ascii="Courier New" w:cs="Courier New" w:eastAsia="Courier New" w:hAnsi="Courier New"/>
          <w:sz w:val="12"/>
          <w:szCs w:val="12"/>
          <w:color w:val="auto"/>
        </w:rPr>
        <w:t>$367,223. The Company reasoned it election of the fair value option</w:t>
      </w:r>
    </w:p>
    <w:p>
      <w:pPr>
        <w:ind w:left="700"/>
        <w:spacing w:after="0" w:line="237" w:lineRule="auto"/>
        <w:rPr>
          <w:sz w:val="20"/>
          <w:szCs w:val="20"/>
          <w:color w:val="auto"/>
        </w:rPr>
      </w:pPr>
      <w:r>
        <w:rPr>
          <w:rFonts w:ascii="Courier New" w:cs="Courier New" w:eastAsia="Courier New" w:hAnsi="Courier New"/>
          <w:sz w:val="12"/>
          <w:szCs w:val="12"/>
          <w:color w:val="auto"/>
        </w:rPr>
        <w:t>for the Facility Agreement on the fact that the application of</w:t>
      </w:r>
    </w:p>
    <w:p>
      <w:pPr>
        <w:ind w:left="700"/>
        <w:spacing w:after="0"/>
        <w:rPr>
          <w:sz w:val="20"/>
          <w:szCs w:val="20"/>
          <w:color w:val="auto"/>
        </w:rPr>
      </w:pPr>
      <w:r>
        <w:rPr>
          <w:rFonts w:ascii="Courier New" w:cs="Courier New" w:eastAsia="Courier New" w:hAnsi="Courier New"/>
          <w:sz w:val="12"/>
          <w:szCs w:val="12"/>
          <w:color w:val="auto"/>
        </w:rPr>
        <w:t>previous GAAP prescribed in FASB 15 Accounting by Debtors and</w:t>
      </w:r>
    </w:p>
    <w:p>
      <w:pPr>
        <w:ind w:left="700"/>
        <w:spacing w:after="0" w:line="237" w:lineRule="auto"/>
        <w:rPr>
          <w:sz w:val="20"/>
          <w:szCs w:val="20"/>
          <w:color w:val="auto"/>
        </w:rPr>
      </w:pPr>
      <w:r>
        <w:rPr>
          <w:rFonts w:ascii="Courier New" w:cs="Courier New" w:eastAsia="Courier New" w:hAnsi="Courier New"/>
          <w:sz w:val="12"/>
          <w:szCs w:val="12"/>
          <w:color w:val="auto"/>
        </w:rPr>
        <w:t>Creditors for Troubled Debt Restructurings to the Facility Agreement</w:t>
      </w:r>
    </w:p>
    <w:p>
      <w:pPr>
        <w:ind w:left="700"/>
        <w:spacing w:after="0"/>
        <w:rPr>
          <w:sz w:val="20"/>
          <w:szCs w:val="20"/>
          <w:color w:val="auto"/>
        </w:rPr>
      </w:pPr>
      <w:r>
        <w:rPr>
          <w:rFonts w:ascii="Courier New" w:cs="Courier New" w:eastAsia="Courier New" w:hAnsi="Courier New"/>
          <w:sz w:val="12"/>
          <w:szCs w:val="12"/>
          <w:color w:val="auto"/>
        </w:rPr>
        <w:t>did not reflect the economic benefits that were achieved with the</w:t>
      </w:r>
    </w:p>
    <w:p>
      <w:pPr>
        <w:ind w:left="700"/>
        <w:spacing w:after="0" w:line="237" w:lineRule="auto"/>
        <w:rPr>
          <w:sz w:val="20"/>
          <w:szCs w:val="20"/>
          <w:color w:val="auto"/>
        </w:rPr>
      </w:pPr>
      <w:r>
        <w:rPr>
          <w:rFonts w:ascii="Courier New" w:cs="Courier New" w:eastAsia="Courier New" w:hAnsi="Courier New"/>
          <w:sz w:val="12"/>
          <w:szCs w:val="12"/>
          <w:color w:val="auto"/>
        </w:rPr>
        <w:t>consummation of the Amendment to the Facility Agreement and that the</w:t>
      </w:r>
    </w:p>
    <w:p>
      <w:pPr>
        <w:ind w:left="700"/>
        <w:spacing w:after="0"/>
        <w:rPr>
          <w:sz w:val="20"/>
          <w:szCs w:val="20"/>
          <w:color w:val="auto"/>
        </w:rPr>
      </w:pPr>
      <w:r>
        <w:rPr>
          <w:rFonts w:ascii="Courier New" w:cs="Courier New" w:eastAsia="Courier New" w:hAnsi="Courier New"/>
          <w:sz w:val="12"/>
          <w:szCs w:val="12"/>
          <w:color w:val="auto"/>
        </w:rPr>
        <w:t>application of the fair value better reflects such benefits. For fair</w:t>
      </w:r>
    </w:p>
    <w:p>
      <w:pPr>
        <w:ind w:left="700"/>
        <w:spacing w:after="0" w:line="237" w:lineRule="auto"/>
        <w:rPr>
          <w:sz w:val="20"/>
          <w:szCs w:val="20"/>
          <w:color w:val="auto"/>
        </w:rPr>
      </w:pPr>
      <w:r>
        <w:rPr>
          <w:rFonts w:ascii="Courier New" w:cs="Courier New" w:eastAsia="Courier New" w:hAnsi="Courier New"/>
          <w:sz w:val="12"/>
          <w:szCs w:val="12"/>
          <w:color w:val="auto"/>
        </w:rPr>
        <w:t>value measurement, see Note 11D below.</w:t>
      </w:r>
    </w:p>
    <w:p>
      <w:pPr>
        <w:spacing w:after="0" w:line="135" w:lineRule="exact"/>
        <w:rPr>
          <w:sz w:val="20"/>
          <w:szCs w:val="20"/>
          <w:color w:val="auto"/>
        </w:rPr>
      </w:pPr>
    </w:p>
    <w:p>
      <w:pPr>
        <w:ind w:left="700" w:hanging="357"/>
        <w:spacing w:after="0"/>
        <w:tabs>
          <w:tab w:leader="none" w:pos="700"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REPAYMENT SCHEDULE</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principle amount of the long-term debt as of December 31, 2007 is</w:t>
      </w:r>
    </w:p>
    <w:p>
      <w:pPr>
        <w:ind w:left="700"/>
        <w:spacing w:after="0"/>
        <w:rPr>
          <w:sz w:val="20"/>
          <w:szCs w:val="20"/>
          <w:color w:val="auto"/>
        </w:rPr>
      </w:pPr>
      <w:r>
        <w:rPr>
          <w:rFonts w:ascii="Courier New" w:cs="Courier New" w:eastAsia="Courier New" w:hAnsi="Courier New"/>
          <w:sz w:val="12"/>
          <w:szCs w:val="12"/>
          <w:color w:val="auto"/>
        </w:rPr>
        <w:t>repayable as follows:</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36"/>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0"/>
              </w:rPr>
              <w:t>2009</w:t>
            </w:r>
          </w:p>
        </w:tc>
        <w:tc>
          <w:tcPr>
            <w:tcW w:w="1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$ 75,449</w:t>
            </w:r>
          </w:p>
        </w:tc>
      </w:tr>
      <w:tr>
        <w:trPr>
          <w:trHeight w:val="135"/>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0"/>
              </w:rPr>
              <w:t>2010</w:t>
            </w:r>
          </w:p>
        </w:tc>
        <w:tc>
          <w:tcPr>
            <w:tcW w:w="1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122,898</w:t>
            </w:r>
          </w:p>
        </w:tc>
      </w:tr>
      <w:tr>
        <w:trPr>
          <w:trHeight w:val="135"/>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0"/>
              </w:rPr>
              <w:t>2011</w:t>
            </w:r>
          </w:p>
        </w:tc>
        <w:tc>
          <w:tcPr>
            <w:tcW w:w="1220" w:type="dxa"/>
            <w:vAlign w:val="bottom"/>
          </w:tcPr>
          <w:p>
            <w:pPr>
              <w:ind w:left="20"/>
              <w:spacing w:after="0"/>
              <w:rPr>
                <w:sz w:val="20"/>
                <w:szCs w:val="20"/>
                <w:color w:val="auto"/>
              </w:rPr>
            </w:pPr>
            <w:r>
              <w:rPr>
                <w:rFonts w:ascii="Courier New" w:cs="Courier New" w:eastAsia="Courier New" w:hAnsi="Courier New"/>
                <w:sz w:val="12"/>
                <w:szCs w:val="12"/>
                <w:color w:val="auto"/>
              </w:rPr>
              <w:t>and thereafter</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184,346</w:t>
            </w:r>
          </w:p>
        </w:tc>
      </w:tr>
      <w:tr>
        <w:trPr>
          <w:trHeight w:val="135"/>
        </w:trPr>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$382,693</w:t>
            </w:r>
          </w:p>
        </w:tc>
      </w:tr>
      <w:tr>
        <w:trPr>
          <w:trHeight w:val="135"/>
        </w:trPr>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00" w:right="4619" w:hanging="357"/>
        <w:spacing w:after="0" w:line="262" w:lineRule="auto"/>
        <w:tabs>
          <w:tab w:leader="none" w:pos="700"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Facility Agreement with the Banks restricts the Company's ability to place liens on its assets (other than to the State of Israel in respect of investment grants - see Note 13A(7), to Siliconix - see Note 13D(1) and to SanDisk - see Note 13D(2)), without the prior consent of the Banks. Furthermore, the agreements contain certain restrictive financial ratios and covenants. For further details concerning the Facility Agreement and its amendments, see Note 13A(6).</w:t>
      </w:r>
    </w:p>
    <w:p>
      <w:pPr>
        <w:spacing w:after="0" w:line="128" w:lineRule="exact"/>
        <w:rPr>
          <w:rFonts w:ascii="Courier New" w:cs="Courier New" w:eastAsia="Courier New" w:hAnsi="Courier New"/>
          <w:sz w:val="11"/>
          <w:szCs w:val="11"/>
          <w:color w:val="auto"/>
        </w:rPr>
      </w:pPr>
    </w:p>
    <w:p>
      <w:pPr>
        <w:ind w:left="700" w:right="4619" w:hanging="357"/>
        <w:spacing w:after="0" w:line="237" w:lineRule="auto"/>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effective interest rate as of December 31, 2007 and 2006 of loans, the amount of which as of such dates was $80,000 and $207,000, includes the terms of the collar agreements with knock-out and knock-in features described in Note 11A. Interest is payable at the end of each quarter.</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10 - DEBENTURES</w:t>
      </w:r>
    </w:p>
    <w:p>
      <w:pPr>
        <w:spacing w:after="0" w:line="134" w:lineRule="exact"/>
        <w:rPr>
          <w:sz w:val="20"/>
          <w:szCs w:val="20"/>
          <w:color w:val="auto"/>
        </w:rPr>
      </w:pPr>
    </w:p>
    <w:p>
      <w:pPr>
        <w:ind w:left="700" w:hanging="357"/>
        <w:spacing w:after="0"/>
        <w:tabs>
          <w:tab w:leader="none" w:pos="700"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Composition: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120"/>
              <w:spacing w:after="0"/>
              <w:rPr>
                <w:sz w:val="20"/>
                <w:szCs w:val="20"/>
                <w:color w:val="auto"/>
              </w:rPr>
            </w:pPr>
            <w:r>
              <w:rPr>
                <w:rFonts w:ascii="Courier New" w:cs="Courier New" w:eastAsia="Courier New" w:hAnsi="Courier New"/>
                <w:sz w:val="12"/>
                <w:szCs w:val="12"/>
                <w:color w:val="auto"/>
              </w:rPr>
              <w:t>As of December 31, 2007</w:t>
            </w: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80" w:type="dxa"/>
            <w:vAlign w:val="bottom"/>
            <w:gridSpan w:val="6"/>
          </w:tcPr>
          <w:p>
            <w:pPr>
              <w:jc w:val="right"/>
              <w:spacing w:after="0"/>
              <w:rPr>
                <w:sz w:val="20"/>
                <w:szCs w:val="20"/>
                <w:color w:val="auto"/>
              </w:rPr>
            </w:pPr>
            <w:r>
              <w:rPr>
                <w:rFonts w:ascii="Courier New" w:cs="Courier New" w:eastAsia="Courier New" w:hAnsi="Courier New"/>
                <w:sz w:val="12"/>
                <w:szCs w:val="12"/>
                <w:color w:val="auto"/>
                <w:w w:val="96"/>
              </w:rPr>
              <w:t>--------------------------------------------</w:t>
            </w: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20"/>
              <w:spacing w:after="0"/>
              <w:rPr>
                <w:sz w:val="20"/>
                <w:szCs w:val="20"/>
                <w:color w:val="auto"/>
              </w:rPr>
            </w:pPr>
            <w:r>
              <w:rPr>
                <w:rFonts w:ascii="Courier New" w:cs="Courier New" w:eastAsia="Courier New" w:hAnsi="Courier New"/>
                <w:sz w:val="12"/>
                <w:szCs w:val="12"/>
                <w:color w:val="auto"/>
              </w:rPr>
              <w:t>Bifurcated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2"/>
                <w:szCs w:val="12"/>
                <w:color w:val="auto"/>
                <w:w w:val="97"/>
              </w:rPr>
              <w:t>Interest</w:t>
            </w: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Carrying</w:t>
            </w:r>
          </w:p>
        </w:tc>
        <w:tc>
          <w:tcPr>
            <w:tcW w:w="88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embedded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2"/>
                <w:szCs w:val="12"/>
                <w:color w:val="auto"/>
                <w:w w:val="97"/>
              </w:rPr>
              <w:t>rate</w:t>
            </w:r>
          </w:p>
        </w:tc>
        <w:tc>
          <w:tcPr>
            <w:tcW w:w="240" w:type="dxa"/>
            <w:vAlign w:val="bottom"/>
          </w:tcPr>
          <w:p>
            <w:pPr>
              <w:spacing w:after="0"/>
              <w:rPr>
                <w:sz w:val="11"/>
                <w:szCs w:val="11"/>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amount</w:t>
            </w:r>
          </w:p>
        </w:tc>
        <w:tc>
          <w:tcPr>
            <w:tcW w:w="26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1"/>
              </w:rPr>
              <w:t>feature</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Fair value</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2002</w:t>
            </w:r>
          </w:p>
        </w:tc>
        <w:tc>
          <w:tcPr>
            <w:tcW w:w="2500" w:type="dxa"/>
            <w:vAlign w:val="bottom"/>
          </w:tcPr>
          <w:p>
            <w:pPr>
              <w:ind w:left="40"/>
              <w:spacing w:after="0"/>
              <w:rPr>
                <w:sz w:val="20"/>
                <w:szCs w:val="20"/>
                <w:color w:val="auto"/>
              </w:rPr>
            </w:pPr>
            <w:r>
              <w:rPr>
                <w:rFonts w:ascii="Courier New" w:cs="Courier New" w:eastAsia="Courier New" w:hAnsi="Courier New"/>
                <w:sz w:val="12"/>
                <w:szCs w:val="12"/>
                <w:color w:val="auto"/>
              </w:rPr>
              <w:t>Convertible debentures series A</w:t>
            </w:r>
          </w:p>
        </w:tc>
        <w:tc>
          <w:tcPr>
            <w:tcW w:w="740" w:type="dxa"/>
            <w:vAlign w:val="bottom"/>
          </w:tcPr>
          <w:p>
            <w:pPr>
              <w:spacing w:after="0"/>
              <w:rPr>
                <w:sz w:val="23"/>
                <w:szCs w:val="23"/>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4.7%</w:t>
            </w:r>
          </w:p>
        </w:tc>
        <w:tc>
          <w:tcPr>
            <w:tcW w:w="24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$ 15,774</w:t>
            </w:r>
          </w:p>
        </w:tc>
        <w:tc>
          <w:tcPr>
            <w:tcW w:w="260" w:type="dxa"/>
            <w:vAlign w:val="bottom"/>
          </w:tcPr>
          <w:p>
            <w:pPr>
              <w:ind w:left="180"/>
              <w:spacing w:after="0"/>
              <w:rPr>
                <w:sz w:val="20"/>
                <w:szCs w:val="20"/>
                <w:color w:val="auto"/>
              </w:rPr>
            </w:pPr>
            <w:r>
              <w:rPr>
                <w:rFonts w:ascii="Courier New" w:cs="Courier New" w:eastAsia="Courier New" w:hAnsi="Courier New"/>
                <w:sz w:val="12"/>
                <w:szCs w:val="12"/>
                <w:color w:val="auto"/>
                <w:w w:val="82"/>
              </w:rPr>
              <w:t>$</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$ 15,774</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2005</w:t>
            </w:r>
          </w:p>
        </w:tc>
        <w:tc>
          <w:tcPr>
            <w:tcW w:w="2500" w:type="dxa"/>
            <w:vAlign w:val="bottom"/>
          </w:tcPr>
          <w:p>
            <w:pPr>
              <w:ind w:left="40"/>
              <w:spacing w:after="0"/>
              <w:rPr>
                <w:sz w:val="20"/>
                <w:szCs w:val="20"/>
                <w:color w:val="auto"/>
              </w:rPr>
            </w:pPr>
            <w:r>
              <w:rPr>
                <w:rFonts w:ascii="Courier New" w:cs="Courier New" w:eastAsia="Courier New" w:hAnsi="Courier New"/>
                <w:sz w:val="12"/>
                <w:szCs w:val="12"/>
                <w:color w:val="auto"/>
              </w:rPr>
              <w:t>Convertible debentures series B</w:t>
            </w:r>
          </w:p>
        </w:tc>
        <w:tc>
          <w:tcPr>
            <w:tcW w:w="740" w:type="dxa"/>
            <w:vAlign w:val="bottom"/>
          </w:tcPr>
          <w:p>
            <w:pPr>
              <w:spacing w:after="0"/>
              <w:rPr>
                <w:sz w:val="11"/>
                <w:szCs w:val="11"/>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w:t>
            </w: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9,547</w:t>
            </w:r>
          </w:p>
        </w:tc>
        <w:tc>
          <w:tcPr>
            <w:tcW w:w="26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9,547</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2006</w:t>
            </w:r>
          </w:p>
        </w:tc>
        <w:tc>
          <w:tcPr>
            <w:tcW w:w="2500" w:type="dxa"/>
            <w:vAlign w:val="bottom"/>
          </w:tcPr>
          <w:p>
            <w:pPr>
              <w:ind w:left="40"/>
              <w:spacing w:after="0"/>
              <w:rPr>
                <w:sz w:val="20"/>
                <w:szCs w:val="20"/>
                <w:color w:val="auto"/>
              </w:rPr>
            </w:pPr>
            <w:r>
              <w:rPr>
                <w:rFonts w:ascii="Courier New" w:cs="Courier New" w:eastAsia="Courier New" w:hAnsi="Courier New"/>
                <w:sz w:val="12"/>
                <w:szCs w:val="12"/>
                <w:color w:val="auto"/>
              </w:rPr>
              <w:t>Convertible debentures series C</w:t>
            </w: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36,602</w:t>
            </w:r>
          </w:p>
        </w:tc>
        <w:tc>
          <w:tcPr>
            <w:tcW w:w="26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7,313</w:t>
            </w:r>
          </w:p>
        </w:tc>
        <w:tc>
          <w:tcPr>
            <w:tcW w:w="260" w:type="dxa"/>
            <w:vAlign w:val="bottom"/>
          </w:tcPr>
          <w:p>
            <w:pPr>
              <w:spacing w:after="0"/>
              <w:rPr>
                <w:sz w:val="11"/>
                <w:szCs w:val="11"/>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43,915</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2007</w:t>
            </w:r>
          </w:p>
        </w:tc>
        <w:tc>
          <w:tcPr>
            <w:tcW w:w="2500" w:type="dxa"/>
            <w:vAlign w:val="bottom"/>
          </w:tcPr>
          <w:p>
            <w:pPr>
              <w:ind w:left="40"/>
              <w:spacing w:after="0"/>
              <w:rPr>
                <w:sz w:val="20"/>
                <w:szCs w:val="20"/>
                <w:color w:val="auto"/>
              </w:rPr>
            </w:pPr>
            <w:r>
              <w:rPr>
                <w:rFonts w:ascii="Courier New" w:cs="Courier New" w:eastAsia="Courier New" w:hAnsi="Courier New"/>
                <w:sz w:val="12"/>
                <w:szCs w:val="12"/>
                <w:color w:val="auto"/>
                <w:w w:val="96"/>
              </w:rPr>
              <w:t>Non-convertible debentures series D</w:t>
            </w:r>
          </w:p>
        </w:tc>
        <w:tc>
          <w:tcPr>
            <w:tcW w:w="740" w:type="dxa"/>
            <w:vAlign w:val="bottom"/>
          </w:tcPr>
          <w:p>
            <w:pPr>
              <w:spacing w:after="0"/>
              <w:rPr>
                <w:sz w:val="11"/>
                <w:szCs w:val="11"/>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8%</w:t>
            </w: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27,627</w:t>
            </w:r>
          </w:p>
        </w:tc>
        <w:tc>
          <w:tcPr>
            <w:tcW w:w="26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27,627</w:t>
            </w:r>
          </w:p>
        </w:tc>
      </w:tr>
      <w:tr>
        <w:trPr>
          <w:trHeight w:val="270"/>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2007</w:t>
            </w:r>
          </w:p>
        </w:tc>
        <w:tc>
          <w:tcPr>
            <w:tcW w:w="324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Convertible debentures series E, see Note 11</w:t>
            </w: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8%</w:t>
            </w:r>
          </w:p>
        </w:tc>
        <w:tc>
          <w:tcPr>
            <w:tcW w:w="24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23"/>
                <w:szCs w:val="23"/>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23"/>
                <w:szCs w:val="23"/>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7"/>
              </w:rPr>
              <w:t>28,484</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28,484</w:t>
            </w: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89,550</w:t>
            </w:r>
          </w:p>
        </w:tc>
        <w:tc>
          <w:tcPr>
            <w:tcW w:w="26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7,313</w:t>
            </w:r>
          </w:p>
        </w:tc>
        <w:tc>
          <w:tcPr>
            <w:tcW w:w="260" w:type="dxa"/>
            <w:vAlign w:val="bottom"/>
          </w:tcPr>
          <w:p>
            <w:pPr>
              <w:spacing w:after="0"/>
              <w:rPr>
                <w:sz w:val="11"/>
                <w:szCs w:val="11"/>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7"/>
              </w:rPr>
              <w:t>28,484</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125,347</w:t>
            </w:r>
          </w:p>
        </w:tc>
      </w:tr>
      <w:tr>
        <w:trPr>
          <w:trHeight w:val="135"/>
        </w:trPr>
        <w:tc>
          <w:tcPr>
            <w:tcW w:w="2800" w:type="dxa"/>
            <w:vAlign w:val="bottom"/>
            <w:gridSpan w:val="2"/>
          </w:tcPr>
          <w:p>
            <w:pPr>
              <w:spacing w:after="0"/>
              <w:rPr>
                <w:sz w:val="20"/>
                <w:szCs w:val="20"/>
                <w:color w:val="auto"/>
              </w:rPr>
            </w:pPr>
            <w:r>
              <w:rPr>
                <w:rFonts w:ascii="Courier New" w:cs="Courier New" w:eastAsia="Courier New" w:hAnsi="Courier New"/>
                <w:sz w:val="12"/>
                <w:szCs w:val="12"/>
                <w:color w:val="auto"/>
              </w:rPr>
              <w:t>Less - current maturities</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7,887</w:t>
            </w:r>
          </w:p>
        </w:tc>
        <w:tc>
          <w:tcPr>
            <w:tcW w:w="26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7,887</w:t>
            </w: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$ 81,663</w:t>
            </w:r>
          </w:p>
        </w:tc>
        <w:tc>
          <w:tcPr>
            <w:tcW w:w="260" w:type="dxa"/>
            <w:vAlign w:val="bottom"/>
          </w:tcPr>
          <w:p>
            <w:pPr>
              <w:ind w:left="180"/>
              <w:spacing w:after="0"/>
              <w:rPr>
                <w:sz w:val="20"/>
                <w:szCs w:val="20"/>
                <w:color w:val="auto"/>
              </w:rPr>
            </w:pPr>
            <w:r>
              <w:rPr>
                <w:rFonts w:ascii="Courier New" w:cs="Courier New" w:eastAsia="Courier New" w:hAnsi="Courier New"/>
                <w:sz w:val="12"/>
                <w:szCs w:val="12"/>
                <w:color w:val="auto"/>
                <w:w w:val="82"/>
              </w:rPr>
              <w:t>$</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7,313</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$ 28,484</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$117,460</w:t>
            </w: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560" w:type="dxa"/>
            <w:vAlign w:val="bottom"/>
            <w:gridSpan w:val="5"/>
          </w:tcPr>
          <w:p>
            <w:pPr>
              <w:jc w:val="right"/>
              <w:ind w:right="421"/>
              <w:spacing w:after="0"/>
              <w:rPr>
                <w:sz w:val="20"/>
                <w:szCs w:val="20"/>
                <w:color w:val="auto"/>
              </w:rPr>
            </w:pPr>
            <w:r>
              <w:rPr>
                <w:rFonts w:ascii="Courier New" w:cs="Courier New" w:eastAsia="Courier New" w:hAnsi="Courier New"/>
                <w:sz w:val="12"/>
                <w:szCs w:val="12"/>
                <w:color w:val="auto"/>
              </w:rPr>
              <w:t>As of December 31, 2006</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560" w:type="dxa"/>
            <w:vAlign w:val="bottom"/>
            <w:gridSpan w:val="5"/>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Bifurcated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3"/>
              </w:rPr>
              <w:t>Interest</w:t>
            </w:r>
          </w:p>
        </w:tc>
        <w:tc>
          <w:tcPr>
            <w:tcW w:w="780" w:type="dxa"/>
            <w:vAlign w:val="bottom"/>
          </w:tcPr>
          <w:p>
            <w:pPr>
              <w:jc w:val="center"/>
              <w:spacing w:after="0"/>
              <w:rPr>
                <w:sz w:val="20"/>
                <w:szCs w:val="20"/>
                <w:color w:val="auto"/>
              </w:rPr>
            </w:pPr>
            <w:r>
              <w:rPr>
                <w:rFonts w:ascii="Courier New" w:cs="Courier New" w:eastAsia="Courier New" w:hAnsi="Courier New"/>
                <w:sz w:val="12"/>
                <w:szCs w:val="12"/>
                <w:color w:val="auto"/>
                <w:w w:val="97"/>
              </w:rPr>
              <w:t>Carrying</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embedded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rate</w:t>
            </w:r>
          </w:p>
        </w:tc>
        <w:tc>
          <w:tcPr>
            <w:tcW w:w="780" w:type="dxa"/>
            <w:vAlign w:val="bottom"/>
          </w:tcPr>
          <w:p>
            <w:pPr>
              <w:jc w:val="center"/>
              <w:spacing w:after="0"/>
              <w:rPr>
                <w:sz w:val="20"/>
                <w:szCs w:val="20"/>
                <w:color w:val="auto"/>
              </w:rPr>
            </w:pPr>
            <w:r>
              <w:rPr>
                <w:rFonts w:ascii="Courier New" w:cs="Courier New" w:eastAsia="Courier New" w:hAnsi="Courier New"/>
                <w:sz w:val="12"/>
                <w:szCs w:val="12"/>
                <w:color w:val="auto"/>
                <w:w w:val="97"/>
              </w:rPr>
              <w:t>amount</w:t>
            </w:r>
          </w:p>
        </w:tc>
        <w:tc>
          <w:tcPr>
            <w:tcW w:w="240" w:type="dxa"/>
            <w:vAlign w:val="bottom"/>
          </w:tcPr>
          <w:p>
            <w:pPr>
              <w:spacing w:after="0"/>
              <w:rPr>
                <w:sz w:val="11"/>
                <w:szCs w:val="11"/>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feature</w:t>
            </w:r>
          </w:p>
        </w:tc>
        <w:tc>
          <w:tcPr>
            <w:tcW w:w="88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Total</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70"/>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2002</w:t>
            </w:r>
          </w:p>
        </w:tc>
        <w:tc>
          <w:tcPr>
            <w:tcW w:w="2500" w:type="dxa"/>
            <w:vAlign w:val="bottom"/>
          </w:tcPr>
          <w:p>
            <w:pPr>
              <w:ind w:left="40"/>
              <w:spacing w:after="0"/>
              <w:rPr>
                <w:sz w:val="20"/>
                <w:szCs w:val="20"/>
                <w:color w:val="auto"/>
              </w:rPr>
            </w:pPr>
            <w:r>
              <w:rPr>
                <w:rFonts w:ascii="Courier New" w:cs="Courier New" w:eastAsia="Courier New" w:hAnsi="Courier New"/>
                <w:sz w:val="12"/>
                <w:szCs w:val="12"/>
                <w:color w:val="auto"/>
              </w:rPr>
              <w:t>Convertible debentures series A</w:t>
            </w:r>
          </w:p>
        </w:tc>
        <w:tc>
          <w:tcPr>
            <w:tcW w:w="7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4.7%</w:t>
            </w: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$ 20,704</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$ 20,704</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2005</w:t>
            </w:r>
          </w:p>
        </w:tc>
        <w:tc>
          <w:tcPr>
            <w:tcW w:w="2500" w:type="dxa"/>
            <w:vAlign w:val="bottom"/>
          </w:tcPr>
          <w:p>
            <w:pPr>
              <w:ind w:left="40"/>
              <w:spacing w:after="0"/>
              <w:rPr>
                <w:sz w:val="20"/>
                <w:szCs w:val="20"/>
                <w:color w:val="auto"/>
              </w:rPr>
            </w:pPr>
            <w:r>
              <w:rPr>
                <w:rFonts w:ascii="Courier New" w:cs="Courier New" w:eastAsia="Courier New" w:hAnsi="Courier New"/>
                <w:sz w:val="12"/>
                <w:szCs w:val="12"/>
                <w:color w:val="auto"/>
              </w:rPr>
              <w:t>Convertible debentures series B</w:t>
            </w:r>
          </w:p>
        </w:tc>
        <w:tc>
          <w:tcPr>
            <w:tcW w:w="7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w:t>
            </w: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4,790</w:t>
            </w:r>
          </w:p>
        </w:tc>
        <w:tc>
          <w:tcPr>
            <w:tcW w:w="240" w:type="dxa"/>
            <w:vAlign w:val="bottom"/>
          </w:tcPr>
          <w:p>
            <w:pPr>
              <w:spacing w:after="0"/>
              <w:rPr>
                <w:sz w:val="11"/>
                <w:szCs w:val="11"/>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28,377</w:t>
            </w:r>
          </w:p>
        </w:tc>
        <w:tc>
          <w:tcPr>
            <w:tcW w:w="260" w:type="dxa"/>
            <w:vAlign w:val="bottom"/>
          </w:tcPr>
          <w:p>
            <w:pPr>
              <w:spacing w:after="0"/>
              <w:rPr>
                <w:sz w:val="11"/>
                <w:szCs w:val="11"/>
                <w:color w:val="auto"/>
              </w:rPr>
            </w:pP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2"/>
              </w:rPr>
              <w:t>33,167</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2006</w:t>
            </w:r>
          </w:p>
        </w:tc>
        <w:tc>
          <w:tcPr>
            <w:tcW w:w="2500" w:type="dxa"/>
            <w:vAlign w:val="bottom"/>
          </w:tcPr>
          <w:p>
            <w:pPr>
              <w:ind w:left="40"/>
              <w:spacing w:after="0"/>
              <w:rPr>
                <w:sz w:val="20"/>
                <w:szCs w:val="20"/>
                <w:color w:val="auto"/>
              </w:rPr>
            </w:pPr>
            <w:r>
              <w:rPr>
                <w:rFonts w:ascii="Courier New" w:cs="Courier New" w:eastAsia="Courier New" w:hAnsi="Courier New"/>
                <w:sz w:val="12"/>
                <w:szCs w:val="12"/>
                <w:color w:val="auto"/>
              </w:rPr>
              <w:t>Convertible debentures series C</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25,381</w:t>
            </w:r>
          </w:p>
        </w:tc>
        <w:tc>
          <w:tcPr>
            <w:tcW w:w="240" w:type="dxa"/>
            <w:vAlign w:val="bottom"/>
          </w:tcPr>
          <w:p>
            <w:pPr>
              <w:spacing w:after="0"/>
              <w:rPr>
                <w:sz w:val="11"/>
                <w:szCs w:val="11"/>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11,513</w:t>
            </w:r>
          </w:p>
        </w:tc>
        <w:tc>
          <w:tcPr>
            <w:tcW w:w="260" w:type="dxa"/>
            <w:vAlign w:val="bottom"/>
          </w:tcPr>
          <w:p>
            <w:pPr>
              <w:spacing w:after="0"/>
              <w:rPr>
                <w:sz w:val="11"/>
                <w:szCs w:val="11"/>
                <w:color w:val="auto"/>
              </w:rPr>
            </w:pP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2"/>
              </w:rPr>
              <w:t>36,894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50,875</w:t>
            </w:r>
          </w:p>
        </w:tc>
        <w:tc>
          <w:tcPr>
            <w:tcW w:w="240" w:type="dxa"/>
            <w:vAlign w:val="bottom"/>
          </w:tcPr>
          <w:p>
            <w:pPr>
              <w:spacing w:after="0"/>
              <w:rPr>
                <w:sz w:val="11"/>
                <w:szCs w:val="11"/>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39,890</w:t>
            </w:r>
          </w:p>
        </w:tc>
        <w:tc>
          <w:tcPr>
            <w:tcW w:w="260" w:type="dxa"/>
            <w:vAlign w:val="bottom"/>
          </w:tcPr>
          <w:p>
            <w:pPr>
              <w:spacing w:after="0"/>
              <w:rPr>
                <w:sz w:val="11"/>
                <w:szCs w:val="11"/>
                <w:color w:val="auto"/>
              </w:rPr>
            </w:pP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2"/>
              </w:rPr>
              <w:t>90,765</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00" w:type="dxa"/>
            <w:vAlign w:val="bottom"/>
            <w:gridSpan w:val="2"/>
          </w:tcPr>
          <w:p>
            <w:pPr>
              <w:spacing w:after="0"/>
              <w:rPr>
                <w:sz w:val="20"/>
                <w:szCs w:val="20"/>
                <w:color w:val="auto"/>
              </w:rPr>
            </w:pPr>
            <w:r>
              <w:rPr>
                <w:rFonts w:ascii="Courier New" w:cs="Courier New" w:eastAsia="Courier New" w:hAnsi="Courier New"/>
                <w:sz w:val="12"/>
                <w:szCs w:val="12"/>
                <w:color w:val="auto"/>
              </w:rPr>
              <w:t>Less - current maturities</w:t>
            </w: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6,902</w:t>
            </w:r>
          </w:p>
        </w:tc>
        <w:tc>
          <w:tcPr>
            <w:tcW w:w="240" w:type="dxa"/>
            <w:vAlign w:val="bottom"/>
          </w:tcPr>
          <w:p>
            <w:pPr>
              <w:spacing w:after="0"/>
              <w:rPr>
                <w:sz w:val="11"/>
                <w:szCs w:val="11"/>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6,902</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$ 43,973</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$ 39,890</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$ 83,863</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bl>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See D below</w:t>
      </w:r>
    </w:p>
    <w:p>
      <w:pPr>
        <w:spacing w:after="0" w:line="139" w:lineRule="exact"/>
        <w:rPr>
          <w:sz w:val="20"/>
          <w:szCs w:val="20"/>
          <w:color w:val="auto"/>
        </w:rPr>
      </w:pPr>
    </w:p>
    <w:p>
      <w:pPr>
        <w:ind w:left="340" w:right="4619"/>
        <w:spacing w:after="0" w:line="237" w:lineRule="auto"/>
        <w:rPr>
          <w:sz w:val="20"/>
          <w:szCs w:val="20"/>
          <w:color w:val="auto"/>
        </w:rPr>
      </w:pPr>
      <w:r>
        <w:rPr>
          <w:rFonts w:ascii="Courier New" w:cs="Courier New" w:eastAsia="Courier New" w:hAnsi="Courier New"/>
          <w:sz w:val="12"/>
          <w:szCs w:val="12"/>
          <w:color w:val="auto"/>
        </w:rPr>
        <w:t>If on a payment date of the principal or interest on the debentures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 The debentures and interest thereon are unsecured and subordinated to the Company's existing and future secured indebtedness, including indebtedness to the Banks under the Facility Agreement - see Note 13A(6), to Siliconix - see Note 13D(1), to SanDisk- see Note 13D(2) and to the government of Israel - see Note 6B.</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10 - DEBENTURES (CONT.)</w:t>
      </w:r>
    </w:p>
    <w:p>
      <w:pPr>
        <w:spacing w:after="0" w:line="134" w:lineRule="exact"/>
        <w:rPr>
          <w:sz w:val="20"/>
          <w:szCs w:val="20"/>
          <w:color w:val="auto"/>
        </w:rPr>
      </w:pPr>
    </w:p>
    <w:p>
      <w:pPr>
        <w:ind w:left="700" w:hanging="357"/>
        <w:spacing w:after="0"/>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2002 CONVERTIBLE DEBENTURES SERIES A</w:t>
      </w:r>
    </w:p>
    <w:p>
      <w:pPr>
        <w:spacing w:after="0" w:line="138" w:lineRule="exact"/>
        <w:rPr>
          <w:rFonts w:ascii="Courier New" w:cs="Courier New" w:eastAsia="Courier New" w:hAnsi="Courier New"/>
          <w:sz w:val="12"/>
          <w:szCs w:val="12"/>
          <w:color w:val="auto"/>
        </w:rPr>
      </w:pPr>
    </w:p>
    <w:p>
      <w:pPr>
        <w:ind w:left="700" w:right="483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January 2002, the Company issued on the Tel-Aviv Stock Exchange, NIS 110,579,800 (approximately $24,300) principal amount of convertible debentures, linked to the Israeli Consumer Price Index</w:t>
      </w:r>
    </w:p>
    <w:p>
      <w:pPr>
        <w:sectPr>
          <w:pgSz w:w="11900" w:h="16838" w:orient="portrait"/>
          <w:cols w:equalWidth="0" w:num="1">
            <w:col w:w="10239"/>
          </w:cols>
          <w:pgMar w:left="220" w:top="272" w:right="1440" w:bottom="0" w:gutter="0" w:footer="0" w:header="0"/>
        </w:sectPr>
      </w:pPr>
    </w:p>
    <w:bookmarkStart w:id="13" w:name="page14"/>
    <w:bookmarkEnd w:id="13"/>
    <w:p>
      <w:pPr>
        <w:ind w:left="700"/>
        <w:spacing w:after="0"/>
        <w:rPr>
          <w:sz w:val="20"/>
          <w:szCs w:val="20"/>
          <w:color w:val="auto"/>
        </w:rPr>
      </w:pPr>
      <w:r>
        <w:rPr>
          <w:rFonts w:ascii="Courier New" w:cs="Courier New" w:eastAsia="Courier New" w:hAnsi="Courier New"/>
          <w:sz w:val="12"/>
          <w:szCs w:val="12"/>
          <w:color w:val="auto"/>
        </w:rPr>
        <w:t>("CPI"). The debentures were issued at 96% of their par value, and</w:t>
      </w:r>
    </w:p>
    <w:p>
      <w:pPr>
        <w:ind w:left="700"/>
        <w:spacing w:after="0"/>
        <w:rPr>
          <w:sz w:val="20"/>
          <w:szCs w:val="20"/>
          <w:color w:val="auto"/>
        </w:rPr>
      </w:pPr>
      <w:r>
        <w:rPr>
          <w:rFonts w:ascii="Courier New" w:cs="Courier New" w:eastAsia="Courier New" w:hAnsi="Courier New"/>
          <w:sz w:val="12"/>
          <w:szCs w:val="12"/>
          <w:color w:val="auto"/>
        </w:rPr>
        <w:t>bear annual interest at the rate of 4.7%, payable in January of each</w:t>
      </w:r>
    </w:p>
    <w:p>
      <w:pPr>
        <w:ind w:left="700"/>
        <w:spacing w:after="0" w:line="237" w:lineRule="auto"/>
        <w:rPr>
          <w:sz w:val="20"/>
          <w:szCs w:val="20"/>
          <w:color w:val="auto"/>
        </w:rPr>
      </w:pPr>
      <w:r>
        <w:rPr>
          <w:rFonts w:ascii="Courier New" w:cs="Courier New" w:eastAsia="Courier New" w:hAnsi="Courier New"/>
          <w:sz w:val="12"/>
          <w:szCs w:val="12"/>
          <w:color w:val="auto"/>
        </w:rPr>
        <w:t>year commencing in January 2003. The principal amount is payable in</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four equal installments in January of each year between 2006 and 2009.</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outstanding principal amount of convertible debentures as of</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December 31, 2007, adjusted to the CPI was $15,984, half of which was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paid on January 2008 and the other half is due on January 2009. The</w:t>
      </w:r>
    </w:p>
    <w:p>
      <w:pPr>
        <w:ind w:left="700"/>
        <w:spacing w:after="0"/>
        <w:rPr>
          <w:sz w:val="20"/>
          <w:szCs w:val="20"/>
          <w:color w:val="auto"/>
        </w:rPr>
      </w:pPr>
      <w:r>
        <w:rPr>
          <w:rFonts w:ascii="Courier New" w:cs="Courier New" w:eastAsia="Courier New" w:hAnsi="Courier New"/>
          <w:sz w:val="12"/>
          <w:szCs w:val="12"/>
          <w:color w:val="auto"/>
        </w:rPr>
        <w:t>debentures may be converted until December 31, 2008 into Ordinary</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Shares, at a conversion rate of one Ordinary Share per each NIS 41.00</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principal amount of the debentures.</w:t>
      </w:r>
    </w:p>
    <w:p>
      <w:pPr>
        <w:spacing w:after="0" w:line="134" w:lineRule="exact"/>
        <w:rPr>
          <w:sz w:val="20"/>
          <w:szCs w:val="20"/>
          <w:color w:val="auto"/>
        </w:rPr>
      </w:pPr>
    </w:p>
    <w:p>
      <w:pPr>
        <w:ind w:left="700" w:hanging="357"/>
        <w:spacing w:after="0"/>
        <w:tabs>
          <w:tab w:leader="none" w:pos="700"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2005 CONVERTIBLE DEBENTURES SERIES B</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issued $48,169 principal amount of convertible debentures by way of rights offering based on a prospectus which became effective on December 2005. The debentures are listed for trade on the Tel-Aviv Stock Exchange and on the NASDAQ Capital Market ("Series B"). The debentures accrue annual interest at the rate of 5% which will be payable, together with the principal of the debentures, in one installment on January 2012.</w:t>
      </w:r>
    </w:p>
    <w:p>
      <w:pPr>
        <w:spacing w:after="0" w:line="141"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debentures are convertible into the Company's Ordinary Shares at a conversion price of $1.10 per share. The conversion price was subject to downward adjustment under certain circumstances if the Company had sold securities in future financings at a price per share which was lower than the conversion price, provided that such financings closed, or agreements for such financings were signed, through December 2006. No such adjustment was or will be required and the downward adjustment mechanism has expired.</w:t>
      </w:r>
    </w:p>
    <w:p>
      <w:pPr>
        <w:spacing w:after="0" w:line="142" w:lineRule="exact"/>
        <w:rPr>
          <w:rFonts w:ascii="Courier New" w:cs="Courier New" w:eastAsia="Courier New" w:hAnsi="Courier New"/>
          <w:sz w:val="12"/>
          <w:szCs w:val="12"/>
          <w:color w:val="auto"/>
        </w:rPr>
      </w:pPr>
    </w:p>
    <w:p>
      <w:pPr>
        <w:ind w:left="700" w:right="475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Equity Investors and the primary Wafer Partners, which were considered related parties, invested $27,811 in the framework of the rights offering.</w:t>
      </w:r>
    </w:p>
    <w:p>
      <w:pPr>
        <w:spacing w:after="0" w:line="139" w:lineRule="exact"/>
        <w:rPr>
          <w:rFonts w:ascii="Courier New" w:cs="Courier New" w:eastAsia="Courier New" w:hAnsi="Courier New"/>
          <w:sz w:val="12"/>
          <w:szCs w:val="12"/>
          <w:color w:val="auto"/>
        </w:rPr>
      </w:pPr>
    </w:p>
    <w:p>
      <w:pPr>
        <w:ind w:left="700" w:right="48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Through December 31, 2007, $19,055 in aggregate principal amount of debentures were converted into 17,322,575 Ordinary Shares of the Company, hence the outstanding principal amount of convertible debentures as of December 31, 2007 was $29,114.</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10 - CONVERTIBLE DEBENTURES (CONT.)</w:t>
      </w:r>
    </w:p>
    <w:p>
      <w:pPr>
        <w:spacing w:after="0" w:line="134" w:lineRule="exact"/>
        <w:rPr>
          <w:sz w:val="20"/>
          <w:szCs w:val="20"/>
          <w:color w:val="auto"/>
        </w:rPr>
      </w:pPr>
    </w:p>
    <w:p>
      <w:pPr>
        <w:ind w:left="700" w:hanging="357"/>
        <w:spacing w:after="0"/>
        <w:tabs>
          <w:tab w:leader="none" w:pos="700"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2006 CONVERTIBLE DEBENTURES SERIES C</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 public offering the Company issued NIS 164,430,000 principal amount of convertible debentures linked to the CPI, for gross proceeds of NIS 139,765,500 (approximately $31,219), and 391,500 options each exercisable for three months ending on September 27, 2006 for NIS 100 principal amount of convertible debentures at an exercise price equal to 85% of their face amount, linked to the CPI. The convertible debentures are convertible into the Company's Ordinary Shares at a conversion rate of one ordinary share per NIS 8.40 principal amount of convertible debentures. The convertible debentures carry a zero coupon with principal payable at maturity in December 2011, at a premium of 37% over principal value, linked to the CPI. The conversion price is subject to reduction in certain limited circumstances. The outstanding principal amount of convertible debentures as of December 31, 2007 was $53,570.</w:t>
      </w:r>
    </w:p>
    <w:p>
      <w:pPr>
        <w:spacing w:after="0" w:line="139"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5"/>
        </w:numPr>
        <w:rPr>
          <w:rFonts w:ascii="Courier New" w:cs="Courier New" w:eastAsia="Courier New" w:hAnsi="Courier New"/>
          <w:sz w:val="11"/>
          <w:szCs w:val="11"/>
          <w:color w:val="auto"/>
        </w:rPr>
      </w:pPr>
      <w:r>
        <w:rPr>
          <w:rFonts w:ascii="Courier New" w:cs="Courier New" w:eastAsia="Courier New" w:hAnsi="Courier New"/>
          <w:sz w:val="11"/>
          <w:szCs w:val="11"/>
          <w:color w:val="auto"/>
        </w:rPr>
        <w:t>2007 NON-CONVERTIBLE DEBENTURES SERIES D AND CONVERTIBLE DEBENTURES E</w:t>
      </w:r>
    </w:p>
    <w:p>
      <w:pPr>
        <w:spacing w:after="0" w:line="145" w:lineRule="exact"/>
        <w:rPr>
          <w:rFonts w:ascii="Courier New" w:cs="Courier New" w:eastAsia="Courier New" w:hAnsi="Courier New"/>
          <w:sz w:val="11"/>
          <w:szCs w:val="11"/>
          <w:color w:val="auto"/>
        </w:rPr>
      </w:pPr>
    </w:p>
    <w:p>
      <w:pPr>
        <w:ind w:left="700" w:right="461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In the second half of 2007, the Company consummated a private placement with Israeli institutions of long-term convertible and non-convertible debentures and warrants, by which the Company raised a gross proceeds of approximately $40,000. In the funding, 342 units were sold, each comprised of: (i) long-term non-convertible-debentures, repayable in six equal annual installments between the dates of December 2011 and December 2016, with a face amount of NIS 250,000 (approximately $59.7) and carrying an annual interest rate of 8 percent ("series D"); (ii) long-term convertible-debentures repayable in December 2012 with a 17.2 NIS conversion price, with a face amount of NIS 262,500 (approximately $62.7), carrying an annual interest of 8 percent("series E"), and</w:t>
      </w:r>
    </w:p>
    <w:p>
      <w:pPr>
        <w:spacing w:after="0" w:line="3" w:lineRule="exact"/>
        <w:rPr>
          <w:rFonts w:ascii="Courier New" w:cs="Courier New" w:eastAsia="Courier New" w:hAnsi="Courier New"/>
          <w:sz w:val="11"/>
          <w:szCs w:val="11"/>
          <w:color w:val="auto"/>
        </w:rPr>
      </w:pPr>
    </w:p>
    <w:p>
      <w:pPr>
        <w:ind w:left="700" w:right="4619" w:hanging="5"/>
        <w:spacing w:after="0" w:line="264" w:lineRule="auto"/>
        <w:tabs>
          <w:tab w:leader="none" w:pos="1122" w:val="left"/>
        </w:tabs>
        <w:numPr>
          <w:ilvl w:val="1"/>
          <w:numId w:val="25"/>
        </w:numPr>
        <w:rPr>
          <w:rFonts w:ascii="Courier New" w:cs="Courier New" w:eastAsia="Courier New" w:hAnsi="Courier New"/>
          <w:sz w:val="11"/>
          <w:szCs w:val="11"/>
          <w:color w:val="auto"/>
        </w:rPr>
      </w:pPr>
      <w:r>
        <w:rPr>
          <w:rFonts w:ascii="Courier New" w:cs="Courier New" w:eastAsia="Courier New" w:hAnsi="Courier New"/>
          <w:sz w:val="11"/>
          <w:szCs w:val="11"/>
          <w:color w:val="auto"/>
        </w:rPr>
        <w:t>5,800 warrants, each exercisable until 2011, for one Tower ordinary share at a price of $2.04. The debentures are linked to the CPI and were issued at 95.5% of par value. The conversion and exercise prices are subject to reduction in certain limited circumstances.</w:t>
      </w:r>
    </w:p>
    <w:p>
      <w:pPr>
        <w:spacing w:after="0" w:line="12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 September 2007, the Company expanded its series of long-term</w:t>
      </w:r>
    </w:p>
    <w:p>
      <w:pPr>
        <w:ind w:left="700"/>
        <w:spacing w:after="0"/>
        <w:rPr>
          <w:sz w:val="20"/>
          <w:szCs w:val="20"/>
          <w:color w:val="auto"/>
        </w:rPr>
      </w:pPr>
      <w:r>
        <w:rPr>
          <w:rFonts w:ascii="Courier New" w:cs="Courier New" w:eastAsia="Courier New" w:hAnsi="Courier New"/>
          <w:sz w:val="12"/>
          <w:szCs w:val="12"/>
          <w:color w:val="auto"/>
        </w:rPr>
        <w:t>debentures and warrants, by selling 12,118 units, each comprised of</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long-term non-convertible debentures, with a face amount of NIS 2,500</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(approximately $0.62), long-term convertible debentures, with a face</w:t>
      </w:r>
    </w:p>
    <w:p>
      <w:pPr>
        <w:ind w:left="700"/>
        <w:spacing w:after="0"/>
        <w:rPr>
          <w:sz w:val="20"/>
          <w:szCs w:val="20"/>
          <w:color w:val="auto"/>
        </w:rPr>
      </w:pPr>
      <w:r>
        <w:rPr>
          <w:rFonts w:ascii="Courier New" w:cs="Courier New" w:eastAsia="Courier New" w:hAnsi="Courier New"/>
          <w:sz w:val="12"/>
          <w:szCs w:val="12"/>
          <w:color w:val="auto"/>
        </w:rPr>
        <w:t>amount of NIS 2,625 (approximately $0.65), and 58 warrants. The</w:t>
      </w:r>
    </w:p>
    <w:p>
      <w:pPr>
        <w:ind w:left="700"/>
        <w:spacing w:after="0" w:line="237" w:lineRule="auto"/>
        <w:rPr>
          <w:sz w:val="20"/>
          <w:szCs w:val="20"/>
          <w:color w:val="auto"/>
        </w:rPr>
      </w:pPr>
      <w:r>
        <w:rPr>
          <w:rFonts w:ascii="Courier New" w:cs="Courier New" w:eastAsia="Courier New" w:hAnsi="Courier New"/>
          <w:sz w:val="12"/>
          <w:szCs w:val="12"/>
          <w:color w:val="auto"/>
        </w:rPr>
        <w:t>debentures were issued at 90% of par value and with the other same</w:t>
      </w:r>
    </w:p>
    <w:p>
      <w:pPr>
        <w:ind w:left="700"/>
        <w:spacing w:after="0"/>
        <w:rPr>
          <w:sz w:val="20"/>
          <w:szCs w:val="20"/>
          <w:color w:val="auto"/>
        </w:rPr>
      </w:pPr>
      <w:r>
        <w:rPr>
          <w:rFonts w:ascii="Courier New" w:cs="Courier New" w:eastAsia="Courier New" w:hAnsi="Courier New"/>
          <w:sz w:val="12"/>
          <w:szCs w:val="12"/>
          <w:color w:val="auto"/>
        </w:rPr>
        <w:t>terms as the debentures and the warrants issued in the private</w:t>
      </w:r>
    </w:p>
    <w:p>
      <w:pPr>
        <w:ind w:left="700"/>
        <w:spacing w:after="0" w:line="237" w:lineRule="auto"/>
        <w:rPr>
          <w:sz w:val="20"/>
          <w:szCs w:val="20"/>
          <w:color w:val="auto"/>
        </w:rPr>
      </w:pPr>
      <w:r>
        <w:rPr>
          <w:rFonts w:ascii="Courier New" w:cs="Courier New" w:eastAsia="Courier New" w:hAnsi="Courier New"/>
          <w:sz w:val="12"/>
          <w:szCs w:val="12"/>
          <w:color w:val="auto"/>
        </w:rPr>
        <w:t>placement. In this expansion, the Company raised gross proceeds of</w:t>
      </w:r>
    </w:p>
    <w:p>
      <w:pPr>
        <w:ind w:left="700"/>
        <w:spacing w:after="0"/>
        <w:rPr>
          <w:sz w:val="20"/>
          <w:szCs w:val="20"/>
          <w:color w:val="auto"/>
        </w:rPr>
      </w:pPr>
      <w:r>
        <w:rPr>
          <w:rFonts w:ascii="Courier New" w:cs="Courier New" w:eastAsia="Courier New" w:hAnsi="Courier New"/>
          <w:sz w:val="12"/>
          <w:szCs w:val="12"/>
          <w:color w:val="auto"/>
        </w:rPr>
        <w:t>approximately $14,000.</w:t>
      </w:r>
    </w:p>
    <w:p>
      <w:pPr>
        <w:spacing w:after="0" w:line="138"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outstanding principal amount of series D and E as of December 31,</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2007 was $30,865 and $32,408, respectively. The Company elected to</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carry series E at fair value in accordance with provisions of SFAS No.</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155.</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FINANCIAL INSTRUMENTS AND FAIR VALUE MEASURMENTS</w:t>
      </w:r>
    </w:p>
    <w:p>
      <w:pPr>
        <w:spacing w:after="0" w:line="139" w:lineRule="exact"/>
        <w:rPr>
          <w:sz w:val="20"/>
          <w:szCs w:val="20"/>
          <w:color w:val="auto"/>
        </w:rPr>
      </w:pPr>
    </w:p>
    <w:p>
      <w:pPr>
        <w:ind w:left="340" w:right="4619"/>
        <w:spacing w:after="0" w:line="237" w:lineRule="auto"/>
        <w:rPr>
          <w:sz w:val="20"/>
          <w:szCs w:val="20"/>
          <w:color w:val="auto"/>
        </w:rPr>
      </w:pPr>
      <w:r>
        <w:rPr>
          <w:rFonts w:ascii="Courier New" w:cs="Courier New" w:eastAsia="Courier New" w:hAnsi="Courier New"/>
          <w:sz w:val="12"/>
          <w:szCs w:val="12"/>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35" w:lineRule="exact"/>
        <w:rPr>
          <w:sz w:val="20"/>
          <w:szCs w:val="20"/>
          <w:color w:val="auto"/>
        </w:rPr>
      </w:pPr>
    </w:p>
    <w:p>
      <w:pPr>
        <w:ind w:left="700" w:hanging="357"/>
        <w:spacing w:after="0"/>
        <w:tabs>
          <w:tab w:leader="none" w:pos="700"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w:t>
      </w:r>
    </w:p>
    <w:p>
      <w:pPr>
        <w:spacing w:after="0" w:line="138" w:lineRule="exact"/>
        <w:rPr>
          <w:rFonts w:ascii="Courier New" w:cs="Courier New" w:eastAsia="Courier New" w:hAnsi="Courier New"/>
          <w:sz w:val="12"/>
          <w:szCs w:val="12"/>
          <w:color w:val="auto"/>
        </w:rPr>
      </w:pPr>
    </w:p>
    <w:p>
      <w:pPr>
        <w:ind w:left="700" w:right="475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 derivative is typically defined as an instrument whose value is derived from an underlying instrument, index or rate, has a notional</w:t>
      </w:r>
    </w:p>
    <w:p>
      <w:pPr>
        <w:sectPr>
          <w:pgSz w:w="11900" w:h="16838" w:orient="portrait"/>
          <w:cols w:equalWidth="0" w:num="1">
            <w:col w:w="10239"/>
          </w:cols>
          <w:pgMar w:left="220" w:top="137" w:right="1440" w:bottom="0" w:gutter="0" w:footer="0" w:header="0"/>
        </w:sectPr>
      </w:pPr>
    </w:p>
    <w:bookmarkStart w:id="14" w:name="page15"/>
    <w:bookmarkEnd w:id="14"/>
    <w:p>
      <w:pPr>
        <w:ind w:left="700"/>
        <w:spacing w:after="0"/>
        <w:rPr>
          <w:sz w:val="20"/>
          <w:szCs w:val="20"/>
          <w:color w:val="auto"/>
        </w:rPr>
      </w:pPr>
      <w:r>
        <w:rPr>
          <w:rFonts w:ascii="Courier New" w:cs="Courier New" w:eastAsia="Courier New" w:hAnsi="Courier New"/>
          <w:sz w:val="12"/>
          <w:szCs w:val="12"/>
          <w:color w:val="auto"/>
        </w:rPr>
        <w:t>amount, requires no or little initial investment and can be net</w:t>
      </w:r>
    </w:p>
    <w:p>
      <w:pPr>
        <w:ind w:left="700"/>
        <w:spacing w:after="0"/>
        <w:rPr>
          <w:sz w:val="20"/>
          <w:szCs w:val="20"/>
          <w:color w:val="auto"/>
        </w:rPr>
      </w:pPr>
      <w:r>
        <w:rPr>
          <w:rFonts w:ascii="Courier New" w:cs="Courier New" w:eastAsia="Courier New" w:hAnsi="Courier New"/>
          <w:sz w:val="12"/>
          <w:szCs w:val="12"/>
          <w:color w:val="auto"/>
        </w:rPr>
        <w:t>settled.</w:t>
      </w:r>
    </w:p>
    <w:p>
      <w:pPr>
        <w:spacing w:after="0" w:line="13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SFAS 133 requires that all derivatives be recorded in the financial</w:t>
      </w:r>
    </w:p>
    <w:p>
      <w:pPr>
        <w:ind w:left="700"/>
        <w:spacing w:after="0"/>
        <w:rPr>
          <w:sz w:val="20"/>
          <w:szCs w:val="20"/>
          <w:color w:val="auto"/>
        </w:rPr>
      </w:pPr>
      <w:r>
        <w:rPr>
          <w:rFonts w:ascii="Courier New" w:cs="Courier New" w:eastAsia="Courier New" w:hAnsi="Courier New"/>
          <w:sz w:val="12"/>
          <w:szCs w:val="12"/>
          <w:color w:val="auto"/>
        </w:rPr>
        <w:t>statements at their fair value at the date of the financial</w:t>
      </w:r>
    </w:p>
    <w:p>
      <w:pPr>
        <w:ind w:left="700"/>
        <w:spacing w:after="0" w:line="237" w:lineRule="auto"/>
        <w:rPr>
          <w:sz w:val="20"/>
          <w:szCs w:val="20"/>
          <w:color w:val="auto"/>
        </w:rPr>
      </w:pPr>
      <w:r>
        <w:rPr>
          <w:rFonts w:ascii="Courier New" w:cs="Courier New" w:eastAsia="Courier New" w:hAnsi="Courier New"/>
          <w:sz w:val="12"/>
          <w:szCs w:val="12"/>
          <w:color w:val="auto"/>
        </w:rPr>
        <w:t>statements. The changes in the fair value of the derivatives are</w:t>
      </w:r>
    </w:p>
    <w:p>
      <w:pPr>
        <w:ind w:left="700"/>
        <w:spacing w:after="0"/>
        <w:rPr>
          <w:sz w:val="20"/>
          <w:szCs w:val="20"/>
          <w:color w:val="auto"/>
        </w:rPr>
      </w:pPr>
      <w:r>
        <w:rPr>
          <w:rFonts w:ascii="Courier New" w:cs="Courier New" w:eastAsia="Courier New" w:hAnsi="Courier New"/>
          <w:sz w:val="12"/>
          <w:szCs w:val="12"/>
          <w:color w:val="auto"/>
        </w:rPr>
        <w:t>charged to the statement of operations unless designated as hedging</w:t>
      </w:r>
    </w:p>
    <w:p>
      <w:pPr>
        <w:ind w:left="700"/>
        <w:spacing w:after="0" w:line="237" w:lineRule="auto"/>
        <w:rPr>
          <w:sz w:val="20"/>
          <w:szCs w:val="20"/>
          <w:color w:val="auto"/>
        </w:rPr>
      </w:pPr>
      <w:r>
        <w:rPr>
          <w:rFonts w:ascii="Courier New" w:cs="Courier New" w:eastAsia="Courier New" w:hAnsi="Courier New"/>
          <w:sz w:val="12"/>
          <w:szCs w:val="12"/>
          <w:color w:val="auto"/>
        </w:rPr>
        <w:t>item in a cash flows hedge at which time changes are classified in</w:t>
      </w:r>
    </w:p>
    <w:p>
      <w:pPr>
        <w:ind w:left="700"/>
        <w:spacing w:after="0"/>
        <w:rPr>
          <w:sz w:val="20"/>
          <w:szCs w:val="20"/>
          <w:color w:val="auto"/>
        </w:rPr>
      </w:pPr>
      <w:r>
        <w:rPr>
          <w:rFonts w:ascii="Courier New" w:cs="Courier New" w:eastAsia="Courier New" w:hAnsi="Courier New"/>
          <w:sz w:val="12"/>
          <w:szCs w:val="12"/>
          <w:color w:val="auto"/>
        </w:rPr>
        <w:t>other comprehensive income, to the extent effective.</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Company, from time to time, enters into agreements to hedge</w:t>
      </w:r>
    </w:p>
    <w:p>
      <w:pPr>
        <w:ind w:left="700"/>
        <w:spacing w:after="0"/>
        <w:rPr>
          <w:sz w:val="20"/>
          <w:szCs w:val="20"/>
          <w:color w:val="auto"/>
        </w:rPr>
      </w:pPr>
      <w:r>
        <w:rPr>
          <w:rFonts w:ascii="Courier New" w:cs="Courier New" w:eastAsia="Courier New" w:hAnsi="Courier New"/>
          <w:sz w:val="12"/>
          <w:szCs w:val="12"/>
          <w:color w:val="auto"/>
        </w:rPr>
        <w:t>variable interest rate exposure on long-term loans. The Company uses</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interest rate collar agreements with a knock-out and knock-in features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to hedge its LIBOR-based variable long-term debt cash flow exposure.</w:t>
      </w:r>
    </w:p>
    <w:p>
      <w:pPr>
        <w:ind w:left="700"/>
        <w:spacing w:after="0"/>
        <w:rPr>
          <w:sz w:val="20"/>
          <w:szCs w:val="20"/>
          <w:color w:val="auto"/>
        </w:rPr>
      </w:pPr>
      <w:r>
        <w:rPr>
          <w:rFonts w:ascii="Courier New" w:cs="Courier New" w:eastAsia="Courier New" w:hAnsi="Courier New"/>
          <w:sz w:val="12"/>
          <w:szCs w:val="12"/>
          <w:color w:val="auto"/>
        </w:rPr>
        <w:t>The knock-out feature was set above the cap level and the knock-in</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feature was set below the floor level. The Company determined that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probability that the cap will be knocked-out is remote and thus</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expected that the hedge will be highly effective. The Company assessed</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measured the effectiveness of the hedge, at inception and</w:t>
      </w:r>
    </w:p>
    <w:p>
      <w:pPr>
        <w:ind w:left="700"/>
        <w:spacing w:after="0"/>
        <w:rPr>
          <w:sz w:val="20"/>
          <w:szCs w:val="20"/>
          <w:color w:val="auto"/>
        </w:rPr>
      </w:pPr>
      <w:r>
        <w:rPr>
          <w:rFonts w:ascii="Courier New" w:cs="Courier New" w:eastAsia="Courier New" w:hAnsi="Courier New"/>
          <w:sz w:val="12"/>
          <w:szCs w:val="12"/>
          <w:color w:val="auto"/>
        </w:rPr>
        <w:t>throughout the hedge, based on total changes in cash flows of the</w:t>
      </w:r>
    </w:p>
    <w:p>
      <w:pPr>
        <w:ind w:left="700"/>
        <w:spacing w:after="0" w:line="237" w:lineRule="auto"/>
        <w:rPr>
          <w:sz w:val="20"/>
          <w:szCs w:val="20"/>
          <w:color w:val="auto"/>
        </w:rPr>
      </w:pPr>
      <w:r>
        <w:rPr>
          <w:rFonts w:ascii="Courier New" w:cs="Courier New" w:eastAsia="Courier New" w:hAnsi="Courier New"/>
          <w:sz w:val="12"/>
          <w:szCs w:val="12"/>
          <w:color w:val="auto"/>
        </w:rPr>
        <w:t>collar, and reported changes in fair value in other comprehensive</w:t>
      </w:r>
    </w:p>
    <w:p>
      <w:pPr>
        <w:ind w:left="700"/>
        <w:spacing w:after="0"/>
        <w:rPr>
          <w:sz w:val="20"/>
          <w:szCs w:val="20"/>
          <w:color w:val="auto"/>
        </w:rPr>
      </w:pPr>
      <w:r>
        <w:rPr>
          <w:rFonts w:ascii="Courier New" w:cs="Courier New" w:eastAsia="Courier New" w:hAnsi="Courier New"/>
          <w:sz w:val="12"/>
          <w:szCs w:val="12"/>
          <w:color w:val="auto"/>
        </w:rPr>
        <w:t>income. Amounts presented in other comprehensive income are</w:t>
      </w:r>
    </w:p>
    <w:p>
      <w:pPr>
        <w:ind w:left="700"/>
        <w:spacing w:after="0" w:line="237" w:lineRule="auto"/>
        <w:rPr>
          <w:sz w:val="20"/>
          <w:szCs w:val="20"/>
          <w:color w:val="auto"/>
        </w:rPr>
      </w:pPr>
      <w:r>
        <w:rPr>
          <w:rFonts w:ascii="Courier New" w:cs="Courier New" w:eastAsia="Courier New" w:hAnsi="Courier New"/>
          <w:sz w:val="12"/>
          <w:szCs w:val="12"/>
          <w:color w:val="auto"/>
        </w:rPr>
        <w:t>reclassified to operations or capitalized to property and equipment,</w:t>
      </w:r>
    </w:p>
    <w:p>
      <w:pPr>
        <w:ind w:left="700"/>
        <w:spacing w:after="0"/>
        <w:rPr>
          <w:sz w:val="20"/>
          <w:szCs w:val="20"/>
          <w:color w:val="auto"/>
        </w:rPr>
      </w:pPr>
      <w:r>
        <w:rPr>
          <w:rFonts w:ascii="Courier New" w:cs="Courier New" w:eastAsia="Courier New" w:hAnsi="Courier New"/>
          <w:sz w:val="12"/>
          <w:szCs w:val="12"/>
          <w:color w:val="auto"/>
        </w:rPr>
        <w:t>as applicable, as interest payment become due.</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As of December 31, 2007 and 2006, the Company had outstanding</w:t>
      </w:r>
    </w:p>
    <w:p>
      <w:pPr>
        <w:ind w:left="700"/>
        <w:spacing w:after="0"/>
        <w:rPr>
          <w:sz w:val="20"/>
          <w:szCs w:val="20"/>
          <w:color w:val="auto"/>
        </w:rPr>
      </w:pPr>
      <w:r>
        <w:rPr>
          <w:rFonts w:ascii="Courier New" w:cs="Courier New" w:eastAsia="Courier New" w:hAnsi="Courier New"/>
          <w:sz w:val="12"/>
          <w:szCs w:val="12"/>
          <w:color w:val="auto"/>
        </w:rPr>
        <w:t>agreements to hedge interest rate exposure on loans drawn down under</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Facility Agreement, the aggregate amount of which was $80,000 and</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$207,000 respectively, all of which is attributable to Fab 2. These</w:t>
      </w:r>
    </w:p>
    <w:p>
      <w:pPr>
        <w:ind w:left="700"/>
        <w:spacing w:after="0"/>
        <w:rPr>
          <w:sz w:val="20"/>
          <w:szCs w:val="20"/>
          <w:color w:val="auto"/>
        </w:rPr>
      </w:pPr>
      <w:r>
        <w:rPr>
          <w:rFonts w:ascii="Courier New" w:cs="Courier New" w:eastAsia="Courier New" w:hAnsi="Courier New"/>
          <w:sz w:val="12"/>
          <w:szCs w:val="12"/>
          <w:color w:val="auto"/>
        </w:rPr>
        <w:t>agreements resulted in 2007 and 2006 in a gain of $1,074 and $880,</w:t>
      </w:r>
    </w:p>
    <w:p>
      <w:pPr>
        <w:ind w:left="700"/>
        <w:spacing w:after="0" w:line="237" w:lineRule="auto"/>
        <w:rPr>
          <w:sz w:val="20"/>
          <w:szCs w:val="20"/>
          <w:color w:val="auto"/>
        </w:rPr>
      </w:pPr>
      <w:r>
        <w:rPr>
          <w:rFonts w:ascii="Courier New" w:cs="Courier New" w:eastAsia="Courier New" w:hAnsi="Courier New"/>
          <w:sz w:val="12"/>
          <w:szCs w:val="12"/>
          <w:color w:val="auto"/>
        </w:rPr>
        <w:t>respectively and in 2005 in a loss of $1,756</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Company does not hold or issue derivative financial instruments</w:t>
      </w:r>
    </w:p>
    <w:p>
      <w:pPr>
        <w:ind w:left="700"/>
        <w:spacing w:after="0"/>
        <w:rPr>
          <w:sz w:val="20"/>
          <w:szCs w:val="20"/>
          <w:color w:val="auto"/>
        </w:rPr>
      </w:pPr>
      <w:r>
        <w:rPr>
          <w:rFonts w:ascii="Courier New" w:cs="Courier New" w:eastAsia="Courier New" w:hAnsi="Courier New"/>
          <w:sz w:val="12"/>
          <w:szCs w:val="12"/>
          <w:color w:val="auto"/>
        </w:rPr>
        <w:t>for non-hedging purposes.</w:t>
      </w:r>
    </w:p>
    <w:p>
      <w:pPr>
        <w:spacing w:after="0" w:line="13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Financial instruments that potentially subject the Company to</w:t>
      </w:r>
    </w:p>
    <w:p>
      <w:pPr>
        <w:ind w:left="700"/>
        <w:spacing w:after="0"/>
        <w:rPr>
          <w:sz w:val="20"/>
          <w:szCs w:val="20"/>
          <w:color w:val="auto"/>
        </w:rPr>
      </w:pPr>
      <w:r>
        <w:rPr>
          <w:rFonts w:ascii="Courier New" w:cs="Courier New" w:eastAsia="Courier New" w:hAnsi="Courier New"/>
          <w:sz w:val="12"/>
          <w:szCs w:val="12"/>
          <w:color w:val="auto"/>
        </w:rPr>
        <w:t>concentrations of credit risk consist principally of cash and cash</w:t>
      </w:r>
    </w:p>
    <w:p>
      <w:pPr>
        <w:ind w:left="700"/>
        <w:spacing w:after="0" w:line="237" w:lineRule="auto"/>
        <w:rPr>
          <w:sz w:val="20"/>
          <w:szCs w:val="20"/>
          <w:color w:val="auto"/>
        </w:rPr>
      </w:pPr>
      <w:r>
        <w:rPr>
          <w:rFonts w:ascii="Courier New" w:cs="Courier New" w:eastAsia="Courier New" w:hAnsi="Courier New"/>
          <w:sz w:val="12"/>
          <w:szCs w:val="12"/>
          <w:color w:val="auto"/>
        </w:rPr>
        <w:t>equivalents, short-term bank deposits, trade receivables and</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government agencies receivables. The Company's cash, cash equivalents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are maintained with high-quality banks, and the composition and</w:t>
      </w:r>
    </w:p>
    <w:p>
      <w:pPr>
        <w:ind w:left="700"/>
        <w:spacing w:after="0"/>
        <w:rPr>
          <w:sz w:val="20"/>
          <w:szCs w:val="20"/>
          <w:color w:val="auto"/>
        </w:rPr>
      </w:pPr>
      <w:r>
        <w:rPr>
          <w:rFonts w:ascii="Courier New" w:cs="Courier New" w:eastAsia="Courier New" w:hAnsi="Courier New"/>
          <w:sz w:val="12"/>
          <w:szCs w:val="12"/>
          <w:color w:val="auto"/>
        </w:rPr>
        <w:t>maturities of investments are regularly monitored by management.</w:t>
      </w:r>
    </w:p>
    <w:p>
      <w:pPr>
        <w:ind w:left="700"/>
        <w:spacing w:after="0" w:line="237" w:lineRule="auto"/>
        <w:rPr>
          <w:sz w:val="20"/>
          <w:szCs w:val="20"/>
          <w:color w:val="auto"/>
        </w:rPr>
      </w:pPr>
      <w:r>
        <w:rPr>
          <w:rFonts w:ascii="Courier New" w:cs="Courier New" w:eastAsia="Courier New" w:hAnsi="Courier New"/>
          <w:sz w:val="12"/>
          <w:szCs w:val="12"/>
          <w:color w:val="auto"/>
        </w:rPr>
        <w:t>Generally, these securities may be redeemed upon demand and bear</w:t>
      </w:r>
    </w:p>
    <w:p>
      <w:pPr>
        <w:ind w:left="700"/>
        <w:spacing w:after="0"/>
        <w:rPr>
          <w:sz w:val="20"/>
          <w:szCs w:val="20"/>
          <w:color w:val="auto"/>
        </w:rPr>
      </w:pPr>
      <w:r>
        <w:rPr>
          <w:rFonts w:ascii="Courier New" w:cs="Courier New" w:eastAsia="Courier New" w:hAnsi="Courier New"/>
          <w:sz w:val="12"/>
          <w:szCs w:val="12"/>
          <w:color w:val="auto"/>
        </w:rPr>
        <w:t>minimal risk.</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FINANCIAL INSTRUMENTS AND FAIR VALUE MEASURMENTS (CONT.)</w:t>
      </w:r>
    </w:p>
    <w:p>
      <w:pPr>
        <w:spacing w:after="0" w:line="134" w:lineRule="exact"/>
        <w:rPr>
          <w:sz w:val="20"/>
          <w:szCs w:val="20"/>
          <w:color w:val="auto"/>
        </w:rPr>
      </w:pPr>
    </w:p>
    <w:p>
      <w:pPr>
        <w:ind w:left="700" w:hanging="357"/>
        <w:spacing w:after="0"/>
        <w:tabs>
          <w:tab w:leader="none" w:pos="700"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CONCENTRATION OF CREDIT RISKS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generally does not require collateral; however, in certain circumstances, the Company maintains a credit insurance policy or may require letters of credit. An allowance for doubtful accounts is determined with respect to those amounts that the Company has determined to be doubtful of collection. The Company performs ongoing credit evaluations of its customers.</w:t>
      </w:r>
    </w:p>
    <w:p>
      <w:pPr>
        <w:spacing w:after="0" w:line="140" w:lineRule="exact"/>
        <w:rPr>
          <w:rFonts w:ascii="Courier New" w:cs="Courier New" w:eastAsia="Courier New" w:hAnsi="Courier New"/>
          <w:sz w:val="12"/>
          <w:szCs w:val="12"/>
          <w:color w:val="auto"/>
        </w:rPr>
      </w:pPr>
    </w:p>
    <w:p>
      <w:pPr>
        <w:ind w:left="700" w:right="483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 is exposed to credit-related losses in respect of derivative financial instruments in a manner similar to the credit risk involved in the realization or collection of other types of assets. In management's estimation, due to the fact that derivative financial instrument transactions are entered into solely with financial institution counterparties, it is not expected that such counterparties will fail to meet their obligations.</w:t>
      </w:r>
    </w:p>
    <w:p>
      <w:pPr>
        <w:spacing w:after="0" w:line="12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FAIR VALUE OF FINANCIAL INSTRUMENTS</w:t>
      </w:r>
    </w:p>
    <w:p>
      <w:pPr>
        <w:spacing w:after="0" w:line="138" w:lineRule="exact"/>
        <w:rPr>
          <w:rFonts w:ascii="Courier New" w:cs="Courier New" w:eastAsia="Courier New" w:hAnsi="Courier New"/>
          <w:sz w:val="12"/>
          <w:szCs w:val="12"/>
          <w:color w:val="auto"/>
        </w:rPr>
      </w:pPr>
    </w:p>
    <w:p>
      <w:pPr>
        <w:ind w:left="700" w:right="469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estimated fair values of the Company's financial instruments, excluding the Company's long-term debentures do not materially differ from their respective carrying amounts as of December 31, 2007 and 2006. The fair value of the interest rate hedging transactions as of December 31, 2007, 2006 and 2005 would have resulted in an unrealized capitalizable gain of $295, $1,790 and $1,767, respectively. The fair values of debentures as of December 31, 2007, 2006 and 2005 were $157,683, $126,048 and $22,750, respectively, based on quoted market prices for the respective dates.</w:t>
      </w:r>
    </w:p>
    <w:p>
      <w:pPr>
        <w:spacing w:after="0" w:line="127"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FAIR VALUE MEASUREMENTS</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decided to early adopt the provisions of SFAS No. 157 effective January 1, 2007, concurrent with the adoption of FASB 159 "The Fair Value Option for Financial Assets and Financial Liabilities" (SFAS No. 159)</w:t>
      </w:r>
    </w:p>
    <w:p>
      <w:pPr>
        <w:spacing w:after="0" w:line="136"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income approach was applied using a present value technique.</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Loans - The cash flows used in that technique reflect the income stream expected to be used to satisfy the obligation over its economic life.</w:t>
      </w:r>
    </w:p>
    <w:p>
      <w:pPr>
        <w:spacing w:after="0" w:line="139" w:lineRule="exact"/>
        <w:rPr>
          <w:rFonts w:ascii="Courier New" w:cs="Courier New" w:eastAsia="Courier New" w:hAnsi="Courier New"/>
          <w:sz w:val="12"/>
          <w:szCs w:val="12"/>
          <w:color w:val="auto"/>
        </w:rPr>
      </w:pPr>
    </w:p>
    <w:p>
      <w:pPr>
        <w:ind w:left="700" w:right="497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Embedded Derivatives - the Company utilized the Black Scholes Merton formula.</w:t>
      </w:r>
    </w:p>
    <w:p>
      <w:pPr>
        <w:spacing w:after="0" w:line="139" w:lineRule="exact"/>
        <w:rPr>
          <w:rFonts w:ascii="Courier New" w:cs="Courier New" w:eastAsia="Courier New" w:hAnsi="Courier New"/>
          <w:sz w:val="12"/>
          <w:szCs w:val="12"/>
          <w:color w:val="auto"/>
        </w:rPr>
      </w:pPr>
    </w:p>
    <w:p>
      <w:pPr>
        <w:ind w:left="700" w:right="517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Over the Counter derivatives - the Company used the market approach using quotation from dealer markets.</w:t>
      </w:r>
    </w:p>
    <w:p>
      <w:pPr>
        <w:spacing w:after="0" w:line="139"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convertible debentures series E - The market approach was applied using quoted prices for the same debentures.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FINANCIAL INSTRUMENTS AND FAIR VALUE MEASURMENTS (CONT.)</w:t>
      </w:r>
    </w:p>
    <w:p>
      <w:pPr>
        <w:spacing w:after="0" w:line="139" w:lineRule="exact"/>
        <w:rPr>
          <w:sz w:val="20"/>
          <w:szCs w:val="20"/>
          <w:color w:val="auto"/>
        </w:rPr>
      </w:pPr>
    </w:p>
    <w:p>
      <w:pPr>
        <w:ind w:left="340" w:right="7079" w:firstLine="3"/>
        <w:spacing w:after="0" w:line="520" w:lineRule="auto"/>
        <w:tabs>
          <w:tab w:leader="none" w:pos="691" w:val="left"/>
        </w:tabs>
        <w:numPr>
          <w:ilvl w:val="0"/>
          <w:numId w:val="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FAIR VALUE MEASUREMENTS (CONT.) Recurring Fair Value Measurements Using:</w:t>
      </w:r>
    </w:p>
    <w:p>
      <w:pPr>
        <w:ind w:left="3580"/>
        <w:spacing w:after="0" w:line="233" w:lineRule="auto"/>
        <w:rPr>
          <w:sz w:val="20"/>
          <w:szCs w:val="20"/>
          <w:color w:val="auto"/>
        </w:rPr>
      </w:pPr>
      <w:r>
        <w:rPr>
          <w:rFonts w:ascii="Courier New" w:cs="Courier New" w:eastAsia="Courier New" w:hAnsi="Courier New"/>
          <w:sz w:val="12"/>
          <w:szCs w:val="12"/>
          <w:color w:val="auto"/>
        </w:rPr>
        <w:t>Quoted prices</w:t>
      </w:r>
    </w:p>
    <w:p>
      <w:pPr>
        <w:sectPr>
          <w:pgSz w:w="11900" w:h="16838" w:orient="portrait"/>
          <w:cols w:equalWidth="0" w:num="1">
            <w:col w:w="10239"/>
          </w:cols>
          <w:pgMar w:left="220" w:top="137" w:right="1440" w:bottom="0" w:gutter="0" w:footer="0" w:header="0"/>
        </w:sectPr>
      </w:pPr>
    </w:p>
    <w:bookmarkStart w:id="15" w:name="page16"/>
    <w:bookmarkEnd w:id="15"/>
    <w:p>
      <w:pPr>
        <w:spacing w:after="0" w:line="200" w:lineRule="exact"/>
        <w:rPr>
          <w:sz w:val="20"/>
          <w:szCs w:val="20"/>
          <w:color w:val="auto"/>
        </w:rPr>
      </w:pPr>
    </w:p>
    <w:p>
      <w:pPr>
        <w:spacing w:after="0" w:line="210" w:lineRule="exact"/>
        <w:rPr>
          <w:sz w:val="20"/>
          <w:szCs w:val="20"/>
          <w:color w:val="auto"/>
        </w:rPr>
      </w:pPr>
    </w:p>
    <w:p>
      <w:pPr>
        <w:ind w:left="2600"/>
        <w:spacing w:after="0"/>
        <w:rPr>
          <w:sz w:val="20"/>
          <w:szCs w:val="20"/>
          <w:color w:val="auto"/>
        </w:rPr>
      </w:pPr>
      <w:r>
        <w:rPr>
          <w:rFonts w:ascii="Courier New" w:cs="Courier New" w:eastAsia="Courier New" w:hAnsi="Courier New"/>
          <w:sz w:val="11"/>
          <w:szCs w:val="11"/>
          <w:color w:val="auto"/>
        </w:rPr>
        <w:t>December 31,</w:t>
      </w:r>
    </w:p>
    <w:p>
      <w:pPr>
        <w:spacing w:after="0" w:line="6" w:lineRule="exact"/>
        <w:rPr>
          <w:sz w:val="20"/>
          <w:szCs w:val="20"/>
          <w:color w:val="auto"/>
        </w:rPr>
      </w:pPr>
    </w:p>
    <w:p>
      <w:pPr>
        <w:ind w:left="2800"/>
        <w:spacing w:after="0"/>
        <w:rPr>
          <w:sz w:val="20"/>
          <w:szCs w:val="20"/>
          <w:color w:val="auto"/>
        </w:rPr>
      </w:pPr>
      <w:r>
        <w:rPr>
          <w:rFonts w:ascii="Courier New" w:cs="Courier New" w:eastAsia="Courier New" w:hAnsi="Courier New"/>
          <w:sz w:val="12"/>
          <w:szCs w:val="12"/>
          <w:color w:val="auto"/>
        </w:rPr>
        <w:t>2007</w:t>
      </w:r>
    </w:p>
    <w:p>
      <w:pPr>
        <w:ind w:left="266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in active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market for</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1"/>
          <w:szCs w:val="11"/>
          <w:color w:val="auto"/>
        </w:rPr>
        <w:t>identical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liability</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1"/>
          <w:szCs w:val="11"/>
          <w:color w:val="auto"/>
        </w:rPr>
        <w:t>(Level 1)</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Significant</w:t>
      </w:r>
    </w:p>
    <w:p>
      <w:pPr>
        <w:spacing w:after="0" w:line="6"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other</w:t>
      </w:r>
    </w:p>
    <w:p>
      <w:pPr>
        <w:spacing w:after="0"/>
        <w:rPr>
          <w:sz w:val="20"/>
          <w:szCs w:val="20"/>
          <w:color w:val="auto"/>
        </w:rPr>
      </w:pPr>
      <w:r>
        <w:rPr>
          <w:rFonts w:ascii="Courier New" w:cs="Courier New" w:eastAsia="Courier New" w:hAnsi="Courier New"/>
          <w:sz w:val="12"/>
          <w:szCs w:val="12"/>
          <w:color w:val="auto"/>
        </w:rPr>
        <w:t>observable</w:t>
      </w:r>
    </w:p>
    <w:p>
      <w:pPr>
        <w:ind w:left="140"/>
        <w:spacing w:after="0" w:line="237" w:lineRule="auto"/>
        <w:rPr>
          <w:sz w:val="20"/>
          <w:szCs w:val="20"/>
          <w:color w:val="auto"/>
        </w:rPr>
      </w:pPr>
      <w:r>
        <w:rPr>
          <w:rFonts w:ascii="Courier New" w:cs="Courier New" w:eastAsia="Courier New" w:hAnsi="Courier New"/>
          <w:sz w:val="12"/>
          <w:szCs w:val="12"/>
          <w:color w:val="auto"/>
        </w:rPr>
        <w:t>Inputs</w:t>
      </w:r>
    </w:p>
    <w:p>
      <w:pPr>
        <w:spacing w:after="0"/>
        <w:rPr>
          <w:sz w:val="20"/>
          <w:szCs w:val="20"/>
          <w:color w:val="auto"/>
        </w:rPr>
      </w:pPr>
      <w:r>
        <w:rPr>
          <w:rFonts w:ascii="Courier New" w:cs="Courier New" w:eastAsia="Courier New" w:hAnsi="Courier New"/>
          <w:sz w:val="12"/>
          <w:szCs w:val="12"/>
          <w:color w:val="auto"/>
        </w:rPr>
        <w:t>(Level 2)</w:t>
      </w:r>
    </w:p>
    <w:p>
      <w:pPr>
        <w:ind w:left="80"/>
        <w:spacing w:after="0" w:line="237" w:lineRule="auto"/>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Significant</w:t>
      </w:r>
    </w:p>
    <w:p>
      <w:pPr>
        <w:ind w:left="140"/>
        <w:spacing w:after="0"/>
        <w:rPr>
          <w:sz w:val="20"/>
          <w:szCs w:val="20"/>
          <w:color w:val="auto"/>
        </w:rPr>
      </w:pPr>
      <w:r>
        <w:rPr>
          <w:rFonts w:ascii="Courier New" w:cs="Courier New" w:eastAsia="Courier New" w:hAnsi="Courier New"/>
          <w:sz w:val="12"/>
          <w:szCs w:val="12"/>
          <w:color w:val="auto"/>
        </w:rPr>
        <w:t>Unobservable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Inputs (Level 3)</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sectPr>
          <w:pgSz w:w="11900" w:h="16838" w:orient="portrait"/>
          <w:cols w:equalWidth="0" w:num="4">
            <w:col w:w="3440" w:space="200"/>
            <w:col w:w="700" w:space="420"/>
            <w:col w:w="780" w:space="220"/>
            <w:col w:w="4479"/>
          </w:cols>
          <w:pgMar w:left="220" w:top="137" w:right="1440" w:bottom="0" w:gutter="0" w:footer="0" w:header="0"/>
        </w:sectPr>
      </w:pPr>
    </w:p>
    <w:p>
      <w:pPr>
        <w:spacing w:after="0"/>
        <w:rPr>
          <w:sz w:val="20"/>
          <w:szCs w:val="20"/>
          <w:color w:val="auto"/>
        </w:rPr>
      </w:pPr>
      <w:r>
        <w:rPr>
          <w:rFonts w:ascii="Courier New" w:cs="Courier New" w:eastAsia="Courier New" w:hAnsi="Courier New"/>
          <w:sz w:val="11"/>
          <w:szCs w:val="11"/>
          <w:color w:val="auto"/>
        </w:rPr>
        <w:t>Trading securities - convertible</w:t>
      </w:r>
    </w:p>
    <w:p>
      <w:pPr>
        <w:sectPr>
          <w:pgSz w:w="11900" w:h="16838" w:orient="portrait"/>
          <w:cols w:equalWidth="0" w:num="1">
            <w:col w:w="10239"/>
          </w:cols>
          <w:pgMar w:left="220" w:top="137"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debentures series 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Long-term debt</w:t>
      </w:r>
    </w:p>
    <w:p>
      <w:pPr>
        <w:spacing w:after="0"/>
        <w:rPr>
          <w:sz w:val="20"/>
          <w:szCs w:val="20"/>
          <w:color w:val="auto"/>
        </w:rPr>
      </w:pPr>
      <w:r>
        <w:rPr>
          <w:rFonts w:ascii="Courier New" w:cs="Courier New" w:eastAsia="Courier New" w:hAnsi="Courier New"/>
          <w:sz w:val="12"/>
          <w:szCs w:val="12"/>
          <w:color w:val="auto"/>
        </w:rPr>
        <w:t>Derivatives</w:t>
      </w:r>
    </w:p>
    <w:p>
      <w:pPr>
        <w:spacing w:after="0" w:line="20" w:lineRule="exact"/>
        <w:rPr>
          <w:sz w:val="20"/>
          <w:szCs w:val="20"/>
          <w:color w:val="auto"/>
        </w:rPr>
      </w:pPr>
      <w:r>
        <w:rPr>
          <w:sz w:val="20"/>
          <w:szCs w:val="20"/>
          <w:color w:val="auto"/>
        </w:rPr>
        <w:br w:type="column"/>
      </w:r>
    </w:p>
    <w:p>
      <w:pPr>
        <w:spacing w:after="0"/>
        <w:tabs>
          <w:tab w:leader="none" w:pos="20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28,484</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1"/>
          <w:szCs w:val="11"/>
          <w:color w:val="auto"/>
        </w:rPr>
        <w:t>365,563</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7,018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$ 401,065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Courier New" w:cs="Courier New" w:eastAsia="Courier New" w:hAnsi="Courier New"/>
          <w:sz w:val="11"/>
          <w:szCs w:val="11"/>
          <w:color w:val="auto"/>
        </w:rPr>
        <w:t>$</w:t>
        <w:tab/>
        <w:t>28,484</w:t>
      </w:r>
    </w:p>
    <w:p>
      <w:pPr>
        <w:spacing w:after="0" w:line="10" w:lineRule="exact"/>
        <w:rPr>
          <w:sz w:val="20"/>
          <w:szCs w:val="20"/>
          <w:color w:val="auto"/>
        </w:rPr>
      </w:pPr>
    </w:p>
    <w:p>
      <w:pPr>
        <w:ind w:left="480"/>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ind w:left="480"/>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spacing w:after="0"/>
        <w:tabs>
          <w:tab w:leader="none" w:pos="180" w:val="left"/>
        </w:tabs>
        <w:rPr>
          <w:sz w:val="20"/>
          <w:szCs w:val="20"/>
          <w:color w:val="auto"/>
        </w:rPr>
      </w:pPr>
      <w:r>
        <w:rPr>
          <w:rFonts w:ascii="Courier New" w:cs="Courier New" w:eastAsia="Courier New" w:hAnsi="Courier New"/>
          <w:sz w:val="11"/>
          <w:szCs w:val="11"/>
          <w:color w:val="auto"/>
        </w:rPr>
        <w:t>$</w:t>
        <w:tab/>
        <w:t>28,484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tabs>
          <w:tab w:leader="none" w:pos="48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ind w:left="50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(295)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1"/>
          <w:szCs w:val="11"/>
          <w:color w:val="auto"/>
        </w:rPr>
        <w:t>$</w:t>
      </w:r>
      <w:r>
        <w:rPr>
          <w:sz w:val="20"/>
          <w:szCs w:val="20"/>
          <w:color w:val="auto"/>
        </w:rPr>
        <w:tab/>
      </w:r>
      <w:r>
        <w:rPr>
          <w:rFonts w:ascii="Courier New" w:cs="Courier New" w:eastAsia="Courier New" w:hAnsi="Courier New"/>
          <w:sz w:val="11"/>
          <w:szCs w:val="11"/>
          <w:color w:val="auto"/>
        </w:rPr>
        <w:t>(295)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both"/>
        <w:spacing w:after="0"/>
        <w:tabs>
          <w:tab w:leader="none" w:pos="48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jc w:val="right"/>
        <w:ind w:right="3639"/>
        <w:spacing w:after="0"/>
        <w:rPr>
          <w:sz w:val="20"/>
          <w:szCs w:val="20"/>
          <w:color w:val="auto"/>
        </w:rPr>
      </w:pPr>
      <w:r>
        <w:rPr>
          <w:rFonts w:ascii="Courier New" w:cs="Courier New" w:eastAsia="Courier New" w:hAnsi="Courier New"/>
          <w:sz w:val="12"/>
          <w:szCs w:val="12"/>
          <w:color w:val="auto"/>
        </w:rPr>
        <w:t>365,563</w:t>
      </w:r>
    </w:p>
    <w:p>
      <w:pPr>
        <w:jc w:val="right"/>
        <w:ind w:right="3639"/>
        <w:spacing w:after="0" w:line="237" w:lineRule="auto"/>
        <w:rPr>
          <w:sz w:val="20"/>
          <w:szCs w:val="20"/>
          <w:color w:val="auto"/>
        </w:rPr>
      </w:pPr>
      <w:r>
        <w:rPr>
          <w:rFonts w:ascii="Courier New" w:cs="Courier New" w:eastAsia="Courier New" w:hAnsi="Courier New"/>
          <w:sz w:val="12"/>
          <w:szCs w:val="12"/>
          <w:color w:val="auto"/>
        </w:rPr>
        <w:t>7,313</w:t>
      </w:r>
    </w:p>
    <w:p>
      <w:pPr>
        <w:spacing w:after="0" w:line="4"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1"/>
          <w:szCs w:val="11"/>
          <w:color w:val="auto"/>
        </w:rPr>
        <w:t>$ 372,876</w:t>
      </w:r>
    </w:p>
    <w:p>
      <w:pPr>
        <w:spacing w:after="0" w:line="10"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1"/>
          <w:szCs w:val="11"/>
          <w:color w:val="auto"/>
        </w:rPr>
        <w:t>=========</w:t>
      </w:r>
    </w:p>
    <w:p>
      <w:pPr>
        <w:spacing w:after="0" w:line="145" w:lineRule="exact"/>
        <w:rPr>
          <w:sz w:val="20"/>
          <w:szCs w:val="20"/>
          <w:color w:val="auto"/>
        </w:rPr>
      </w:pPr>
    </w:p>
    <w:p>
      <w:pPr>
        <w:sectPr>
          <w:pgSz w:w="11900" w:h="16838" w:orient="portrait"/>
          <w:cols w:equalWidth="0" w:num="5">
            <w:col w:w="1940" w:space="720"/>
            <w:col w:w="640" w:space="420"/>
            <w:col w:w="620" w:space="500"/>
            <w:col w:w="700" w:space="420"/>
            <w:col w:w="4279"/>
          </w:cols>
          <w:pgMar w:left="220" w:top="137" w:right="1440" w:bottom="0" w:gutter="0" w:footer="0" w:header="0"/>
          <w:type w:val="continuous"/>
        </w:sectPr>
      </w:pPr>
    </w:p>
    <w:p>
      <w:pPr>
        <w:ind w:left="340"/>
        <w:spacing w:after="0"/>
        <w:rPr>
          <w:sz w:val="20"/>
          <w:szCs w:val="20"/>
          <w:color w:val="auto"/>
        </w:rPr>
      </w:pPr>
      <w:r>
        <w:rPr>
          <w:rFonts w:ascii="Courier New" w:cs="Courier New" w:eastAsia="Courier New" w:hAnsi="Courier New"/>
          <w:sz w:val="11"/>
          <w:szCs w:val="11"/>
          <w:color w:val="auto"/>
        </w:rPr>
        <w:t>Asset Measurement on a Recurring Basis Using Significant Unobservable</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Inputs (Level 3):</w:t>
      </w:r>
    </w:p>
    <w:p>
      <w:pPr>
        <w:sectPr>
          <w:pgSz w:w="11900" w:h="16838" w:orient="portrait"/>
          <w:cols w:equalWidth="0" w:num="1">
            <w:col w:w="10239"/>
          </w:cols>
          <w:pgMar w:left="220" w:top="137" w:right="1440" w:bottom="0" w:gutter="0" w:footer="0" w:header="0"/>
          <w:type w:val="continuous"/>
        </w:sectPr>
      </w:pPr>
    </w:p>
    <w:p>
      <w:pPr>
        <w:spacing w:after="0" w:line="139" w:lineRule="exact"/>
        <w:rPr>
          <w:sz w:val="20"/>
          <w:szCs w:val="20"/>
          <w:color w:val="auto"/>
        </w:rPr>
      </w:pPr>
    </w:p>
    <w:p>
      <w:pPr>
        <w:ind w:left="5200"/>
        <w:spacing w:after="0"/>
        <w:rPr>
          <w:sz w:val="20"/>
          <w:szCs w:val="20"/>
          <w:color w:val="auto"/>
        </w:rPr>
      </w:pPr>
      <w:r>
        <w:rPr>
          <w:rFonts w:ascii="Courier New" w:cs="Courier New" w:eastAsia="Courier New" w:hAnsi="Courier New"/>
          <w:sz w:val="11"/>
          <w:szCs w:val="11"/>
          <w:color w:val="auto"/>
        </w:rPr>
        <w:t>Long-term debt</w:t>
      </w:r>
    </w:p>
    <w:p>
      <w:pPr>
        <w:spacing w:after="0" w:line="6" w:lineRule="exact"/>
        <w:rPr>
          <w:sz w:val="20"/>
          <w:szCs w:val="20"/>
          <w:color w:val="auto"/>
        </w:rPr>
      </w:pPr>
    </w:p>
    <w:p>
      <w:pPr>
        <w:ind w:left="534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1"/>
          <w:szCs w:val="11"/>
          <w:color w:val="auto"/>
        </w:rPr>
        <w:t>Derivatives</w:t>
      </w:r>
    </w:p>
    <w:p>
      <w:pPr>
        <w:spacing w:after="0" w:line="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2"/>
          <w:szCs w:val="12"/>
          <w:color w:val="auto"/>
        </w:rPr>
        <w:t>---------</w:t>
      </w:r>
    </w:p>
    <w:p>
      <w:pPr>
        <w:spacing w:after="0" w:line="134" w:lineRule="exact"/>
        <w:rPr>
          <w:sz w:val="20"/>
          <w:szCs w:val="20"/>
          <w:color w:val="auto"/>
        </w:rPr>
      </w:pPr>
    </w:p>
    <w:p>
      <w:pPr>
        <w:sectPr>
          <w:pgSz w:w="11900" w:h="16838" w:orient="portrait"/>
          <w:cols w:equalWidth="0" w:num="2">
            <w:col w:w="6180" w:space="200"/>
            <w:col w:w="3859"/>
          </w:cols>
          <w:pgMar w:left="220" w:top="137"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As of January 1, 2007- at fair value</w:t>
      </w:r>
    </w:p>
    <w:p>
      <w:pPr>
        <w:spacing w:after="0"/>
        <w:rPr>
          <w:sz w:val="20"/>
          <w:szCs w:val="20"/>
          <w:color w:val="auto"/>
        </w:rPr>
      </w:pPr>
      <w:r>
        <w:rPr>
          <w:rFonts w:ascii="Courier New" w:cs="Courier New" w:eastAsia="Courier New" w:hAnsi="Courier New"/>
          <w:sz w:val="12"/>
          <w:szCs w:val="12"/>
          <w:color w:val="auto"/>
        </w:rPr>
        <w:t>Total gains unrealized in earnings</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As of December 31, 2007 - at fair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$ 367,223</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1"/>
          <w:szCs w:val="11"/>
          <w:color w:val="auto"/>
        </w:rPr>
        <w:t>(1,660)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rPr>
          <w:sz w:val="20"/>
          <w:szCs w:val="20"/>
          <w:color w:val="auto"/>
        </w:rPr>
      </w:pPr>
      <w:r>
        <w:rPr>
          <w:rFonts w:ascii="Courier New" w:cs="Courier New" w:eastAsia="Courier New" w:hAnsi="Courier New"/>
          <w:sz w:val="12"/>
          <w:szCs w:val="12"/>
          <w:color w:val="auto"/>
        </w:rPr>
        <w:t>$ 365,563</w:t>
      </w:r>
    </w:p>
    <w:p>
      <w:pPr>
        <w:spacing w:after="0" w:line="237" w:lineRule="auto"/>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11,513</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1"/>
          <w:szCs w:val="11"/>
          <w:color w:val="auto"/>
        </w:rPr>
        <w:t>(4,200)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tabs>
          <w:tab w:leader="none" w:pos="26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7,313</w:t>
      </w:r>
    </w:p>
    <w:p>
      <w:pPr>
        <w:spacing w:after="0" w:line="237" w:lineRule="auto"/>
        <w:rPr>
          <w:sz w:val="20"/>
          <w:szCs w:val="20"/>
          <w:color w:val="auto"/>
        </w:rPr>
      </w:pPr>
      <w:r>
        <w:rPr>
          <w:rFonts w:ascii="Courier New" w:cs="Courier New" w:eastAsia="Courier New" w:hAnsi="Courier New"/>
          <w:sz w:val="12"/>
          <w:szCs w:val="12"/>
          <w:color w:val="auto"/>
        </w:rPr>
        <w:t>=========</w:t>
      </w:r>
    </w:p>
    <w:p>
      <w:pPr>
        <w:spacing w:after="0" w:line="134" w:lineRule="exact"/>
        <w:rPr>
          <w:sz w:val="20"/>
          <w:szCs w:val="20"/>
          <w:color w:val="auto"/>
        </w:rPr>
      </w:pPr>
    </w:p>
    <w:p>
      <w:pPr>
        <w:sectPr>
          <w:pgSz w:w="11900" w:h="16838" w:orient="portrait"/>
          <w:cols w:equalWidth="0" w:num="3">
            <w:col w:w="4620" w:space="720"/>
            <w:col w:w="700" w:space="420"/>
            <w:col w:w="3779"/>
          </w:cols>
          <w:pgMar w:left="220" w:top="137"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Unrealized gain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in earnings from liabilities still held at period end</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Courier New" w:cs="Courier New" w:eastAsia="Courier New" w:hAnsi="Courier New"/>
          <w:sz w:val="11"/>
          <w:szCs w:val="11"/>
          <w:color w:val="auto"/>
        </w:rPr>
        <w:t>$</w:t>
        <w:tab/>
        <w:t>(1,660)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(4,200)</w:t>
      </w:r>
    </w:p>
    <w:p>
      <w:pPr>
        <w:spacing w:after="0"/>
        <w:rPr>
          <w:sz w:val="20"/>
          <w:szCs w:val="20"/>
          <w:color w:val="auto"/>
        </w:rPr>
      </w:pPr>
      <w:r>
        <w:rPr>
          <w:rFonts w:ascii="Courier New" w:cs="Courier New" w:eastAsia="Courier New" w:hAnsi="Courier New"/>
          <w:sz w:val="12"/>
          <w:szCs w:val="12"/>
          <w:color w:val="auto"/>
        </w:rPr>
        <w:t>=========</w:t>
      </w:r>
    </w:p>
    <w:p>
      <w:pPr>
        <w:spacing w:after="0" w:line="133" w:lineRule="exact"/>
        <w:rPr>
          <w:sz w:val="20"/>
          <w:szCs w:val="20"/>
          <w:color w:val="auto"/>
        </w:rPr>
      </w:pPr>
    </w:p>
    <w:p>
      <w:pPr>
        <w:sectPr>
          <w:pgSz w:w="11900" w:h="16838" w:orient="portrait"/>
          <w:cols w:equalWidth="0" w:num="4">
            <w:col w:w="1040" w:space="140"/>
            <w:col w:w="3720" w:space="440"/>
            <w:col w:w="700" w:space="420"/>
            <w:col w:w="3779"/>
          </w:cols>
          <w:pgMar w:left="220" w:top="137"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NOTE 12 - OTHER LONG-TERM LIABILITIES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60" w:type="dxa"/>
            <w:vAlign w:val="bottom"/>
          </w:tcPr>
          <w:p>
            <w:pPr>
              <w:ind w:left="340"/>
              <w:spacing w:after="0"/>
              <w:rPr>
                <w:sz w:val="20"/>
                <w:szCs w:val="20"/>
                <w:color w:val="auto"/>
              </w:rPr>
            </w:pPr>
            <w:r>
              <w:rPr>
                <w:rFonts w:ascii="Courier New" w:cs="Courier New" w:eastAsia="Courier New" w:hAnsi="Courier New"/>
                <w:sz w:val="12"/>
                <w:szCs w:val="12"/>
                <w:color w:val="auto"/>
              </w:rPr>
              <w:t>A.</w:t>
            </w:r>
          </w:p>
        </w:tc>
        <w:tc>
          <w:tcPr>
            <w:tcW w:w="4180" w:type="dxa"/>
            <w:vAlign w:val="bottom"/>
          </w:tcPr>
          <w:p>
            <w:pPr>
              <w:ind w:left="40"/>
              <w:spacing w:after="0"/>
              <w:rPr>
                <w:sz w:val="20"/>
                <w:szCs w:val="20"/>
                <w:color w:val="auto"/>
              </w:rPr>
            </w:pPr>
            <w:r>
              <w:rPr>
                <w:rFonts w:ascii="Courier New" w:cs="Courier New" w:eastAsia="Courier New" w:hAnsi="Courier New"/>
                <w:sz w:val="12"/>
                <w:szCs w:val="12"/>
                <w:color w:val="auto"/>
              </w:rPr>
              <w:t>Composition:</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270"/>
        </w:trPr>
        <w:tc>
          <w:tcPr>
            <w:tcW w:w="66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6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90"/>
              </w:rPr>
              <w:t>2007</w:t>
            </w:r>
          </w:p>
        </w:tc>
        <w:tc>
          <w:tcPr>
            <w:tcW w:w="340" w:type="dxa"/>
            <w:vAlign w:val="bottom"/>
          </w:tcPr>
          <w:p>
            <w:pPr>
              <w:spacing w:after="0"/>
              <w:rPr>
                <w:sz w:val="11"/>
                <w:szCs w:val="11"/>
                <w:color w:val="auto"/>
              </w:rPr>
            </w:pP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6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840" w:type="dxa"/>
            <w:vAlign w:val="bottom"/>
            <w:gridSpan w:val="2"/>
          </w:tcPr>
          <w:p>
            <w:pPr>
              <w:spacing w:after="0"/>
              <w:rPr>
                <w:sz w:val="20"/>
                <w:szCs w:val="20"/>
                <w:color w:val="auto"/>
              </w:rPr>
            </w:pPr>
            <w:r>
              <w:rPr>
                <w:rFonts w:ascii="Courier New" w:cs="Courier New" w:eastAsia="Courier New" w:hAnsi="Courier New"/>
                <w:sz w:val="12"/>
                <w:szCs w:val="12"/>
                <w:color w:val="auto"/>
              </w:rPr>
              <w:t>Accrued Severance pay, see B below:</w:t>
            </w:r>
          </w:p>
        </w:tc>
        <w:tc>
          <w:tcPr>
            <w:tcW w:w="4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2"/>
              </w:rPr>
              <w:t>18,374</w:t>
            </w:r>
          </w:p>
        </w:tc>
        <w:tc>
          <w:tcPr>
            <w:tcW w:w="3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16,816</w:t>
            </w:r>
          </w:p>
        </w:tc>
      </w:tr>
      <w:tr>
        <w:trPr>
          <w:trHeight w:val="135"/>
        </w:trPr>
        <w:tc>
          <w:tcPr>
            <w:tcW w:w="4840" w:type="dxa"/>
            <w:vAlign w:val="bottom"/>
            <w:gridSpan w:val="2"/>
          </w:tcPr>
          <w:p>
            <w:pPr>
              <w:spacing w:after="0"/>
              <w:rPr>
                <w:sz w:val="20"/>
                <w:szCs w:val="20"/>
                <w:color w:val="auto"/>
              </w:rPr>
            </w:pPr>
            <w:r>
              <w:rPr>
                <w:rFonts w:ascii="Courier New" w:cs="Courier New" w:eastAsia="Courier New" w:hAnsi="Courier New"/>
                <w:sz w:val="12"/>
                <w:szCs w:val="12"/>
                <w:color w:val="auto"/>
              </w:rPr>
              <w:t>Long-term liabilities in respect of license agreements</w:t>
            </w:r>
          </w:p>
        </w:tc>
        <w:tc>
          <w:tcPr>
            <w:tcW w:w="42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1,804</w:t>
            </w:r>
          </w:p>
        </w:tc>
      </w:tr>
      <w:tr>
        <w:trPr>
          <w:trHeight w:val="135"/>
        </w:trPr>
        <w:tc>
          <w:tcPr>
            <w:tcW w:w="4840" w:type="dxa"/>
            <w:vAlign w:val="bottom"/>
            <w:gridSpan w:val="2"/>
          </w:tcPr>
          <w:p>
            <w:pPr>
              <w:spacing w:after="0"/>
              <w:rPr>
                <w:sz w:val="20"/>
                <w:szCs w:val="20"/>
                <w:color w:val="auto"/>
              </w:rPr>
            </w:pPr>
            <w:r>
              <w:rPr>
                <w:rFonts w:ascii="Courier New" w:cs="Courier New" w:eastAsia="Courier New" w:hAnsi="Courier New"/>
                <w:sz w:val="12"/>
                <w:szCs w:val="12"/>
                <w:color w:val="auto"/>
              </w:rPr>
              <w:t>LONG-TERM LOANS FROM RELATED PARTIES, NET OF CURRENT MATURITY, SEE</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4840" w:type="dxa"/>
            <w:vAlign w:val="bottom"/>
            <w:gridSpan w:val="2"/>
          </w:tcPr>
          <w:p>
            <w:pPr>
              <w:spacing w:after="0"/>
              <w:rPr>
                <w:sz w:val="20"/>
                <w:szCs w:val="20"/>
                <w:color w:val="auto"/>
              </w:rPr>
            </w:pPr>
            <w:r>
              <w:rPr>
                <w:rFonts w:ascii="Courier New" w:cs="Courier New" w:eastAsia="Courier New" w:hAnsi="Courier New"/>
                <w:sz w:val="12"/>
                <w:szCs w:val="12"/>
                <w:color w:val="auto"/>
              </w:rPr>
              <w:t>NOTES 9B,13A(5) AND 13D(2)</w:t>
            </w:r>
          </w:p>
        </w:tc>
        <w:tc>
          <w:tcPr>
            <w:tcW w:w="42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2"/>
              </w:rPr>
              <w:t>19,073</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8,096</w:t>
            </w:r>
          </w:p>
        </w:tc>
      </w:tr>
      <w:tr>
        <w:trPr>
          <w:trHeight w:val="135"/>
        </w:trPr>
        <w:tc>
          <w:tcPr>
            <w:tcW w:w="660" w:type="dxa"/>
            <w:vAlign w:val="bottom"/>
          </w:tcPr>
          <w:p>
            <w:pPr>
              <w:spacing w:after="0"/>
              <w:rPr>
                <w:sz w:val="20"/>
                <w:szCs w:val="20"/>
                <w:color w:val="auto"/>
              </w:rPr>
            </w:pPr>
            <w:r>
              <w:rPr>
                <w:rFonts w:ascii="Courier New" w:cs="Courier New" w:eastAsia="Courier New" w:hAnsi="Courier New"/>
                <w:sz w:val="12"/>
                <w:szCs w:val="12"/>
                <w:color w:val="auto"/>
                <w:w w:val="98"/>
              </w:rPr>
              <w:t>Other (*)</w:t>
            </w:r>
          </w:p>
        </w:tc>
        <w:tc>
          <w:tcPr>
            <w:tcW w:w="4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2,933</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1,439</w:t>
            </w:r>
          </w:p>
        </w:tc>
      </w:tr>
      <w:tr>
        <w:trPr>
          <w:trHeight w:val="135"/>
        </w:trPr>
        <w:tc>
          <w:tcPr>
            <w:tcW w:w="6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4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2"/>
              </w:rPr>
              <w:t>40,380</w:t>
            </w:r>
          </w:p>
        </w:tc>
        <w:tc>
          <w:tcPr>
            <w:tcW w:w="3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28,155</w:t>
            </w:r>
          </w:p>
        </w:tc>
      </w:tr>
      <w:tr>
        <w:trPr>
          <w:trHeight w:val="135"/>
        </w:trPr>
        <w:tc>
          <w:tcPr>
            <w:tcW w:w="6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00" w:right="4979" w:hanging="357"/>
        <w:spacing w:after="0" w:line="236" w:lineRule="auto"/>
        <w:tabs>
          <w:tab w:leader="none" w:pos="700"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Includes $2,468 and $1,183 as of December 31, 2007 and 2006, respectively, of interest payable to related parties in regard to Series B, see also Note 10C.</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- 28</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OTHER LONG-TERM LIABILITIES (CONT.)</w:t>
      </w:r>
    </w:p>
    <w:p>
      <w:pPr>
        <w:spacing w:after="0" w:line="134" w:lineRule="exact"/>
        <w:rPr>
          <w:sz w:val="20"/>
          <w:szCs w:val="20"/>
          <w:color w:val="auto"/>
        </w:rPr>
      </w:pPr>
    </w:p>
    <w:p>
      <w:pPr>
        <w:ind w:left="700" w:hanging="357"/>
        <w:spacing w:after="0"/>
        <w:tabs>
          <w:tab w:leader="none" w:pos="7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TERMINATION BENEFITS</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Israeli law and labor agreements determine the obligations of the Company to make severance payments to dismissed employees and to employees leaving employment under certain circumstances. Generally, the liability for severance pay benefits, as determined by Israeli Law, is based upon length of service and the employee's monthly salary. This liability is primarily covered by regular deposits made each month by the Company into recognized severance and pension funds and by insurance policies purchased by the Company, based on the employee's salary for the relevant month. The amounts so funded and the liability are reflected separately on the balance sheets in Long-term investments and Other Long-term Liabilities, respectively. Commencing January 1, 2005 the Company is implementing a labor agreement according to which, monthly deposits into recognized severance and pension funds or insurance policies releases it from any additional severance obligation to its employees and therefore incur no liability or asset, since that date. Any net severance pay amount as of such date will be released thereafter, as fixed amount on employee termination date. Payments relating to employee termination benefits were approximately $3,323, $2,807 and $2,631 for 2007, 2006 and 2005, respectively.</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w:t>
      </w:r>
    </w:p>
    <w:p>
      <w:pPr>
        <w:spacing w:after="0" w:line="134" w:lineRule="exact"/>
        <w:rPr>
          <w:sz w:val="20"/>
          <w:szCs w:val="20"/>
          <w:color w:val="auto"/>
        </w:rPr>
      </w:pPr>
    </w:p>
    <w:p>
      <w:pPr>
        <w:ind w:left="700" w:hanging="357"/>
        <w:spacing w:after="0"/>
        <w:tabs>
          <w:tab w:leader="none" w:pos="700"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OVERVIEW</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2001, the Company's Board of Directors approved the establishment of the Company's second wafer fabrication facility in Israel ("Fab 2"). In Fab 2, the Company manufactures semiconductor integrated circuits on silicon wafers in geometries of 0.18 to 0.13 micron on 200-millimeter wafers. In connection with the establishment, equipping and financing of Fab 2, the Company has entered into several related agreements and other arrangements and has completed several public and private financing transactions. The agreements and arrangements include those with technology partners, with SanDisk Corporation, Alliance Semiconductor Corporation, Macronix International Co., Ltd. and QuickLogic Corporation (collectively, the "Wafer Partners"), Equity Investors, Banks, the Government of Israel through the Investment Center and others. The Company has also entered into agreements for the design and construction of Fab 2, for equipping Fab 2 and for the transfer to the Company of process technologies to produce wafers in Fab 2.</w:t>
      </w:r>
    </w:p>
    <w:p>
      <w:pPr>
        <w:spacing w:after="0" w:line="200" w:lineRule="exact"/>
        <w:rPr>
          <w:sz w:val="20"/>
          <w:szCs w:val="20"/>
          <w:color w:val="auto"/>
        </w:rPr>
      </w:pPr>
    </w:p>
    <w:p>
      <w:pPr>
        <w:spacing w:after="0" w:line="33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ectPr>
          <w:pgSz w:w="11900" w:h="16838" w:orient="portrait"/>
          <w:cols w:equalWidth="0" w:num="1">
            <w:col w:w="10239"/>
          </w:cols>
          <w:pgMar w:left="220" w:top="137" w:right="1440" w:bottom="0" w:gutter="0" w:footer="0" w:header="0"/>
          <w:type w:val="continuous"/>
        </w:sectPr>
      </w:pPr>
    </w:p>
    <w:bookmarkStart w:id="16" w:name="page17"/>
    <w:bookmarkEnd w:id="16"/>
    <w:p>
      <w:pPr>
        <w:ind w:left="700" w:hanging="357"/>
        <w:spacing w:after="0"/>
        <w:tabs>
          <w:tab w:leader="none" w:pos="700"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OVERVIEW (CONT.)</w:t>
      </w:r>
    </w:p>
    <w:p>
      <w:pPr>
        <w:spacing w:after="0" w:line="138" w:lineRule="exact"/>
        <w:rPr>
          <w:rFonts w:ascii="Courier New" w:cs="Courier New" w:eastAsia="Courier New" w:hAnsi="Courier New"/>
          <w:sz w:val="12"/>
          <w:szCs w:val="12"/>
          <w:color w:val="auto"/>
        </w:rPr>
      </w:pPr>
    </w:p>
    <w:p>
      <w:pPr>
        <w:ind w:left="104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2006, the board of directors of the Company approved a plan to ramp up Fab 2's capacity to approximately 24,000 wafers per month in order to help meet customer needs and product qualification needs, based on its customer pipeline and reinforced by forecasted market conditions. This plan was completed during 2007. During 2007, the Company announced an additional plan to further ramp up to reach capacity beyond 24,000 wafers per month.</w:t>
      </w:r>
    </w:p>
    <w:p>
      <w:pPr>
        <w:spacing w:after="0" w:line="128" w:lineRule="exact"/>
        <w:rPr>
          <w:rFonts w:ascii="Courier New" w:cs="Courier New" w:eastAsia="Courier New" w:hAnsi="Courier New"/>
          <w:sz w:val="12"/>
          <w:szCs w:val="12"/>
          <w:color w:val="auto"/>
        </w:rPr>
      </w:pPr>
    </w:p>
    <w:p>
      <w:pPr>
        <w:ind w:left="1040" w:right="46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For details regarding the financing efforts of the ramp-up plans to reach capacity of 24,000 wafers per month and beyond, see Note 13A(4) for TIC investment of $100,000; Note 9B for Facility Agreement amendments with the Banks and for credit lines from TIC and the Banks; Notes 14J-M for public and private fund raisings.</w:t>
      </w:r>
    </w:p>
    <w:p>
      <w:pPr>
        <w:spacing w:after="0" w:line="127" w:lineRule="exact"/>
        <w:rPr>
          <w:rFonts w:ascii="Courier New" w:cs="Courier New" w:eastAsia="Courier New" w:hAnsi="Courier New"/>
          <w:sz w:val="12"/>
          <w:szCs w:val="12"/>
          <w:color w:val="auto"/>
        </w:rPr>
      </w:pPr>
    </w:p>
    <w:p>
      <w:pPr>
        <w:ind w:left="1040" w:right="497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 continues to examine alternatives for additional funding sources in order to fund its Fab2 ramp-up.</w:t>
      </w:r>
    </w:p>
    <w:p>
      <w:pPr>
        <w:spacing w:after="0" w:line="117"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TECHNOLOGY TRANSFER AGREEMENTS</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TOSHIBA - In 2000, the Company entered into a technology transfer agreement with Toshiba Corporation ("Toshiba"), a Japanese corporation. This agreement provided for the transfer by Toshiba to the Company of advanced semiconductor manufacturing process technologies to be installed in Fab 2 including related technology transfer assistance in exchange for certain fees for patent licenses, technology transfer and technical assistance. The transfer of the technology was substantially completed during 2003. The Company's commitment under the Toshiba agreement to reserve for Toshiba a certain portion of Fab 2 wafer manufacturing capacity expired in December 2005.</w:t>
      </w:r>
    </w:p>
    <w:p>
      <w:pPr>
        <w:spacing w:after="0" w:line="130"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FREESCALE - In 2002, the Company entered into a non-exclusive technology transfer, development and licensing agreement with Freescale. This agreement provides for the transfer by Freescale to the Company of existing and newly developed versions of advanced semiconductor manufacturing process technologies to be installed in Fab 2, and for the provision by Freescale of related technology transfer assistance, in exchange for certain fees for patent and other licenses, technology transfer and development, and technical assistance. Subject to prior termination for cause by Freescale, the licenses under the agreement are perpetual.</w:t>
      </w:r>
    </w:p>
    <w:p>
      <w:pPr>
        <w:spacing w:after="0" w:line="26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WAFER PARTNER AGREEMENTS</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During the years 2000 and 2001, the Company entered into various shares purchase agreements ("Wafer Partner Agreements") with Wafer Partners to partially finance the construction and equipping of Fab 2. Pursuant to the Wafer Partner Agreements, the Wafer Partners agreed to invest an aggregate of $250,000 to purchase Ordinary Shares of the Company. According to the Wafer Partner Agreements, the Company agreed, subject to certain conditions, to reserve for each Wafer Partner a certain portion, and collectively approximately 50%, of Fab 2 wafer manufacturing capacity for a period of 10 years ending January 2011.</w:t>
      </w:r>
    </w:p>
    <w:p>
      <w:pPr>
        <w:spacing w:after="0" w:line="131" w:lineRule="exact"/>
        <w:rPr>
          <w:rFonts w:ascii="Courier New" w:cs="Courier New" w:eastAsia="Courier New" w:hAnsi="Courier New"/>
          <w:sz w:val="12"/>
          <w:szCs w:val="12"/>
          <w:color w:val="auto"/>
        </w:rPr>
      </w:pPr>
    </w:p>
    <w:p>
      <w:pPr>
        <w:ind w:left="1040" w:right="469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Through December 31, 2004, the Wafer Partners invested under the Wafer Partner Agreements an aggregate of $246,823. Of such amount, $201,059, was credited as paid in capital and $45,764, was established as long-term customers' advances which may be, subject to the terms and conditions stipulated in the Wafer Partner Agreements, as amended to date, utilized as credit against purchases to be made by the Wafer Partners, primarily through December 2010, or converted into paid-in-capital for limited term. Through December 31, 2007, the Wafer Partners were issued an aggregate of 36,489,681 Ordinary Shares at an average price per share of $6.94, which was determined based on the average closing sale price of the Company's Ordinary Shares for the 15-30 trading days prior to making any capital investment: see also (5) below.</w:t>
      </w:r>
    </w:p>
    <w:p>
      <w:pPr>
        <w:spacing w:after="0" w:line="139" w:lineRule="exact"/>
        <w:rPr>
          <w:rFonts w:ascii="Courier New" w:cs="Courier New" w:eastAsia="Courier New" w:hAnsi="Courier New"/>
          <w:sz w:val="12"/>
          <w:szCs w:val="12"/>
          <w:color w:val="auto"/>
        </w:rPr>
      </w:pPr>
    </w:p>
    <w:p>
      <w:pPr>
        <w:ind w:left="1040" w:right="483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Due to recent changes in one of the Company's primary Wafer Partner's operations and its recent exit of its semiconductor activities, the Company believes that no future utilization is expected and determined that a full write-down of the its outstanding amount is appropriate.</w:t>
      </w:r>
    </w:p>
    <w:p>
      <w:pPr>
        <w:spacing w:after="0" w:line="139" w:lineRule="exact"/>
        <w:rPr>
          <w:rFonts w:ascii="Courier New" w:cs="Courier New" w:eastAsia="Courier New" w:hAnsi="Courier New"/>
          <w:sz w:val="12"/>
          <w:szCs w:val="12"/>
          <w:color w:val="auto"/>
        </w:rPr>
      </w:pPr>
    </w:p>
    <w:p>
      <w:pPr>
        <w:ind w:left="1040" w:right="469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For additional investments made by the primary Wafer Partners in the aggregate amount of $19,089 in connection with the 2002 and 2005 rights offerings, see Notes 14G and 14I, respectively.</w:t>
      </w:r>
    </w:p>
    <w:p>
      <w:pPr>
        <w:spacing w:after="0" w:line="126" w:lineRule="exact"/>
        <w:rPr>
          <w:rFonts w:ascii="Courier New" w:cs="Courier New" w:eastAsia="Courier New" w:hAnsi="Courier New"/>
          <w:sz w:val="12"/>
          <w:szCs w:val="12"/>
          <w:color w:val="auto"/>
        </w:rPr>
      </w:pPr>
    </w:p>
    <w:p>
      <w:pPr>
        <w:ind w:left="104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August 2006, the Company signed an agreement with SanDisk, one of the Wafer Partners, to invest in the expansion of its 0.13 micron manufacturing capacity, see Note 13D(2).</w:t>
      </w:r>
    </w:p>
    <w:p>
      <w:pPr>
        <w:spacing w:after="0" w:line="135" w:lineRule="exact"/>
        <w:rPr>
          <w:rFonts w:ascii="Courier New" w:cs="Courier New" w:eastAsia="Courier New" w:hAnsi="Courier New"/>
          <w:sz w:val="12"/>
          <w:szCs w:val="12"/>
          <w:color w:val="auto"/>
        </w:rPr>
      </w:pPr>
    </w:p>
    <w:p>
      <w:pPr>
        <w:ind w:left="10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For amendments to the Wafer Partner agreements, see (5) below.</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- 31</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EQUITY INVESTOR AGREEMENTS</w:t>
      </w:r>
    </w:p>
    <w:p>
      <w:pPr>
        <w:spacing w:after="0" w:line="134" w:lineRule="exact"/>
        <w:rPr>
          <w:rFonts w:ascii="Courier New" w:cs="Courier New" w:eastAsia="Courier New" w:hAnsi="Courier New"/>
          <w:sz w:val="12"/>
          <w:szCs w:val="12"/>
          <w:color w:val="auto"/>
        </w:rPr>
      </w:pPr>
    </w:p>
    <w:p>
      <w:pPr>
        <w:ind w:left="10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During the years 2001-2004, TIC has invested in the Company</w:t>
      </w:r>
    </w:p>
    <w:p>
      <w:pPr>
        <w:spacing w:after="0" w:line="3" w:lineRule="exact"/>
        <w:rPr>
          <w:rFonts w:ascii="Courier New" w:cs="Courier New" w:eastAsia="Courier New" w:hAnsi="Courier New"/>
          <w:sz w:val="12"/>
          <w:szCs w:val="12"/>
          <w:color w:val="auto"/>
        </w:rPr>
      </w:pPr>
    </w:p>
    <w:p>
      <w:pPr>
        <w:ind w:left="1040" w:right="475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$50,000 for the purchase of an aggregate of 6,749,669 Ordinary Shares of the Company at an average price per share of $7.41, which was determined based on the average closing sale price of</w:t>
      </w:r>
    </w:p>
    <w:p>
      <w:pPr>
        <w:sectPr>
          <w:pgSz w:w="11900" w:h="16838" w:orient="portrait"/>
          <w:cols w:equalWidth="0" w:num="1">
            <w:col w:w="10239"/>
          </w:cols>
          <w:pgMar w:left="220" w:top="137" w:right="1440" w:bottom="0" w:gutter="0" w:footer="0" w:header="0"/>
        </w:sectPr>
      </w:pPr>
    </w:p>
    <w:bookmarkStart w:id="17" w:name="page18"/>
    <w:bookmarkEnd w:id="17"/>
    <w:p>
      <w:pPr>
        <w:ind w:left="1040"/>
        <w:spacing w:after="0"/>
        <w:rPr>
          <w:sz w:val="20"/>
          <w:szCs w:val="20"/>
          <w:color w:val="auto"/>
        </w:rPr>
      </w:pPr>
      <w:r>
        <w:rPr>
          <w:rFonts w:ascii="Courier New" w:cs="Courier New" w:eastAsia="Courier New" w:hAnsi="Courier New"/>
          <w:sz w:val="11"/>
          <w:szCs w:val="11"/>
          <w:color w:val="auto"/>
        </w:rPr>
        <w:t>the Company's Ordinary Shares for the 15-30 trading days prior to</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making any investment. The investment of TIC was made in</w:t>
      </w:r>
    </w:p>
    <w:p>
      <w:pPr>
        <w:ind w:left="1040"/>
        <w:spacing w:after="0"/>
        <w:rPr>
          <w:sz w:val="20"/>
          <w:szCs w:val="20"/>
          <w:color w:val="auto"/>
        </w:rPr>
      </w:pPr>
      <w:r>
        <w:rPr>
          <w:rFonts w:ascii="Courier New" w:cs="Courier New" w:eastAsia="Courier New" w:hAnsi="Courier New"/>
          <w:sz w:val="12"/>
          <w:szCs w:val="12"/>
          <w:color w:val="auto"/>
        </w:rPr>
        <w:t>accordance with shares purchase agreement the Company entered</w:t>
      </w:r>
    </w:p>
    <w:p>
      <w:pPr>
        <w:ind w:left="1040"/>
        <w:spacing w:after="0" w:line="237" w:lineRule="auto"/>
        <w:rPr>
          <w:sz w:val="20"/>
          <w:szCs w:val="20"/>
          <w:color w:val="auto"/>
        </w:rPr>
      </w:pPr>
      <w:r>
        <w:rPr>
          <w:rFonts w:ascii="Courier New" w:cs="Courier New" w:eastAsia="Courier New" w:hAnsi="Courier New"/>
          <w:sz w:val="12"/>
          <w:szCs w:val="12"/>
          <w:color w:val="auto"/>
        </w:rPr>
        <w:t>into in January 2001. For a description of an undertaking and</w:t>
      </w:r>
    </w:p>
    <w:p>
      <w:pPr>
        <w:ind w:left="1040"/>
        <w:spacing w:after="0"/>
        <w:rPr>
          <w:sz w:val="20"/>
          <w:szCs w:val="20"/>
          <w:color w:val="auto"/>
        </w:rPr>
      </w:pPr>
      <w:r>
        <w:rPr>
          <w:rFonts w:ascii="Courier New" w:cs="Courier New" w:eastAsia="Courier New" w:hAnsi="Courier New"/>
          <w:sz w:val="12"/>
          <w:szCs w:val="12"/>
          <w:color w:val="auto"/>
        </w:rPr>
        <w:t>additional investments made by TIC in the aggregate amount of</w:t>
      </w:r>
    </w:p>
    <w:p>
      <w:pPr>
        <w:ind w:left="1040"/>
        <w:spacing w:after="0" w:line="237" w:lineRule="auto"/>
        <w:rPr>
          <w:sz w:val="20"/>
          <w:szCs w:val="20"/>
          <w:color w:val="auto"/>
        </w:rPr>
      </w:pPr>
      <w:r>
        <w:rPr>
          <w:rFonts w:ascii="Courier New" w:cs="Courier New" w:eastAsia="Courier New" w:hAnsi="Courier New"/>
          <w:sz w:val="12"/>
          <w:szCs w:val="12"/>
          <w:color w:val="auto"/>
        </w:rPr>
        <w:t>$29,152 in connection with the 2002 and 2005 rights offerings,</w:t>
      </w:r>
    </w:p>
    <w:p>
      <w:pPr>
        <w:ind w:left="1040"/>
        <w:spacing w:after="0"/>
        <w:rPr>
          <w:sz w:val="20"/>
          <w:szCs w:val="20"/>
          <w:color w:val="auto"/>
        </w:rPr>
      </w:pPr>
      <w:r>
        <w:rPr>
          <w:rFonts w:ascii="Courier New" w:cs="Courier New" w:eastAsia="Courier New" w:hAnsi="Courier New"/>
          <w:sz w:val="12"/>
          <w:szCs w:val="12"/>
          <w:color w:val="auto"/>
        </w:rPr>
        <w:t>see Notes 14G and 14I, respectively.</w:t>
      </w:r>
    </w:p>
    <w:p>
      <w:pPr>
        <w:spacing w:after="0" w:line="138"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In regard to the Company's financing efforts for the ramp-up plan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to reach capacity of 24,000 wafers per month and in connection</w:t>
      </w:r>
    </w:p>
    <w:p>
      <w:pPr>
        <w:ind w:left="1040"/>
        <w:spacing w:after="0"/>
        <w:rPr>
          <w:sz w:val="20"/>
          <w:szCs w:val="20"/>
          <w:color w:val="auto"/>
        </w:rPr>
      </w:pPr>
      <w:r>
        <w:rPr>
          <w:rFonts w:ascii="Courier New" w:cs="Courier New" w:eastAsia="Courier New" w:hAnsi="Courier New"/>
          <w:sz w:val="12"/>
          <w:szCs w:val="12"/>
          <w:color w:val="auto"/>
        </w:rPr>
        <w:t>with the September 2006 Amendment to the Facility Agreement,</w:t>
      </w:r>
    </w:p>
    <w:p>
      <w:pPr>
        <w:ind w:left="1040"/>
        <w:spacing w:after="0" w:line="237" w:lineRule="auto"/>
        <w:rPr>
          <w:sz w:val="20"/>
          <w:szCs w:val="20"/>
          <w:color w:val="auto"/>
        </w:rPr>
      </w:pPr>
      <w:r>
        <w:rPr>
          <w:rFonts w:ascii="Courier New" w:cs="Courier New" w:eastAsia="Courier New" w:hAnsi="Courier New"/>
          <w:sz w:val="12"/>
          <w:szCs w:val="12"/>
          <w:color w:val="auto"/>
        </w:rPr>
        <w:t>following TIC's commitment to invest $100,000, the Company</w:t>
      </w:r>
    </w:p>
    <w:p>
      <w:pPr>
        <w:ind w:left="1040"/>
        <w:spacing w:after="0"/>
        <w:rPr>
          <w:sz w:val="20"/>
          <w:szCs w:val="20"/>
          <w:color w:val="auto"/>
        </w:rPr>
      </w:pPr>
      <w:r>
        <w:rPr>
          <w:rFonts w:ascii="Courier New" w:cs="Courier New" w:eastAsia="Courier New" w:hAnsi="Courier New"/>
          <w:sz w:val="12"/>
          <w:szCs w:val="12"/>
          <w:color w:val="auto"/>
        </w:rPr>
        <w:t>entered into a securities purchase agreement with TIC (the</w:t>
      </w:r>
    </w:p>
    <w:p>
      <w:pPr>
        <w:ind w:left="1040"/>
        <w:spacing w:after="0" w:line="237" w:lineRule="auto"/>
        <w:rPr>
          <w:sz w:val="20"/>
          <w:szCs w:val="20"/>
          <w:color w:val="auto"/>
        </w:rPr>
      </w:pPr>
      <w:r>
        <w:rPr>
          <w:rFonts w:ascii="Courier New" w:cs="Courier New" w:eastAsia="Courier New" w:hAnsi="Courier New"/>
          <w:sz w:val="12"/>
          <w:szCs w:val="12"/>
          <w:color w:val="auto"/>
        </w:rPr>
        <w:t>"Securities Purchase Agreement"). The Securities Purchase</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Agreement was approved by the Company's Audit Committee, Board of</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Directors and the Company's shareholders. The principal terms of</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Securities Purchase Agreement were: (i) in consideration for</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its $100,000 investment, the Company agreed to issue to TIC</w:t>
      </w:r>
    </w:p>
    <w:p>
      <w:pPr>
        <w:ind w:left="1040"/>
        <w:spacing w:after="0"/>
        <w:rPr>
          <w:sz w:val="20"/>
          <w:szCs w:val="20"/>
          <w:color w:val="auto"/>
        </w:rPr>
      </w:pPr>
      <w:r>
        <w:rPr>
          <w:rFonts w:ascii="Courier New" w:cs="Courier New" w:eastAsia="Courier New" w:hAnsi="Courier New"/>
          <w:sz w:val="12"/>
          <w:szCs w:val="12"/>
          <w:color w:val="auto"/>
        </w:rPr>
        <w:t>capital notes convertible into 65,789,474 of the Company's</w:t>
      </w:r>
    </w:p>
    <w:p>
      <w:pPr>
        <w:ind w:left="1040"/>
        <w:spacing w:after="0" w:line="237" w:lineRule="auto"/>
        <w:rPr>
          <w:sz w:val="20"/>
          <w:szCs w:val="20"/>
          <w:color w:val="auto"/>
        </w:rPr>
      </w:pPr>
      <w:r>
        <w:rPr>
          <w:rFonts w:ascii="Courier New" w:cs="Courier New" w:eastAsia="Courier New" w:hAnsi="Courier New"/>
          <w:sz w:val="12"/>
          <w:szCs w:val="12"/>
          <w:color w:val="auto"/>
        </w:rPr>
        <w:t>Ordinary Shares at a conversion price per share of $1.52 (which</w:t>
      </w:r>
    </w:p>
    <w:p>
      <w:pPr>
        <w:ind w:left="1040"/>
        <w:spacing w:after="0"/>
        <w:rPr>
          <w:sz w:val="20"/>
          <w:szCs w:val="20"/>
          <w:color w:val="auto"/>
        </w:rPr>
      </w:pPr>
      <w:r>
        <w:rPr>
          <w:rFonts w:ascii="Courier New" w:cs="Courier New" w:eastAsia="Courier New" w:hAnsi="Courier New"/>
          <w:sz w:val="12"/>
          <w:szCs w:val="12"/>
          <w:color w:val="auto"/>
        </w:rPr>
        <w:t>equals the average closing price during the 10 consecutive</w:t>
      </w:r>
    </w:p>
    <w:p>
      <w:pPr>
        <w:ind w:left="1040"/>
        <w:spacing w:after="0" w:line="237" w:lineRule="auto"/>
        <w:rPr>
          <w:sz w:val="20"/>
          <w:szCs w:val="20"/>
          <w:color w:val="auto"/>
        </w:rPr>
      </w:pPr>
      <w:r>
        <w:rPr>
          <w:rFonts w:ascii="Courier New" w:cs="Courier New" w:eastAsia="Courier New" w:hAnsi="Courier New"/>
          <w:sz w:val="12"/>
          <w:szCs w:val="12"/>
          <w:color w:val="auto"/>
        </w:rPr>
        <w:t>trading days prior to signing the May 2006 Memorandum of</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Understanding with the Banks and TIC which was the basis of this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agreement); (ii) the Company would be deemed to have exercised</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Call Option under the Equipment Purchase Agreement described</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below; and (iii) the Company and TIC would settle the amounts</w:t>
      </w:r>
    </w:p>
    <w:p>
      <w:pPr>
        <w:ind w:left="1040"/>
        <w:spacing w:after="0"/>
        <w:rPr>
          <w:sz w:val="20"/>
          <w:szCs w:val="20"/>
          <w:color w:val="auto"/>
        </w:rPr>
      </w:pPr>
      <w:r>
        <w:rPr>
          <w:rFonts w:ascii="Courier New" w:cs="Courier New" w:eastAsia="Courier New" w:hAnsi="Courier New"/>
          <w:sz w:val="12"/>
          <w:szCs w:val="12"/>
          <w:color w:val="auto"/>
        </w:rPr>
        <w:t>payable by TIC under the Securities Purchase Agreement with the</w:t>
      </w:r>
    </w:p>
    <w:p>
      <w:pPr>
        <w:ind w:left="1040"/>
        <w:spacing w:after="0" w:line="237" w:lineRule="auto"/>
        <w:rPr>
          <w:sz w:val="20"/>
          <w:szCs w:val="20"/>
          <w:color w:val="auto"/>
        </w:rPr>
      </w:pPr>
      <w:r>
        <w:rPr>
          <w:rFonts w:ascii="Courier New" w:cs="Courier New" w:eastAsia="Courier New" w:hAnsi="Courier New"/>
          <w:sz w:val="12"/>
          <w:szCs w:val="12"/>
          <w:color w:val="auto"/>
        </w:rPr>
        <w:t>amounts payable by the Company under the Equipment Purchase</w:t>
      </w:r>
    </w:p>
    <w:p>
      <w:pPr>
        <w:ind w:left="1040"/>
        <w:spacing w:after="0"/>
        <w:rPr>
          <w:sz w:val="20"/>
          <w:szCs w:val="20"/>
          <w:color w:val="auto"/>
        </w:rPr>
      </w:pPr>
      <w:r>
        <w:rPr>
          <w:rFonts w:ascii="Courier New" w:cs="Courier New" w:eastAsia="Courier New" w:hAnsi="Courier New"/>
          <w:sz w:val="12"/>
          <w:szCs w:val="12"/>
          <w:color w:val="auto"/>
        </w:rPr>
        <w:t>Agreement. The Securities Purchase Agreement closed</w:t>
      </w:r>
    </w:p>
    <w:p>
      <w:pPr>
        <w:ind w:left="1040"/>
        <w:spacing w:after="0" w:line="237" w:lineRule="auto"/>
        <w:rPr>
          <w:sz w:val="20"/>
          <w:szCs w:val="20"/>
          <w:color w:val="auto"/>
        </w:rPr>
      </w:pPr>
      <w:r>
        <w:rPr>
          <w:rFonts w:ascii="Courier New" w:cs="Courier New" w:eastAsia="Courier New" w:hAnsi="Courier New"/>
          <w:sz w:val="12"/>
          <w:szCs w:val="12"/>
          <w:color w:val="auto"/>
        </w:rPr>
        <w:t>contemporaneously with the closing of the September 2006</w:t>
      </w:r>
    </w:p>
    <w:p>
      <w:pPr>
        <w:ind w:left="1040"/>
        <w:spacing w:after="0"/>
        <w:rPr>
          <w:sz w:val="20"/>
          <w:szCs w:val="20"/>
          <w:color w:val="auto"/>
        </w:rPr>
      </w:pPr>
      <w:r>
        <w:rPr>
          <w:rFonts w:ascii="Courier New" w:cs="Courier New" w:eastAsia="Courier New" w:hAnsi="Courier New"/>
          <w:sz w:val="12"/>
          <w:szCs w:val="12"/>
          <w:color w:val="auto"/>
        </w:rPr>
        <w:t>Amendment.</w:t>
      </w:r>
    </w:p>
    <w:p>
      <w:pPr>
        <w:spacing w:after="0" w:line="138"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In order to implement the ramp-up plan in a timely manner, in May</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2006, the Company entered into an Equipment Purchase Agreement</w:t>
      </w:r>
    </w:p>
    <w:p>
      <w:pPr>
        <w:ind w:left="1040"/>
        <w:spacing w:after="0"/>
        <w:rPr>
          <w:sz w:val="20"/>
          <w:szCs w:val="20"/>
          <w:color w:val="auto"/>
        </w:rPr>
      </w:pPr>
      <w:r>
        <w:rPr>
          <w:rFonts w:ascii="Courier New" w:cs="Courier New" w:eastAsia="Courier New" w:hAnsi="Courier New"/>
          <w:sz w:val="12"/>
          <w:szCs w:val="12"/>
          <w:color w:val="auto"/>
        </w:rPr>
        <w:t>with TIC according to which TIC will order up to approximately</w:t>
      </w:r>
    </w:p>
    <w:p>
      <w:pPr>
        <w:ind w:left="1040"/>
        <w:spacing w:after="0" w:line="237" w:lineRule="auto"/>
        <w:rPr>
          <w:sz w:val="20"/>
          <w:szCs w:val="20"/>
          <w:color w:val="auto"/>
        </w:rPr>
      </w:pPr>
      <w:r>
        <w:rPr>
          <w:rFonts w:ascii="Courier New" w:cs="Courier New" w:eastAsia="Courier New" w:hAnsi="Courier New"/>
          <w:sz w:val="12"/>
          <w:szCs w:val="12"/>
          <w:color w:val="auto"/>
        </w:rPr>
        <w:t>$100,000 worth of equipment for Fab 2. Under the terms of the</w:t>
      </w:r>
    </w:p>
    <w:p>
      <w:pPr>
        <w:ind w:left="1040"/>
        <w:spacing w:after="0"/>
        <w:rPr>
          <w:sz w:val="20"/>
          <w:szCs w:val="20"/>
          <w:color w:val="auto"/>
        </w:rPr>
      </w:pPr>
      <w:r>
        <w:rPr>
          <w:rFonts w:ascii="Courier New" w:cs="Courier New" w:eastAsia="Courier New" w:hAnsi="Courier New"/>
          <w:sz w:val="12"/>
          <w:szCs w:val="12"/>
          <w:color w:val="auto"/>
        </w:rPr>
        <w:t>Equipment Purchase Agreement: (i) TIC had the right to sell to</w:t>
      </w:r>
    </w:p>
    <w:p>
      <w:pPr>
        <w:ind w:left="1040"/>
        <w:spacing w:after="0" w:line="237" w:lineRule="auto"/>
        <w:rPr>
          <w:sz w:val="20"/>
          <w:szCs w:val="20"/>
          <w:color w:val="auto"/>
        </w:rPr>
      </w:pPr>
      <w:r>
        <w:rPr>
          <w:rFonts w:ascii="Courier New" w:cs="Courier New" w:eastAsia="Courier New" w:hAnsi="Courier New"/>
          <w:sz w:val="12"/>
          <w:szCs w:val="12"/>
          <w:color w:val="auto"/>
        </w:rPr>
        <w:t>the Company the equipment at cost, plus related expenses; (ii)</w:t>
      </w:r>
    </w:p>
    <w:p>
      <w:pPr>
        <w:ind w:left="1040"/>
        <w:spacing w:after="0"/>
        <w:rPr>
          <w:sz w:val="20"/>
          <w:szCs w:val="20"/>
          <w:color w:val="auto"/>
        </w:rPr>
      </w:pPr>
      <w:r>
        <w:rPr>
          <w:rFonts w:ascii="Courier New" w:cs="Courier New" w:eastAsia="Courier New" w:hAnsi="Courier New"/>
          <w:sz w:val="12"/>
          <w:szCs w:val="12"/>
          <w:color w:val="auto"/>
        </w:rPr>
        <w:t>the Company had the right to purchase the equipment from TIC at</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cost, plus related expenses, subject to the Company having raised</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$100,000; and (iii) upon the purchase of the equipment from TIC</w:t>
      </w:r>
    </w:p>
    <w:p>
      <w:pPr>
        <w:ind w:left="1040"/>
        <w:spacing w:after="0"/>
        <w:rPr>
          <w:sz w:val="20"/>
          <w:szCs w:val="20"/>
          <w:color w:val="auto"/>
        </w:rPr>
      </w:pPr>
      <w:r>
        <w:rPr>
          <w:rFonts w:ascii="Courier New" w:cs="Courier New" w:eastAsia="Courier New" w:hAnsi="Courier New"/>
          <w:sz w:val="12"/>
          <w:szCs w:val="12"/>
          <w:color w:val="auto"/>
        </w:rPr>
        <w:t>the Company would assume TIC's obligations to the equipment</w:t>
      </w:r>
    </w:p>
    <w:p>
      <w:pPr>
        <w:ind w:left="1040"/>
        <w:spacing w:after="0" w:line="237" w:lineRule="auto"/>
        <w:rPr>
          <w:sz w:val="20"/>
          <w:szCs w:val="20"/>
          <w:color w:val="auto"/>
        </w:rPr>
      </w:pPr>
      <w:r>
        <w:rPr>
          <w:rFonts w:ascii="Courier New" w:cs="Courier New" w:eastAsia="Courier New" w:hAnsi="Courier New"/>
          <w:sz w:val="12"/>
          <w:szCs w:val="12"/>
          <w:color w:val="auto"/>
        </w:rPr>
        <w:t>suppliers.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EQUITY INVESTOR AGREEMENTS (CONT.)</w:t>
      </w:r>
    </w:p>
    <w:p>
      <w:pPr>
        <w:spacing w:after="0" w:line="138" w:lineRule="exact"/>
        <w:rPr>
          <w:rFonts w:ascii="Courier New" w:cs="Courier New" w:eastAsia="Courier New" w:hAnsi="Courier New"/>
          <w:sz w:val="12"/>
          <w:szCs w:val="12"/>
          <w:color w:val="auto"/>
        </w:rPr>
      </w:pPr>
    </w:p>
    <w:p>
      <w:pPr>
        <w:ind w:left="104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Upon the closing of the September 2006 Amendment and the Securities Purchase Agreement, TIC transferred ownership over the purchased equipment to the Company and the Company assumed TIC's obligations to the equipment suppliers.</w:t>
      </w:r>
    </w:p>
    <w:p>
      <w:pPr>
        <w:spacing w:after="0" w:line="140" w:lineRule="exact"/>
        <w:rPr>
          <w:rFonts w:ascii="Courier New" w:cs="Courier New" w:eastAsia="Courier New" w:hAnsi="Courier New"/>
          <w:sz w:val="12"/>
          <w:szCs w:val="12"/>
          <w:color w:val="auto"/>
        </w:rPr>
      </w:pPr>
    </w:p>
    <w:p>
      <w:pPr>
        <w:ind w:left="1040" w:right="483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a credit line agreement signed with TIC in September 2007, see Note 9B.</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AMENDMENTS TO THE PRIMARY WAFER PARTNER AGREEMENTS</w:t>
      </w:r>
    </w:p>
    <w:p>
      <w:pPr>
        <w:spacing w:after="0" w:line="138" w:lineRule="exact"/>
        <w:rPr>
          <w:rFonts w:ascii="Courier New" w:cs="Courier New" w:eastAsia="Courier New" w:hAnsi="Courier New"/>
          <w:sz w:val="12"/>
          <w:szCs w:val="12"/>
          <w:color w:val="auto"/>
        </w:rPr>
      </w:pPr>
    </w:p>
    <w:p>
      <w:pPr>
        <w:ind w:left="104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Pursuant to the primary Wafer Partner Agreements, as amended to date, each of the primary Wafer Partners had an option to convert, at the end of each calendar quarter commencing 2004, that portion of the long-term customers' advances which it is entitled to utilize, based upon payments made by such primary Wafer Partner and purchase orders received from the Wafer Partners through December 31, 2006, (subject to the below amendment with one of the Wafer Partners), into fully-paid Ordinary Shares of the Company. The number of shares has been determined based on the average closing sale price of the Company's Ordinary Shares for the 15 trading days preceding the end of the relevant quarter. Accordingly, through December 31, 2007, two of the primary Wafer Partners had elected to convert an aggregate of $12,487 of long-term customer advances into 7,908,063 fully-paid Ordinary Shares of the Company, at an average share price of $1.58 per share. Any quarterly amount, which the primary Wafer Partners had elected not to so convert, was utilizabled against purchases and was to be repaid on December 2007 ("December 2007 Date"). The amounts bear interest, payable at the end of each quarter, at an annual rate equal to three-month USD LIBOR plus 2.5% through December 31, 2007, subject to the below amendment with one of the Wafer Partners.</w:t>
      </w:r>
    </w:p>
    <w:p>
      <w:pPr>
        <w:spacing w:after="0" w:line="200" w:lineRule="exact"/>
        <w:rPr>
          <w:rFonts w:ascii="Courier New" w:cs="Courier New" w:eastAsia="Courier New" w:hAnsi="Courier New"/>
          <w:sz w:val="12"/>
          <w:szCs w:val="12"/>
          <w:color w:val="auto"/>
        </w:rPr>
      </w:pPr>
    </w:p>
    <w:p>
      <w:pPr>
        <w:spacing w:after="0" w:line="207" w:lineRule="exact"/>
        <w:rPr>
          <w:rFonts w:ascii="Courier New" w:cs="Courier New" w:eastAsia="Courier New" w:hAnsi="Courier New"/>
          <w:sz w:val="12"/>
          <w:szCs w:val="12"/>
          <w:color w:val="auto"/>
        </w:rPr>
      </w:pPr>
    </w:p>
    <w:p>
      <w:pPr>
        <w:ind w:left="104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2006, the Company and one of the primary Wafer Partners, entered into an agreement to defer the December 2007 Date to be December 2009. Further, according to the agreement, with respect to certain orders placed until July 2006, and all orders placed thereafter through December 2009, such unutilized advances will bear interest at an annual rate equal to three-month USD LIBOR plus 1.1%, payable at the end of each quarter, through December 2009.</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tabs>
          <w:tab w:leader="none" w:pos="880" w:val="left"/>
          <w:tab w:leader="none" w:pos="1100" w:val="left"/>
        </w:tabs>
        <w:rPr>
          <w:sz w:val="20"/>
          <w:szCs w:val="20"/>
          <w:color w:val="auto"/>
        </w:rPr>
      </w:pPr>
      <w:r>
        <w:rPr>
          <w:rFonts w:ascii="Courier New" w:cs="Courier New" w:eastAsia="Courier New" w:hAnsi="Courier New"/>
          <w:sz w:val="12"/>
          <w:szCs w:val="12"/>
          <w:color w:val="auto"/>
        </w:rPr>
        <w:t>NOTE 13</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COMMITMENTS AND CONTINGENCIES (CONT.)</w:t>
      </w:r>
    </w:p>
    <w:p>
      <w:pPr>
        <w:spacing w:after="0" w:line="134" w:lineRule="exact"/>
        <w:rPr>
          <w:sz w:val="20"/>
          <w:szCs w:val="20"/>
          <w:color w:val="auto"/>
        </w:rPr>
      </w:pPr>
    </w:p>
    <w:p>
      <w:pPr>
        <w:ind w:left="700" w:hanging="357"/>
        <w:spacing w:after="0"/>
        <w:tabs>
          <w:tab w:leader="none" w:pos="700" w:val="left"/>
        </w:tabs>
        <w:numPr>
          <w:ilvl w:val="0"/>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w:t>
      </w:r>
    </w:p>
    <w:p>
      <w:pPr>
        <w:spacing w:after="0" w:line="138" w:lineRule="exact"/>
        <w:rPr>
          <w:rFonts w:ascii="Courier New" w:cs="Courier New" w:eastAsia="Courier New" w:hAnsi="Courier New"/>
          <w:sz w:val="12"/>
          <w:szCs w:val="12"/>
          <w:color w:val="auto"/>
        </w:rPr>
      </w:pPr>
    </w:p>
    <w:p>
      <w:pPr>
        <w:ind w:left="104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COMPLIANCE WITH FINANCIAL RATIOS AND COVENANTS - As of the balance sheet date, the Company was in full compliance with all of the financial ratios and covenants under the Facility Agreement, as amended to date. According to the Facility Agreement, satisfying the financial ratios and covenants is a material provision. The amended Facility Agreement provides that</w:t>
      </w:r>
    </w:p>
    <w:p>
      <w:pPr>
        <w:sectPr>
          <w:pgSz w:w="11900" w:h="16838" w:orient="portrait"/>
          <w:cols w:equalWidth="0" w:num="1">
            <w:col w:w="10239"/>
          </w:cols>
          <w:pgMar w:left="220" w:top="141" w:right="1440" w:bottom="0" w:gutter="0" w:footer="0" w:header="0"/>
        </w:sectPr>
      </w:pPr>
    </w:p>
    <w:bookmarkStart w:id="18" w:name="page19"/>
    <w:bookmarkEnd w:id="18"/>
    <w:p>
      <w:pPr>
        <w:ind w:left="1040"/>
        <w:spacing w:after="0"/>
        <w:rPr>
          <w:sz w:val="20"/>
          <w:szCs w:val="20"/>
          <w:color w:val="auto"/>
        </w:rPr>
      </w:pPr>
      <w:r>
        <w:rPr>
          <w:rFonts w:ascii="Courier New" w:cs="Courier New" w:eastAsia="Courier New" w:hAnsi="Courier New"/>
          <w:sz w:val="11"/>
          <w:szCs w:val="11"/>
          <w:color w:val="auto"/>
        </w:rPr>
        <w:t>if, as a result of any default, the Banks were to accelerate the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Company's obligations, the Company would be obligated, among</w:t>
      </w:r>
    </w:p>
    <w:p>
      <w:pPr>
        <w:ind w:left="1040"/>
        <w:spacing w:after="0"/>
        <w:rPr>
          <w:sz w:val="20"/>
          <w:szCs w:val="20"/>
          <w:color w:val="auto"/>
        </w:rPr>
      </w:pPr>
      <w:r>
        <w:rPr>
          <w:rFonts w:ascii="Courier New" w:cs="Courier New" w:eastAsia="Courier New" w:hAnsi="Courier New"/>
          <w:sz w:val="12"/>
          <w:szCs w:val="12"/>
          <w:color w:val="auto"/>
        </w:rPr>
        <w:t>other matters, to immediately repay all loans made by the Banks</w:t>
      </w:r>
    </w:p>
    <w:p>
      <w:pPr>
        <w:ind w:left="1040"/>
        <w:spacing w:after="0" w:line="237" w:lineRule="auto"/>
        <w:rPr>
          <w:sz w:val="20"/>
          <w:szCs w:val="20"/>
          <w:color w:val="auto"/>
        </w:rPr>
      </w:pPr>
      <w:r>
        <w:rPr>
          <w:rFonts w:ascii="Courier New" w:cs="Courier New" w:eastAsia="Courier New" w:hAnsi="Courier New"/>
          <w:sz w:val="12"/>
          <w:szCs w:val="12"/>
          <w:color w:val="auto"/>
        </w:rPr>
        <w:t>(which as of the approval date of the financial statements</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amounted to approximately $400,000) plus penalties, and the Banks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would be entitled to exercise the remedies available to them</w:t>
      </w:r>
    </w:p>
    <w:p>
      <w:pPr>
        <w:ind w:left="1040"/>
        <w:spacing w:after="0"/>
        <w:rPr>
          <w:sz w:val="20"/>
          <w:szCs w:val="20"/>
          <w:color w:val="auto"/>
        </w:rPr>
      </w:pPr>
      <w:r>
        <w:rPr>
          <w:rFonts w:ascii="Courier New" w:cs="Courier New" w:eastAsia="Courier New" w:hAnsi="Courier New"/>
          <w:sz w:val="12"/>
          <w:szCs w:val="12"/>
          <w:color w:val="auto"/>
        </w:rPr>
        <w:t>under the Facility Agreement, including enforcement of their</w:t>
      </w:r>
    </w:p>
    <w:p>
      <w:pPr>
        <w:ind w:left="1040"/>
        <w:spacing w:after="0" w:line="237" w:lineRule="auto"/>
        <w:rPr>
          <w:sz w:val="20"/>
          <w:szCs w:val="20"/>
          <w:color w:val="auto"/>
        </w:rPr>
      </w:pPr>
      <w:r>
        <w:rPr>
          <w:rFonts w:ascii="Courier New" w:cs="Courier New" w:eastAsia="Courier New" w:hAnsi="Courier New"/>
          <w:sz w:val="12"/>
          <w:szCs w:val="12"/>
          <w:color w:val="auto"/>
        </w:rPr>
        <w:t>liens against all of the Company's assets.</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LIENS - Under the Facility Agreement, the Company agreed to</w:t>
      </w:r>
    </w:p>
    <w:p>
      <w:pPr>
        <w:ind w:left="1040"/>
        <w:spacing w:after="0"/>
        <w:rPr>
          <w:sz w:val="20"/>
          <w:szCs w:val="20"/>
          <w:color w:val="auto"/>
        </w:rPr>
      </w:pPr>
      <w:r>
        <w:rPr>
          <w:rFonts w:ascii="Courier New" w:cs="Courier New" w:eastAsia="Courier New" w:hAnsi="Courier New"/>
          <w:sz w:val="12"/>
          <w:szCs w:val="12"/>
          <w:color w:val="auto"/>
        </w:rPr>
        <w:t>register liens in favor of the Banks on substantially all its</w:t>
      </w:r>
    </w:p>
    <w:p>
      <w:pPr>
        <w:ind w:left="1040"/>
        <w:spacing w:after="0" w:line="237" w:lineRule="auto"/>
        <w:rPr>
          <w:sz w:val="20"/>
          <w:szCs w:val="20"/>
          <w:color w:val="auto"/>
        </w:rPr>
      </w:pPr>
      <w:r>
        <w:rPr>
          <w:rFonts w:ascii="Courier New" w:cs="Courier New" w:eastAsia="Courier New" w:hAnsi="Courier New"/>
          <w:sz w:val="12"/>
          <w:szCs w:val="12"/>
          <w:color w:val="auto"/>
        </w:rPr>
        <w:t>present and future assets. If, as a result of any default under</w:t>
      </w:r>
    </w:p>
    <w:p>
      <w:pPr>
        <w:ind w:left="1040"/>
        <w:spacing w:after="0"/>
        <w:rPr>
          <w:sz w:val="20"/>
          <w:szCs w:val="20"/>
          <w:color w:val="auto"/>
        </w:rPr>
      </w:pPr>
      <w:r>
        <w:rPr>
          <w:rFonts w:ascii="Courier New" w:cs="Courier New" w:eastAsia="Courier New" w:hAnsi="Courier New"/>
          <w:sz w:val="12"/>
          <w:szCs w:val="12"/>
          <w:color w:val="auto"/>
        </w:rPr>
        <w:t>the Facility Agreement, the Banks were to accelerate the</w:t>
      </w:r>
    </w:p>
    <w:p>
      <w:pPr>
        <w:ind w:left="1040"/>
        <w:spacing w:after="0" w:line="237" w:lineRule="auto"/>
        <w:rPr>
          <w:sz w:val="20"/>
          <w:szCs w:val="20"/>
          <w:color w:val="auto"/>
        </w:rPr>
      </w:pPr>
      <w:r>
        <w:rPr>
          <w:rFonts w:ascii="Courier New" w:cs="Courier New" w:eastAsia="Courier New" w:hAnsi="Courier New"/>
          <w:sz w:val="12"/>
          <w:szCs w:val="12"/>
          <w:color w:val="auto"/>
        </w:rPr>
        <w:t>Company's obligations, the Company would be obligated to</w:t>
      </w:r>
    </w:p>
    <w:p>
      <w:pPr>
        <w:ind w:left="1040"/>
        <w:spacing w:after="0"/>
        <w:rPr>
          <w:sz w:val="20"/>
          <w:szCs w:val="20"/>
          <w:color w:val="auto"/>
        </w:rPr>
      </w:pPr>
      <w:r>
        <w:rPr>
          <w:rFonts w:ascii="Courier New" w:cs="Courier New" w:eastAsia="Courier New" w:hAnsi="Courier New"/>
          <w:sz w:val="12"/>
          <w:szCs w:val="12"/>
          <w:color w:val="auto"/>
        </w:rPr>
        <w:t>immediately repay all loans made by the Banks (which as of the</w:t>
      </w:r>
    </w:p>
    <w:p>
      <w:pPr>
        <w:ind w:left="1040"/>
        <w:spacing w:after="0" w:line="237" w:lineRule="auto"/>
        <w:rPr>
          <w:sz w:val="20"/>
          <w:szCs w:val="20"/>
          <w:color w:val="auto"/>
        </w:rPr>
      </w:pPr>
      <w:r>
        <w:rPr>
          <w:rFonts w:ascii="Courier New" w:cs="Courier New" w:eastAsia="Courier New" w:hAnsi="Courier New"/>
          <w:sz w:val="12"/>
          <w:szCs w:val="12"/>
          <w:color w:val="auto"/>
        </w:rPr>
        <w:t>approval date of the financial statements amounted to</w:t>
      </w:r>
    </w:p>
    <w:p>
      <w:pPr>
        <w:ind w:left="1040"/>
        <w:spacing w:after="0"/>
        <w:rPr>
          <w:sz w:val="20"/>
          <w:szCs w:val="20"/>
          <w:color w:val="auto"/>
        </w:rPr>
      </w:pPr>
      <w:r>
        <w:rPr>
          <w:rFonts w:ascii="Courier New" w:cs="Courier New" w:eastAsia="Courier New" w:hAnsi="Courier New"/>
          <w:sz w:val="12"/>
          <w:szCs w:val="12"/>
          <w:color w:val="auto"/>
        </w:rPr>
        <w:t>approximately $400,000), plus penalties, and the Banks would be</w:t>
      </w:r>
    </w:p>
    <w:p>
      <w:pPr>
        <w:ind w:left="1040"/>
        <w:spacing w:after="0" w:line="237" w:lineRule="auto"/>
        <w:rPr>
          <w:sz w:val="20"/>
          <w:szCs w:val="20"/>
          <w:color w:val="auto"/>
        </w:rPr>
      </w:pPr>
      <w:r>
        <w:rPr>
          <w:rFonts w:ascii="Courier New" w:cs="Courier New" w:eastAsia="Courier New" w:hAnsi="Courier New"/>
          <w:sz w:val="12"/>
          <w:szCs w:val="12"/>
          <w:color w:val="auto"/>
        </w:rPr>
        <w:t>entitled to exercise the remedies available to them under the</w:t>
      </w:r>
    </w:p>
    <w:p>
      <w:pPr>
        <w:ind w:left="1040"/>
        <w:spacing w:after="0"/>
        <w:rPr>
          <w:sz w:val="20"/>
          <w:szCs w:val="20"/>
          <w:color w:val="auto"/>
        </w:rPr>
      </w:pPr>
      <w:r>
        <w:rPr>
          <w:rFonts w:ascii="Courier New" w:cs="Courier New" w:eastAsia="Courier New" w:hAnsi="Courier New"/>
          <w:sz w:val="12"/>
          <w:szCs w:val="12"/>
          <w:color w:val="auto"/>
        </w:rPr>
        <w:t>Facility Agreement, including enforcement of the liens against</w:t>
      </w:r>
    </w:p>
    <w:p>
      <w:pPr>
        <w:ind w:left="1040"/>
        <w:spacing w:after="0" w:line="237" w:lineRule="auto"/>
        <w:rPr>
          <w:sz w:val="20"/>
          <w:szCs w:val="20"/>
          <w:color w:val="auto"/>
        </w:rPr>
      </w:pPr>
      <w:r>
        <w:rPr>
          <w:rFonts w:ascii="Courier New" w:cs="Courier New" w:eastAsia="Courier New" w:hAnsi="Courier New"/>
          <w:sz w:val="12"/>
          <w:szCs w:val="12"/>
          <w:color w:val="auto"/>
        </w:rPr>
        <w:t>the Company's assets.</w:t>
      </w:r>
    </w:p>
    <w:p>
      <w:pPr>
        <w:spacing w:after="0" w:line="139"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OFFEROR BY THE BANKS - If one or more certain bankruptcy related</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events occur, the Banks are entitled to bring a firm offer made</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by a potential investor to purchase the Company's Ordinary Shares</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Offer") at a price provided in the Offer. In such case, the</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Company shall be required thereafter to procure a rights offering</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to invest up to 60% of the amount of the Offer on the same terms.</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If the Offer is conditioned on the offeror purchasing a majority</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of the Company's outstanding share capital, the rights offering</w:t>
      </w:r>
    </w:p>
    <w:p>
      <w:pPr>
        <w:ind w:left="1040"/>
        <w:spacing w:after="0"/>
        <w:rPr>
          <w:sz w:val="20"/>
          <w:szCs w:val="20"/>
          <w:color w:val="auto"/>
        </w:rPr>
      </w:pPr>
      <w:r>
        <w:rPr>
          <w:rFonts w:ascii="Courier New" w:cs="Courier New" w:eastAsia="Courier New" w:hAnsi="Courier New"/>
          <w:sz w:val="12"/>
          <w:szCs w:val="12"/>
          <w:color w:val="auto"/>
        </w:rPr>
        <w:t>will be limited to allow for this, unless TIC and the primary</w:t>
      </w:r>
    </w:p>
    <w:p>
      <w:pPr>
        <w:ind w:left="1040"/>
        <w:spacing w:after="0" w:line="237" w:lineRule="auto"/>
        <w:rPr>
          <w:sz w:val="20"/>
          <w:szCs w:val="20"/>
          <w:color w:val="auto"/>
        </w:rPr>
      </w:pPr>
      <w:r>
        <w:rPr>
          <w:rFonts w:ascii="Courier New" w:cs="Courier New" w:eastAsia="Courier New" w:hAnsi="Courier New"/>
          <w:sz w:val="12"/>
          <w:szCs w:val="12"/>
          <w:color w:val="auto"/>
        </w:rPr>
        <w:t>Wafer Partners agree to exercise in a rights offering rights</w:t>
      </w:r>
    </w:p>
    <w:p>
      <w:pPr>
        <w:ind w:left="1040"/>
        <w:spacing w:after="0"/>
        <w:rPr>
          <w:sz w:val="20"/>
          <w:szCs w:val="20"/>
          <w:color w:val="auto"/>
        </w:rPr>
      </w:pPr>
      <w:r>
        <w:rPr>
          <w:rFonts w:ascii="Courier New" w:cs="Courier New" w:eastAsia="Courier New" w:hAnsi="Courier New"/>
          <w:sz w:val="12"/>
          <w:szCs w:val="12"/>
          <w:color w:val="auto"/>
        </w:rPr>
        <w:t>applicable to their shareholdings and agree to purchase in a</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private placement enough shares to ensure that the full amount of</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 Offer is invested.</w:t>
      </w:r>
    </w:p>
    <w:p>
      <w:pPr>
        <w:spacing w:after="0" w:line="139"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For further details in regard to the Facility Agreement, see Note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9B.</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APPROVED ENTERPRISE STATUS</w:t>
      </w:r>
    </w:p>
    <w:p>
      <w:pPr>
        <w:spacing w:after="0" w:line="138" w:lineRule="exact"/>
        <w:rPr>
          <w:rFonts w:ascii="Courier New" w:cs="Courier New" w:eastAsia="Courier New" w:hAnsi="Courier New"/>
          <w:sz w:val="12"/>
          <w:szCs w:val="12"/>
          <w:color w:val="auto"/>
        </w:rPr>
      </w:pPr>
    </w:p>
    <w:p>
      <w:pPr>
        <w:ind w:left="104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December 2000, the Investment Center approved an investment program in connection with Fab 2 for expansion of the Company's plant. The approval certificate for the program provided for a benefit track entitling the Company to investment grants at a rate of 20% of qualified investments of up to $1,250,000, or an aggregate of up to $250,000, of which as of the balance sheet date, an aggregate of approximately $165,000 has been received from the Investment Center. Under the terms of the program, investments in respect of Fab 2 were to be completed by December 31, 2005, five years from the date the approval certificate was obtained. Due to the later than planned construction of Fab 2, market conditions and slower than planned ramp-up, the Company completed approximately 72% of the investments under the approved enterprise program. In December 2007, the Company submitted the final report in relation to the program. The Company has been holding discussions with the Investment Center to achieve satisfactory arrangements to approve a new expansion program commencing as of January 1, 2006. As of the approval date of the financial statements, the Company's management cannot estimate when, if at all, the Company will receive approval of its request for a new expansion program.</w:t>
      </w:r>
    </w:p>
    <w:p>
      <w:pPr>
        <w:spacing w:after="0" w:line="272"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Any failure by the Company to meet the conditions of the 2000 approval certificate may result in the cancellation of all or a portion of the grants to be received and tax benefits and in the Investment Center requiring the Company to repay all or a portion of grants already received. Under Israeli law, the Company's non-completion of investments in an amount of $1,250,000 by December 31, 2005 may permit the Investment Center to require the Company to repay all or a portion of grants already received. Management believes that it is improbable that the Investment Center would demand the Company to repay all or a portion of grants already received, or deny investment grants receivable as of December 31, 2005, due to its non-completion of investments in the amount of $1,250,000 by December 31, 2005 - see also Note 17A</w:t>
      </w:r>
    </w:p>
    <w:p>
      <w:pPr>
        <w:spacing w:after="0" w:line="125"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AGREEMENT WITH THE ILA</w:t>
      </w:r>
    </w:p>
    <w:p>
      <w:pPr>
        <w:spacing w:after="0" w:line="138" w:lineRule="exact"/>
        <w:rPr>
          <w:rFonts w:ascii="Courier New" w:cs="Courier New" w:eastAsia="Courier New" w:hAnsi="Courier New"/>
          <w:sz w:val="12"/>
          <w:szCs w:val="12"/>
          <w:color w:val="auto"/>
        </w:rPr>
      </w:pPr>
    </w:p>
    <w:p>
      <w:pPr>
        <w:ind w:left="1040" w:right="483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November 2000, the Company entered into a development agreement with the Israel Land Administration ("ILA") with respect to a parcel of land on which Fab 2 was constructed. Following the completion of the construction of Fab 2 on the land, in June 2003, the Company entered into a long-term lease agreement with the ILA for a period ending in 2049. The lease payments through 2049 relating to this lease have been paid in advance and are expensed through the operational lease period.</w:t>
      </w:r>
    </w:p>
    <w:p>
      <w:pPr>
        <w:spacing w:after="0" w:line="25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w:t>
      </w:r>
    </w:p>
    <w:p>
      <w:pPr>
        <w:spacing w:after="0" w:line="138" w:lineRule="exact"/>
        <w:rPr>
          <w:rFonts w:ascii="Courier New" w:cs="Courier New" w:eastAsia="Courier New" w:hAnsi="Courier New"/>
          <w:sz w:val="12"/>
          <w:szCs w:val="12"/>
          <w:color w:val="auto"/>
        </w:rPr>
      </w:pPr>
    </w:p>
    <w:p>
      <w:pPr>
        <w:ind w:left="104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hedging transactions and agreements of the Company, see Note 11A.</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AGREEMENTS</w:t>
      </w:r>
    </w:p>
    <w:p>
      <w:pPr>
        <w:spacing w:after="0" w:line="138" w:lineRule="exact"/>
        <w:rPr>
          <w:rFonts w:ascii="Courier New" w:cs="Courier New" w:eastAsia="Courier New" w:hAnsi="Courier New"/>
          <w:sz w:val="12"/>
          <w:szCs w:val="12"/>
          <w:color w:val="auto"/>
        </w:rPr>
      </w:pPr>
    </w:p>
    <w:p>
      <w:pPr>
        <w:ind w:left="1040" w:right="475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Through December 31, 2007, the Company had entered into several additional agreements related mainly to the construction,</w:t>
      </w:r>
    </w:p>
    <w:p>
      <w:pPr>
        <w:sectPr>
          <w:pgSz w:w="11900" w:h="16838" w:orient="portrait"/>
          <w:cols w:equalWidth="0" w:num="1">
            <w:col w:w="10239"/>
          </w:cols>
          <w:pgMar w:left="220" w:top="141" w:right="1440" w:bottom="0" w:gutter="0" w:footer="0" w:header="0"/>
        </w:sectPr>
      </w:pPr>
    </w:p>
    <w:bookmarkStart w:id="19" w:name="page20"/>
    <w:bookmarkEnd w:id="19"/>
    <w:p>
      <w:pPr>
        <w:ind w:left="1040"/>
        <w:spacing w:after="0"/>
        <w:rPr>
          <w:sz w:val="20"/>
          <w:szCs w:val="20"/>
          <w:color w:val="auto"/>
        </w:rPr>
      </w:pPr>
      <w:r>
        <w:rPr>
          <w:rFonts w:ascii="Courier New" w:cs="Courier New" w:eastAsia="Courier New" w:hAnsi="Courier New"/>
          <w:sz w:val="12"/>
          <w:szCs w:val="12"/>
          <w:color w:val="auto"/>
        </w:rPr>
        <w:t>equipping and transfer of technology for Fab 2. The Company's</w:t>
      </w:r>
    </w:p>
    <w:p>
      <w:pPr>
        <w:ind w:left="1040"/>
        <w:spacing w:after="0"/>
        <w:rPr>
          <w:sz w:val="20"/>
          <w:szCs w:val="20"/>
          <w:color w:val="auto"/>
        </w:rPr>
      </w:pPr>
      <w:r>
        <w:rPr>
          <w:rFonts w:ascii="Courier New" w:cs="Courier New" w:eastAsia="Courier New" w:hAnsi="Courier New"/>
          <w:sz w:val="12"/>
          <w:szCs w:val="12"/>
          <w:color w:val="auto"/>
        </w:rPr>
        <w:t>aggregate commitment in connection with these agreements which</w:t>
      </w:r>
    </w:p>
    <w:p>
      <w:pPr>
        <w:ind w:left="1040"/>
        <w:spacing w:after="0" w:line="237" w:lineRule="auto"/>
        <w:rPr>
          <w:sz w:val="20"/>
          <w:szCs w:val="20"/>
          <w:color w:val="auto"/>
        </w:rPr>
      </w:pPr>
      <w:r>
        <w:rPr>
          <w:rFonts w:ascii="Courier New" w:cs="Courier New" w:eastAsia="Courier New" w:hAnsi="Courier New"/>
          <w:sz w:val="12"/>
          <w:szCs w:val="12"/>
          <w:color w:val="auto"/>
        </w:rPr>
        <w:t>were not supplied or rendered as of such date amounted to</w:t>
      </w:r>
    </w:p>
    <w:p>
      <w:pPr>
        <w:ind w:left="1040"/>
        <w:spacing w:after="0"/>
        <w:rPr>
          <w:sz w:val="20"/>
          <w:szCs w:val="20"/>
          <w:color w:val="auto"/>
        </w:rPr>
      </w:pPr>
      <w:r>
        <w:rPr>
          <w:rFonts w:ascii="Courier New" w:cs="Courier New" w:eastAsia="Courier New" w:hAnsi="Courier New"/>
          <w:sz w:val="12"/>
          <w:szCs w:val="12"/>
          <w:color w:val="auto"/>
        </w:rPr>
        <w:t>approximately $45,000.</w:t>
      </w:r>
    </w:p>
    <w:p>
      <w:pPr>
        <w:spacing w:after="0" w:line="133" w:lineRule="exact"/>
        <w:rPr>
          <w:sz w:val="20"/>
          <w:szCs w:val="20"/>
          <w:color w:val="auto"/>
        </w:rPr>
      </w:pPr>
    </w:p>
    <w:p>
      <w:pPr>
        <w:ind w:left="700" w:hanging="357"/>
        <w:spacing w:after="0"/>
        <w:tabs>
          <w:tab w:leader="none" w:pos="700"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LICENSE AGREEMENTS</w:t>
      </w:r>
    </w:p>
    <w:p>
      <w:pPr>
        <w:spacing w:after="0" w:line="138" w:lineRule="exact"/>
        <w:rPr>
          <w:rFonts w:ascii="Courier New" w:cs="Courier New" w:eastAsia="Courier New" w:hAnsi="Courier New"/>
          <w:sz w:val="12"/>
          <w:szCs w:val="12"/>
          <w:color w:val="auto"/>
        </w:rPr>
      </w:pPr>
    </w:p>
    <w:p>
      <w:pPr>
        <w:ind w:left="1040" w:right="4619" w:hanging="345"/>
        <w:spacing w:after="0" w:line="261" w:lineRule="auto"/>
        <w:tabs>
          <w:tab w:leader="none" w:pos="1040" w:val="left"/>
        </w:tabs>
        <w:numPr>
          <w:ilvl w:val="1"/>
          <w:numId w:val="39"/>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 June 2000, the Company entered into a cross license agreement with a major technology company. According to the agreement, each party acquired a non-exclusive license to certain of the other's patents. The Company agreed to pay an annual license fee through July 2005. In July 2006, the Company extended its cross license agreement with the major technology company until December 2010. According to terms of the new agreement, each party acquired a non-exclusive license to certain of the other's patents, and the Company agreed to pay an annual license fee through 2010.</w:t>
      </w:r>
    </w:p>
    <w:p>
      <w:pPr>
        <w:spacing w:after="0" w:line="131" w:lineRule="exact"/>
        <w:rPr>
          <w:rFonts w:ascii="Courier New" w:cs="Courier New" w:eastAsia="Courier New" w:hAnsi="Courier New"/>
          <w:sz w:val="11"/>
          <w:szCs w:val="11"/>
          <w:color w:val="auto"/>
        </w:rPr>
      </w:pPr>
    </w:p>
    <w:p>
      <w:pPr>
        <w:ind w:left="1040" w:right="4699" w:hanging="345"/>
        <w:spacing w:after="0" w:line="238" w:lineRule="auto"/>
        <w:tabs>
          <w:tab w:leader="none" w:pos="1040" w:val="left"/>
        </w:tabs>
        <w:numPr>
          <w:ilvl w:val="1"/>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In April 2005, the Japanese semiconductor manufacturer corporation elected, and the Company agreed, to cease the joint development of certain technology and to terminate the agreement. However, the license rights granted to the parties continue pursuant to the terms of the May 2002 agreement. According to the terms of the termination agreement, the Japanese manufacturer paid the Company an amount of $2,500 in 2005. In addition, each party expressly released the other party from any obligations or liabilities of any nature in connection with the original agreement. Revenues for 2005 include $8,000 in relation to this agreement.</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LICENSE AGREEMENTS (CONT.)</w:t>
      </w:r>
    </w:p>
    <w:p>
      <w:pPr>
        <w:spacing w:after="0" w:line="138" w:lineRule="exact"/>
        <w:rPr>
          <w:rFonts w:ascii="Courier New" w:cs="Courier New" w:eastAsia="Courier New" w:hAnsi="Courier New"/>
          <w:sz w:val="12"/>
          <w:szCs w:val="12"/>
          <w:color w:val="auto"/>
        </w:rPr>
      </w:pPr>
    </w:p>
    <w:p>
      <w:pPr>
        <w:ind w:left="1040" w:right="4699" w:hanging="345"/>
        <w:spacing w:after="0" w:line="237" w:lineRule="auto"/>
        <w:tabs>
          <w:tab w:leader="none" w:pos="1040" w:val="left"/>
        </w:tabs>
        <w:numPr>
          <w:ilvl w:val="1"/>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October 1997 the Company and Saifun Semiconductors Ltd ("Saifun") entered into an agreement for certain exclusive semiconductor manufacturing rights on certain licensed technology. The agreement set certain limitations on Saifun regarding future licensing of such technology. Pursuant to certain provisions of the agreement, the Company and Saifun were obligated to pay each other royalties. The agreement was terminated in 2006, with the signing of a new agreement, according to which, among other things, Saifun extended the term of the license granted to the Company for certain licensed technology.</w:t>
      </w:r>
    </w:p>
    <w:p>
      <w:pPr>
        <w:spacing w:after="0" w:line="144" w:lineRule="exact"/>
        <w:rPr>
          <w:rFonts w:ascii="Courier New" w:cs="Courier New" w:eastAsia="Courier New" w:hAnsi="Courier New"/>
          <w:sz w:val="12"/>
          <w:szCs w:val="12"/>
          <w:color w:val="auto"/>
        </w:rPr>
      </w:pPr>
    </w:p>
    <w:p>
      <w:pPr>
        <w:ind w:left="1040" w:right="4619" w:hanging="345"/>
        <w:spacing w:after="0" w:line="263" w:lineRule="auto"/>
        <w:tabs>
          <w:tab w:leader="none" w:pos="1040" w:val="left"/>
        </w:tabs>
        <w:numPr>
          <w:ilvl w:val="1"/>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Company from time to time enters into intellectual property and licensing agreements with third parties. The effect of each of them on the Company's total assets and results of operations is immaterial. Certain of these agreements call for royalties to be paid by the Company to these third parties, see also Note 12A.</w:t>
      </w:r>
    </w:p>
    <w:p>
      <w:pPr>
        <w:spacing w:after="0" w:line="123" w:lineRule="exact"/>
        <w:rPr>
          <w:rFonts w:ascii="Courier New" w:cs="Courier New" w:eastAsia="Courier New" w:hAnsi="Courier New"/>
          <w:sz w:val="11"/>
          <w:szCs w:val="11"/>
          <w:color w:val="auto"/>
        </w:rPr>
      </w:pPr>
    </w:p>
    <w:p>
      <w:pPr>
        <w:ind w:left="700" w:hanging="357"/>
        <w:spacing w:after="0"/>
        <w:tabs>
          <w:tab w:leader="none" w:pos="700"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LEASES</w:t>
      </w:r>
    </w:p>
    <w:p>
      <w:pPr>
        <w:spacing w:after="0" w:line="138" w:lineRule="exact"/>
        <w:rPr>
          <w:rFonts w:ascii="Courier New" w:cs="Courier New" w:eastAsia="Courier New" w:hAnsi="Courier New"/>
          <w:sz w:val="12"/>
          <w:szCs w:val="12"/>
          <w:color w:val="auto"/>
        </w:rPr>
      </w:pPr>
    </w:p>
    <w:p>
      <w:pPr>
        <w:ind w:left="1040" w:right="4759" w:hanging="345"/>
        <w:spacing w:after="0" w:line="237" w:lineRule="auto"/>
        <w:tabs>
          <w:tab w:leader="none" w:pos="1040" w:val="left"/>
        </w:tabs>
        <w:numPr>
          <w:ilvl w:val="1"/>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offices and engineering and manufacturing operations are located in a building complex situated in an industrial park in Migdal Ha'emek, in the northern part of Israel. These premises are currently occupied under a long-term lease from the ILA, which expires in 2032. The Company has no obligation for lease payments related to this lease through the year 2032.</w:t>
      </w:r>
    </w:p>
    <w:p>
      <w:pPr>
        <w:spacing w:after="0" w:line="141" w:lineRule="exact"/>
        <w:rPr>
          <w:rFonts w:ascii="Courier New" w:cs="Courier New" w:eastAsia="Courier New" w:hAnsi="Courier New"/>
          <w:sz w:val="12"/>
          <w:szCs w:val="12"/>
          <w:color w:val="auto"/>
        </w:rPr>
      </w:pPr>
    </w:p>
    <w:p>
      <w:pPr>
        <w:ind w:left="1040" w:right="4699" w:hanging="345"/>
        <w:spacing w:after="0" w:line="235" w:lineRule="auto"/>
        <w:tabs>
          <w:tab w:leader="none" w:pos="1040" w:val="left"/>
        </w:tabs>
        <w:numPr>
          <w:ilvl w:val="1"/>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a long-term lease agreement of land on which Fab 2 was constructed, see A(8) above.</w:t>
      </w:r>
    </w:p>
    <w:p>
      <w:pPr>
        <w:spacing w:after="0" w:line="139" w:lineRule="exact"/>
        <w:rPr>
          <w:rFonts w:ascii="Courier New" w:cs="Courier New" w:eastAsia="Courier New" w:hAnsi="Courier New"/>
          <w:sz w:val="12"/>
          <w:szCs w:val="12"/>
          <w:color w:val="auto"/>
        </w:rPr>
      </w:pPr>
    </w:p>
    <w:p>
      <w:pPr>
        <w:ind w:left="1040" w:right="4979" w:hanging="345"/>
        <w:spacing w:after="0" w:line="236" w:lineRule="auto"/>
        <w:tabs>
          <w:tab w:leader="none" w:pos="1040" w:val="left"/>
        </w:tabs>
        <w:numPr>
          <w:ilvl w:val="1"/>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occupies certain other premises under various operating leases. The obligations under such leases were not material as of December 31, 2007.</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PRINCIPAL AGREEMENTS</w:t>
      </w:r>
    </w:p>
    <w:p>
      <w:pPr>
        <w:spacing w:after="0" w:line="138"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from time to time in the ordinary course of business, enters into long-term agreements with various entities for the joint development of products and processes utilizing technologies owned by both the other entities and the Company.</w:t>
      </w:r>
    </w:p>
    <w:p>
      <w:pPr>
        <w:spacing w:after="0" w:line="140" w:lineRule="exact"/>
        <w:rPr>
          <w:rFonts w:ascii="Courier New" w:cs="Courier New" w:eastAsia="Courier New" w:hAnsi="Courier New"/>
          <w:sz w:val="12"/>
          <w:szCs w:val="12"/>
          <w:color w:val="auto"/>
        </w:rPr>
      </w:pPr>
    </w:p>
    <w:p>
      <w:pPr>
        <w:ind w:left="1040" w:right="4619" w:hanging="345"/>
        <w:spacing w:after="0" w:line="238" w:lineRule="auto"/>
        <w:tabs>
          <w:tab w:leader="none" w:pos="1040" w:val="left"/>
        </w:tabs>
        <w:numPr>
          <w:ilvl w:val="1"/>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SILICONIX - In 2004, the Company and chip maker Siliconix incorporated ("Siliconix"), a wholly-owned subsidiary of Vishay Intertechnology Inc., entered into a definitive long-term foundry agreement for semiconductor manufacturing. Pursuant to the agreement, Siliconix will place with the Company orders for the purchase of wafers to be manufactured in the Company's Fab 1. According to the agreement, in 2004 Siliconix provided the Company $20,000 to be used primarily for the purchase of additional equipment required to satisfy Siliconix's production wafer requests. The advanced amount is credited towards the purchase price of wafers. Under the agreement, Siliconix is entitled to register liens over the equipment purchased in connection with the transaction.</w:t>
      </w:r>
    </w:p>
    <w:p>
      <w:pPr>
        <w:spacing w:after="0" w:line="139" w:lineRule="exact"/>
        <w:rPr>
          <w:rFonts w:ascii="Courier New" w:cs="Courier New" w:eastAsia="Courier New" w:hAnsi="Courier New"/>
          <w:sz w:val="12"/>
          <w:szCs w:val="12"/>
          <w:color w:val="auto"/>
        </w:rPr>
      </w:pPr>
    </w:p>
    <w:p>
      <w:pPr>
        <w:ind w:left="1040" w:right="4619" w:hanging="345"/>
        <w:spacing w:after="0" w:line="262" w:lineRule="auto"/>
        <w:tabs>
          <w:tab w:leader="none" w:pos="1040" w:val="left"/>
        </w:tabs>
        <w:numPr>
          <w:ilvl w:val="1"/>
          <w:numId w:val="42"/>
        </w:numPr>
        <w:rPr>
          <w:rFonts w:ascii="Courier New" w:cs="Courier New" w:eastAsia="Courier New" w:hAnsi="Courier New"/>
          <w:sz w:val="11"/>
          <w:szCs w:val="11"/>
          <w:color w:val="auto"/>
        </w:rPr>
      </w:pPr>
      <w:r>
        <w:rPr>
          <w:rFonts w:ascii="Courier New" w:cs="Courier New" w:eastAsia="Courier New" w:hAnsi="Courier New"/>
          <w:sz w:val="11"/>
          <w:szCs w:val="11"/>
          <w:color w:val="auto"/>
        </w:rPr>
        <w:t>SANDISK CORPORATION - In 2006, in connection with Fab2 0.13 micron capacity expansion, the Company signed an agreement with SanDisk Corporation ("SanDisk"), one of its wafer partners, according to which, SanDisk is committed to purchase volume quantities of 0.13 micron wafers during 2007 and 2008 and will have a right of first refusal for a portion of the Company's 0.13 micron capacity in 2009. The Company and SanDisk also signed a Loan Agreement under which the Company borrowed approximately</w:t>
      </w:r>
    </w:p>
    <w:p>
      <w:pPr>
        <w:sectPr>
          <w:pgSz w:w="11900" w:h="16838" w:orient="portrait"/>
          <w:cols w:equalWidth="0" w:num="1">
            <w:col w:w="10239"/>
          </w:cols>
          <w:pgMar w:left="220" w:top="137" w:right="1440" w:bottom="0" w:gutter="0" w:footer="0" w:header="0"/>
        </w:sectPr>
      </w:pPr>
    </w:p>
    <w:bookmarkStart w:id="20" w:name="page21"/>
    <w:bookmarkEnd w:id="20"/>
    <w:p>
      <w:pPr>
        <w:ind w:left="1040"/>
        <w:spacing w:after="0"/>
        <w:rPr>
          <w:sz w:val="20"/>
          <w:szCs w:val="20"/>
          <w:color w:val="auto"/>
        </w:rPr>
      </w:pPr>
      <w:r>
        <w:rPr>
          <w:rFonts w:ascii="Courier New" w:cs="Courier New" w:eastAsia="Courier New" w:hAnsi="Courier New"/>
          <w:sz w:val="11"/>
          <w:szCs w:val="11"/>
          <w:color w:val="auto"/>
        </w:rPr>
        <w:t>$10,000 from SanDisk for the purpose of financing the purchase of</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 portion of the equipment needed for said expansion. The loan</w:t>
      </w:r>
    </w:p>
    <w:p>
      <w:pPr>
        <w:ind w:left="1040"/>
        <w:spacing w:after="0"/>
        <w:rPr>
          <w:sz w:val="20"/>
          <w:szCs w:val="20"/>
          <w:color w:val="auto"/>
        </w:rPr>
      </w:pPr>
      <w:r>
        <w:rPr>
          <w:rFonts w:ascii="Courier New" w:cs="Courier New" w:eastAsia="Courier New" w:hAnsi="Courier New"/>
          <w:sz w:val="12"/>
          <w:szCs w:val="12"/>
          <w:color w:val="auto"/>
        </w:rPr>
        <w:t>bears interest on the amounts outstanding at three-month USD</w:t>
      </w:r>
    </w:p>
    <w:p>
      <w:pPr>
        <w:ind w:left="1040"/>
        <w:spacing w:after="0" w:line="237" w:lineRule="auto"/>
        <w:rPr>
          <w:sz w:val="20"/>
          <w:szCs w:val="20"/>
          <w:color w:val="auto"/>
        </w:rPr>
      </w:pPr>
      <w:r>
        <w:rPr>
          <w:rFonts w:ascii="Courier New" w:cs="Courier New" w:eastAsia="Courier New" w:hAnsi="Courier New"/>
          <w:sz w:val="12"/>
          <w:szCs w:val="12"/>
          <w:color w:val="auto"/>
        </w:rPr>
        <w:t>LIBOR plus 1.1%. Pursuant to the agreement, SanDisk has been</w:t>
      </w:r>
    </w:p>
    <w:p>
      <w:pPr>
        <w:ind w:left="1040"/>
        <w:spacing w:after="0"/>
        <w:rPr>
          <w:sz w:val="20"/>
          <w:szCs w:val="20"/>
          <w:color w:val="auto"/>
        </w:rPr>
      </w:pPr>
      <w:r>
        <w:rPr>
          <w:rFonts w:ascii="Courier New" w:cs="Courier New" w:eastAsia="Courier New" w:hAnsi="Courier New"/>
          <w:sz w:val="12"/>
          <w:szCs w:val="12"/>
          <w:color w:val="auto"/>
        </w:rPr>
        <w:t>granted a first ranking charge on the equipment purchased</w:t>
      </w:r>
    </w:p>
    <w:p>
      <w:pPr>
        <w:ind w:left="1040"/>
        <w:spacing w:after="0" w:line="237" w:lineRule="auto"/>
        <w:rPr>
          <w:sz w:val="20"/>
          <w:szCs w:val="20"/>
          <w:color w:val="auto"/>
        </w:rPr>
      </w:pPr>
      <w:r>
        <w:rPr>
          <w:rFonts w:ascii="Courier New" w:cs="Courier New" w:eastAsia="Courier New" w:hAnsi="Courier New"/>
          <w:sz w:val="12"/>
          <w:szCs w:val="12"/>
          <w:color w:val="auto"/>
        </w:rPr>
        <w:t>therewith.</w:t>
      </w:r>
    </w:p>
    <w:p>
      <w:pPr>
        <w:spacing w:after="0" w:line="134" w:lineRule="exact"/>
        <w:rPr>
          <w:sz w:val="20"/>
          <w:szCs w:val="20"/>
          <w:color w:val="auto"/>
        </w:rPr>
      </w:pPr>
    </w:p>
    <w:p>
      <w:pPr>
        <w:ind w:left="700" w:hanging="357"/>
        <w:spacing w:after="0"/>
        <w:tabs>
          <w:tab w:leader="none" w:pos="700"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ENVIRONMENTAL AFFAIRS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operations are subject to a variety of laws and governmental regulations in Israel relating to the use, discharge and disposal of toxic or otherwise hazardous materials used in the production processes. Operating permits and licenses are required for the operations of the Company's facilities and these permits and licenses are subject to revocation, modification and renewal. Government authorities have the power to enforce compliance with these regulations, permits and licenses. As of the approval date of the financial statements, the Company was in compliance with the terms of the permits and licenses.</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- 38</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CLASS ACTION</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June 2006, the United States Court of Appeals for the Second Circuit affirmed the August 2004 decision of the United States District Court for the Southern District of New York to dismiss the class action suit filed in July 2003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The District Court accepted the motion to dismiss filed on behalf of the defendants and noted that the Company's status as a foreign private issuer exempts the Company, its directors and controlling shareholders, from liability under the proxy rules of Section 14(a) of the Securities Exchange Act.</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 TO ISRAELI BANKING REGULATIONS</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Pursuant to an amendment to a directive published by the Israel Supervisor of Banks, effective March 31, 2004, the Company may be deemed part of a group of borrowers comprised of the Ofer Brothers Group, TIC, and other companies which are also included in such group of borrowers pursuant to the directive, including companies under the control or deemed control of these entities. The directive provides for limits on amounts that banks may lend to borrowers or groups of borrowers. Should the Banks exceed these limitations, they may limit the Company's ability to borrow other money in the future and may require the Company to return some or all of the outstanding borrowings (which were approximately $400,000 as of the approval date of the financial statements). As of the approval date of the financial statements, the Company had received no such request.</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COMMITMENTS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management's opinion, the Company has been in full compliance with the conditions through December 31, 2007. In regard to investment center grants, see A(7) above.</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w:t>
      </w:r>
    </w:p>
    <w:p>
      <w:pPr>
        <w:spacing w:after="0" w:line="134" w:lineRule="exact"/>
        <w:rPr>
          <w:sz w:val="20"/>
          <w:szCs w:val="20"/>
          <w:color w:val="auto"/>
        </w:rPr>
      </w:pPr>
    </w:p>
    <w:p>
      <w:pPr>
        <w:ind w:left="700" w:hanging="357"/>
        <w:spacing w:after="0"/>
        <w:tabs>
          <w:tab w:leader="none" w:pos="700"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DESCRIPTION OF ORDINARY SHARES</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As of December 31, 2007 and 2006, the Company had 800,000,000 authorized Ordinary Shares, par value NIS 1.00 each, of which 124,226,116 and 100,752,767, respectively, were issued and outstanding (net of 1,300,000 Ordinary Shares held by the Company as of such dates). As of the balance sheet date, there were 243,905,535 Ordinary Shares of the Company contingently issuable. This amount includes Ordinary Shares to be issued under various agreements according to their provisions: (i) Equity Investor warrants, see B(5)(b) below;</w:t>
      </w:r>
    </w:p>
    <w:p>
      <w:pPr>
        <w:ind w:left="1040" w:hanging="345"/>
        <w:spacing w:after="0"/>
        <w:tabs>
          <w:tab w:leader="none" w:pos="1040" w:val="left"/>
        </w:tabs>
        <w:numPr>
          <w:ilvl w:val="1"/>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exercise of outstanding warrants, see J,K,L and M below;</w:t>
      </w:r>
    </w:p>
    <w:p>
      <w:pPr>
        <w:spacing w:after="0" w:line="2" w:lineRule="exact"/>
        <w:rPr>
          <w:rFonts w:ascii="Courier New" w:cs="Courier New" w:eastAsia="Courier New" w:hAnsi="Courier New"/>
          <w:sz w:val="12"/>
          <w:szCs w:val="12"/>
          <w:color w:val="auto"/>
        </w:rPr>
      </w:pPr>
    </w:p>
    <w:p>
      <w:pPr>
        <w:ind w:left="1120" w:hanging="425"/>
        <w:spacing w:after="0"/>
        <w:tabs>
          <w:tab w:leader="none" w:pos="1120" w:val="left"/>
        </w:tabs>
        <w:numPr>
          <w:ilvl w:val="1"/>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options granted to employees and non-employees, see B(1) below;</w:t>
      </w:r>
    </w:p>
    <w:p>
      <w:pPr>
        <w:spacing w:after="0" w:line="10" w:lineRule="exact"/>
        <w:rPr>
          <w:rFonts w:ascii="Courier New" w:cs="Courier New" w:eastAsia="Courier New" w:hAnsi="Courier New"/>
          <w:sz w:val="11"/>
          <w:szCs w:val="11"/>
          <w:color w:val="auto"/>
        </w:rPr>
      </w:pPr>
    </w:p>
    <w:p>
      <w:pPr>
        <w:ind w:left="700" w:right="4619" w:hanging="5"/>
        <w:spacing w:after="0" w:line="237" w:lineRule="auto"/>
        <w:tabs>
          <w:tab w:leader="none" w:pos="1051" w:val="left"/>
        </w:tabs>
        <w:numPr>
          <w:ilvl w:val="1"/>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conversion of all outstanding convertible debentures, see Note 10 above; and (v) the exercise of all capital notes, see C below. 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137"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w:t>
      </w:r>
    </w:p>
    <w:p>
      <w:pPr>
        <w:spacing w:after="0" w:line="139" w:lineRule="exact"/>
        <w:rPr>
          <w:sz w:val="20"/>
          <w:szCs w:val="20"/>
          <w:color w:val="auto"/>
        </w:rPr>
      </w:pPr>
    </w:p>
    <w:p>
      <w:pPr>
        <w:ind w:left="1040" w:right="4899" w:hanging="345"/>
        <w:spacing w:after="0" w:line="235" w:lineRule="auto"/>
        <w:tabs>
          <w:tab w:leader="none" w:pos="1040"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w:t>
      </w:r>
    </w:p>
    <w:p>
      <w:pPr>
        <w:spacing w:after="0" w:line="139" w:lineRule="exact"/>
        <w:rPr>
          <w:rFonts w:ascii="Courier New" w:cs="Courier New" w:eastAsia="Courier New" w:hAnsi="Courier New"/>
          <w:sz w:val="12"/>
          <w:szCs w:val="12"/>
          <w:color w:val="auto"/>
        </w:rPr>
      </w:pPr>
    </w:p>
    <w:p>
      <w:pPr>
        <w:ind w:left="1400" w:right="4619" w:hanging="354"/>
        <w:spacing w:after="0" w:line="237" w:lineRule="auto"/>
        <w:tabs>
          <w:tab w:leader="none" w:pos="1400" w:val="left"/>
        </w:tabs>
        <w:numPr>
          <w:ilvl w:val="1"/>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 - The Company has granted to its employees options to purchase its Ordinary Shares under several option plans adopted by the Company since 1995. The particular provisions of each plan and grant vary as to vesting period, exercise price, exercise period and other terms. Generally, the options are granted at an exercise price which equals the market value of the Ordinary Shares at the date of grant; vest over a three to four-year period according to various vesting schedules; and are not exercisable beyond ten years from the grant date.</w:t>
      </w:r>
    </w:p>
    <w:p>
      <w:pPr>
        <w:sectPr>
          <w:pgSz w:w="11900" w:h="16838" w:orient="portrait"/>
          <w:cols w:equalWidth="0" w:num="1">
            <w:col w:w="10239"/>
          </w:cols>
          <w:pgMar w:left="220" w:top="141" w:right="1440" w:bottom="0" w:gutter="0" w:footer="0" w:header="0"/>
        </w:sectPr>
      </w:pPr>
    </w:p>
    <w:bookmarkStart w:id="21" w:name="page22"/>
    <w:bookmarkEnd w:id="21"/>
    <w:p>
      <w:pPr>
        <w:spacing w:after="0" w:line="6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9" w:lineRule="exact"/>
        <w:rPr>
          <w:rFonts w:ascii="Courier New" w:cs="Courier New" w:eastAsia="Courier New" w:hAnsi="Courier New"/>
          <w:sz w:val="12"/>
          <w:szCs w:val="12"/>
          <w:color w:val="auto"/>
        </w:rPr>
      </w:pPr>
    </w:p>
    <w:p>
      <w:pPr>
        <w:ind w:left="1400" w:right="4619" w:hanging="354"/>
        <w:spacing w:after="0" w:line="260" w:lineRule="auto"/>
        <w:tabs>
          <w:tab w:leader="none" w:pos="1400" w:val="left"/>
        </w:tabs>
        <w:numPr>
          <w:ilvl w:val="2"/>
          <w:numId w:val="47"/>
        </w:numPr>
        <w:rPr>
          <w:rFonts w:ascii="Courier New" w:cs="Courier New" w:eastAsia="Courier New" w:hAnsi="Courier New"/>
          <w:sz w:val="11"/>
          <w:szCs w:val="11"/>
          <w:color w:val="auto"/>
        </w:rPr>
      </w:pPr>
      <w:r>
        <w:rPr>
          <w:rFonts w:ascii="Courier New" w:cs="Courier New" w:eastAsia="Courier New" w:hAnsi="Courier New"/>
          <w:sz w:val="11"/>
          <w:szCs w:val="11"/>
          <w:color w:val="auto"/>
        </w:rPr>
        <w:t>OPTIONS TO THE CHAIRMAN OF THE COMPANY'S BOARD OF DIRECTORS - In December 2006, the Audit Committee and Board of Directors of the Company approved the appointment of a new Chairman to the Board of Directors of the Company and approved to grant him options to purchase 3,158,090 Ordinary Shares of the Company, which constituted 1% of the Company's issued and outstanding share capital on a fully diluted basis as of December 2006, the date the Board of Directors approved the grant. The exercise price is $1.88, which was the closing price of the Company's Ordinary Shares on the NASDAQ Global Market on the trading day immediately prior to the date of approval of the grant by the Shareholders of the Company. The options vest over 4 years, 25% on the 12 month anniversary of the shareholders approval date and 6.25% on each 3 month anniversary of the first vesting date until fully vested. The options grant to the chairman of the Board of Directors was approved by the shareholders of the Company in January 2007. The compensation cost of the options granted was determined based on the fair value at the grant dates and amounted to $3,568. Such amount is expensed on an accelerated basis over the vesting periods of the options.</w:t>
      </w:r>
    </w:p>
    <w:p>
      <w:pPr>
        <w:spacing w:after="0" w:line="272" w:lineRule="exact"/>
        <w:rPr>
          <w:rFonts w:ascii="Courier New" w:cs="Courier New" w:eastAsia="Courier New" w:hAnsi="Courier New"/>
          <w:sz w:val="11"/>
          <w:szCs w:val="11"/>
          <w:color w:val="auto"/>
        </w:rPr>
      </w:pPr>
    </w:p>
    <w:p>
      <w:pPr>
        <w:ind w:left="1400" w:right="4619" w:hanging="354"/>
        <w:spacing w:after="0" w:line="238" w:lineRule="auto"/>
        <w:tabs>
          <w:tab w:leader="none" w:pos="1400" w:val="left"/>
        </w:tabs>
        <w:numPr>
          <w:ilvl w:val="2"/>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OPTIONS TO THE COMPANY'S CHIEF EXECUTIVE OFFICER AND DIRECTOR - In April 2005, the Company's Board of Directors approved the grant of options to purchase up to 1,325,724 Ordinary Shares to the Company's Chief Executive Officer ("CEO"), who also serves as a director, which was further approved by the Company's shareholders in October 2005. These options are exercisable at an exercise price of $1.56, which was the closing market price of the Company's shares on the last trading day prior to the board approval of the grant. These options will vest over a four-year period, with 25% vesting over each year of employment. The options granted are exercisable for a period of ten years from the date of grant.</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- 41</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9" w:lineRule="exact"/>
        <w:rPr>
          <w:rFonts w:ascii="Courier New" w:cs="Courier New" w:eastAsia="Courier New" w:hAnsi="Courier New"/>
          <w:sz w:val="12"/>
          <w:szCs w:val="12"/>
          <w:color w:val="auto"/>
        </w:rPr>
      </w:pPr>
    </w:p>
    <w:p>
      <w:pPr>
        <w:ind w:left="1400" w:right="5179" w:hanging="354"/>
        <w:spacing w:after="0" w:line="235" w:lineRule="auto"/>
        <w:tabs>
          <w:tab w:leader="none" w:pos="1400" w:val="left"/>
        </w:tabs>
        <w:numPr>
          <w:ilvl w:val="2"/>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OPTIONS TO THE COMPANY'S CHIEF EXECUTIVE OFFICER AND DIRECTOR (CONT.)</w:t>
      </w:r>
    </w:p>
    <w:p>
      <w:pPr>
        <w:spacing w:after="0" w:line="139" w:lineRule="exact"/>
        <w:rPr>
          <w:rFonts w:ascii="Courier New" w:cs="Courier New" w:eastAsia="Courier New" w:hAnsi="Courier New"/>
          <w:sz w:val="12"/>
          <w:szCs w:val="12"/>
          <w:color w:val="auto"/>
        </w:rPr>
      </w:pPr>
    </w:p>
    <w:p>
      <w:pPr>
        <w:ind w:left="14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May 2006, the Company's Audit Committee and Board of Directors approved the grant of options to the CEO, in addition to the options granted to him in 2005, such that in total, the CEO will hold options to purchase shares that represent 4% of the Company's shares on a fully diluted basis during the two-year period from the approval of the Audit Committee. The exercise price of the initial grant of the additional options was $1.45, the 90-day average closing price of the Company's shares prior to the Board of Directors' approval. Future dilutive events following May 2006 and until May 2008 also entitles him for additional options grants with an exercise price equal to the price per share of the newly issued securities. Under certain circumstances, the exercise price will equal the 30-day average closing price of the Company's shares prior to the dilutive event. The additional options granted during the two-year period, will vest in equal amounts over 4 years of employment commencing from May 2006. Any decrease in the Company's shares on a fully diluted basis during the two-year period from the approval of the Audit Committee will be followed by the cancellation of the corresponding options granted to the CEO. The options are exercisable for a period of 10 years from the date of grant. No additional options will be granted under the CEO's 2005 option arrangement, which was approved by the Company's shareholders in October 2005. The new grant of options and its terms were approved by the Company's shareholders in September 2006.</w:t>
      </w:r>
    </w:p>
    <w:p>
      <w:pPr>
        <w:spacing w:after="0" w:line="143"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of the balance sheet date, a total of 14,872,087 options were outstanding to the CEO. The compensation cost of the total options granted to the CEO was determined based on the fair value at the grant dates and amounted to $11,723. Such amount is expensed on an accelerated basis over the vesting periods of the options.</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ectPr>
          <w:pgSz w:w="11900" w:h="16901" w:orient="portrait"/>
          <w:cols w:equalWidth="0" w:num="1">
            <w:col w:w="10239"/>
          </w:cols>
          <w:pgMar w:left="220" w:top="407" w:right="1440" w:bottom="0" w:gutter="0" w:footer="0" w:header="0"/>
        </w:sectPr>
      </w:pPr>
    </w:p>
    <w:bookmarkStart w:id="22" w:name="page23"/>
    <w:bookmarkEnd w:id="22"/>
    <w:p>
      <w:pPr>
        <w:ind w:left="1400" w:right="4619" w:hanging="354"/>
        <w:spacing w:after="0" w:line="260" w:lineRule="auto"/>
        <w:tabs>
          <w:tab w:leader="none" w:pos="1400"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EMPLOYEE OPTIONS - In May 2006, the Company's board of directors approved a plan to offer each of the Company's employees the opportunity to exchange their existing options to purchase Ordinary Shares for new options with an exercise price of $1.45, which is the average closing price of the Company's shares on the NASDAQ during the 90 consecutive trading days prior to the board of directors' approval. Accordingly, 4,299,250 options were exchanged. The new options were granted based on terms similar to the existing employee option plan with new vesting periods, starting May 2006. The cost of the new options was determined based on the fair value at the grant dates in and amounted to $1,726. Such amount is amortized as an expense on an accelerated basis over the vesting periods of the new options. The Board of Directors further approved that if the total number of employee options, including the options to the CEO, during the two-year period from May 2006 will represent less than 8% of the Company's shares on a fully diluted basis, additional options will be allocated for grants to the Company's employees. As of the balance sheet date, approximately 3,938,000 options are reserved for future grant of options to employees.</w:t>
      </w:r>
    </w:p>
    <w:p>
      <w:pPr>
        <w:spacing w:after="0" w:line="272" w:lineRule="exact"/>
        <w:rPr>
          <w:rFonts w:ascii="Courier New" w:cs="Courier New" w:eastAsia="Courier New" w:hAnsi="Courier New"/>
          <w:sz w:val="11"/>
          <w:szCs w:val="11"/>
          <w:color w:val="auto"/>
        </w:rPr>
      </w:pPr>
    </w:p>
    <w:p>
      <w:pPr>
        <w:ind w:left="1400" w:right="4619" w:hanging="354"/>
        <w:spacing w:after="0" w:line="261" w:lineRule="auto"/>
        <w:tabs>
          <w:tab w:leader="none" w:pos="1400"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OPTIONS GRANTED TO DIRECTORS - During 2001, the Audit Committee, the Board of Directors of the Company and the shareholders of the Company approved a stock option plan pursuant to which certain of the Company's directors will be granted options to purchase up to 400,000 Ordinary Shares of the Company (40,000 to each eligible director appointed to the Board of Directors) at an exercise price equal to the market price of the Company's shares on the grant dates. In accordance with this option plan, 80,000 options were granted in 2007 to two director who were appointed in 2007 at an average exercise prices of $1.74, which equals the market price of the Company's shares on the grant date. As of December 31, 2007, 190,000 options were outstanding under the plan with a weighted average exercise price of $3.68.</w:t>
      </w:r>
    </w:p>
    <w:p>
      <w:pPr>
        <w:spacing w:after="0" w:line="129" w:lineRule="exact"/>
        <w:rPr>
          <w:rFonts w:ascii="Courier New" w:cs="Courier New" w:eastAsia="Courier New" w:hAnsi="Courier New"/>
          <w:sz w:val="11"/>
          <w:szCs w:val="11"/>
          <w:color w:val="auto"/>
        </w:rPr>
      </w:pPr>
    </w:p>
    <w:p>
      <w:pPr>
        <w:ind w:left="1400" w:right="469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Options granted under the plan vest over a four-year period according to various vesting schedules, and generally may not be exercised beyond five years from the date they first become exercisable. So long as the Independent Directors Option Plan described below remains in effect, no new independent director, following January 2007, will be entitled to receive options under the 2001 director options plan.</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9" w:lineRule="exact"/>
        <w:rPr>
          <w:rFonts w:ascii="Courier New" w:cs="Courier New" w:eastAsia="Courier New" w:hAnsi="Courier New"/>
          <w:sz w:val="12"/>
          <w:szCs w:val="12"/>
          <w:color w:val="auto"/>
        </w:rPr>
      </w:pPr>
    </w:p>
    <w:p>
      <w:pPr>
        <w:ind w:left="1400" w:right="4619" w:hanging="354"/>
        <w:spacing w:after="0" w:line="260" w:lineRule="auto"/>
        <w:tabs>
          <w:tab w:leader="none" w:pos="1400" w:val="left"/>
        </w:tabs>
        <w:numPr>
          <w:ilvl w:val="2"/>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INDEPENDENT DIRECTORS OPTION PLAN - In November 2006, the Company's Board of Directors approved, following the approval by the Audit Committee, the grant to each independent director options to purchase Ordinary Shares ("Initial Options") that shall equal 150,000 less the number of options to purchase Ordinary Shares held by such independent director as of January 31, 2007, the date the shareholders approved the grant (the "Initial Grant Date") and which, as of the Initial Grant Date, have not vested. The Initial Options shall vest over 3 years, one third will vest on the 12 month anniversary of the Initial Grant Date, and thereafter, the remaining two thirds will vest on a monthly basis until fully vested. The exercise price of the Initial Options was $1.88, which was the closing price of the Company's Ordinary Shares on the NASDAQ on the trading day immediately prior to the Initial Grant Date. Each new independent director appointed after the Initial Grant Date shall be granted 150,000 options to purchase Ordinary Shares ("Subsequent Options"), which, shall vest over 3 years, one third on the 12 month anniversary of the date on which such independent director shall have served on the Board of Directors of the Company, the remaining two thirds will vest on a monthly basis until fully vested. The exercise price per Subsequent Option shall be the closing price of the Company's Ordinary Shares on the NASDAQ on the trading day immediately prior to the relevant date of appointment.</w:t>
      </w:r>
    </w:p>
    <w:p>
      <w:pPr>
        <w:spacing w:after="0" w:line="273" w:lineRule="exact"/>
        <w:rPr>
          <w:rFonts w:ascii="Courier New" w:cs="Courier New" w:eastAsia="Courier New" w:hAnsi="Courier New"/>
          <w:sz w:val="11"/>
          <w:szCs w:val="11"/>
          <w:color w:val="auto"/>
        </w:rPr>
      </w:pPr>
    </w:p>
    <w:p>
      <w:pPr>
        <w:ind w:left="1400" w:right="461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Upon each 36 month anniversary of a previous grant of options to an independent director (each a "Tenure Grant Date"), each such independent director shall be granted an additional 150,000 options to purchase Ordinary Shares ("Tenure Options"), which will vest over 3 years on a monthly basis until fully vested. The exercise price per Tenure Option shall be the closing price of the Company's Ordinary Shares on the NASDAQ on the trading day immediately prior to the relevant Tenure Grant Date. Subject to certain conditions, the Initial Options, Subsequent Options and Tenure Options that have vested shall be exercisable by an Independent Director for a period of ten years following the date on which the Initial Options, Subsequent Options or Tenure Options, as the case may be, first vested. So long as this option plan remains in effect, no future grants will be made to independent directors under the plan described in</w:t>
      </w:r>
    </w:p>
    <w:p>
      <w:pPr>
        <w:spacing w:after="0" w:line="1" w:lineRule="exact"/>
        <w:rPr>
          <w:rFonts w:ascii="Courier New" w:cs="Courier New" w:eastAsia="Courier New" w:hAnsi="Courier New"/>
          <w:sz w:val="11"/>
          <w:szCs w:val="11"/>
          <w:color w:val="auto"/>
        </w:rPr>
      </w:pPr>
    </w:p>
    <w:p>
      <w:pPr>
        <w:ind w:left="1400" w:right="4619"/>
        <w:spacing w:after="0" w:line="273"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(1)(e) above. The independent directors' option plan was approved by the shareholders of the Company in January 2007.</w:t>
      </w:r>
    </w:p>
    <w:p>
      <w:pPr>
        <w:spacing w:after="0" w:line="25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340"/>
        <w:spacing w:after="0"/>
        <w:tabs>
          <w:tab w:leader="none" w:pos="680" w:val="left"/>
        </w:tabs>
        <w:rPr>
          <w:sz w:val="20"/>
          <w:szCs w:val="20"/>
          <w:color w:val="auto"/>
        </w:rPr>
      </w:pPr>
      <w:r>
        <w:rPr>
          <w:rFonts w:ascii="Courier New" w:cs="Courier New" w:eastAsia="Courier New" w:hAnsi="Courier New"/>
          <w:sz w:val="12"/>
          <w:szCs w:val="12"/>
          <w:color w:val="auto"/>
        </w:rPr>
        <w:t>B.</w:t>
      </w:r>
      <w:r>
        <w:rPr>
          <w:sz w:val="20"/>
          <w:szCs w:val="20"/>
          <w:color w:val="auto"/>
        </w:rPr>
        <w:tab/>
      </w:r>
      <w:r>
        <w:rPr>
          <w:rFonts w:ascii="Courier New" w:cs="Courier New" w:eastAsia="Courier New" w:hAnsi="Courier New"/>
          <w:sz w:val="12"/>
          <w:szCs w:val="12"/>
          <w:color w:val="auto"/>
        </w:rPr>
        <w:t>SHARE OPTION PLANS (CONT.)</w:t>
      </w:r>
    </w:p>
    <w:p>
      <w:pPr>
        <w:sectPr>
          <w:pgSz w:w="11900" w:h="16838" w:orient="portrait"/>
          <w:cols w:equalWidth="0" w:num="1">
            <w:col w:w="10239"/>
          </w:cols>
          <w:pgMar w:left="220" w:top="276" w:right="1440" w:bottom="0" w:gutter="0" w:footer="0" w:header="0"/>
        </w:sectPr>
      </w:pPr>
    </w:p>
    <w:bookmarkStart w:id="23" w:name="page24"/>
    <w:bookmarkEnd w:id="23"/>
    <w:p>
      <w:pPr>
        <w:ind w:left="1040" w:right="4899" w:hanging="345"/>
        <w:spacing w:after="0" w:line="235" w:lineRule="auto"/>
        <w:tabs>
          <w:tab w:leader="none" w:pos="1040"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4" w:lineRule="exact"/>
        <w:rPr>
          <w:rFonts w:ascii="Courier New" w:cs="Courier New" w:eastAsia="Courier New" w:hAnsi="Courier New"/>
          <w:sz w:val="12"/>
          <w:szCs w:val="12"/>
          <w:color w:val="auto"/>
        </w:rPr>
      </w:pPr>
    </w:p>
    <w:p>
      <w:pPr>
        <w:ind w:left="1400" w:hanging="354"/>
        <w:spacing w:after="0"/>
        <w:tabs>
          <w:tab w:leader="none" w:pos="1400" w:val="left"/>
        </w:tabs>
        <w:numPr>
          <w:ilvl w:val="1"/>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INDEPENDENT DIRECTORS OPTION PLAN (CONT.)</w:t>
      </w:r>
    </w:p>
    <w:p>
      <w:pPr>
        <w:spacing w:after="0" w:line="138" w:lineRule="exact"/>
        <w:rPr>
          <w:rFonts w:ascii="Courier New" w:cs="Courier New" w:eastAsia="Courier New" w:hAnsi="Courier New"/>
          <w:sz w:val="12"/>
          <w:szCs w:val="12"/>
          <w:color w:val="auto"/>
        </w:rPr>
      </w:pPr>
    </w:p>
    <w:p>
      <w:pPr>
        <w:ind w:left="140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compensation cost of the total options granted to the directors under the plan described in (1)(e) above and to the independent directors under the plan described in this section was determined based on the fair value at the grant dates and amounted to $594. Such amount is expensed on an accelerated basis over the vesting periods of the options.</w:t>
      </w:r>
    </w:p>
    <w:p>
      <w:pPr>
        <w:spacing w:after="0" w:line="129" w:lineRule="exact"/>
        <w:rPr>
          <w:rFonts w:ascii="Courier New" w:cs="Courier New" w:eastAsia="Courier New" w:hAnsi="Courier New"/>
          <w:sz w:val="12"/>
          <w:szCs w:val="12"/>
          <w:color w:val="auto"/>
        </w:rPr>
      </w:pPr>
    </w:p>
    <w:p>
      <w:pPr>
        <w:ind w:left="1040" w:right="4699" w:hanging="345"/>
        <w:spacing w:after="0" w:line="235" w:lineRule="auto"/>
        <w:tabs>
          <w:tab w:leader="none" w:pos="1040"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SUMMARY OF THE STATUS OF ALL THE COMPANY'S EMPLOYEE AND DIRECTOR SHARE OPTIONS</w:t>
      </w:r>
    </w:p>
    <w:p>
      <w:pPr>
        <w:spacing w:after="0" w:line="139" w:lineRule="exact"/>
        <w:rPr>
          <w:rFonts w:ascii="Courier New" w:cs="Courier New" w:eastAsia="Courier New" w:hAnsi="Courier New"/>
          <w:sz w:val="12"/>
          <w:szCs w:val="12"/>
          <w:color w:val="auto"/>
        </w:rPr>
      </w:pPr>
    </w:p>
    <w:p>
      <w:pPr>
        <w:ind w:left="104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 summary of the status of all the Company's employee and director share option plans as of December 31, 2007, 2006 and 2005, as well as changes during each of the years then ended, is presented below (for options granted to the Banks, a related party and a consultant, see B(5)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00" w:type="dxa"/>
            <w:vAlign w:val="bottom"/>
          </w:tcPr>
          <w:p>
            <w:pPr>
              <w:spacing w:after="0"/>
              <w:rPr>
                <w:sz w:val="11"/>
                <w:szCs w:val="11"/>
                <w:color w:val="auto"/>
              </w:rPr>
            </w:pPr>
          </w:p>
        </w:tc>
        <w:tc>
          <w:tcPr>
            <w:tcW w:w="13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2007</w:t>
            </w: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7"/>
              </w:rPr>
              <w:t>2006</w:t>
            </w:r>
          </w:p>
        </w:tc>
        <w:tc>
          <w:tcPr>
            <w:tcW w:w="8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2005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600" w:type="dxa"/>
            <w:vAlign w:val="bottom"/>
          </w:tcPr>
          <w:p>
            <w:pPr>
              <w:spacing w:after="0"/>
              <w:rPr>
                <w:sz w:val="11"/>
                <w:szCs w:val="11"/>
                <w:color w:val="auto"/>
              </w:rPr>
            </w:pPr>
          </w:p>
        </w:tc>
        <w:tc>
          <w:tcPr>
            <w:tcW w:w="218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18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0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Weighted</w:t>
            </w: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Weighted</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Weighted</w:t>
            </w:r>
          </w:p>
        </w:tc>
      </w:tr>
      <w:tr>
        <w:trPr>
          <w:trHeight w:val="135"/>
        </w:trPr>
        <w:tc>
          <w:tcPr>
            <w:tcW w:w="1600" w:type="dxa"/>
            <w:vAlign w:val="bottom"/>
          </w:tcPr>
          <w:p>
            <w:pPr>
              <w:spacing w:after="0"/>
              <w:rPr>
                <w:sz w:val="11"/>
                <w:szCs w:val="11"/>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2"/>
                <w:szCs w:val="12"/>
                <w:color w:val="auto"/>
              </w:rPr>
              <w:t>Number</w:t>
            </w:r>
          </w:p>
        </w:tc>
        <w:tc>
          <w:tcPr>
            <w:tcW w:w="34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average</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Number</w:t>
            </w:r>
          </w:p>
        </w:tc>
        <w:tc>
          <w:tcPr>
            <w:tcW w:w="36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average</w:t>
            </w:r>
          </w:p>
        </w:tc>
        <w:tc>
          <w:tcPr>
            <w:tcW w:w="1240" w:type="dxa"/>
            <w:vAlign w:val="bottom"/>
          </w:tcPr>
          <w:p>
            <w:pPr>
              <w:ind w:left="280"/>
              <w:spacing w:after="0"/>
              <w:rPr>
                <w:sz w:val="20"/>
                <w:szCs w:val="20"/>
                <w:color w:val="auto"/>
              </w:rPr>
            </w:pPr>
            <w:r>
              <w:rPr>
                <w:rFonts w:ascii="Courier New" w:cs="Courier New" w:eastAsia="Courier New" w:hAnsi="Courier New"/>
                <w:sz w:val="12"/>
                <w:szCs w:val="12"/>
                <w:color w:val="auto"/>
              </w:rPr>
              <w:t>Number</w:t>
            </w:r>
          </w:p>
        </w:tc>
        <w:tc>
          <w:tcPr>
            <w:tcW w:w="10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average</w:t>
            </w:r>
          </w:p>
        </w:tc>
      </w:tr>
      <w:tr>
        <w:trPr>
          <w:trHeight w:val="135"/>
        </w:trPr>
        <w:tc>
          <w:tcPr>
            <w:tcW w:w="1600" w:type="dxa"/>
            <w:vAlign w:val="bottom"/>
          </w:tcPr>
          <w:p>
            <w:pPr>
              <w:spacing w:after="0"/>
              <w:rPr>
                <w:sz w:val="11"/>
                <w:szCs w:val="11"/>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2"/>
                <w:szCs w:val="12"/>
                <w:color w:val="auto"/>
              </w:rPr>
              <w:t>of share</w:t>
            </w:r>
          </w:p>
        </w:tc>
        <w:tc>
          <w:tcPr>
            <w:tcW w:w="34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exercise</w:t>
            </w: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of share</w:t>
            </w:r>
          </w:p>
        </w:tc>
        <w:tc>
          <w:tcPr>
            <w:tcW w:w="36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exercise</w:t>
            </w:r>
          </w:p>
        </w:tc>
        <w:tc>
          <w:tcPr>
            <w:tcW w:w="1240" w:type="dxa"/>
            <w:vAlign w:val="bottom"/>
          </w:tcPr>
          <w:p>
            <w:pPr>
              <w:ind w:left="280"/>
              <w:spacing w:after="0"/>
              <w:rPr>
                <w:sz w:val="20"/>
                <w:szCs w:val="20"/>
                <w:color w:val="auto"/>
              </w:rPr>
            </w:pPr>
            <w:r>
              <w:rPr>
                <w:rFonts w:ascii="Courier New" w:cs="Courier New" w:eastAsia="Courier New" w:hAnsi="Courier New"/>
                <w:sz w:val="12"/>
                <w:szCs w:val="12"/>
                <w:color w:val="auto"/>
              </w:rPr>
              <w:t>of share</w:t>
            </w:r>
          </w:p>
        </w:tc>
        <w:tc>
          <w:tcPr>
            <w:tcW w:w="10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exercise</w:t>
            </w:r>
          </w:p>
        </w:tc>
      </w:tr>
      <w:tr>
        <w:trPr>
          <w:trHeight w:val="135"/>
        </w:trPr>
        <w:tc>
          <w:tcPr>
            <w:tcW w:w="1600" w:type="dxa"/>
            <w:vAlign w:val="bottom"/>
          </w:tcPr>
          <w:p>
            <w:pPr>
              <w:spacing w:after="0"/>
              <w:rPr>
                <w:sz w:val="11"/>
                <w:szCs w:val="11"/>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2"/>
                <w:szCs w:val="12"/>
                <w:color w:val="auto"/>
              </w:rPr>
              <w:t>options</w:t>
            </w:r>
          </w:p>
        </w:tc>
        <w:tc>
          <w:tcPr>
            <w:tcW w:w="340" w:type="dxa"/>
            <w:vAlign w:val="bottom"/>
          </w:tcPr>
          <w:p>
            <w:pPr>
              <w:spacing w:after="0"/>
              <w:rPr>
                <w:sz w:val="11"/>
                <w:szCs w:val="11"/>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price</w:t>
            </w: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options</w:t>
            </w:r>
          </w:p>
        </w:tc>
        <w:tc>
          <w:tcPr>
            <w:tcW w:w="360" w:type="dxa"/>
            <w:vAlign w:val="bottom"/>
          </w:tcPr>
          <w:p>
            <w:pPr>
              <w:spacing w:after="0"/>
              <w:rPr>
                <w:sz w:val="11"/>
                <w:szCs w:val="11"/>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price</w:t>
            </w:r>
          </w:p>
        </w:tc>
        <w:tc>
          <w:tcPr>
            <w:tcW w:w="1240" w:type="dxa"/>
            <w:vAlign w:val="bottom"/>
          </w:tcPr>
          <w:p>
            <w:pPr>
              <w:ind w:left="280"/>
              <w:spacing w:after="0"/>
              <w:rPr>
                <w:sz w:val="20"/>
                <w:szCs w:val="20"/>
                <w:color w:val="auto"/>
              </w:rPr>
            </w:pPr>
            <w:r>
              <w:rPr>
                <w:rFonts w:ascii="Courier New" w:cs="Courier New" w:eastAsia="Courier New" w:hAnsi="Courier New"/>
                <w:sz w:val="12"/>
                <w:szCs w:val="12"/>
                <w:color w:val="auto"/>
              </w:rPr>
              <w:t>options</w:t>
            </w:r>
          </w:p>
        </w:tc>
        <w:tc>
          <w:tcPr>
            <w:tcW w:w="100" w:type="dxa"/>
            <w:vAlign w:val="bottom"/>
          </w:tcPr>
          <w:p>
            <w:pPr>
              <w:spacing w:after="0"/>
              <w:rPr>
                <w:sz w:val="11"/>
                <w:szCs w:val="11"/>
                <w:color w:val="auto"/>
              </w:rPr>
            </w:pPr>
          </w:p>
        </w:tc>
        <w:tc>
          <w:tcPr>
            <w:tcW w:w="7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price</w:t>
            </w:r>
          </w:p>
        </w:tc>
      </w:tr>
      <w:tr>
        <w:trPr>
          <w:trHeight w:val="135"/>
        </w:trPr>
        <w:tc>
          <w:tcPr>
            <w:tcW w:w="1600" w:type="dxa"/>
            <w:vAlign w:val="bottom"/>
          </w:tcPr>
          <w:p>
            <w:pPr>
              <w:spacing w:after="0"/>
              <w:rPr>
                <w:sz w:val="11"/>
                <w:szCs w:val="11"/>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1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w:t>
            </w:r>
          </w:p>
        </w:tc>
      </w:tr>
      <w:tr>
        <w:trPr>
          <w:trHeight w:val="270"/>
        </w:trPr>
        <w:tc>
          <w:tcPr>
            <w:tcW w:w="1600" w:type="dxa"/>
            <w:vAlign w:val="bottom"/>
          </w:tcPr>
          <w:p>
            <w:pPr>
              <w:spacing w:after="0"/>
              <w:rPr>
                <w:sz w:val="20"/>
                <w:szCs w:val="20"/>
                <w:color w:val="auto"/>
              </w:rPr>
            </w:pPr>
            <w:r>
              <w:rPr>
                <w:rFonts w:ascii="Courier New" w:cs="Courier New" w:eastAsia="Courier New" w:hAnsi="Courier New"/>
                <w:sz w:val="12"/>
                <w:szCs w:val="12"/>
                <w:color w:val="auto"/>
              </w:rPr>
              <w:t>Outstanding as of</w:t>
            </w: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beginning of year</w:t>
            </w: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23,514,042</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1.87</w:t>
            </w: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13,011,575</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4.19</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10,212,920</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5.71</w:t>
            </w: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Granted</w:t>
            </w: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9,127,384</w:t>
            </w:r>
          </w:p>
        </w:tc>
        <w:tc>
          <w:tcPr>
            <w:tcW w:w="34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1.88</w:t>
            </w: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17,414,268</w:t>
            </w:r>
          </w:p>
        </w:tc>
        <w:tc>
          <w:tcPr>
            <w:tcW w:w="36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1.52</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5,000,224</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1.54</w:t>
            </w: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2"/>
                <w:szCs w:val="12"/>
                <w:color w:val="auto"/>
              </w:rPr>
              <w:t>(176,231)</w:t>
            </w:r>
          </w:p>
        </w:tc>
        <w:tc>
          <w:tcPr>
            <w:tcW w:w="34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1.30</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(7,250)</w:t>
            </w:r>
          </w:p>
        </w:tc>
        <w:tc>
          <w:tcPr>
            <w:tcW w:w="36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1.58</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Terminated</w:t>
            </w:r>
          </w:p>
        </w:tc>
        <w:tc>
          <w:tcPr>
            <w:tcW w:w="1000" w:type="dxa"/>
            <w:vAlign w:val="bottom"/>
          </w:tcPr>
          <w:p>
            <w:pPr>
              <w:jc w:val="right"/>
              <w:spacing w:after="0"/>
              <w:rPr>
                <w:sz w:val="20"/>
                <w:szCs w:val="20"/>
                <w:color w:val="auto"/>
              </w:rPr>
            </w:pPr>
            <w:r>
              <w:rPr>
                <w:rFonts w:ascii="Courier New" w:cs="Courier New" w:eastAsia="Courier New" w:hAnsi="Courier New"/>
                <w:sz w:val="12"/>
                <w:szCs w:val="12"/>
                <w:color w:val="auto"/>
              </w:rPr>
              <w:t>(525,000)</w:t>
            </w:r>
          </w:p>
        </w:tc>
        <w:tc>
          <w:tcPr>
            <w:tcW w:w="34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7.07</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(132,176)</w:t>
            </w:r>
          </w:p>
        </w:tc>
        <w:tc>
          <w:tcPr>
            <w:tcW w:w="36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10.95</w:t>
            </w:r>
          </w:p>
        </w:tc>
        <w:tc>
          <w:tcPr>
            <w:tcW w:w="12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(77,214)</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12.45</w:t>
            </w: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Forfeited</w:t>
            </w:r>
          </w:p>
        </w:tc>
        <w:tc>
          <w:tcPr>
            <w:tcW w:w="1000" w:type="dxa"/>
            <w:vAlign w:val="bottom"/>
          </w:tcPr>
          <w:p>
            <w:pPr>
              <w:jc w:val="right"/>
              <w:spacing w:after="0"/>
              <w:rPr>
                <w:sz w:val="20"/>
                <w:szCs w:val="20"/>
                <w:color w:val="auto"/>
              </w:rPr>
            </w:pPr>
            <w:r>
              <w:rPr>
                <w:rFonts w:ascii="Courier New" w:cs="Courier New" w:eastAsia="Courier New" w:hAnsi="Courier New"/>
                <w:sz w:val="12"/>
                <w:szCs w:val="12"/>
                <w:color w:val="auto"/>
              </w:rPr>
              <w:t>(2,344,660)</w:t>
            </w:r>
          </w:p>
        </w:tc>
        <w:tc>
          <w:tcPr>
            <w:tcW w:w="34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1.81</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(6,772,375)</w:t>
            </w:r>
          </w:p>
        </w:tc>
        <w:tc>
          <w:tcPr>
            <w:tcW w:w="36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5.23</w:t>
            </w:r>
          </w:p>
        </w:tc>
        <w:tc>
          <w:tcPr>
            <w:tcW w:w="12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(2,124,355)</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4.99</w:t>
            </w:r>
          </w:p>
        </w:tc>
      </w:tr>
      <w:tr>
        <w:trPr>
          <w:trHeight w:val="135"/>
        </w:trPr>
        <w:tc>
          <w:tcPr>
            <w:tcW w:w="1600" w:type="dxa"/>
            <w:vAlign w:val="bottom"/>
          </w:tcPr>
          <w:p>
            <w:pPr>
              <w:spacing w:after="0"/>
              <w:rPr>
                <w:sz w:val="11"/>
                <w:szCs w:val="11"/>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Outstanding as of end</w:t>
            </w: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of year</w:t>
            </w: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29,595,535</w:t>
            </w:r>
          </w:p>
        </w:tc>
        <w:tc>
          <w:tcPr>
            <w:tcW w:w="34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1.79</w:t>
            </w: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23,514,042</w:t>
            </w:r>
          </w:p>
        </w:tc>
        <w:tc>
          <w:tcPr>
            <w:tcW w:w="36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1.87</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13,011,575</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4.19</w:t>
            </w:r>
          </w:p>
        </w:tc>
      </w:tr>
      <w:tr>
        <w:trPr>
          <w:trHeight w:val="135"/>
        </w:trPr>
        <w:tc>
          <w:tcPr>
            <w:tcW w:w="1600" w:type="dxa"/>
            <w:vAlign w:val="bottom"/>
          </w:tcPr>
          <w:p>
            <w:pPr>
              <w:spacing w:after="0"/>
              <w:rPr>
                <w:sz w:val="11"/>
                <w:szCs w:val="11"/>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70"/>
        </w:trPr>
        <w:tc>
          <w:tcPr>
            <w:tcW w:w="1600" w:type="dxa"/>
            <w:vAlign w:val="bottom"/>
          </w:tcPr>
          <w:p>
            <w:pPr>
              <w:spacing w:after="0"/>
              <w:rPr>
                <w:sz w:val="20"/>
                <w:szCs w:val="20"/>
                <w:color w:val="auto"/>
              </w:rPr>
            </w:pPr>
            <w:r>
              <w:rPr>
                <w:rFonts w:ascii="Courier New" w:cs="Courier New" w:eastAsia="Courier New" w:hAnsi="Courier New"/>
                <w:sz w:val="12"/>
                <w:szCs w:val="12"/>
                <w:color w:val="auto"/>
              </w:rPr>
              <w:t>Options exercisable</w:t>
            </w: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as of end of year</w:t>
            </w: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7,827,743</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2.15</w:t>
            </w: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2,849,132</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4.25</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4,602,447</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7.77</w:t>
            </w:r>
          </w:p>
        </w:tc>
      </w:tr>
      <w:tr>
        <w:trPr>
          <w:trHeight w:val="135"/>
        </w:trPr>
        <w:tc>
          <w:tcPr>
            <w:tcW w:w="1600" w:type="dxa"/>
            <w:vAlign w:val="bottom"/>
          </w:tcPr>
          <w:p>
            <w:pPr>
              <w:spacing w:after="0"/>
              <w:rPr>
                <w:sz w:val="11"/>
                <w:szCs w:val="11"/>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405"/>
        </w:trPr>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gridSpan w:val="2"/>
          </w:tcPr>
          <w:p>
            <w:pPr>
              <w:jc w:val="right"/>
              <w:ind w:right="701"/>
              <w:spacing w:after="0"/>
              <w:rPr>
                <w:sz w:val="20"/>
                <w:szCs w:val="20"/>
                <w:color w:val="auto"/>
              </w:rPr>
            </w:pPr>
            <w:r>
              <w:rPr>
                <w:rFonts w:ascii="Courier New" w:cs="Courier New" w:eastAsia="Courier New" w:hAnsi="Courier New"/>
                <w:sz w:val="12"/>
                <w:szCs w:val="12"/>
                <w:color w:val="auto"/>
                <w:w w:val="92"/>
              </w:rPr>
              <w:t>F - 45</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SUMMARY OF INFORMATION ABOUT EMPLOYEE SHARE OPTIONS OUTSTANDING</w:t>
      </w:r>
    </w:p>
    <w:p>
      <w:pPr>
        <w:spacing w:after="0" w:line="138" w:lineRule="exact"/>
        <w:rPr>
          <w:rFonts w:ascii="Courier New" w:cs="Courier New" w:eastAsia="Courier New" w:hAnsi="Courier New"/>
          <w:sz w:val="12"/>
          <w:szCs w:val="12"/>
          <w:color w:val="auto"/>
        </w:rPr>
      </w:pPr>
    </w:p>
    <w:p>
      <w:pPr>
        <w:ind w:left="1040" w:right="47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table summarizes information about employee share options outstanding as of December 31, 2007:</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gridSpan w:val="3"/>
          </w:tcPr>
          <w:p>
            <w:pPr>
              <w:jc w:val="right"/>
              <w:ind w:right="361"/>
              <w:spacing w:after="0"/>
              <w:rPr>
                <w:sz w:val="20"/>
                <w:szCs w:val="20"/>
                <w:color w:val="auto"/>
              </w:rPr>
            </w:pPr>
            <w:r>
              <w:rPr>
                <w:rFonts w:ascii="Courier New" w:cs="Courier New" w:eastAsia="Courier New" w:hAnsi="Courier New"/>
                <w:sz w:val="12"/>
                <w:szCs w:val="12"/>
                <w:color w:val="auto"/>
              </w:rPr>
              <w:t>Exercisable as of</w:t>
            </w:r>
          </w:p>
        </w:tc>
      </w:tr>
      <w:tr>
        <w:trPr>
          <w:trHeight w:val="135"/>
        </w:trPr>
        <w:tc>
          <w:tcPr>
            <w:tcW w:w="3080" w:type="dxa"/>
            <w:vAlign w:val="bottom"/>
            <w:gridSpan w:val="3"/>
          </w:tcPr>
          <w:p>
            <w:pPr>
              <w:jc w:val="right"/>
              <w:ind w:right="1"/>
              <w:spacing w:after="0"/>
              <w:rPr>
                <w:sz w:val="20"/>
                <w:szCs w:val="20"/>
                <w:color w:val="auto"/>
              </w:rPr>
            </w:pPr>
            <w:r>
              <w:rPr>
                <w:rFonts w:ascii="Courier New" w:cs="Courier New" w:eastAsia="Courier New" w:hAnsi="Courier New"/>
                <w:sz w:val="12"/>
                <w:szCs w:val="12"/>
                <w:color w:val="auto"/>
              </w:rPr>
              <w:t>Outstanding as of December 31, 2007</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gridSpan w:val="3"/>
          </w:tcPr>
          <w:p>
            <w:pPr>
              <w:jc w:val="right"/>
              <w:ind w:right="361"/>
              <w:spacing w:after="0"/>
              <w:rPr>
                <w:sz w:val="20"/>
                <w:szCs w:val="20"/>
                <w:color w:val="auto"/>
              </w:rPr>
            </w:pPr>
            <w:r>
              <w:rPr>
                <w:rFonts w:ascii="Courier New" w:cs="Courier New" w:eastAsia="Courier New" w:hAnsi="Courier New"/>
                <w:sz w:val="12"/>
                <w:szCs w:val="12"/>
                <w:color w:val="auto"/>
              </w:rPr>
              <w:t>December 31, 2007</w:t>
            </w:r>
          </w:p>
        </w:tc>
      </w:tr>
      <w:tr>
        <w:trPr>
          <w:trHeight w:val="135"/>
        </w:trPr>
        <w:tc>
          <w:tcPr>
            <w:tcW w:w="2060" w:type="dxa"/>
            <w:vAlign w:val="bottom"/>
            <w:gridSpan w:val="2"/>
          </w:tcPr>
          <w:p>
            <w:pPr>
              <w:spacing w:after="0"/>
              <w:rPr>
                <w:sz w:val="20"/>
                <w:szCs w:val="20"/>
                <w:color w:val="auto"/>
              </w:rPr>
            </w:pPr>
            <w:r>
              <w:rPr>
                <w:rFonts w:ascii="Courier New" w:cs="Courier New" w:eastAsia="Courier New" w:hAnsi="Courier New"/>
                <w:sz w:val="8"/>
                <w:szCs w:val="8"/>
                <w:color w:val="auto"/>
                <w:w w:val="74"/>
              </w:rPr>
              <w:t>- -------------------------------------------------------</w:t>
            </w: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gridSpan w:val="3"/>
          </w:tcPr>
          <w:p>
            <w:pPr>
              <w:jc w:val="center"/>
              <w:ind w:left="161"/>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Weighted</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average</w:t>
            </w:r>
          </w:p>
        </w:tc>
        <w:tc>
          <w:tcPr>
            <w:tcW w:w="9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Weighted</w:t>
            </w:r>
          </w:p>
        </w:tc>
        <w:tc>
          <w:tcPr>
            <w:tcW w:w="1000" w:type="dxa"/>
            <w:vAlign w:val="bottom"/>
          </w:tcPr>
          <w:p>
            <w:pPr>
              <w:spacing w:after="0"/>
              <w:rPr>
                <w:sz w:val="11"/>
                <w:szCs w:val="11"/>
                <w:color w:val="auto"/>
              </w:rPr>
            </w:pPr>
          </w:p>
        </w:tc>
        <w:tc>
          <w:tcPr>
            <w:tcW w:w="98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Weighted</w:t>
            </w:r>
          </w:p>
        </w:tc>
      </w:tr>
      <w:tr>
        <w:trPr>
          <w:trHeight w:val="135"/>
        </w:trPr>
        <w:tc>
          <w:tcPr>
            <w:tcW w:w="1180" w:type="dxa"/>
            <w:vAlign w:val="bottom"/>
          </w:tcPr>
          <w:p>
            <w:pPr>
              <w:jc w:val="center"/>
              <w:ind w:right="442"/>
              <w:spacing w:after="0"/>
              <w:rPr>
                <w:sz w:val="20"/>
                <w:szCs w:val="20"/>
                <w:color w:val="auto"/>
              </w:rPr>
            </w:pPr>
            <w:r>
              <w:rPr>
                <w:rFonts w:ascii="Courier New" w:cs="Courier New" w:eastAsia="Courier New" w:hAnsi="Courier New"/>
                <w:sz w:val="12"/>
                <w:szCs w:val="12"/>
                <w:color w:val="auto"/>
                <w:w w:val="97"/>
              </w:rPr>
              <w:t>Range of</w:t>
            </w:r>
          </w:p>
        </w:tc>
        <w:tc>
          <w:tcPr>
            <w:tcW w:w="88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remaining</w:t>
            </w:r>
          </w:p>
        </w:tc>
        <w:tc>
          <w:tcPr>
            <w:tcW w:w="14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average</w:t>
            </w: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average</w:t>
            </w:r>
          </w:p>
        </w:tc>
      </w:tr>
      <w:tr>
        <w:trPr>
          <w:trHeight w:val="135"/>
        </w:trPr>
        <w:tc>
          <w:tcPr>
            <w:tcW w:w="1180" w:type="dxa"/>
            <w:vAlign w:val="bottom"/>
          </w:tcPr>
          <w:p>
            <w:pPr>
              <w:jc w:val="center"/>
              <w:ind w:right="442"/>
              <w:spacing w:after="0"/>
              <w:rPr>
                <w:sz w:val="20"/>
                <w:szCs w:val="20"/>
                <w:color w:val="auto"/>
              </w:rPr>
            </w:pPr>
            <w:r>
              <w:rPr>
                <w:rFonts w:ascii="Courier New" w:cs="Courier New" w:eastAsia="Courier New" w:hAnsi="Courier New"/>
                <w:sz w:val="12"/>
                <w:szCs w:val="12"/>
                <w:color w:val="auto"/>
                <w:w w:val="97"/>
              </w:rPr>
              <w:t>exercise</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Number</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contractual</w:t>
            </w:r>
          </w:p>
        </w:tc>
        <w:tc>
          <w:tcPr>
            <w:tcW w:w="14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exercise</w:t>
            </w:r>
          </w:p>
        </w:tc>
        <w:tc>
          <w:tcPr>
            <w:tcW w:w="1000" w:type="dxa"/>
            <w:vAlign w:val="bottom"/>
          </w:tcPr>
          <w:p>
            <w:pPr>
              <w:ind w:left="220"/>
              <w:spacing w:after="0"/>
              <w:rPr>
                <w:sz w:val="20"/>
                <w:szCs w:val="20"/>
                <w:color w:val="auto"/>
              </w:rPr>
            </w:pPr>
            <w:r>
              <w:rPr>
                <w:rFonts w:ascii="Courier New" w:cs="Courier New" w:eastAsia="Courier New" w:hAnsi="Courier New"/>
                <w:sz w:val="12"/>
                <w:szCs w:val="12"/>
                <w:color w:val="auto"/>
              </w:rPr>
              <w:t>Number</w:t>
            </w:r>
          </w:p>
        </w:tc>
        <w:tc>
          <w:tcPr>
            <w:tcW w:w="14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exercise</w:t>
            </w:r>
          </w:p>
        </w:tc>
      </w:tr>
      <w:tr>
        <w:trPr>
          <w:trHeight w:val="135"/>
        </w:trPr>
        <w:tc>
          <w:tcPr>
            <w:tcW w:w="1180" w:type="dxa"/>
            <w:vAlign w:val="bottom"/>
          </w:tcPr>
          <w:p>
            <w:pPr>
              <w:jc w:val="center"/>
              <w:ind w:right="422"/>
              <w:spacing w:after="0"/>
              <w:rPr>
                <w:sz w:val="20"/>
                <w:szCs w:val="20"/>
                <w:color w:val="auto"/>
              </w:rPr>
            </w:pPr>
            <w:r>
              <w:rPr>
                <w:rFonts w:ascii="Courier New" w:cs="Courier New" w:eastAsia="Courier New" w:hAnsi="Courier New"/>
                <w:sz w:val="12"/>
                <w:szCs w:val="12"/>
                <w:color w:val="auto"/>
                <w:w w:val="97"/>
              </w:rPr>
              <w:t>PRICES</w:t>
            </w: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outstanding</w:t>
            </w:r>
          </w:p>
        </w:tc>
        <w:tc>
          <w:tcPr>
            <w:tcW w:w="10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life</w:t>
            </w:r>
          </w:p>
        </w:tc>
        <w:tc>
          <w:tcPr>
            <w:tcW w:w="14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Courier New" w:cs="Courier New" w:eastAsia="Courier New" w:hAnsi="Courier New"/>
                <w:sz w:val="12"/>
                <w:szCs w:val="12"/>
                <w:color w:val="auto"/>
              </w:rPr>
              <w:t>price</w:t>
            </w:r>
          </w:p>
        </w:tc>
        <w:tc>
          <w:tcPr>
            <w:tcW w:w="10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exercisable</w:t>
            </w:r>
          </w:p>
        </w:tc>
        <w:tc>
          <w:tcPr>
            <w:tcW w:w="140" w:type="dxa"/>
            <w:vAlign w:val="bottom"/>
          </w:tcPr>
          <w:p>
            <w:pPr>
              <w:spacing w:after="0"/>
              <w:rPr>
                <w:sz w:val="11"/>
                <w:szCs w:val="11"/>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price</w:t>
            </w: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(in years)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70"/>
        </w:trPr>
        <w:tc>
          <w:tcPr>
            <w:tcW w:w="1180" w:type="dxa"/>
            <w:vAlign w:val="bottom"/>
          </w:tcPr>
          <w:p>
            <w:pPr>
              <w:spacing w:after="0"/>
              <w:rPr>
                <w:sz w:val="20"/>
                <w:szCs w:val="20"/>
                <w:color w:val="auto"/>
              </w:rPr>
            </w:pPr>
            <w:r>
              <w:rPr>
                <w:rFonts w:ascii="Courier New" w:cs="Courier New" w:eastAsia="Courier New" w:hAnsi="Courier New"/>
                <w:sz w:val="12"/>
                <w:szCs w:val="12"/>
                <w:color w:val="auto"/>
              </w:rPr>
              <w:t>$ 1.16-$1.30</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401,203</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7.35</w:t>
            </w:r>
          </w:p>
        </w:tc>
        <w:tc>
          <w:tcPr>
            <w:tcW w:w="140" w:type="dxa"/>
            <w:vAlign w:val="bottom"/>
          </w:tcPr>
          <w:p>
            <w:pPr>
              <w:ind w:left="80"/>
              <w:spacing w:after="0"/>
              <w:rPr>
                <w:sz w:val="20"/>
                <w:szCs w:val="20"/>
                <w:color w:val="auto"/>
              </w:rPr>
            </w:pPr>
            <w:r>
              <w:rPr>
                <w:rFonts w:ascii="Courier New" w:cs="Courier New" w:eastAsia="Courier New" w:hAnsi="Courier New"/>
                <w:sz w:val="9"/>
                <w:szCs w:val="9"/>
                <w:color w:val="auto"/>
                <w:w w:val="73"/>
              </w:rPr>
              <w:t>$</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1.26</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197,501</w:t>
            </w:r>
          </w:p>
        </w:tc>
        <w:tc>
          <w:tcPr>
            <w:tcW w:w="140" w:type="dxa"/>
            <w:vAlign w:val="bottom"/>
          </w:tcPr>
          <w:p>
            <w:pPr>
              <w:jc w:val="center"/>
              <w:ind w:left="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1.26</w:t>
            </w:r>
          </w:p>
        </w:tc>
      </w:tr>
      <w:tr>
        <w:trPr>
          <w:trHeight w:val="135"/>
        </w:trPr>
        <w:tc>
          <w:tcPr>
            <w:tcW w:w="118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1.37-1.40</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922,332</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8.52</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1.40</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232,333</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1.40</w:t>
            </w:r>
          </w:p>
        </w:tc>
      </w:tr>
      <w:tr>
        <w:trPr>
          <w:trHeight w:val="135"/>
        </w:trPr>
        <w:tc>
          <w:tcPr>
            <w:tcW w:w="1180" w:type="dxa"/>
            <w:vAlign w:val="bottom"/>
          </w:tcPr>
          <w:p>
            <w:pPr>
              <w:jc w:val="right"/>
              <w:ind w:right="502"/>
              <w:spacing w:after="0"/>
              <w:rPr>
                <w:sz w:val="20"/>
                <w:szCs w:val="20"/>
                <w:color w:val="auto"/>
              </w:rPr>
            </w:pPr>
            <w:r>
              <w:rPr>
                <w:rFonts w:ascii="Courier New" w:cs="Courier New" w:eastAsia="Courier New" w:hAnsi="Courier New"/>
                <w:sz w:val="12"/>
                <w:szCs w:val="12"/>
                <w:color w:val="auto"/>
              </w:rPr>
              <w:t>1.45</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7,990,416</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8.37</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1.45</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2,010,515</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1.45</w:t>
            </w:r>
          </w:p>
        </w:tc>
      </w:tr>
      <w:tr>
        <w:trPr>
          <w:trHeight w:val="135"/>
        </w:trPr>
        <w:tc>
          <w:tcPr>
            <w:tcW w:w="118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1.46-1.58</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9,355,391</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8.11</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1.54</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3,168,731</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1.55</w:t>
            </w:r>
          </w:p>
        </w:tc>
      </w:tr>
      <w:tr>
        <w:trPr>
          <w:trHeight w:val="135"/>
        </w:trPr>
        <w:tc>
          <w:tcPr>
            <w:tcW w:w="118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1.60-1.98</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7,817,044</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9.05</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1.83</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479,952</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1.82</w:t>
            </w:r>
          </w:p>
        </w:tc>
      </w:tr>
      <w:tr>
        <w:trPr>
          <w:trHeight w:val="135"/>
        </w:trPr>
        <w:tc>
          <w:tcPr>
            <w:tcW w:w="118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2.02-2.28</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2,071,492</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8.28</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2.13</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971,921</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2.17</w:t>
            </w:r>
          </w:p>
        </w:tc>
      </w:tr>
      <w:tr>
        <w:trPr>
          <w:trHeight w:val="135"/>
        </w:trPr>
        <w:tc>
          <w:tcPr>
            <w:tcW w:w="118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3.25-3.70</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239,687</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6.47</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3.26</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199,328</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3.26</w:t>
            </w:r>
          </w:p>
        </w:tc>
      </w:tr>
      <w:tr>
        <w:trPr>
          <w:trHeight w:val="135"/>
        </w:trPr>
        <w:tc>
          <w:tcPr>
            <w:tcW w:w="118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4.11-4.56</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416,269</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8.40</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4.23</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185,761</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4.33</w:t>
            </w:r>
          </w:p>
        </w:tc>
      </w:tr>
      <w:tr>
        <w:trPr>
          <w:trHeight w:val="135"/>
        </w:trPr>
        <w:tc>
          <w:tcPr>
            <w:tcW w:w="118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5.00-10.75</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158,601</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2.89</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7.18</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158,601</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7.18</w:t>
            </w:r>
          </w:p>
        </w:tc>
      </w:tr>
      <w:tr>
        <w:trPr>
          <w:trHeight w:val="135"/>
        </w:trPr>
        <w:tc>
          <w:tcPr>
            <w:tcW w:w="1180" w:type="dxa"/>
            <w:vAlign w:val="bottom"/>
          </w:tcPr>
          <w:p>
            <w:pPr>
              <w:jc w:val="right"/>
              <w:ind w:right="502"/>
              <w:spacing w:after="0"/>
              <w:rPr>
                <w:sz w:val="20"/>
                <w:szCs w:val="20"/>
                <w:color w:val="auto"/>
              </w:rPr>
            </w:pPr>
            <w:r>
              <w:rPr>
                <w:rFonts w:ascii="Courier New" w:cs="Courier New" w:eastAsia="Courier New" w:hAnsi="Courier New"/>
                <w:sz w:val="12"/>
                <w:szCs w:val="12"/>
                <w:color w:val="auto"/>
              </w:rPr>
              <w:t>11.81</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200,000</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3.41</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11.81</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200,000</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11.81</w:t>
            </w: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$16.50-$25.00</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23,100</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2.62</w:t>
            </w:r>
          </w:p>
        </w:tc>
        <w:tc>
          <w:tcPr>
            <w:tcW w:w="140" w:type="dxa"/>
            <w:vAlign w:val="bottom"/>
          </w:tcPr>
          <w:p>
            <w:pPr>
              <w:ind w:left="80"/>
              <w:spacing w:after="0"/>
              <w:rPr>
                <w:sz w:val="20"/>
                <w:szCs w:val="20"/>
                <w:color w:val="auto"/>
              </w:rPr>
            </w:pPr>
            <w:r>
              <w:rPr>
                <w:rFonts w:ascii="Courier New" w:cs="Courier New" w:eastAsia="Courier New" w:hAnsi="Courier New"/>
                <w:sz w:val="9"/>
                <w:szCs w:val="9"/>
                <w:color w:val="auto"/>
                <w:w w:val="73"/>
              </w:rPr>
              <w:t>$</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22.23</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23,100</w:t>
            </w:r>
          </w:p>
        </w:tc>
        <w:tc>
          <w:tcPr>
            <w:tcW w:w="140" w:type="dxa"/>
            <w:vAlign w:val="bottom"/>
          </w:tcPr>
          <w:p>
            <w:pPr>
              <w:jc w:val="center"/>
              <w:ind w:left="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22.23</w:t>
            </w:r>
          </w:p>
        </w:tc>
      </w:tr>
      <w:tr>
        <w:trPr>
          <w:trHeight w:val="135"/>
        </w:trPr>
        <w:tc>
          <w:tcPr>
            <w:tcW w:w="118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4"/>
              </w:rPr>
              <w:t>----------</w:t>
            </w: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18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4"/>
              </w:rPr>
              <w:t>29,595,535</w:t>
            </w: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7,827,743</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18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4"/>
              </w:rPr>
              <w:t>==========</w:t>
            </w: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139" w:lineRule="exact"/>
        <w:rPr>
          <w:sz w:val="20"/>
          <w:szCs w:val="20"/>
          <w:color w:val="auto"/>
        </w:rPr>
      </w:pPr>
    </w:p>
    <w:p>
      <w:pPr>
        <w:ind w:left="1040" w:right="4979" w:hanging="345"/>
        <w:spacing w:after="0" w:line="235" w:lineRule="auto"/>
        <w:tabs>
          <w:tab w:leader="none" w:pos="1040"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WEIGHTED AVERAGE GRANT-DATE FAIR VALUE OF OPTIONS GRANTED TO EMPLOYEES</w:t>
      </w:r>
    </w:p>
    <w:p>
      <w:pPr>
        <w:spacing w:after="0" w:line="139"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weighted average grant-date fair value of the options granted during 2007, 2006 and 2005 to employees and directors amounted to $0.87, $0.81 and $0.83 per option, respectively. The Company utilized the Binomial lattice model since 2006 and the Black-Scholes option-pricing model in 2005. The Company estimated the fair value, utilizing the following assumptions for the years 2007, 2006 and 2005 (all in weighted averages):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960" w:type="dxa"/>
            <w:vAlign w:val="bottom"/>
          </w:tcPr>
          <w:p>
            <w:pPr>
              <w:spacing w:after="0"/>
              <w:rPr>
                <w:sz w:val="11"/>
                <w:szCs w:val="11"/>
                <w:color w:val="auto"/>
              </w:rPr>
            </w:pPr>
          </w:p>
        </w:tc>
        <w:tc>
          <w:tcPr>
            <w:tcW w:w="11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2007</w:t>
            </w:r>
          </w:p>
        </w:tc>
        <w:tc>
          <w:tcPr>
            <w:tcW w:w="980" w:type="dxa"/>
            <w:vAlign w:val="bottom"/>
          </w:tcPr>
          <w:p>
            <w:pPr>
              <w:jc w:val="center"/>
              <w:ind w:right="81"/>
              <w:spacing w:after="0"/>
              <w:rPr>
                <w:sz w:val="20"/>
                <w:szCs w:val="20"/>
                <w:color w:val="auto"/>
              </w:rPr>
            </w:pPr>
            <w:r>
              <w:rPr>
                <w:rFonts w:ascii="Courier New" w:cs="Courier New" w:eastAsia="Courier New" w:hAnsi="Courier New"/>
                <w:sz w:val="12"/>
                <w:szCs w:val="12"/>
                <w:color w:val="auto"/>
                <w:w w:val="97"/>
              </w:rPr>
              <w:t>2006</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1960" w:type="dxa"/>
            <w:vAlign w:val="bottom"/>
          </w:tcPr>
          <w:p>
            <w:pPr>
              <w:spacing w:after="0"/>
              <w:rPr>
                <w:sz w:val="11"/>
                <w:szCs w:val="11"/>
                <w:color w:val="auto"/>
              </w:rPr>
            </w:pPr>
          </w:p>
        </w:tc>
        <w:tc>
          <w:tcPr>
            <w:tcW w:w="112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8"/>
              </w:rPr>
              <w:t>-----------</w:t>
            </w:r>
          </w:p>
        </w:tc>
        <w:tc>
          <w:tcPr>
            <w:tcW w:w="98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tcPr>
          <w:p>
            <w:pPr>
              <w:jc w:val="center"/>
              <w:ind w:left="81"/>
              <w:spacing w:after="0"/>
              <w:rPr>
                <w:sz w:val="20"/>
                <w:szCs w:val="20"/>
                <w:color w:val="auto"/>
              </w:rPr>
            </w:pPr>
            <w:r>
              <w:rPr>
                <w:rFonts w:ascii="Courier New" w:cs="Courier New" w:eastAsia="Courier New" w:hAnsi="Courier New"/>
                <w:sz w:val="12"/>
                <w:szCs w:val="12"/>
                <w:color w:val="auto"/>
                <w:w w:val="98"/>
              </w:rPr>
              <w:t>-----------</w:t>
            </w: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Risk-free interest rate</w:t>
            </w:r>
          </w:p>
        </w:tc>
        <w:tc>
          <w:tcPr>
            <w:tcW w:w="112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8"/>
              </w:rPr>
              <w:t>3.61%-6.09%</w:t>
            </w:r>
          </w:p>
        </w:tc>
        <w:tc>
          <w:tcPr>
            <w:tcW w:w="98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5"/>
              </w:rPr>
              <w:t>4.44%-4.81%</w:t>
            </w:r>
          </w:p>
        </w:tc>
        <w:tc>
          <w:tcPr>
            <w:tcW w:w="920" w:type="dxa"/>
            <w:vAlign w:val="bottom"/>
          </w:tcPr>
          <w:p>
            <w:pPr>
              <w:jc w:val="center"/>
              <w:ind w:left="81"/>
              <w:spacing w:after="0"/>
              <w:rPr>
                <w:sz w:val="20"/>
                <w:szCs w:val="20"/>
                <w:color w:val="auto"/>
              </w:rPr>
            </w:pPr>
            <w:r>
              <w:rPr>
                <w:rFonts w:ascii="Courier New" w:cs="Courier New" w:eastAsia="Courier New" w:hAnsi="Courier New"/>
                <w:sz w:val="12"/>
                <w:szCs w:val="12"/>
                <w:color w:val="auto"/>
                <w:w w:val="98"/>
              </w:rPr>
              <w:t>3.69%-4.34%</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Expected life of options</w:t>
            </w:r>
          </w:p>
        </w:tc>
        <w:tc>
          <w:tcPr>
            <w:tcW w:w="1120" w:type="dxa"/>
            <w:vAlign w:val="bottom"/>
          </w:tcPr>
          <w:p>
            <w:pPr>
              <w:jc w:val="center"/>
              <w:ind w:right="61"/>
              <w:spacing w:after="0"/>
              <w:rPr>
                <w:sz w:val="20"/>
                <w:szCs w:val="20"/>
                <w:color w:val="auto"/>
              </w:rPr>
            </w:pPr>
            <w:r>
              <w:rPr>
                <w:rFonts w:ascii="Courier New" w:cs="Courier New" w:eastAsia="Courier New" w:hAnsi="Courier New"/>
                <w:sz w:val="12"/>
                <w:szCs w:val="12"/>
                <w:color w:val="auto"/>
                <w:w w:val="97"/>
              </w:rPr>
              <w:t>10 years</w:t>
            </w:r>
          </w:p>
        </w:tc>
        <w:tc>
          <w:tcPr>
            <w:tcW w:w="980" w:type="dxa"/>
            <w:vAlign w:val="bottom"/>
          </w:tcPr>
          <w:p>
            <w:pPr>
              <w:jc w:val="center"/>
              <w:ind w:right="81"/>
              <w:spacing w:after="0"/>
              <w:rPr>
                <w:sz w:val="20"/>
                <w:szCs w:val="20"/>
                <w:color w:val="auto"/>
              </w:rPr>
            </w:pPr>
            <w:r>
              <w:rPr>
                <w:rFonts w:ascii="Courier New" w:cs="Courier New" w:eastAsia="Courier New" w:hAnsi="Courier New"/>
                <w:sz w:val="12"/>
                <w:szCs w:val="12"/>
                <w:color w:val="auto"/>
                <w:w w:val="97"/>
              </w:rPr>
              <w:t>10 years</w:t>
            </w:r>
          </w:p>
        </w:tc>
        <w:tc>
          <w:tcPr>
            <w:tcW w:w="920" w:type="dxa"/>
            <w:vAlign w:val="bottom"/>
          </w:tcPr>
          <w:p>
            <w:pPr>
              <w:jc w:val="center"/>
              <w:ind w:left="1"/>
              <w:spacing w:after="0"/>
              <w:rPr>
                <w:sz w:val="20"/>
                <w:szCs w:val="20"/>
                <w:color w:val="auto"/>
              </w:rPr>
            </w:pPr>
            <w:r>
              <w:rPr>
                <w:rFonts w:ascii="Courier New" w:cs="Courier New" w:eastAsia="Courier New" w:hAnsi="Courier New"/>
                <w:sz w:val="12"/>
                <w:szCs w:val="12"/>
                <w:color w:val="auto"/>
                <w:w w:val="97"/>
              </w:rPr>
              <w:t>4.49 years</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Expected annual volatility</w:t>
            </w:r>
          </w:p>
        </w:tc>
        <w:tc>
          <w:tcPr>
            <w:tcW w:w="112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9"/>
              </w:rPr>
              <w:t>55%-65%</w:t>
            </w:r>
          </w:p>
        </w:tc>
        <w:tc>
          <w:tcPr>
            <w:tcW w:w="98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5"/>
              </w:rPr>
              <w:t>65%-67%</w:t>
            </w:r>
          </w:p>
        </w:tc>
        <w:tc>
          <w:tcPr>
            <w:tcW w:w="920" w:type="dxa"/>
            <w:vAlign w:val="bottom"/>
          </w:tcPr>
          <w:p>
            <w:pPr>
              <w:jc w:val="center"/>
              <w:ind w:left="81"/>
              <w:spacing w:after="0"/>
              <w:rPr>
                <w:sz w:val="20"/>
                <w:szCs w:val="20"/>
                <w:color w:val="auto"/>
              </w:rPr>
            </w:pPr>
            <w:r>
              <w:rPr>
                <w:rFonts w:ascii="Courier New" w:cs="Courier New" w:eastAsia="Courier New" w:hAnsi="Courier New"/>
                <w:sz w:val="12"/>
                <w:szCs w:val="12"/>
                <w:color w:val="auto"/>
                <w:w w:val="99"/>
              </w:rPr>
              <w:t>54%-69%</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Expected dividend yield</w:t>
            </w:r>
          </w:p>
        </w:tc>
        <w:tc>
          <w:tcPr>
            <w:tcW w:w="1120" w:type="dxa"/>
            <w:vAlign w:val="bottom"/>
          </w:tcPr>
          <w:p>
            <w:pPr>
              <w:jc w:val="center"/>
              <w:ind w:right="61"/>
              <w:spacing w:after="0"/>
              <w:rPr>
                <w:sz w:val="20"/>
                <w:szCs w:val="20"/>
                <w:color w:val="auto"/>
              </w:rPr>
            </w:pPr>
            <w:r>
              <w:rPr>
                <w:rFonts w:ascii="Courier New" w:cs="Courier New" w:eastAsia="Courier New" w:hAnsi="Courier New"/>
                <w:sz w:val="12"/>
                <w:szCs w:val="12"/>
                <w:color w:val="auto"/>
                <w:w w:val="97"/>
              </w:rPr>
              <w:t>None</w:t>
            </w:r>
          </w:p>
        </w:tc>
        <w:tc>
          <w:tcPr>
            <w:tcW w:w="980" w:type="dxa"/>
            <w:vAlign w:val="bottom"/>
          </w:tcPr>
          <w:p>
            <w:pPr>
              <w:jc w:val="center"/>
              <w:ind w:right="81"/>
              <w:spacing w:after="0"/>
              <w:rPr>
                <w:sz w:val="20"/>
                <w:szCs w:val="20"/>
                <w:color w:val="auto"/>
              </w:rPr>
            </w:pPr>
            <w:r>
              <w:rPr>
                <w:rFonts w:ascii="Courier New" w:cs="Courier New" w:eastAsia="Courier New" w:hAnsi="Courier New"/>
                <w:sz w:val="12"/>
                <w:szCs w:val="12"/>
                <w:color w:val="auto"/>
                <w:w w:val="97"/>
              </w:rPr>
              <w:t>None</w:t>
            </w:r>
          </w:p>
        </w:tc>
        <w:tc>
          <w:tcPr>
            <w:tcW w:w="920" w:type="dxa"/>
            <w:vAlign w:val="bottom"/>
          </w:tcPr>
          <w:p>
            <w:pPr>
              <w:jc w:val="center"/>
              <w:ind w:left="21"/>
              <w:spacing w:after="0"/>
              <w:rPr>
                <w:sz w:val="20"/>
                <w:szCs w:val="20"/>
                <w:color w:val="auto"/>
              </w:rPr>
            </w:pPr>
            <w:r>
              <w:rPr>
                <w:rFonts w:ascii="Courier New" w:cs="Courier New" w:eastAsia="Courier New" w:hAnsi="Courier New"/>
                <w:sz w:val="12"/>
                <w:szCs w:val="12"/>
                <w:color w:val="auto"/>
                <w:w w:val="97"/>
              </w:rPr>
              <w:t>None</w:t>
            </w:r>
          </w:p>
        </w:tc>
      </w:tr>
      <w:tr>
        <w:trPr>
          <w:trHeight w:val="405"/>
        </w:trPr>
        <w:tc>
          <w:tcPr>
            <w:tcW w:w="196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2"/>
                <w:szCs w:val="12"/>
                <w:color w:val="auto"/>
              </w:rPr>
              <w:t>F - 46</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NON-EMPLOYEE WARRANTS</w:t>
      </w:r>
    </w:p>
    <w:p>
      <w:pPr>
        <w:sectPr>
          <w:pgSz w:w="11900" w:h="16838" w:orient="portrait"/>
          <w:cols w:equalWidth="0" w:num="1">
            <w:col w:w="10239"/>
          </w:cols>
          <w:pgMar w:left="220" w:top="276" w:right="1440" w:bottom="0" w:gutter="0" w:footer="0" w:header="0"/>
        </w:sectPr>
      </w:pPr>
    </w:p>
    <w:bookmarkStart w:id="24" w:name="page25"/>
    <w:bookmarkEnd w:id="24"/>
    <w:p>
      <w:pPr>
        <w:ind w:left="1400" w:right="4699" w:hanging="354"/>
        <w:spacing w:after="0" w:line="237" w:lineRule="auto"/>
        <w:tabs>
          <w:tab w:leader="none" w:pos="1400"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BANKS WARRANTS - As of December 31, 2007, 11,631,648 warrants to purchase Ordinary Shares of the Company, at terms described below, were outstanding and exercisable, at a weighted average exercise price of $1.77 per share. 9,161,060 of the warrants are exercisable until September 2011 and 2,470,588 exercisable through March 2010</w:t>
      </w:r>
    </w:p>
    <w:p>
      <w:pPr>
        <w:spacing w:after="0" w:line="140" w:lineRule="exact"/>
        <w:rPr>
          <w:rFonts w:ascii="Courier New" w:cs="Courier New" w:eastAsia="Courier New" w:hAnsi="Courier New"/>
          <w:sz w:val="12"/>
          <w:szCs w:val="12"/>
          <w:color w:val="auto"/>
        </w:rPr>
      </w:pPr>
    </w:p>
    <w:p>
      <w:pPr>
        <w:ind w:left="140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cost of the 9,161,060 warrants issued to the Banks, determined based on the fair value at the grant and amendment dates in accordance with SFAS 123, amounted to a total of $10,886. Such amount was amortized as deferred financing charges over the terms of the loans under the Facility Agreement.</w:t>
      </w:r>
    </w:p>
    <w:p>
      <w:pPr>
        <w:spacing w:after="0" w:line="140"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September 2007, as part of as part of the Company's credit line agreement with the Banks described in Note 9B, the Banks received an aggregate of 2,470,588 warrants to purchase Ordinary Shares of the Company at an exercise price of $2.04 per share. All the warrants are exercisable until March 2010. The cost of the warrants, determined based on the fair value at the grant and amendment dates in accordance with SFAS 123, amounted to a total of $608. Such amount was amortized as deferred financing charges over the term of the loans under the Facility Agreement.</w:t>
      </w:r>
    </w:p>
    <w:p>
      <w:pPr>
        <w:spacing w:after="0" w:line="143" w:lineRule="exact"/>
        <w:rPr>
          <w:rFonts w:ascii="Courier New" w:cs="Courier New" w:eastAsia="Courier New" w:hAnsi="Courier New"/>
          <w:sz w:val="12"/>
          <w:szCs w:val="12"/>
          <w:color w:val="auto"/>
        </w:rPr>
      </w:pPr>
    </w:p>
    <w:p>
      <w:pPr>
        <w:ind w:left="14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lieu of paying the exercise price in cash, the Banks are entitled to exercise their warrants on a "cashless" basis, i.e. by forfeiting part of the warrants in exchange for Ordinary Shares equal to the aggregate fair market value of the shares underlying the warrants forfeited less the aggregate exercise price.</w:t>
      </w:r>
    </w:p>
    <w:p>
      <w:pPr>
        <w:spacing w:after="0" w:line="140" w:lineRule="exact"/>
        <w:rPr>
          <w:rFonts w:ascii="Courier New" w:cs="Courier New" w:eastAsia="Courier New" w:hAnsi="Courier New"/>
          <w:sz w:val="12"/>
          <w:szCs w:val="12"/>
          <w:color w:val="auto"/>
        </w:rPr>
      </w:pPr>
    </w:p>
    <w:p>
      <w:pPr>
        <w:ind w:left="1400" w:right="4619" w:hanging="354"/>
        <w:spacing w:after="0" w:line="261" w:lineRule="auto"/>
        <w:tabs>
          <w:tab w:leader="none" w:pos="1400"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WARRANTS GRANTED TO TIC - The Company issued TIC warrants for the purchase of 58,906 of the Company's Ordinary Shares. The exercise price for the warrants is $6.17 per share, the 15-day average closing price of the Company's Ordinary Shares prior to the date the November 2003 Amendment with the Banks was signed. All the warrants are fully vested and none of them was exercised. The warrants are exercisable for a five-year period ending December 2008. The cost of the warrants award granted to TIC, determined based on the fair value at the grant date in accordance with SFAS 123, amounted to a total of $259. Such amount was allocated to other assets as deferred financing charges and was amortized as financing expense over the terms of the loans under the Facility Agreement with the Banks.</w:t>
      </w:r>
    </w:p>
    <w:p>
      <w:pPr>
        <w:spacing w:after="0" w:line="396"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NON-EMPLOYEE WARRANTS (CONT.)</w:t>
      </w:r>
    </w:p>
    <w:p>
      <w:pPr>
        <w:spacing w:after="0" w:line="138"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WARRANTS ISSUED IN SEPTEMBER 2007 - In September 2007, as part of the Company's credit line agreement with TIC described in Note 9B, TIC received an aggregate of 2,941,176 warrants to purchase Ordinary Shares of the Company at an exercise price of $2.04 per share. All the warrants are exercisable until March 2010. The cost of the warrants, determined based on the fair value at the grant and amendment dates in accordance with SFAS 123, amounted to a total of $723. Such amount was amortized as deferred financing charges over the term of the loans under the Facility Agreement.</w:t>
      </w:r>
    </w:p>
    <w:p>
      <w:pPr>
        <w:spacing w:after="0" w:line="139"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CAPITAL NOTES</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BANKS' CAPITAL NOTES</w:t>
      </w:r>
    </w:p>
    <w:p>
      <w:pPr>
        <w:spacing w:after="0" w:line="138" w:lineRule="exact"/>
        <w:rPr>
          <w:rFonts w:ascii="Courier New" w:cs="Courier New" w:eastAsia="Courier New" w:hAnsi="Courier New"/>
          <w:sz w:val="12"/>
          <w:szCs w:val="12"/>
          <w:color w:val="auto"/>
        </w:rPr>
      </w:pPr>
    </w:p>
    <w:p>
      <w:pPr>
        <w:ind w:left="104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As part of the September 2006 Amendment to the Facility Agreement, an amount of $158,000 of debt was converted into capital notes of the Company, convertible into 51,973,684 of the Company's Ordinary Shares, representing twice the average closing price per share during the ten consecutive trading days prior to signing the MOU underlying the September 2006 Amendment to the Facility Agreement. The capital notes are instruments of equity and not debt. The capital notes' holders may convert the face amount of the capital notes, in whole or in part, without additional consideration, into Ordinary Shares of the Company, however, prior to such conversion, if at all, the capital notes</w:t>
      </w:r>
    </w:p>
    <w:p>
      <w:pPr>
        <w:ind w:left="1320" w:hanging="274"/>
        <w:spacing w:after="0"/>
        <w:tabs>
          <w:tab w:leader="none" w:pos="1320" w:val="left"/>
        </w:tabs>
        <w:numPr>
          <w:ilvl w:val="2"/>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not grant their holders with any of the rights of the</w:t>
      </w:r>
    </w:p>
    <w:p>
      <w:pPr>
        <w:spacing w:after="0" w:line="2" w:lineRule="exact"/>
        <w:rPr>
          <w:rFonts w:ascii="Courier New" w:cs="Courier New" w:eastAsia="Courier New" w:hAnsi="Courier New"/>
          <w:sz w:val="12"/>
          <w:szCs w:val="12"/>
          <w:color w:val="auto"/>
        </w:rPr>
      </w:pPr>
    </w:p>
    <w:p>
      <w:pPr>
        <w:ind w:left="104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Company's shareholders; (ii) have no maturity date, do not carry interest, are not linked to any index and are not redeemable; and</w:t>
      </w:r>
    </w:p>
    <w:p>
      <w:pPr>
        <w:ind w:left="1040" w:right="4839" w:firstLine="6"/>
        <w:spacing w:after="0" w:line="235" w:lineRule="auto"/>
        <w:tabs>
          <w:tab w:leader="none" w:pos="1462" w:val="left"/>
        </w:tabs>
        <w:numPr>
          <w:ilvl w:val="2"/>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are not registered. For additional information regarding the capital notes to the Banks, see Note 9B.</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TIC'S CAPITAL NOTES</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Contemporaneous with the closing of the September 2006 Amendment and as part of the Securities Purchase Agreement between the Company and TIC, the Company issued TIC in consideration of its $100,000 investment, capital notes convertible into 65,789,474 of the Company's Ordinary Shares, at a price per share of $1.52 (which equals the average closing price during the 10 consecutive trading days prior to signing the MOU). The capital notes terms are the same as in (1) above. For additional information regarding the capital notes to TIC see Note 9B.</w:t>
      </w:r>
    </w:p>
    <w:p>
      <w:pPr>
        <w:spacing w:after="0" w:line="26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- 48</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TREASURY STOCK</w:t>
      </w:r>
    </w:p>
    <w:p>
      <w:pPr>
        <w:spacing w:after="0" w:line="138" w:lineRule="exact"/>
        <w:rPr>
          <w:rFonts w:ascii="Courier New" w:cs="Courier New" w:eastAsia="Courier New" w:hAnsi="Courier New"/>
          <w:sz w:val="12"/>
          <w:szCs w:val="12"/>
          <w:color w:val="auto"/>
        </w:rPr>
      </w:pPr>
    </w:p>
    <w:p>
      <w:pPr>
        <w:jc w:val="both"/>
        <w:ind w:left="700" w:right="461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During 1998, the Board of Directors of the Company authorized, subject to certain conditions, the purchase of up to 1,400,000 Ordinary Shares</w:t>
      </w:r>
    </w:p>
    <w:p>
      <w:pPr>
        <w:sectPr>
          <w:pgSz w:w="11900" w:h="16838" w:orient="portrait"/>
          <w:cols w:equalWidth="0" w:num="1">
            <w:col w:w="10239"/>
          </w:cols>
          <w:pgMar w:left="220" w:top="276" w:right="1440" w:bottom="0" w:gutter="0" w:footer="0" w:header="0"/>
        </w:sectPr>
      </w:pPr>
    </w:p>
    <w:bookmarkStart w:id="25" w:name="page26"/>
    <w:bookmarkEnd w:id="25"/>
    <w:p>
      <w:pPr>
        <w:ind w:left="700"/>
        <w:spacing w:after="0"/>
        <w:rPr>
          <w:sz w:val="20"/>
          <w:szCs w:val="20"/>
          <w:color w:val="auto"/>
        </w:rPr>
      </w:pPr>
      <w:r>
        <w:rPr>
          <w:rFonts w:ascii="Courier New" w:cs="Courier New" w:eastAsia="Courier New" w:hAnsi="Courier New"/>
          <w:sz w:val="12"/>
          <w:szCs w:val="12"/>
          <w:color w:val="auto"/>
        </w:rPr>
        <w:t>of the Company to facilitate the exercise of employee stock options</w:t>
      </w:r>
    </w:p>
    <w:p>
      <w:pPr>
        <w:ind w:left="700"/>
        <w:spacing w:after="0"/>
        <w:rPr>
          <w:sz w:val="20"/>
          <w:szCs w:val="20"/>
          <w:color w:val="auto"/>
        </w:rPr>
      </w:pPr>
      <w:r>
        <w:rPr>
          <w:rFonts w:ascii="Courier New" w:cs="Courier New" w:eastAsia="Courier New" w:hAnsi="Courier New"/>
          <w:sz w:val="12"/>
          <w:szCs w:val="12"/>
          <w:color w:val="auto"/>
        </w:rPr>
        <w:t>under the Company's share option plans. During 1999 and 1998, the</w:t>
      </w:r>
    </w:p>
    <w:p>
      <w:pPr>
        <w:ind w:left="700"/>
        <w:spacing w:after="0" w:line="237" w:lineRule="auto"/>
        <w:rPr>
          <w:sz w:val="20"/>
          <w:szCs w:val="20"/>
          <w:color w:val="auto"/>
        </w:rPr>
      </w:pPr>
      <w:r>
        <w:rPr>
          <w:rFonts w:ascii="Courier New" w:cs="Courier New" w:eastAsia="Courier New" w:hAnsi="Courier New"/>
          <w:sz w:val="12"/>
          <w:szCs w:val="12"/>
          <w:color w:val="auto"/>
        </w:rPr>
        <w:t>Company funded the purchase by a trustee of 142,500 and 1,157,500,</w:t>
      </w:r>
    </w:p>
    <w:p>
      <w:pPr>
        <w:ind w:left="700"/>
        <w:spacing w:after="0"/>
        <w:rPr>
          <w:sz w:val="20"/>
          <w:szCs w:val="20"/>
          <w:color w:val="auto"/>
        </w:rPr>
      </w:pPr>
      <w:r>
        <w:rPr>
          <w:rFonts w:ascii="Courier New" w:cs="Courier New" w:eastAsia="Courier New" w:hAnsi="Courier New"/>
          <w:sz w:val="12"/>
          <w:szCs w:val="12"/>
          <w:color w:val="auto"/>
        </w:rPr>
        <w:t>respectively, of the Company's Ordinary Shares.</w:t>
      </w:r>
    </w:p>
    <w:p>
      <w:pPr>
        <w:spacing w:after="0" w:line="133" w:lineRule="exact"/>
        <w:rPr>
          <w:sz w:val="20"/>
          <w:szCs w:val="20"/>
          <w:color w:val="auto"/>
        </w:rPr>
      </w:pPr>
    </w:p>
    <w:p>
      <w:pPr>
        <w:ind w:left="700" w:hanging="357"/>
        <w:spacing w:after="0"/>
        <w:tabs>
          <w:tab w:leader="none" w:pos="700" w:val="left"/>
        </w:tabs>
        <w:numPr>
          <w:ilvl w:val="0"/>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DIVIDEND DISTRIBUTIONS</w:t>
      </w:r>
    </w:p>
    <w:p>
      <w:pPr>
        <w:spacing w:after="0" w:line="138" w:lineRule="exact"/>
        <w:rPr>
          <w:rFonts w:ascii="Courier New" w:cs="Courier New" w:eastAsia="Courier New" w:hAnsi="Courier New"/>
          <w:sz w:val="12"/>
          <w:szCs w:val="12"/>
          <w:color w:val="auto"/>
        </w:rPr>
      </w:pPr>
    </w:p>
    <w:p>
      <w:pPr>
        <w:jc w:val="both"/>
        <w:ind w:left="700" w:right="475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According to the Facility Agreement, as amended to date, the Company undertook not to distribute any dividends prior to the date that all amounts payable under the Facility Agreement have been paid in full.</w:t>
      </w:r>
    </w:p>
    <w:p>
      <w:pPr>
        <w:spacing w:after="0" w:line="121"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PUBLIC OFFERING IN ISRAEL - JANUARY 2002</w:t>
      </w:r>
    </w:p>
    <w:p>
      <w:pPr>
        <w:spacing w:after="0" w:line="138" w:lineRule="exact"/>
        <w:rPr>
          <w:rFonts w:ascii="Courier New" w:cs="Courier New" w:eastAsia="Courier New" w:hAnsi="Courier New"/>
          <w:sz w:val="12"/>
          <w:szCs w:val="12"/>
          <w:color w:val="auto"/>
        </w:rPr>
      </w:pPr>
    </w:p>
    <w:p>
      <w:pPr>
        <w:ind w:left="700" w:right="475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January 2002, the Company issued on the Tel Aviv Stock Exchange, NIS 110,579,800 principal amount of convertible debentures Series A, under terms described in Note 10B. Together with the convertible debentures the Company issued for no consideration an aggregate of 552,899 options exercisable into debentures and 2,211,596 Options (Series 1). As of the date of the financial statements, all said options expired and none were exercised. The total initial proceeds raised were $23,200, and costs related to the issuance of the securities and the prospectus were approximately $1,750.</w:t>
      </w:r>
    </w:p>
    <w:p>
      <w:pPr>
        <w:spacing w:after="0" w:line="127"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RIGHTS OFFERING - OCTOBER 2002</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October 2002, the Company issued in connection with a rights offering done on the NASDAQ and on the Tel-Aviv Stock Exchange 4,097,964 Ordinary Shares of the Company and 1,844,070 warrants to purchase Ordinary Shares of the Company, in consideration for aggregate gross proceeds of $20,490. Of these amounts, 4,086,037 Ordinary Shares and 1,838,715 warrants were issued to Wafer Partners and Equity Investors in consideration for an aggregate of $20,430. Each warrant was exercisable for the purchase of one Ordinary Share at an exercise price of $7.50 for a period ending on October 31, 2006. None of the warrants were exercised. Costs in relation to the prospectus and the issuance of the securities were approximately $800.</w:t>
      </w:r>
    </w:p>
    <w:p>
      <w:pPr>
        <w:spacing w:after="0" w:line="12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PUBLIC OFFERING - JANUARY 2004</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2004, the Company completed a public offering of its Ordinary Shares in the U.S. at a price of $7.00 per share. Following the offering, and including the partial exercise in February 2004 of an over-allotment option the Company granted the underwriters, the Company issued 11,444,500 of its Ordinary Shares, in consideration for gross proceeds of $80,112 (net of related costs - $75,086).</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RIGHTS OFFERING - DECEMBER 2005</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December 2005, the Company filed in Israel and the U.S. a prospectus for the distribution of transferable rights to purchase up to $50,000 U.S. dollar denominated debentures Series B that are convertible into up to 45,454,545 of the Company's Ordinary Shares. The rights were distributed to the shareholders of record of the Company on December 20, 2005 (the record date), and to certain employees who on the record date held options to purchase the Company's Ordinary Shares under share options plans that entitle the options holders to participate in a rights offering. Each 138.98 Ordinary Shares and/or eligible employee options held on the record date entitled their holder to one right. The rights were exercisable until January 12, 2006. Each right entitled its holder to purchase, at a subscription price of $0.1, 100 U.S. dollar denominated convertible debentures.</w:t>
      </w:r>
    </w:p>
    <w:p>
      <w:pPr>
        <w:spacing w:after="0" w:line="139" w:lineRule="exact"/>
        <w:rPr>
          <w:rFonts w:ascii="Courier New" w:cs="Courier New" w:eastAsia="Courier New" w:hAnsi="Courier New"/>
          <w:sz w:val="12"/>
          <w:szCs w:val="12"/>
          <w:color w:val="auto"/>
        </w:rPr>
      </w:pPr>
    </w:p>
    <w:p>
      <w:pPr>
        <w:ind w:left="700" w:right="475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connection with the exercise of the rights, the Company issued 48,169,300 convertible debentures under terms described in Note 10C.</w:t>
      </w:r>
    </w:p>
    <w:p>
      <w:pPr>
        <w:spacing w:after="0" w:line="121"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investment by primary Wafer Partners and Equity Investor see also Note 10C.</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PUBLIC OFFERING IN ISRAEL - JUNE 2006</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June 2006 the Company completed an underwritten public offering of the Company's securities on the Tel-Aviv Stock Exchange resulting in immediate gross proceeds of approximately NIS 140,000,000 (approximately $31,000). The units sold consisted of (i) convertible debentures Series C in the face amount of NIS 163,800,000 (approximately $36,661), (ii) 390,000 options each exercisable for the three months ended September 27, 2006 for NIS 100 principal amount of convertible debentures at an exercise price equal to 85% of their face amount, (iii) 10,920,000 warrants each exercisable for the three months ended September 27, 2006 for one Ordinary Share of the Company at a price of NIS 6.75 (approximately $0.00157, and (iv) 5,460,000 warrants each exercisable for three years ending on June 28, 2009 for one Ordinary Share of the Company at a price of NIS 7.40 (approximately $0.00175). The convertible debentures are convertible into the Company's Ordinary Shares at a conversion rate of one Ordinary Share per NIS 8.40 (approximately $0.00199) principal amount of convertible debentures. The convertible debentures carry a zero coupon with principal payable at maturity in December 2011, at a premium of 37% over face value, linked to the CPI. The conversion price is subject to reduction in certain limited circumstances.</w:t>
      </w:r>
    </w:p>
    <w:p>
      <w:pPr>
        <w:spacing w:after="0" w:line="272"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addition, the Company issued similar units including principle value of NIS 630,000 convertible debentures in consideration for NIS 526,000 through a private placement to its market maker in connection with said offering.</w:t>
      </w:r>
    </w:p>
    <w:p>
      <w:pPr>
        <w:spacing w:after="0" w:line="140" w:lineRule="exact"/>
        <w:rPr>
          <w:rFonts w:ascii="Courier New" w:cs="Courier New" w:eastAsia="Courier New" w:hAnsi="Courier New"/>
          <w:sz w:val="12"/>
          <w:szCs w:val="12"/>
          <w:color w:val="auto"/>
        </w:rPr>
      </w:pPr>
    </w:p>
    <w:p>
      <w:pPr>
        <w:ind w:left="700" w:right="48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Through September 2006, 391,500 options to purchase convertible debentures described in (ii) above were exercised and 350,000 short term warrants described in (iii) above were exercised into Ordinary Shares, totaling in proceeds of approximately $8,000.</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ectPr>
          <w:pgSz w:w="11900" w:h="16838" w:orient="portrait"/>
          <w:cols w:equalWidth="0" w:num="1">
            <w:col w:w="10239"/>
          </w:cols>
          <w:pgMar w:left="220" w:top="137"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PRIVATE PLACEMENT IN ISRAEL - NOVEMBER 2006</w:t>
      </w:r>
    </w:p>
    <w:p>
      <w:pPr>
        <w:spacing w:after="0" w:line="273"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the fourth quarter of 2006, the Company received and accepted orders from Israeli investors in private placements for 11,615,000 Ordinary Shares and 5,227,500 warrants ("Series 5 Warrants"). The price of the Ordinary Shares was equal to the closing price of the Company's shares on the Tel-Aviv Stock Exchange prior to the relevant private placements and the warrants were issued for no consideration. Total immediate gross proceeds amounted to approximately $22,000. Each of the Series 5 Warrants is exercisable at any time during a period of four years ending in December 2010 at a price per share equal to a 25% premium to the market price of the Company's shares at the date the prospectus is published. As of December 28, 2006, following the publication of the prospectus, the exercise price was finalized and determined to be NIS 9.48 (approximately $0.0022) linked to the CPI. Series 5 Warrants have been classified to equity.</w:t>
      </w:r>
    </w:p>
    <w:p>
      <w:pPr>
        <w:spacing w:after="0" w:line="12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PRIVATE PLACEMENT IN THE US - MARCH 2007</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March 2007, the Company completed a private placement of its securities in which it sold Ordinary Shares and warrants for the purchase of Ordinary Shares, raising a total of approximately $29,000 in gross proceeds. In the private placement, the Company issued approximately 18.8 million shares and warrants exercisable into approximately 9.4 million shares at an exercise price of $2.04 (subject to possible adjustments under certain circumstances) exercisable until March 15, 2012 ("Series I Warrants"). The Company also issued short-term warrants at an exercise price of $1.70 ("Series II Warrants"), however all Series II Warrants were not exercised and were fully expired as of December 31, 2007.</w:t>
      </w:r>
    </w:p>
    <w:p>
      <w:pPr>
        <w:spacing w:after="0" w:line="140"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LONG-TERM DEBENTURES ISSUED IN ISRAEL - 2007</w:t>
      </w:r>
    </w:p>
    <w:p>
      <w:pPr>
        <w:spacing w:after="0" w:line="138" w:lineRule="exact"/>
        <w:rPr>
          <w:rFonts w:ascii="Courier New" w:cs="Courier New" w:eastAsia="Courier New" w:hAnsi="Courier New"/>
          <w:sz w:val="12"/>
          <w:szCs w:val="12"/>
          <w:color w:val="auto"/>
        </w:rPr>
      </w:pPr>
    </w:p>
    <w:p>
      <w:pPr>
        <w:ind w:left="700" w:right="497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second half of 2007, the Company consummated two private placements with Israeli institutions of long-term convertible and non-convertible debentures and warrants, see Note 10E.</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U.S SHELF PROSPECTUS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2008, the Company filed a shelf registration statement on Form F-3 with the US Securities and Exchange Commission to allow for the registration of a possible offer and sale of up to $30,000 of securities of the Company, it may elect to execute during the three years following the effective date of the registration statement. As of the approval date of the financials statements, the registration statement has not yet been declared effective. The Company has made no decisions as to when, if at all, it will actually raise funds under the shelf registration.</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- 51</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15 - INFORMATION ON GEOGRAPHIC AREAS AND MAJOR CUSTOMERS</w:t>
      </w:r>
    </w:p>
    <w:p>
      <w:pPr>
        <w:spacing w:after="0" w:line="134" w:lineRule="exact"/>
        <w:rPr>
          <w:sz w:val="20"/>
          <w:szCs w:val="20"/>
          <w:color w:val="auto"/>
        </w:rPr>
      </w:pPr>
    </w:p>
    <w:p>
      <w:pPr>
        <w:ind w:left="700" w:hanging="357"/>
        <w:spacing w:after="0"/>
        <w:tabs>
          <w:tab w:leader="none" w:pos="700"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REVENUES BY GEOGRAPHIC AREA (as percentage of total sales)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80" w:type="dxa"/>
            <w:vAlign w:val="bottom"/>
          </w:tcPr>
          <w:p>
            <w:pPr>
              <w:spacing w:after="0"/>
              <w:rPr>
                <w:sz w:val="11"/>
                <w:szCs w:val="11"/>
                <w:color w:val="auto"/>
              </w:rPr>
            </w:pPr>
          </w:p>
        </w:tc>
        <w:tc>
          <w:tcPr>
            <w:tcW w:w="3220" w:type="dxa"/>
            <w:vAlign w:val="bottom"/>
            <w:gridSpan w:val="3"/>
          </w:tcPr>
          <w:p>
            <w:pPr>
              <w:jc w:val="right"/>
              <w:ind w:right="421"/>
              <w:spacing w:after="0"/>
              <w:rPr>
                <w:sz w:val="20"/>
                <w:szCs w:val="20"/>
                <w:color w:val="auto"/>
              </w:rPr>
            </w:pPr>
            <w:r>
              <w:rPr>
                <w:rFonts w:ascii="Courier New" w:cs="Courier New" w:eastAsia="Courier New" w:hAnsi="Courier New"/>
                <w:sz w:val="12"/>
                <w:szCs w:val="12"/>
                <w:color w:val="auto"/>
              </w:rPr>
              <w:t>Year ended December 31,</w:t>
            </w:r>
          </w:p>
        </w:tc>
      </w:tr>
      <w:tr>
        <w:trPr>
          <w:trHeight w:val="135"/>
        </w:trPr>
        <w:tc>
          <w:tcPr>
            <w:tcW w:w="1680" w:type="dxa"/>
            <w:vAlign w:val="bottom"/>
          </w:tcPr>
          <w:p>
            <w:pPr>
              <w:spacing w:after="0"/>
              <w:rPr>
                <w:sz w:val="11"/>
                <w:szCs w:val="11"/>
                <w:color w:val="auto"/>
              </w:rPr>
            </w:pPr>
          </w:p>
        </w:tc>
        <w:tc>
          <w:tcPr>
            <w:tcW w:w="3220" w:type="dxa"/>
            <w:vAlign w:val="bottom"/>
            <w:gridSpan w:val="3"/>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11"/>
                <w:szCs w:val="11"/>
                <w:color w:val="auto"/>
              </w:rPr>
            </w:pPr>
          </w:p>
        </w:tc>
        <w:tc>
          <w:tcPr>
            <w:tcW w:w="15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2007</w:t>
            </w: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2006</w:t>
            </w: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1680" w:type="dxa"/>
            <w:vAlign w:val="bottom"/>
          </w:tcPr>
          <w:p>
            <w:pPr>
              <w:spacing w:after="0"/>
              <w:rPr>
                <w:sz w:val="11"/>
                <w:szCs w:val="11"/>
                <w:color w:val="auto"/>
              </w:rPr>
            </w:pPr>
          </w:p>
        </w:tc>
        <w:tc>
          <w:tcPr>
            <w:tcW w:w="15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1680" w:type="dxa"/>
            <w:vAlign w:val="bottom"/>
          </w:tcPr>
          <w:p>
            <w:pPr>
              <w:spacing w:after="0"/>
              <w:rPr>
                <w:sz w:val="20"/>
                <w:szCs w:val="20"/>
                <w:color w:val="auto"/>
              </w:rPr>
            </w:pPr>
            <w:r>
              <w:rPr>
                <w:rFonts w:ascii="Courier New" w:cs="Courier New" w:eastAsia="Courier New" w:hAnsi="Courier New"/>
                <w:sz w:val="12"/>
                <w:szCs w:val="12"/>
                <w:color w:val="auto"/>
              </w:rPr>
              <w:t>United States</w:t>
            </w:r>
          </w:p>
        </w:tc>
        <w:tc>
          <w:tcPr>
            <w:tcW w:w="15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75%</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69%</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64%</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Israel</w:t>
            </w:r>
          </w:p>
        </w:tc>
        <w:tc>
          <w:tcPr>
            <w:tcW w:w="15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7</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Asia Pacific</w:t>
            </w:r>
          </w:p>
        </w:tc>
        <w:tc>
          <w:tcPr>
            <w:tcW w:w="15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10</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16</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Europe</w:t>
            </w:r>
          </w:p>
        </w:tc>
        <w:tc>
          <w:tcPr>
            <w:tcW w:w="15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9</w:t>
            </w:r>
          </w:p>
        </w:tc>
      </w:tr>
      <w:tr>
        <w:trPr>
          <w:trHeight w:val="135"/>
        </w:trPr>
        <w:tc>
          <w:tcPr>
            <w:tcW w:w="1680" w:type="dxa"/>
            <w:vAlign w:val="bottom"/>
          </w:tcPr>
          <w:p>
            <w:pPr>
              <w:spacing w:after="0"/>
              <w:rPr>
                <w:sz w:val="11"/>
                <w:szCs w:val="11"/>
                <w:color w:val="auto"/>
              </w:rPr>
            </w:pPr>
          </w:p>
        </w:tc>
        <w:tc>
          <w:tcPr>
            <w:tcW w:w="15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15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100%</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100%</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r>
      <w:tr>
        <w:trPr>
          <w:trHeight w:val="135"/>
        </w:trPr>
        <w:tc>
          <w:tcPr>
            <w:tcW w:w="1680" w:type="dxa"/>
            <w:vAlign w:val="bottom"/>
          </w:tcPr>
          <w:p>
            <w:pPr>
              <w:spacing w:after="0"/>
              <w:rPr>
                <w:sz w:val="11"/>
                <w:szCs w:val="11"/>
                <w:color w:val="auto"/>
              </w:rPr>
            </w:pPr>
          </w:p>
        </w:tc>
        <w:tc>
          <w:tcPr>
            <w:tcW w:w="15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00" w:right="5119" w:hanging="357"/>
        <w:spacing w:after="0" w:line="235" w:lineRule="auto"/>
        <w:tabs>
          <w:tab w:leader="none" w:pos="700"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LONG-LIVED ASSETS BY GEOGRAPHIC AREA - Substantially all of the Company's long-lived assets are located in Israel.</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MAJOR CUSTOMERS (as percentage of total sales)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180" w:type="dxa"/>
            <w:vAlign w:val="bottom"/>
          </w:tcPr>
          <w:p>
            <w:pPr>
              <w:spacing w:after="0"/>
              <w:rPr>
                <w:sz w:val="11"/>
                <w:szCs w:val="11"/>
                <w:color w:val="auto"/>
              </w:rPr>
            </w:pPr>
          </w:p>
        </w:tc>
        <w:tc>
          <w:tcPr>
            <w:tcW w:w="2020" w:type="dxa"/>
            <w:vAlign w:val="bottom"/>
            <w:gridSpan w:val="3"/>
          </w:tcPr>
          <w:p>
            <w:pPr>
              <w:jc w:val="right"/>
              <w:ind w:right="361"/>
              <w:spacing w:after="0"/>
              <w:rPr>
                <w:sz w:val="20"/>
                <w:szCs w:val="20"/>
                <w:color w:val="auto"/>
              </w:rPr>
            </w:pPr>
            <w:r>
              <w:rPr>
                <w:rFonts w:ascii="Courier New" w:cs="Courier New" w:eastAsia="Courier New" w:hAnsi="Courier New"/>
                <w:sz w:val="12"/>
                <w:szCs w:val="12"/>
                <w:color w:val="auto"/>
                <w:w w:val="95"/>
              </w:rPr>
              <w:t>Year ended December 31,</w:t>
            </w:r>
          </w:p>
        </w:tc>
      </w:tr>
      <w:tr>
        <w:trPr>
          <w:trHeight w:val="135"/>
        </w:trPr>
        <w:tc>
          <w:tcPr>
            <w:tcW w:w="420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2180" w:type="dxa"/>
            <w:vAlign w:val="bottom"/>
          </w:tcPr>
          <w:p>
            <w:pPr>
              <w:ind w:left="1880"/>
              <w:spacing w:after="0"/>
              <w:rPr>
                <w:sz w:val="20"/>
                <w:szCs w:val="20"/>
                <w:color w:val="auto"/>
              </w:rPr>
            </w:pPr>
            <w:r>
              <w:rPr>
                <w:rFonts w:ascii="Courier New" w:cs="Courier New" w:eastAsia="Courier New" w:hAnsi="Courier New"/>
                <w:sz w:val="12"/>
                <w:szCs w:val="12"/>
                <w:color w:val="auto"/>
                <w:w w:val="97"/>
              </w:rPr>
              <w:t>2007</w:t>
            </w:r>
          </w:p>
        </w:tc>
        <w:tc>
          <w:tcPr>
            <w:tcW w:w="34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2006</w:t>
            </w: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25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2180" w:type="dxa"/>
            <w:vAlign w:val="bottom"/>
          </w:tcPr>
          <w:p>
            <w:pPr>
              <w:spacing w:after="0"/>
              <w:rPr>
                <w:sz w:val="20"/>
                <w:szCs w:val="20"/>
                <w:color w:val="auto"/>
              </w:rPr>
            </w:pPr>
            <w:r>
              <w:rPr>
                <w:rFonts w:ascii="Courier New" w:cs="Courier New" w:eastAsia="Courier New" w:hAnsi="Courier New"/>
                <w:sz w:val="12"/>
                <w:szCs w:val="12"/>
                <w:color w:val="auto"/>
              </w:rPr>
              <w:t>Customer A (*)</w:t>
            </w:r>
          </w:p>
        </w:tc>
        <w:tc>
          <w:tcPr>
            <w:tcW w:w="34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3"/>
              </w:rPr>
              <w:t>29%</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23%</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22%</w:t>
            </w:r>
          </w:p>
        </w:tc>
      </w:tr>
      <w:tr>
        <w:trPr>
          <w:trHeight w:val="135"/>
        </w:trPr>
        <w:tc>
          <w:tcPr>
            <w:tcW w:w="2180" w:type="dxa"/>
            <w:vAlign w:val="bottom"/>
          </w:tcPr>
          <w:p>
            <w:pPr>
              <w:spacing w:after="0"/>
              <w:rPr>
                <w:sz w:val="20"/>
                <w:szCs w:val="20"/>
                <w:color w:val="auto"/>
              </w:rPr>
            </w:pPr>
            <w:r>
              <w:rPr>
                <w:rFonts w:ascii="Courier New" w:cs="Courier New" w:eastAsia="Courier New" w:hAnsi="Courier New"/>
                <w:sz w:val="12"/>
                <w:szCs w:val="12"/>
                <w:color w:val="auto"/>
              </w:rPr>
              <w:t>Customer B</w:t>
            </w:r>
          </w:p>
        </w:tc>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13</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5</w:t>
            </w:r>
          </w:p>
        </w:tc>
      </w:tr>
      <w:tr>
        <w:trPr>
          <w:trHeight w:val="135"/>
        </w:trPr>
        <w:tc>
          <w:tcPr>
            <w:tcW w:w="2180" w:type="dxa"/>
            <w:vAlign w:val="bottom"/>
          </w:tcPr>
          <w:p>
            <w:pPr>
              <w:spacing w:after="0"/>
              <w:rPr>
                <w:sz w:val="20"/>
                <w:szCs w:val="20"/>
                <w:color w:val="auto"/>
              </w:rPr>
            </w:pPr>
            <w:r>
              <w:rPr>
                <w:rFonts w:ascii="Courier New" w:cs="Courier New" w:eastAsia="Courier New" w:hAnsi="Courier New"/>
                <w:sz w:val="12"/>
                <w:szCs w:val="12"/>
                <w:color w:val="auto"/>
              </w:rPr>
              <w:t>Customer C</w:t>
            </w:r>
          </w:p>
        </w:tc>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11</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w:t>
            </w:r>
          </w:p>
        </w:tc>
      </w:tr>
      <w:tr>
        <w:trPr>
          <w:trHeight w:val="135"/>
        </w:trPr>
        <w:tc>
          <w:tcPr>
            <w:tcW w:w="2180" w:type="dxa"/>
            <w:vAlign w:val="bottom"/>
          </w:tcPr>
          <w:p>
            <w:pPr>
              <w:spacing w:after="0"/>
              <w:rPr>
                <w:sz w:val="20"/>
                <w:szCs w:val="20"/>
                <w:color w:val="auto"/>
              </w:rPr>
            </w:pPr>
            <w:r>
              <w:rPr>
                <w:rFonts w:ascii="Courier New" w:cs="Courier New" w:eastAsia="Courier New" w:hAnsi="Courier New"/>
                <w:sz w:val="12"/>
                <w:szCs w:val="12"/>
                <w:color w:val="auto"/>
              </w:rPr>
              <w:t>Customer D</w:t>
            </w:r>
          </w:p>
        </w:tc>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14</w:t>
            </w:r>
          </w:p>
        </w:tc>
      </w:tr>
      <w:tr>
        <w:trPr>
          <w:trHeight w:val="135"/>
        </w:trPr>
        <w:tc>
          <w:tcPr>
            <w:tcW w:w="2180" w:type="dxa"/>
            <w:vAlign w:val="bottom"/>
          </w:tcPr>
          <w:p>
            <w:pPr>
              <w:spacing w:after="0"/>
              <w:rPr>
                <w:sz w:val="20"/>
                <w:szCs w:val="20"/>
                <w:color w:val="auto"/>
              </w:rPr>
            </w:pPr>
            <w:r>
              <w:rPr>
                <w:rFonts w:ascii="Courier New" w:cs="Courier New" w:eastAsia="Courier New" w:hAnsi="Courier New"/>
                <w:sz w:val="12"/>
                <w:szCs w:val="12"/>
                <w:color w:val="auto"/>
              </w:rPr>
              <w:t>Customer E (*) (**)</w:t>
            </w:r>
          </w:p>
        </w:tc>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11</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8</w:t>
            </w:r>
          </w:p>
        </w:tc>
      </w:tr>
      <w:tr>
        <w:trPr>
          <w:trHeight w:val="270"/>
        </w:trPr>
        <w:tc>
          <w:tcPr>
            <w:tcW w:w="2180" w:type="dxa"/>
            <w:vAlign w:val="bottom"/>
          </w:tcPr>
          <w:p>
            <w:pPr>
              <w:spacing w:after="0"/>
              <w:rPr>
                <w:sz w:val="20"/>
                <w:szCs w:val="20"/>
                <w:color w:val="auto"/>
              </w:rPr>
            </w:pPr>
            <w:r>
              <w:rPr>
                <w:rFonts w:ascii="Courier New" w:cs="Courier New" w:eastAsia="Courier New" w:hAnsi="Courier New"/>
                <w:sz w:val="12"/>
                <w:szCs w:val="12"/>
                <w:color w:val="auto"/>
              </w:rPr>
              <w:t>Other customers (***)</w:t>
            </w:r>
          </w:p>
        </w:tc>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11</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21</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w:t>
            </w:r>
          </w:p>
        </w:tc>
      </w:tr>
      <w:tr>
        <w:trPr>
          <w:trHeight w:val="270"/>
        </w:trPr>
        <w:tc>
          <w:tcPr>
            <w:tcW w:w="2180" w:type="dxa"/>
            <w:vAlign w:val="bottom"/>
          </w:tcPr>
          <w:p>
            <w:pPr>
              <w:ind w:left="700"/>
              <w:spacing w:after="0"/>
              <w:rPr>
                <w:sz w:val="20"/>
                <w:szCs w:val="20"/>
                <w:color w:val="auto"/>
              </w:rPr>
            </w:pPr>
            <w:r>
              <w:rPr>
                <w:rFonts w:ascii="Courier New" w:cs="Courier New" w:eastAsia="Courier New" w:hAnsi="Courier New"/>
                <w:sz w:val="12"/>
                <w:szCs w:val="12"/>
                <w:color w:val="auto"/>
              </w:rPr>
              <w:t>(*)  Related party</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 Including its affiliates</w:t>
      </w:r>
    </w:p>
    <w:p>
      <w:pPr>
        <w:spacing w:after="0" w:line="139" w:lineRule="exact"/>
        <w:rPr>
          <w:sz w:val="20"/>
          <w:szCs w:val="20"/>
          <w:color w:val="auto"/>
        </w:rPr>
      </w:pPr>
    </w:p>
    <w:p>
      <w:pPr>
        <w:ind w:left="1040" w:right="4699" w:hanging="345"/>
        <w:spacing w:after="0" w:line="237" w:lineRule="auto"/>
        <w:tabs>
          <w:tab w:leader="none" w:pos="1110"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Represents sales to two different customers each of whom accounted for between 5% and 6% of sales during 2007; to five different customers each of whom accounted for between 2% and 6% of sales during 2006 and to five customers accounted for between 2% and 8% of sales during 2005.</w:t>
      </w:r>
    </w:p>
    <w:p>
      <w:pPr>
        <w:spacing w:after="0" w:line="135"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As of December 31, 2007 and 2006, the above major customers</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constituted the majority of the trade accounts receivable reflected on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balance sheets.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16 - FINANCING EXPENSES, NET</w:t>
      </w:r>
    </w:p>
    <w:p>
      <w:pPr>
        <w:spacing w:after="0" w:line="139" w:lineRule="exact"/>
        <w:rPr>
          <w:sz w:val="20"/>
          <w:szCs w:val="20"/>
          <w:color w:val="auto"/>
        </w:rPr>
      </w:pPr>
    </w:p>
    <w:p>
      <w:pPr>
        <w:ind w:left="340" w:right="4699"/>
        <w:spacing w:after="0" w:line="236" w:lineRule="auto"/>
        <w:rPr>
          <w:sz w:val="20"/>
          <w:szCs w:val="20"/>
          <w:color w:val="auto"/>
        </w:rPr>
      </w:pPr>
      <w:r>
        <w:rPr>
          <w:rFonts w:ascii="Courier New" w:cs="Courier New" w:eastAsia="Courier New" w:hAnsi="Courier New"/>
          <w:sz w:val="12"/>
          <w:szCs w:val="12"/>
          <w:color w:val="auto"/>
        </w:rPr>
        <w:t>Financing expenses, net consist mainly of Bank loans payable interest- see Note 9, and interest and other financing expenses in relation to our debentures- see Note 10.</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- 52</w:t>
      </w:r>
    </w:p>
    <w:p>
      <w:pPr>
        <w:sectPr>
          <w:pgSz w:w="11900" w:h="16838" w:orient="portrait"/>
          <w:cols w:equalWidth="0" w:num="1">
            <w:col w:w="10239"/>
          </w:cols>
          <w:pgMar w:left="220" w:top="137" w:right="1440" w:bottom="0" w:gutter="0" w:footer="0" w:header="0"/>
        </w:sectPr>
      </w:pPr>
    </w:p>
    <w:p>
      <w:pPr>
        <w:spacing w:after="0" w:line="391" w:lineRule="exact"/>
        <w:rPr>
          <w:sz w:val="20"/>
          <w:szCs w:val="20"/>
          <w:color w:val="auto"/>
        </w:rPr>
      </w:pPr>
    </w:p>
    <w:p>
      <w:pPr>
        <w:ind w:left="1460"/>
        <w:spacing w:after="0"/>
        <w:rPr>
          <w:sz w:val="20"/>
          <w:szCs w:val="20"/>
          <w:color w:val="auto"/>
        </w:rPr>
      </w:pPr>
      <w:r>
        <w:rPr>
          <w:rFonts w:ascii="Courier New" w:cs="Courier New" w:eastAsia="Courier New" w:hAnsi="Courier New"/>
          <w:sz w:val="11"/>
          <w:szCs w:val="11"/>
          <w:color w:val="auto"/>
        </w:rPr>
        <w:t>TOWER SEMICONDUCTOR LTD. AND SUBSIDIARY</w:t>
      </w:r>
    </w:p>
    <w:p>
      <w:pPr>
        <w:sectPr>
          <w:pgSz w:w="11900" w:h="16838" w:orient="portrait"/>
          <w:cols w:equalWidth="0" w:num="1">
            <w:col w:w="10239"/>
          </w:cols>
          <w:pgMar w:left="220" w:top="137" w:right="1440" w:bottom="0" w:gutter="0" w:footer="0" w:header="0"/>
          <w:type w:val="continuous"/>
        </w:sectPr>
      </w:pPr>
    </w:p>
    <w:bookmarkStart w:id="27" w:name="page28"/>
    <w:bookmarkEnd w:id="27"/>
    <w:p>
      <w:pPr>
        <w:jc w:val="center"/>
        <w:ind w:right="4619"/>
        <w:spacing w:after="0"/>
        <w:rPr>
          <w:sz w:val="20"/>
          <w:szCs w:val="20"/>
          <w:color w:val="auto"/>
        </w:rPr>
      </w:pPr>
      <w:r>
        <w:rPr>
          <w:rFonts w:ascii="Courier New" w:cs="Courier New" w:eastAsia="Courier New" w:hAnsi="Courier New"/>
          <w:sz w:val="12"/>
          <w:szCs w:val="12"/>
          <w:color w:val="auto"/>
        </w:rPr>
        <w:t>NOTES TO CONSOLIDATED FINANCIAL STATEMENTS</w:t>
      </w:r>
    </w:p>
    <w:p>
      <w:pPr>
        <w:jc w:val="center"/>
        <w:ind w:right="4619"/>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17 - INCOME TAXES</w:t>
      </w:r>
    </w:p>
    <w:p>
      <w:pPr>
        <w:spacing w:after="0" w:line="134" w:lineRule="exact"/>
        <w:rPr>
          <w:sz w:val="20"/>
          <w:szCs w:val="20"/>
          <w:color w:val="auto"/>
        </w:rPr>
      </w:pPr>
    </w:p>
    <w:p>
      <w:pPr>
        <w:ind w:left="700" w:hanging="357"/>
        <w:spacing w:after="0"/>
        <w:tabs>
          <w:tab w:leader="none" w:pos="700" w:val="left"/>
        </w:tabs>
        <w:numPr>
          <w:ilvl w:val="0"/>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APPROVED ENTERPRISE STATUS</w:t>
      </w:r>
    </w:p>
    <w:p>
      <w:pPr>
        <w:spacing w:after="0" w:line="138" w:lineRule="exact"/>
        <w:rPr>
          <w:rFonts w:ascii="Courier New" w:cs="Courier New" w:eastAsia="Courier New" w:hAnsi="Courier New"/>
          <w:sz w:val="12"/>
          <w:szCs w:val="12"/>
          <w:color w:val="auto"/>
        </w:rPr>
      </w:pPr>
    </w:p>
    <w:p>
      <w:pPr>
        <w:ind w:left="700" w:right="483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Substantially all of the Company's existing facilities and other capital investments through December 31, 2005 have been granted approved enterprise status, as provided by the Israeli Law for the Encouragement of Capital Investments - 1959 ("Investments Law") see Note 6B.</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tax benefits derived from approved enterprise status relate only to taxable income attributable to each approved enterprise investments program. Pursuant to the Investments Law and the approval certificates, the Company's income attributable to its various approved enterprise investments is taxed at a rate of up to 25% through 2012. Taxable income attributable to the Fab 2 approved program shall be tax-exempt for the first two years it arises. The portion of the Company's taxable income that is not attributable to approved enterprise investments is taxed at a rate of 29% in 2007 (regular "Company Tax"). The regular Company Tax rate is to be gradually reduced to 25% until 2010.</w:t>
      </w:r>
    </w:p>
    <w:p>
      <w:pPr>
        <w:spacing w:after="0" w:line="144"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tax benefits are also conditioned upon fulfillment of the requirements stipulated by the Investments Law and the regulations promulgated thereunder,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management's opinion, the Company has been in compliance with the conditions through the approval date of the financial statements. See also Notes 6B and 13A(7).</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17 - INCOME TAXES (CONT.)</w:t>
      </w:r>
    </w:p>
    <w:p>
      <w:pPr>
        <w:spacing w:after="0" w:line="134" w:lineRule="exact"/>
        <w:rPr>
          <w:sz w:val="20"/>
          <w:szCs w:val="20"/>
          <w:color w:val="auto"/>
        </w:rPr>
      </w:pPr>
    </w:p>
    <w:p>
      <w:pPr>
        <w:ind w:left="700" w:hanging="357"/>
        <w:spacing w:after="0"/>
        <w:tabs>
          <w:tab w:leader="none" w:pos="700"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COMPONENTS OF DEFERRED TAX ASSET/LIABILITY</w:t>
      </w:r>
    </w:p>
    <w:p>
      <w:pPr>
        <w:spacing w:after="0" w:line="138" w:lineRule="exact"/>
        <w:rPr>
          <w:rFonts w:ascii="Courier New" w:cs="Courier New" w:eastAsia="Courier New" w:hAnsi="Courier New"/>
          <w:sz w:val="12"/>
          <w:szCs w:val="12"/>
          <w:color w:val="auto"/>
        </w:rPr>
      </w:pPr>
    </w:p>
    <w:p>
      <w:pPr>
        <w:ind w:left="700" w:right="50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is a summary of the components of the deferred tax benefit and liability reflected on the balance sheets as of the respective dates: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3920" w:type="dxa"/>
            <w:vAlign w:val="bottom"/>
          </w:tcPr>
          <w:p>
            <w:pPr>
              <w:spacing w:after="0"/>
              <w:rPr>
                <w:sz w:val="11"/>
                <w:szCs w:val="11"/>
                <w:color w:val="auto"/>
              </w:rPr>
            </w:pPr>
          </w:p>
        </w:tc>
        <w:tc>
          <w:tcPr>
            <w:tcW w:w="1840" w:type="dxa"/>
            <w:vAlign w:val="bottom"/>
            <w:gridSpan w:val="4"/>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2007</w:t>
            </w:r>
          </w:p>
        </w:tc>
        <w:tc>
          <w:tcPr>
            <w:tcW w:w="300" w:type="dxa"/>
            <w:vAlign w:val="bottom"/>
          </w:tcPr>
          <w:p>
            <w:pPr>
              <w:spacing w:after="0"/>
              <w:rPr>
                <w:sz w:val="11"/>
                <w:szCs w:val="11"/>
                <w:color w:val="auto"/>
              </w:rPr>
            </w:pPr>
          </w:p>
        </w:tc>
        <w:tc>
          <w:tcPr>
            <w:tcW w:w="5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920" w:type="dxa"/>
            <w:vAlign w:val="bottom"/>
          </w:tcPr>
          <w:p>
            <w:pPr>
              <w:spacing w:after="0"/>
              <w:rPr>
                <w:sz w:val="20"/>
                <w:szCs w:val="20"/>
                <w:color w:val="auto"/>
              </w:rPr>
            </w:pPr>
            <w:r>
              <w:rPr>
                <w:rFonts w:ascii="Courier New" w:cs="Courier New" w:eastAsia="Courier New" w:hAnsi="Courier New"/>
                <w:sz w:val="12"/>
                <w:szCs w:val="12"/>
                <w:color w:val="auto"/>
              </w:rPr>
              <w:t>DEFERRED TAX BENEFIT - CURRENT</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Amounts relating to employees benefits</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9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797</w:t>
            </w:r>
          </w:p>
        </w:tc>
        <w:tc>
          <w:tcPr>
            <w:tcW w:w="3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1,717</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220" w:type="dxa"/>
            <w:vAlign w:val="bottom"/>
          </w:tcPr>
          <w:p>
            <w:pPr>
              <w:spacing w:after="0"/>
              <w:rPr>
                <w:sz w:val="11"/>
                <w:szCs w:val="11"/>
                <w:color w:val="auto"/>
              </w:rPr>
            </w:pP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438</w:t>
            </w:r>
          </w:p>
        </w:tc>
        <w:tc>
          <w:tcPr>
            <w:tcW w:w="3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115</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1,235</w:t>
            </w:r>
          </w:p>
        </w:tc>
        <w:tc>
          <w:tcPr>
            <w:tcW w:w="3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1,832</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Valuation allowance</w:t>
            </w:r>
          </w:p>
        </w:tc>
        <w:tc>
          <w:tcPr>
            <w:tcW w:w="22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(1,235)</w:t>
            </w:r>
          </w:p>
        </w:tc>
        <w:tc>
          <w:tcPr>
            <w:tcW w:w="3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(1,832)</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Total current deferred tax benefit</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920" w:type="dxa"/>
            <w:vAlign w:val="bottom"/>
          </w:tcPr>
          <w:p>
            <w:pPr>
              <w:spacing w:after="0"/>
              <w:rPr>
                <w:sz w:val="20"/>
                <w:szCs w:val="20"/>
                <w:color w:val="auto"/>
              </w:rPr>
            </w:pPr>
            <w:r>
              <w:rPr>
                <w:rFonts w:ascii="Courier New" w:cs="Courier New" w:eastAsia="Courier New" w:hAnsi="Courier New"/>
                <w:sz w:val="12"/>
                <w:szCs w:val="12"/>
                <w:color w:val="auto"/>
              </w:rPr>
              <w:t>NET DEFERRED TAX BENEFIT - LONG-TERM</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Deferred tax assets -</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Net operating loss carryforwards</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$ 200,000</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$ 174,000</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Research and development</w:t>
            </w:r>
          </w:p>
        </w:tc>
        <w:tc>
          <w:tcPr>
            <w:tcW w:w="220" w:type="dxa"/>
            <w:vAlign w:val="bottom"/>
          </w:tcPr>
          <w:p>
            <w:pPr>
              <w:spacing w:after="0"/>
              <w:rPr>
                <w:sz w:val="11"/>
                <w:szCs w:val="11"/>
                <w:color w:val="auto"/>
              </w:rPr>
            </w:pP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1,851</w:t>
            </w:r>
          </w:p>
        </w:tc>
        <w:tc>
          <w:tcPr>
            <w:tcW w:w="3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2,063</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Liability for employee rights upon severance</w:t>
            </w:r>
          </w:p>
        </w:tc>
        <w:tc>
          <w:tcPr>
            <w:tcW w:w="220" w:type="dxa"/>
            <w:vAlign w:val="bottom"/>
          </w:tcPr>
          <w:p>
            <w:pPr>
              <w:spacing w:after="0"/>
              <w:rPr>
                <w:sz w:val="11"/>
                <w:szCs w:val="11"/>
                <w:color w:val="auto"/>
              </w:rPr>
            </w:pP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905</w:t>
            </w:r>
          </w:p>
        </w:tc>
        <w:tc>
          <w:tcPr>
            <w:tcW w:w="3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656</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202,756</w:t>
            </w:r>
          </w:p>
        </w:tc>
        <w:tc>
          <w:tcPr>
            <w:tcW w:w="3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176,719</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Valuation allowance</w:t>
            </w:r>
          </w:p>
        </w:tc>
        <w:tc>
          <w:tcPr>
            <w:tcW w:w="22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(151,844)</w:t>
            </w:r>
          </w:p>
        </w:tc>
        <w:tc>
          <w:tcPr>
            <w:tcW w:w="8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(128,707)</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50,912</w:t>
            </w:r>
          </w:p>
        </w:tc>
        <w:tc>
          <w:tcPr>
            <w:tcW w:w="3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48,012</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Deferred tax liability - depreciation and amortization</w:t>
            </w:r>
          </w:p>
        </w:tc>
        <w:tc>
          <w:tcPr>
            <w:tcW w:w="22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(50,912)</w:t>
            </w:r>
          </w:p>
        </w:tc>
        <w:tc>
          <w:tcPr>
            <w:tcW w:w="3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(48,012)</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Total net long-term deferred tax benefit</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hanging="357"/>
        <w:spacing w:after="0"/>
        <w:tabs>
          <w:tab w:leader="none" w:pos="700"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EFFECTIVE INCOME TAX RATES</w:t>
      </w:r>
    </w:p>
    <w:p>
      <w:pPr>
        <w:spacing w:after="0" w:line="138" w:lineRule="exact"/>
        <w:rPr>
          <w:rFonts w:ascii="Courier New" w:cs="Courier New" w:eastAsia="Courier New" w:hAnsi="Courier New"/>
          <w:sz w:val="12"/>
          <w:szCs w:val="12"/>
          <w:color w:val="auto"/>
        </w:rPr>
      </w:pPr>
    </w:p>
    <w:p>
      <w:pPr>
        <w:ind w:left="700" w:right="52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reconciliation of the statutory tax rate to the Company's effective tax rate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40" w:type="dxa"/>
            <w:vAlign w:val="bottom"/>
          </w:tcPr>
          <w:p>
            <w:pPr>
              <w:spacing w:after="0"/>
              <w:rPr>
                <w:sz w:val="11"/>
                <w:szCs w:val="11"/>
                <w:color w:val="auto"/>
              </w:rPr>
            </w:pPr>
          </w:p>
        </w:tc>
        <w:tc>
          <w:tcPr>
            <w:tcW w:w="2820" w:type="dxa"/>
            <w:vAlign w:val="bottom"/>
            <w:gridSpan w:val="3"/>
          </w:tcPr>
          <w:p>
            <w:pPr>
              <w:jc w:val="right"/>
              <w:ind w:right="501"/>
              <w:spacing w:after="0"/>
              <w:rPr>
                <w:sz w:val="20"/>
                <w:szCs w:val="20"/>
                <w:color w:val="auto"/>
              </w:rPr>
            </w:pPr>
            <w:r>
              <w:rPr>
                <w:rFonts w:ascii="Courier New" w:cs="Courier New" w:eastAsia="Courier New" w:hAnsi="Courier New"/>
                <w:sz w:val="12"/>
                <w:szCs w:val="12"/>
                <w:color w:val="auto"/>
              </w:rPr>
              <w:t>Year ended December 31,</w:t>
            </w:r>
          </w:p>
        </w:tc>
      </w:tr>
      <w:tr>
        <w:trPr>
          <w:trHeight w:val="135"/>
        </w:trPr>
        <w:tc>
          <w:tcPr>
            <w:tcW w:w="2940" w:type="dxa"/>
            <w:vAlign w:val="bottom"/>
          </w:tcPr>
          <w:p>
            <w:pPr>
              <w:spacing w:after="0"/>
              <w:rPr>
                <w:sz w:val="11"/>
                <w:szCs w:val="11"/>
                <w:color w:val="auto"/>
              </w:rPr>
            </w:pPr>
          </w:p>
        </w:tc>
        <w:tc>
          <w:tcPr>
            <w:tcW w:w="282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2007</w:t>
            </w:r>
          </w:p>
        </w:tc>
        <w:tc>
          <w:tcPr>
            <w:tcW w:w="9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2006</w:t>
            </w:r>
          </w:p>
        </w:tc>
        <w:tc>
          <w:tcPr>
            <w:tcW w:w="8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2940" w:type="dxa"/>
            <w:vAlign w:val="bottom"/>
          </w:tcPr>
          <w:p>
            <w:pPr>
              <w:spacing w:after="0"/>
              <w:rPr>
                <w:sz w:val="20"/>
                <w:szCs w:val="20"/>
                <w:color w:val="auto"/>
              </w:rPr>
            </w:pPr>
            <w:r>
              <w:rPr>
                <w:rFonts w:ascii="Courier New" w:cs="Courier New" w:eastAsia="Courier New" w:hAnsi="Courier New"/>
                <w:sz w:val="12"/>
                <w:szCs w:val="12"/>
                <w:color w:val="auto"/>
              </w:rPr>
              <w:t>Israeli statutory rate</w:t>
            </w:r>
          </w:p>
        </w:tc>
        <w:tc>
          <w:tcPr>
            <w:tcW w:w="9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(29)%</w:t>
            </w:r>
          </w:p>
        </w:tc>
        <w:tc>
          <w:tcPr>
            <w:tcW w:w="9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(31)%</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(34)%</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Reduced tax rate for approved enterprise</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9</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11</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Tax benefits for which deferred taxes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were not recorded</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17</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21</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Permanent differences and other, net</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hanging="357"/>
        <w:spacing w:after="0"/>
        <w:tabs>
          <w:tab w:leader="none" w:pos="700"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OPERATING LOSS CARRYFORWARD</w:t>
      </w:r>
    </w:p>
    <w:p>
      <w:pPr>
        <w:spacing w:after="0" w:line="138"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of December 31, 2007, the Company had net operating loss carryforwards for tax purposes of approximately $1,000,000, which may be carried forward for an unlimited period of time.</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17 - INCOME TAXES (CONT.)</w:t>
      </w:r>
    </w:p>
    <w:p>
      <w:pPr>
        <w:spacing w:after="0" w:line="134" w:lineRule="exact"/>
        <w:rPr>
          <w:sz w:val="20"/>
          <w:szCs w:val="20"/>
          <w:color w:val="auto"/>
        </w:rPr>
      </w:pPr>
    </w:p>
    <w:p>
      <w:pPr>
        <w:ind w:left="340"/>
        <w:spacing w:after="0"/>
        <w:tabs>
          <w:tab w:leader="none" w:pos="680" w:val="left"/>
        </w:tabs>
        <w:rPr>
          <w:sz w:val="20"/>
          <w:szCs w:val="20"/>
          <w:color w:val="auto"/>
        </w:rPr>
      </w:pPr>
      <w:r>
        <w:rPr>
          <w:rFonts w:ascii="Courier New" w:cs="Courier New" w:eastAsia="Courier New" w:hAnsi="Courier New"/>
          <w:sz w:val="12"/>
          <w:szCs w:val="12"/>
          <w:color w:val="auto"/>
        </w:rPr>
        <w:t>E.</w:t>
      </w:r>
      <w:r>
        <w:rPr>
          <w:sz w:val="20"/>
          <w:szCs w:val="20"/>
          <w:color w:val="auto"/>
        </w:rPr>
        <w:tab/>
      </w:r>
      <w:r>
        <w:rPr>
          <w:rFonts w:ascii="Courier New" w:cs="Courier New" w:eastAsia="Courier New" w:hAnsi="Courier New"/>
          <w:sz w:val="12"/>
          <w:szCs w:val="12"/>
          <w:color w:val="auto"/>
        </w:rPr>
        <w:t>FINAL TAX ASSESSMENTS</w:t>
      </w:r>
    </w:p>
    <w:p>
      <w:pPr>
        <w:sectPr>
          <w:pgSz w:w="11900" w:h="16838" w:orient="portrait"/>
          <w:cols w:equalWidth="0" w:num="1">
            <w:col w:w="10239"/>
          </w:cols>
          <w:pgMar w:left="220" w:top="137" w:right="1440" w:bottom="0" w:gutter="0" w:footer="0" w:header="0"/>
        </w:sectPr>
      </w:pPr>
    </w:p>
    <w:bookmarkStart w:id="28" w:name="page29"/>
    <w:bookmarkEnd w:id="28"/>
    <w:p>
      <w:pPr>
        <w:ind w:left="700"/>
        <w:spacing w:after="0"/>
        <w:rPr>
          <w:sz w:val="20"/>
          <w:szCs w:val="20"/>
          <w:color w:val="auto"/>
        </w:rPr>
      </w:pPr>
      <w:r>
        <w:rPr>
          <w:rFonts w:ascii="Courier New" w:cs="Courier New" w:eastAsia="Courier New" w:hAnsi="Courier New"/>
          <w:sz w:val="12"/>
          <w:szCs w:val="12"/>
          <w:color w:val="auto"/>
        </w:rPr>
        <w:t>The Company possesses final tax assessments through the year 1998. In</w:t>
      </w:r>
    </w:p>
    <w:p>
      <w:pPr>
        <w:ind w:left="700"/>
        <w:spacing w:after="0"/>
        <w:rPr>
          <w:sz w:val="20"/>
          <w:szCs w:val="20"/>
          <w:color w:val="auto"/>
        </w:rPr>
      </w:pPr>
      <w:r>
        <w:rPr>
          <w:rFonts w:ascii="Courier New" w:cs="Courier New" w:eastAsia="Courier New" w:hAnsi="Courier New"/>
          <w:sz w:val="12"/>
          <w:szCs w:val="12"/>
          <w:color w:val="auto"/>
        </w:rPr>
        <w:t>addition, the tax assessments for the years 1999-2003 are deemed</w:t>
      </w:r>
    </w:p>
    <w:p>
      <w:pPr>
        <w:ind w:left="700"/>
        <w:spacing w:after="0" w:line="237" w:lineRule="auto"/>
        <w:rPr>
          <w:sz w:val="20"/>
          <w:szCs w:val="20"/>
          <w:color w:val="auto"/>
        </w:rPr>
      </w:pPr>
      <w:r>
        <w:rPr>
          <w:rFonts w:ascii="Courier New" w:cs="Courier New" w:eastAsia="Courier New" w:hAnsi="Courier New"/>
          <w:sz w:val="12"/>
          <w:szCs w:val="12"/>
          <w:color w:val="auto"/>
        </w:rPr>
        <w:t>final.</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18 - RELATED PARTIES BALANCES AND TRANSACTIONS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0" w:type="dxa"/>
            <w:vAlign w:val="bottom"/>
          </w:tcPr>
          <w:p>
            <w:pPr>
              <w:ind w:left="340"/>
              <w:spacing w:after="0"/>
              <w:rPr>
                <w:sz w:val="20"/>
                <w:szCs w:val="20"/>
                <w:color w:val="auto"/>
              </w:rPr>
            </w:pPr>
            <w:r>
              <w:rPr>
                <w:rFonts w:ascii="Courier New" w:cs="Courier New" w:eastAsia="Courier New" w:hAnsi="Courier New"/>
                <w:sz w:val="12"/>
                <w:szCs w:val="12"/>
                <w:color w:val="auto"/>
              </w:rPr>
              <w:t>A.</w:t>
            </w:r>
          </w:p>
        </w:tc>
        <w:tc>
          <w:tcPr>
            <w:tcW w:w="2440" w:type="dxa"/>
            <w:vAlign w:val="bottom"/>
          </w:tcPr>
          <w:p>
            <w:pPr>
              <w:ind w:left="120"/>
              <w:spacing w:after="0"/>
              <w:rPr>
                <w:sz w:val="20"/>
                <w:szCs w:val="20"/>
                <w:color w:val="auto"/>
              </w:rPr>
            </w:pPr>
            <w:r>
              <w:rPr>
                <w:rFonts w:ascii="Courier New" w:cs="Courier New" w:eastAsia="Courier New" w:hAnsi="Courier New"/>
                <w:sz w:val="12"/>
                <w:szCs w:val="12"/>
                <w:color w:val="auto"/>
              </w:rPr>
              <w:t>BALANCES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70"/>
        </w:trPr>
        <w:tc>
          <w:tcPr>
            <w:tcW w:w="5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3"/>
          </w:tcPr>
          <w:p>
            <w:pPr>
              <w:jc w:val="right"/>
              <w:ind w:right="21"/>
              <w:spacing w:after="0"/>
              <w:rPr>
                <w:sz w:val="20"/>
                <w:szCs w:val="20"/>
                <w:color w:val="auto"/>
              </w:rPr>
            </w:pPr>
            <w:r>
              <w:rPr>
                <w:rFonts w:ascii="Courier New" w:cs="Courier New" w:eastAsia="Courier New" w:hAnsi="Courier New"/>
                <w:sz w:val="12"/>
                <w:szCs w:val="12"/>
                <w:color w:val="auto"/>
                <w:w w:val="95"/>
              </w:rPr>
              <w:t>As of December 31,</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2007</w:t>
            </w:r>
          </w:p>
        </w:tc>
        <w:tc>
          <w:tcPr>
            <w:tcW w:w="400" w:type="dxa"/>
            <w:vAlign w:val="bottom"/>
          </w:tcPr>
          <w:p>
            <w:pPr>
              <w:spacing w:after="0"/>
              <w:rPr>
                <w:sz w:val="11"/>
                <w:szCs w:val="11"/>
                <w:color w:val="auto"/>
              </w:rPr>
            </w:pPr>
          </w:p>
        </w:tc>
        <w:tc>
          <w:tcPr>
            <w:tcW w:w="4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Trade accounts receivable</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$ 12,823</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$ 13,625</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Long-term investment</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950</w:t>
            </w: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480" w:type="dxa"/>
            <w:vAlign w:val="bottom"/>
            <w:gridSpan w:val="6"/>
          </w:tcPr>
          <w:p>
            <w:pPr>
              <w:spacing w:after="0"/>
              <w:rPr>
                <w:sz w:val="20"/>
                <w:szCs w:val="20"/>
                <w:color w:val="auto"/>
              </w:rPr>
            </w:pPr>
            <w:r>
              <w:rPr>
                <w:rFonts w:ascii="Courier New" w:cs="Courier New" w:eastAsia="Courier New" w:hAnsi="Courier New"/>
                <w:sz w:val="12"/>
                <w:szCs w:val="12"/>
                <w:color w:val="auto"/>
              </w:rPr>
              <w:t>Current liabilities, including current maturity of long-term</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rPr>
              <w:t>loans</w:t>
            </w: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7,459</w:t>
            </w: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5,895</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Convertible debentures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$ 24,500</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$ 24,500</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20" w:type="dxa"/>
            <w:vAlign w:val="bottom"/>
            <w:gridSpan w:val="4"/>
          </w:tcPr>
          <w:p>
            <w:pPr>
              <w:spacing w:after="0"/>
              <w:rPr>
                <w:sz w:val="20"/>
                <w:szCs w:val="20"/>
                <w:color w:val="auto"/>
              </w:rPr>
            </w:pPr>
            <w:r>
              <w:rPr>
                <w:rFonts w:ascii="Courier New" w:cs="Courier New" w:eastAsia="Courier New" w:hAnsi="Courier New"/>
                <w:sz w:val="12"/>
                <w:szCs w:val="12"/>
                <w:color w:val="auto"/>
                <w:w w:val="99"/>
              </w:rPr>
              <w:t>Long-term liability in respect of customers' advances</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9,922</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$ 27,340</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480" w:type="dxa"/>
            <w:vAlign w:val="bottom"/>
            <w:gridSpan w:val="6"/>
          </w:tcPr>
          <w:p>
            <w:pPr>
              <w:spacing w:after="0"/>
              <w:rPr>
                <w:sz w:val="20"/>
                <w:szCs w:val="20"/>
                <w:color w:val="auto"/>
              </w:rPr>
            </w:pPr>
            <w:r>
              <w:rPr>
                <w:rFonts w:ascii="Courier New" w:cs="Courier New" w:eastAsia="Courier New" w:hAnsi="Courier New"/>
                <w:sz w:val="12"/>
                <w:szCs w:val="12"/>
                <w:color w:val="auto"/>
              </w:rPr>
              <w:t>Other long-term liabilities, including long-term loans from</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related parties, net of current maturity</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$ 21,541</w:t>
            </w: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9,279</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Capital note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$100,000</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$100,000</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580" w:type="dxa"/>
            <w:vAlign w:val="bottom"/>
          </w:tcPr>
          <w:p>
            <w:pPr>
              <w:ind w:left="340"/>
              <w:spacing w:after="0"/>
              <w:rPr>
                <w:sz w:val="20"/>
                <w:szCs w:val="20"/>
                <w:color w:val="auto"/>
              </w:rPr>
            </w:pPr>
            <w:r>
              <w:rPr>
                <w:rFonts w:ascii="Courier New" w:cs="Courier New" w:eastAsia="Courier New" w:hAnsi="Courier New"/>
                <w:sz w:val="12"/>
                <w:szCs w:val="12"/>
                <w:color w:val="auto"/>
              </w:rPr>
              <w:t>B.</w:t>
            </w:r>
          </w:p>
        </w:tc>
        <w:tc>
          <w:tcPr>
            <w:tcW w:w="2440" w:type="dxa"/>
            <w:vAlign w:val="bottom"/>
          </w:tcPr>
          <w:p>
            <w:pPr>
              <w:ind w:left="120"/>
              <w:spacing w:after="0"/>
              <w:rPr>
                <w:sz w:val="20"/>
                <w:szCs w:val="20"/>
                <w:color w:val="auto"/>
              </w:rPr>
            </w:pPr>
            <w:r>
              <w:rPr>
                <w:rFonts w:ascii="Courier New" w:cs="Courier New" w:eastAsia="Courier New" w:hAnsi="Courier New"/>
                <w:sz w:val="12"/>
                <w:szCs w:val="12"/>
                <w:color w:val="auto"/>
              </w:rPr>
              <w:t>TRANSACTION</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5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00" w:type="dxa"/>
            <w:vAlign w:val="bottom"/>
            <w:gridSpan w:val="5"/>
          </w:tcPr>
          <w:p>
            <w:pPr>
              <w:jc w:val="right"/>
              <w:ind w:right="181"/>
              <w:spacing w:after="0"/>
              <w:rPr>
                <w:sz w:val="20"/>
                <w:szCs w:val="20"/>
                <w:color w:val="auto"/>
              </w:rPr>
            </w:pPr>
            <w:r>
              <w:rPr>
                <w:rFonts w:ascii="Courier New" w:cs="Courier New" w:eastAsia="Courier New" w:hAnsi="Courier New"/>
                <w:sz w:val="12"/>
                <w:szCs w:val="12"/>
                <w:color w:val="auto"/>
              </w:rPr>
              <w:t>As of December 31,</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460" w:type="dxa"/>
            <w:vAlign w:val="bottom"/>
            <w:gridSpan w:val="7"/>
          </w:tcPr>
          <w:p>
            <w:pPr>
              <w:jc w:val="right"/>
              <w:ind w:right="81"/>
              <w:spacing w:after="0"/>
              <w:rPr>
                <w:sz w:val="20"/>
                <w:szCs w:val="20"/>
                <w:color w:val="auto"/>
              </w:rPr>
            </w:pPr>
            <w:r>
              <w:rPr>
                <w:rFonts w:ascii="Courier New" w:cs="Courier New" w:eastAsia="Courier New" w:hAnsi="Courier New"/>
                <w:sz w:val="12"/>
                <w:szCs w:val="12"/>
                <w:color w:val="auto"/>
                <w:w w:val="99"/>
              </w:rPr>
              <w:t>--------------------------------</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2007</w:t>
            </w:r>
          </w:p>
        </w:tc>
        <w:tc>
          <w:tcPr>
            <w:tcW w:w="220" w:type="dxa"/>
            <w:vAlign w:val="bottom"/>
          </w:tcPr>
          <w:p>
            <w:pPr>
              <w:spacing w:after="0"/>
              <w:rPr>
                <w:sz w:val="11"/>
                <w:szCs w:val="11"/>
                <w:color w:val="auto"/>
              </w:rPr>
            </w:pPr>
          </w:p>
        </w:tc>
        <w:tc>
          <w:tcPr>
            <w:tcW w:w="44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7"/>
              </w:rPr>
              <w:t>2006</w:t>
            </w:r>
          </w:p>
        </w:tc>
        <w:tc>
          <w:tcPr>
            <w:tcW w:w="80" w:type="dxa"/>
            <w:vAlign w:val="bottom"/>
          </w:tcPr>
          <w:p>
            <w:pPr>
              <w:spacing w:after="0"/>
              <w:rPr>
                <w:sz w:val="11"/>
                <w:szCs w:val="11"/>
                <w:color w:val="auto"/>
              </w:rPr>
            </w:pPr>
          </w:p>
        </w:tc>
        <w:tc>
          <w:tcPr>
            <w:tcW w:w="9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2005</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Revenue</w:t>
            </w:r>
          </w:p>
        </w:tc>
        <w:tc>
          <w:tcPr>
            <w:tcW w:w="2440" w:type="dxa"/>
            <w:vAlign w:val="bottom"/>
          </w:tcPr>
          <w:p>
            <w:pPr>
              <w:spacing w:after="0"/>
              <w:rPr>
                <w:sz w:val="23"/>
                <w:szCs w:val="23"/>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$ 78,870</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$ 64,055</w:t>
            </w:r>
          </w:p>
        </w:tc>
        <w:tc>
          <w:tcPr>
            <w:tcW w:w="80" w:type="dxa"/>
            <w:vAlign w:val="bottom"/>
          </w:tcPr>
          <w:p>
            <w:pPr>
              <w:spacing w:after="0"/>
              <w:rPr>
                <w:sz w:val="23"/>
                <w:szCs w:val="23"/>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$ 33,456</w:t>
            </w:r>
          </w:p>
        </w:tc>
        <w:tc>
          <w:tcPr>
            <w:tcW w:w="420" w:type="dxa"/>
            <w:vAlign w:val="bottom"/>
          </w:tcPr>
          <w:p>
            <w:pPr>
              <w:spacing w:after="0"/>
              <w:rPr>
                <w:sz w:val="23"/>
                <w:szCs w:val="23"/>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Interest on loans and debentures</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2,252</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1,632</w:t>
            </w:r>
          </w:p>
        </w:tc>
        <w:tc>
          <w:tcPr>
            <w:tcW w:w="80" w:type="dxa"/>
            <w:vAlign w:val="bottom"/>
          </w:tcPr>
          <w:p>
            <w:pPr>
              <w:spacing w:after="0"/>
              <w:rPr>
                <w:sz w:val="11"/>
                <w:szCs w:val="11"/>
                <w:color w:val="auto"/>
              </w:rPr>
            </w:pPr>
          </w:p>
        </w:tc>
        <w:tc>
          <w:tcPr>
            <w:tcW w:w="5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60</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Expenses paid</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289</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46</w:t>
            </w:r>
          </w:p>
        </w:tc>
        <w:tc>
          <w:tcPr>
            <w:tcW w:w="80" w:type="dxa"/>
            <w:vAlign w:val="bottom"/>
          </w:tcPr>
          <w:p>
            <w:pPr>
              <w:spacing w:after="0"/>
              <w:rPr>
                <w:sz w:val="11"/>
                <w:szCs w:val="11"/>
                <w:color w:val="auto"/>
              </w:rPr>
            </w:pPr>
          </w:p>
        </w:tc>
        <w:tc>
          <w:tcPr>
            <w:tcW w:w="5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47</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Equity conversion of customer advances -</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see Note 13A(5)</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6,414</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7,621</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  1,794</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Conversion of customer advances into</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Long-term loans - see Note 13A(5)</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1,258</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2,823</w:t>
            </w:r>
          </w:p>
        </w:tc>
        <w:tc>
          <w:tcPr>
            <w:tcW w:w="80" w:type="dxa"/>
            <w:vAlign w:val="bottom"/>
          </w:tcPr>
          <w:p>
            <w:pPr>
              <w:spacing w:after="0"/>
              <w:rPr>
                <w:sz w:val="11"/>
                <w:szCs w:val="11"/>
                <w:color w:val="auto"/>
              </w:rPr>
            </w:pPr>
          </w:p>
        </w:tc>
        <w:tc>
          <w:tcPr>
            <w:tcW w:w="5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936</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Long-term loan received</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$ 14,000</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9,705</w:t>
            </w:r>
          </w:p>
        </w:tc>
        <w:tc>
          <w:tcPr>
            <w:tcW w:w="80" w:type="dxa"/>
            <w:vAlign w:val="bottom"/>
          </w:tcPr>
          <w:p>
            <w:pPr>
              <w:spacing w:after="0"/>
              <w:rPr>
                <w:sz w:val="11"/>
                <w:szCs w:val="11"/>
                <w:color w:val="auto"/>
              </w:rPr>
            </w:pPr>
          </w:p>
        </w:tc>
        <w:tc>
          <w:tcPr>
            <w:tcW w:w="5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Loans repayment</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2,974</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w w:val="99"/>
              </w:rPr>
              <w:t>Stock-based compensation - see Note 14B(5)</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723</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bl>
    <w:p>
      <w:pPr>
        <w:spacing w:after="0" w:line="139" w:lineRule="exact"/>
        <w:rPr>
          <w:sz w:val="20"/>
          <w:szCs w:val="20"/>
          <w:color w:val="auto"/>
        </w:rPr>
      </w:pPr>
    </w:p>
    <w:p>
      <w:pPr>
        <w:ind w:left="700" w:right="4619" w:hanging="357"/>
        <w:spacing w:after="0" w:line="235" w:lineRule="auto"/>
        <w:tabs>
          <w:tab w:leader="none" w:pos="700"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commitments, contingencies and other transaction relating to Fab 2 Wafer Partner and Equity Investor agreements, see Note 13A.</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- 55</w:t>
      </w:r>
    </w:p>
    <w:p>
      <w:pPr>
        <w:sectPr>
          <w:pgSz w:w="11900" w:h="16838" w:orient="portrait"/>
          <w:cols w:equalWidth="0" w:num="1">
            <w:col w:w="10239"/>
          </w:cols>
          <w:pgMar w:left="220" w:top="137" w:right="1440" w:bottom="1440" w:gutter="0" w:footer="0" w:header="0"/>
        </w:sectPr>
      </w:pPr>
    </w:p>
    <w:bookmarkStart w:id="29" w:name="page30"/>
    <w:bookmarkEnd w:id="29"/>
    <w:p>
      <w:pPr>
        <w:jc w:val="center"/>
        <w:ind w:right="-140"/>
        <w:spacing w:after="0"/>
        <w:rPr>
          <w:sz w:val="20"/>
          <w:szCs w:val="20"/>
          <w:color w:val="auto"/>
        </w:rPr>
      </w:pPr>
      <w:r>
        <w:rPr>
          <w:rFonts w:ascii="Courier New" w:cs="Courier New" w:eastAsia="Courier New" w:hAnsi="Courier New"/>
          <w:sz w:val="11"/>
          <w:szCs w:val="11"/>
          <w:color w:val="auto"/>
        </w:rPr>
        <w:t>EXHIBIT 99.2</w:t>
      </w:r>
    </w:p>
    <w:p>
      <w:pPr>
        <w:spacing w:after="0" w:line="141"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MANAGEMENT'S DISCUSSION AND ANALYSIS OF FINANCIAL</w:t>
      </w:r>
    </w:p>
    <w:p>
      <w:pPr>
        <w:spacing w:after="0" w:line="134"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CONDITION AND RESULTS OF OPERATIONS</w:t>
      </w:r>
    </w:p>
    <w:p>
      <w:pPr>
        <w:spacing w:after="0" w:line="139" w:lineRule="exact"/>
        <w:rPr>
          <w:sz w:val="20"/>
          <w:szCs w:val="20"/>
          <w:color w:val="auto"/>
        </w:rPr>
      </w:pPr>
    </w:p>
    <w:p>
      <w:pPr>
        <w:ind w:right="4619"/>
        <w:spacing w:after="0" w:line="264" w:lineRule="auto"/>
        <w:rPr>
          <w:sz w:val="20"/>
          <w:szCs w:val="20"/>
          <w:color w:val="auto"/>
        </w:rPr>
      </w:pPr>
      <w:r>
        <w:rPr>
          <w:rFonts w:ascii="Courier New" w:cs="Courier New" w:eastAsia="Courier New" w:hAnsi="Courier New"/>
          <w:sz w:val="11"/>
          <w:szCs w:val="11"/>
          <w:color w:val="auto"/>
        </w:rPr>
        <w:t>THE INFORMATION CONTAINED IN THIS SECTION SHOULD BE READ IN CONJUNCTION WITH OUR CONSOLIDATED FINANCIAL STATEMENTS AS OF DECEMBER 31, 2007 AND RELATED NOTES FOR THE YEAR THEN ENDED. OUR FINANCIAL STATEMENTS HAVE BEEN PREPARED IN ACCORDANCE WITH GENERALLY ACCEPTED ACCOUNTING PRINCIPLES IN UNITED STATES ("US GAAP").</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TRANSITION TO U.S. GAAP</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Beginning fourth quarter of 2007, the Company elected to present its financial statements in accordance with U.S. GAAP. The Company elected to use U.S. GAAP to increase transparency and comparability of the Company's financial reports and facilitate research and analysis by shareholders, analysts and other participants in the U.S. capital markets.</w:t>
      </w:r>
    </w:p>
    <w:p>
      <w:pPr>
        <w:spacing w:after="0" w:line="139" w:lineRule="exact"/>
        <w:rPr>
          <w:sz w:val="20"/>
          <w:szCs w:val="20"/>
          <w:color w:val="auto"/>
        </w:rPr>
      </w:pPr>
    </w:p>
    <w:p>
      <w:pPr>
        <w:ind w:right="4699"/>
        <w:spacing w:after="0" w:line="261" w:lineRule="auto"/>
        <w:rPr>
          <w:sz w:val="20"/>
          <w:szCs w:val="20"/>
          <w:color w:val="auto"/>
        </w:rPr>
      </w:pPr>
      <w:r>
        <w:rPr>
          <w:rFonts w:ascii="Courier New" w:cs="Courier New" w:eastAsia="Courier New" w:hAnsi="Courier New"/>
          <w:sz w:val="11"/>
          <w:szCs w:val="11"/>
          <w:color w:val="auto"/>
        </w:rPr>
        <w:t>Commencing January 1, 2008 Israeli GAAP is no longer an alternative and can not be used by public companies. Israel Accounting Standard 29 stipulates that Israeli public companies that previously reported their financial results based on Israeli GAAP must begin to report their financial results in accordance with International Financial Reporting Standards, or IFRS, for periods beginning on or after January 1, 2008. However, Israeli public companies that are listed in the U.S. may elect to report using either U.S. GAAP or IFRS. We decided on the change prior to the required deadline due to the importance of the year-end reporting and our belief that this would be the best transition point.</w:t>
      </w:r>
    </w:p>
    <w:p>
      <w:pPr>
        <w:spacing w:after="0" w:line="131"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The Company recasted the comparative amounts included in its financial statements and in this report to US GAAP. In prior years the Company prepared its financial reports in accordance with generally accepted accounting principles in Israel ("IL GAAP") and provided reconciliation to US GAAP in the notes to the financial statements.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RESULTS OF OPERATIONS</w:t>
      </w:r>
    </w:p>
    <w:p>
      <w:pPr>
        <w:spacing w:after="0" w:line="139" w:lineRule="exact"/>
        <w:rPr>
          <w:sz w:val="20"/>
          <w:szCs w:val="20"/>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The following table sets forth certain statement of operations data as a percentage of total revenues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840" w:type="dxa"/>
            <w:vAlign w:val="bottom"/>
          </w:tcPr>
          <w:p>
            <w:pPr>
              <w:spacing w:after="0"/>
              <w:rPr>
                <w:sz w:val="11"/>
                <w:szCs w:val="11"/>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YEAR ENDED DECEMBER 31,</w:t>
            </w:r>
          </w:p>
        </w:tc>
      </w:tr>
      <w:tr>
        <w:trPr>
          <w:trHeight w:val="135"/>
        </w:trPr>
        <w:tc>
          <w:tcPr>
            <w:tcW w:w="2840" w:type="dxa"/>
            <w:vAlign w:val="bottom"/>
          </w:tcPr>
          <w:p>
            <w:pPr>
              <w:spacing w:after="0"/>
              <w:rPr>
                <w:sz w:val="11"/>
                <w:szCs w:val="11"/>
                <w:color w:val="auto"/>
              </w:rPr>
            </w:pPr>
          </w:p>
        </w:tc>
        <w:tc>
          <w:tcPr>
            <w:tcW w:w="17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840" w:type="dxa"/>
            <w:vAlign w:val="bottom"/>
          </w:tcPr>
          <w:p>
            <w:pPr>
              <w:spacing w:after="0"/>
              <w:rPr>
                <w:sz w:val="11"/>
                <w:szCs w:val="11"/>
                <w:color w:val="auto"/>
              </w:rPr>
            </w:pPr>
          </w:p>
        </w:tc>
        <w:tc>
          <w:tcPr>
            <w:tcW w:w="106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2007</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2840" w:type="dxa"/>
            <w:vAlign w:val="bottom"/>
          </w:tcPr>
          <w:p>
            <w:pPr>
              <w:spacing w:after="0"/>
              <w:rPr>
                <w:sz w:val="11"/>
                <w:szCs w:val="11"/>
                <w:color w:val="auto"/>
              </w:rPr>
            </w:pPr>
          </w:p>
        </w:tc>
        <w:tc>
          <w:tcPr>
            <w:tcW w:w="106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2840" w:type="dxa"/>
            <w:vAlign w:val="bottom"/>
          </w:tcPr>
          <w:p>
            <w:pPr>
              <w:spacing w:after="0"/>
              <w:rPr>
                <w:sz w:val="20"/>
                <w:szCs w:val="20"/>
                <w:color w:val="auto"/>
              </w:rPr>
            </w:pPr>
            <w:r>
              <w:rPr>
                <w:rFonts w:ascii="Courier New" w:cs="Courier New" w:eastAsia="Courier New" w:hAnsi="Courier New"/>
                <w:sz w:val="12"/>
                <w:szCs w:val="12"/>
                <w:color w:val="auto"/>
              </w:rPr>
              <w:t>STATEMENT OF OPERATIONS DATA:</w:t>
            </w: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Total revenues</w:t>
            </w:r>
          </w:p>
        </w:tc>
        <w:tc>
          <w:tcPr>
            <w:tcW w:w="10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100%</w:t>
            </w: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100%</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Cost of total revenues</w:t>
            </w:r>
          </w:p>
        </w:tc>
        <w:tc>
          <w:tcPr>
            <w:tcW w:w="106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123.4</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142.7</w:t>
            </w:r>
          </w:p>
        </w:tc>
      </w:tr>
      <w:tr>
        <w:trPr>
          <w:trHeight w:val="135"/>
        </w:trPr>
        <w:tc>
          <w:tcPr>
            <w:tcW w:w="2840" w:type="dxa"/>
            <w:vAlign w:val="bottom"/>
          </w:tcPr>
          <w:p>
            <w:pPr>
              <w:spacing w:after="0"/>
              <w:rPr>
                <w:sz w:val="11"/>
                <w:szCs w:val="11"/>
                <w:color w:val="auto"/>
              </w:rPr>
            </w:pPr>
          </w:p>
        </w:tc>
        <w:tc>
          <w:tcPr>
            <w:tcW w:w="106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Gross loss</w:t>
            </w:r>
          </w:p>
        </w:tc>
        <w:tc>
          <w:tcPr>
            <w:tcW w:w="10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(23.4)</w:t>
            </w: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(42.7)</w:t>
            </w:r>
          </w:p>
        </w:tc>
      </w:tr>
      <w:tr>
        <w:trPr>
          <w:trHeight w:val="405"/>
        </w:trPr>
        <w:tc>
          <w:tcPr>
            <w:tcW w:w="2840" w:type="dxa"/>
            <w:vAlign w:val="bottom"/>
          </w:tcPr>
          <w:p>
            <w:pPr>
              <w:spacing w:after="0"/>
              <w:rPr>
                <w:sz w:val="20"/>
                <w:szCs w:val="20"/>
                <w:color w:val="auto"/>
              </w:rPr>
            </w:pPr>
            <w:r>
              <w:rPr>
                <w:rFonts w:ascii="Courier New" w:cs="Courier New" w:eastAsia="Courier New" w:hAnsi="Courier New"/>
                <w:sz w:val="12"/>
                <w:szCs w:val="12"/>
                <w:color w:val="auto"/>
              </w:rPr>
              <w:t>Research and development expenses, net</w:t>
            </w:r>
          </w:p>
        </w:tc>
        <w:tc>
          <w:tcPr>
            <w:tcW w:w="106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6.0</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8.0</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Marketing, general and administrative</w:t>
            </w: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expenses</w:t>
            </w:r>
          </w:p>
        </w:tc>
        <w:tc>
          <w:tcPr>
            <w:tcW w:w="106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13.7</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13.8</w:t>
            </w:r>
          </w:p>
        </w:tc>
      </w:tr>
      <w:tr>
        <w:trPr>
          <w:trHeight w:val="135"/>
        </w:trPr>
        <w:tc>
          <w:tcPr>
            <w:tcW w:w="2840" w:type="dxa"/>
            <w:vAlign w:val="bottom"/>
          </w:tcPr>
          <w:p>
            <w:pPr>
              <w:spacing w:after="0"/>
              <w:rPr>
                <w:sz w:val="11"/>
                <w:szCs w:val="11"/>
                <w:color w:val="auto"/>
              </w:rPr>
            </w:pPr>
          </w:p>
        </w:tc>
        <w:tc>
          <w:tcPr>
            <w:tcW w:w="106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Operating loss</w:t>
            </w:r>
          </w:p>
        </w:tc>
        <w:tc>
          <w:tcPr>
            <w:tcW w:w="10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(43.0)</w:t>
            </w: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(64.5)</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10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(15.2)</w:t>
            </w: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(25.4)</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106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0.0</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0.3</w:t>
            </w:r>
          </w:p>
        </w:tc>
      </w:tr>
      <w:tr>
        <w:trPr>
          <w:trHeight w:val="135"/>
        </w:trPr>
        <w:tc>
          <w:tcPr>
            <w:tcW w:w="2840" w:type="dxa"/>
            <w:vAlign w:val="bottom"/>
          </w:tcPr>
          <w:p>
            <w:pPr>
              <w:spacing w:after="0"/>
              <w:rPr>
                <w:sz w:val="11"/>
                <w:szCs w:val="11"/>
                <w:color w:val="auto"/>
              </w:rPr>
            </w:pPr>
          </w:p>
        </w:tc>
        <w:tc>
          <w:tcPr>
            <w:tcW w:w="106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840" w:type="dxa"/>
            <w:vAlign w:val="bottom"/>
          </w:tcPr>
          <w:p>
            <w:pPr>
              <w:spacing w:after="0"/>
              <w:rPr>
                <w:sz w:val="20"/>
                <w:szCs w:val="20"/>
                <w:color w:val="auto"/>
              </w:rPr>
            </w:pPr>
            <w:r>
              <w:rPr>
                <w:rFonts w:ascii="Courier New" w:cs="Courier New" w:eastAsia="Courier New" w:hAnsi="Courier New"/>
                <w:sz w:val="12"/>
                <w:szCs w:val="12"/>
                <w:color w:val="auto"/>
              </w:rPr>
              <w:t>Loss</w:t>
            </w:r>
          </w:p>
        </w:tc>
        <w:tc>
          <w:tcPr>
            <w:tcW w:w="10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(58.1)%</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(89.6)%</w:t>
            </w:r>
          </w:p>
        </w:tc>
      </w:tr>
      <w:tr>
        <w:trPr>
          <w:trHeight w:val="135"/>
        </w:trPr>
        <w:tc>
          <w:tcPr>
            <w:tcW w:w="2840" w:type="dxa"/>
            <w:vAlign w:val="bottom"/>
          </w:tcPr>
          <w:p>
            <w:pPr>
              <w:spacing w:after="0"/>
              <w:rPr>
                <w:sz w:val="11"/>
                <w:szCs w:val="11"/>
                <w:color w:val="auto"/>
              </w:rPr>
            </w:pPr>
          </w:p>
        </w:tc>
        <w:tc>
          <w:tcPr>
            <w:tcW w:w="106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YEAR ENDED DECEMBER 31, 2007 COMPARED TO YEAR ENDED DECEMBER 31, 2006</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REVENUES. Revenues for the year ended December 31, 2007 increased by 23.2% to $230.9 million from $187.4 million for the year ended December 31, 2006. This $43.4 million increase was mainly attributable to a higher volume of wafer shipments.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COST OF TOTAL SALES. Cost of total sales for the year ended December 31, 2007 amounted to $284.8 million, compared with $267.5 million for the year ended December 31, 2006. This increase of 6.4% in cost of sales, which is relatively low in relation to the 23.2% increase in sales, was mainly achieved due to the Company's cost structure, according to which the Company has reasonable margins for each incremental dollar of revenue and a reduction in depreciation and amortization expenses, as described below. During the second quarter of 2007, the Company reassessed the estimated useful lives of its machinery and equipment and as a result, with effect from April 1, 2007, the Company's machinery and equipment is to be depreciated over estimated useful lives of 7 years rather than 5 years prior to such date. The change reflects the Company's best estimate of the useful lives of its machinery and equipment and is based on experience accumulated from Fab 1 and recent trends in industry practices. The Company believes that the change better reflects the economics associated with the ownership of the equipment. This change has been accounted for as a change in estimate and is applied prospectively. Total depreciation and amortization expenses included in Cost of Total Sales was approximately $137 million for the year ended December 31, 2007, as compared to approximately $155 million for the year ended December 31, 2006. Said reduction was mainly attributed to the aforementioned change.</w:t>
      </w:r>
    </w:p>
    <w:p>
      <w:pPr>
        <w:spacing w:after="0" w:line="141" w:lineRule="exact"/>
        <w:rPr>
          <w:sz w:val="20"/>
          <w:szCs w:val="20"/>
          <w:color w:val="auto"/>
        </w:rPr>
      </w:pPr>
    </w:p>
    <w:p>
      <w:pPr>
        <w:ind w:right="4619" w:firstLine="351"/>
        <w:spacing w:after="0" w:line="264" w:lineRule="auto"/>
        <w:rPr>
          <w:sz w:val="20"/>
          <w:szCs w:val="20"/>
          <w:color w:val="auto"/>
        </w:rPr>
      </w:pPr>
      <w:r>
        <w:rPr>
          <w:rFonts w:ascii="Courier New" w:cs="Courier New" w:eastAsia="Courier New" w:hAnsi="Courier New"/>
          <w:sz w:val="11"/>
          <w:szCs w:val="11"/>
          <w:color w:val="auto"/>
        </w:rPr>
        <w:t>GROSS LOSS. Gross loss for the year ended December 31, 2007 was $53.9 million compared to a gross loss of $80.1 million for the year ended December 31, 2006. The decrease in gross loss was mainly attributable to the 23% increase in sales as compared to a 6% increase in Cost of Total Sales as described above.</w:t>
      </w:r>
    </w:p>
    <w:p>
      <w:pPr>
        <w:spacing w:after="0" w:line="127" w:lineRule="exact"/>
        <w:rPr>
          <w:sz w:val="20"/>
          <w:szCs w:val="20"/>
          <w:color w:val="auto"/>
        </w:rPr>
      </w:pPr>
    </w:p>
    <w:p>
      <w:pPr>
        <w:jc w:val="both"/>
        <w:ind w:right="4839" w:firstLine="351"/>
        <w:spacing w:after="0" w:line="236" w:lineRule="auto"/>
        <w:rPr>
          <w:sz w:val="20"/>
          <w:szCs w:val="20"/>
          <w:color w:val="auto"/>
        </w:rPr>
      </w:pPr>
      <w:r>
        <w:rPr>
          <w:rFonts w:ascii="Courier New" w:cs="Courier New" w:eastAsia="Courier New" w:hAnsi="Courier New"/>
          <w:sz w:val="12"/>
          <w:szCs w:val="12"/>
          <w:color w:val="auto"/>
        </w:rPr>
        <w:t>RESEARCH AND DEVELOPMENT. Research and development expenses for the year ended December 31, 2007 decreased to $13.8 million from $15.0 million for the year ended December 31, 2006.</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MARKETING, GENERAL AND ADMINISTRATIVE EXPENSES. Marketing, general and administrative expenses for the year ended December 31, 2007 increased to $31.6 million from $25.8 million for the year ended December 31, 2006. The increase is primarily due to stock based compensation expenses and increased expenses deriving directly from the higher revenues mentioned above.</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OPERATING LOSS. Operating loss for the year ended December 31, 2007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$99.3 million, compared to $121.0 million for the year ended December 31, 2006.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decrease in the operating loss is attributable mainly to the decrease in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gross loss described above.</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FINANCING EXPENSES, NET. Financing expenses, net for the year ended</w:t>
      </w:r>
    </w:p>
    <w:p>
      <w:pPr>
        <w:spacing w:after="0"/>
        <w:rPr>
          <w:sz w:val="20"/>
          <w:szCs w:val="20"/>
          <w:color w:val="auto"/>
        </w:rPr>
      </w:pPr>
      <w:r>
        <w:rPr>
          <w:rFonts w:ascii="Courier New" w:cs="Courier New" w:eastAsia="Courier New" w:hAnsi="Courier New"/>
          <w:sz w:val="12"/>
          <w:szCs w:val="12"/>
          <w:color w:val="auto"/>
        </w:rPr>
        <w:t>December 31, 2007 were $35.0 million compared to financing expenses, net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$47.6 million for the year ended December 31, 2006. This decrease is mainly due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to the consummation of the debt restructuring with our banks which was closed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third quarter of 2006, pursuant to which, approximately 30% of our then</w:t>
      </w:r>
    </w:p>
    <w:p>
      <w:pPr>
        <w:spacing w:after="0"/>
        <w:rPr>
          <w:sz w:val="20"/>
          <w:szCs w:val="20"/>
          <w:color w:val="auto"/>
        </w:rPr>
      </w:pPr>
      <w:r>
        <w:rPr>
          <w:rFonts w:ascii="Courier New" w:cs="Courier New" w:eastAsia="Courier New" w:hAnsi="Courier New"/>
          <w:sz w:val="12"/>
          <w:szCs w:val="12"/>
          <w:color w:val="auto"/>
        </w:rPr>
        <w:t>outstanding loans were converted into capital notes and the interest rate</w:t>
      </w:r>
    </w:p>
    <w:p>
      <w:pPr>
        <w:sectPr>
          <w:pgSz w:w="11900" w:h="16838" w:orient="portrait"/>
          <w:cols w:equalWidth="0" w:num="1">
            <w:col w:w="10239"/>
          </w:cols>
          <w:pgMar w:left="220" w:top="276" w:right="1440" w:bottom="0" w:gutter="0" w:footer="0" w:header="0"/>
        </w:sectPr>
      </w:pPr>
    </w:p>
    <w:bookmarkStart w:id="30" w:name="page31"/>
    <w:bookmarkEnd w:id="30"/>
    <w:p>
      <w:pPr>
        <w:ind w:right="4699"/>
        <w:spacing w:after="0" w:line="235" w:lineRule="auto"/>
        <w:rPr>
          <w:sz w:val="20"/>
          <w:szCs w:val="20"/>
          <w:color w:val="auto"/>
        </w:rPr>
      </w:pPr>
      <w:r>
        <w:rPr>
          <w:rFonts w:ascii="Courier New" w:cs="Courier New" w:eastAsia="Courier New" w:hAnsi="Courier New"/>
          <w:sz w:val="12"/>
          <w:szCs w:val="12"/>
          <w:color w:val="auto"/>
        </w:rPr>
        <w:t>applicable to the interest payments was reduced from the three month LIBOR rate plus 2.5% to the three month LIBOR rate plus 1.1%.</w:t>
      </w:r>
    </w:p>
    <w:p>
      <w:pPr>
        <w:spacing w:after="0" w:line="139" w:lineRule="exact"/>
        <w:rPr>
          <w:sz w:val="20"/>
          <w:szCs w:val="20"/>
          <w:color w:val="auto"/>
        </w:rPr>
      </w:pPr>
    </w:p>
    <w:p>
      <w:pPr>
        <w:ind w:right="4619" w:firstLine="351"/>
        <w:spacing w:after="0" w:line="273" w:lineRule="auto"/>
        <w:rPr>
          <w:sz w:val="20"/>
          <w:szCs w:val="20"/>
          <w:color w:val="auto"/>
        </w:rPr>
      </w:pPr>
      <w:r>
        <w:rPr>
          <w:rFonts w:ascii="Courier New" w:cs="Courier New" w:eastAsia="Courier New" w:hAnsi="Courier New"/>
          <w:sz w:val="11"/>
          <w:szCs w:val="11"/>
          <w:color w:val="auto"/>
        </w:rPr>
        <w:t>OTHER INCOME, NET. Other income, net, for the year ended December 31, 2007 was $0.09 million compared to $0.6 million for the year ended December 31, 2006.</w:t>
      </w:r>
    </w:p>
    <w:p>
      <w:pPr>
        <w:spacing w:after="0" w:line="122"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LOSS. Loss for the year ended December 31, 2007 was $134.2 million, compared to $167.9 million for the year ended December 31, 2006. This decrease is primarily attributable to the decrease of $21.6 million in the operating loss and to the $12.6 million decrease in financing expenses described above.</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IMPACT OF INFLATION AND CURRENCY FLUCTUATIONS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dollar cost of our operations in Israel is influenced by the timing of any change in the rate of inflation in Israel and the extent to which such change is not offset by the change in valuation of the NIS in relation to the dollar. During the year ended December 31, 2007, the exchange rate of the dollar in relation to the NIS decreased by 9.0%, and the Israeli Consumer Price Index, or CPI, increased by 3.4% (during the year ended December 31, 2006 there was a decrease of 8.2% in the exchange rate of the dollar in relation to the NIS and a decrease of 0.1% in the CPI).</w:t>
      </w:r>
    </w:p>
    <w:p>
      <w:pPr>
        <w:spacing w:after="0" w:line="142"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 The recent devaluation of the US dollar in relation to the NIS increased mainly our dollar expenses related to our NIS denominated debentures and the dollar amount of our NIS denominated expenses.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LIQUIDITY AND CAPITAL RESOURCES</w:t>
      </w:r>
    </w:p>
    <w:p>
      <w:pPr>
        <w:spacing w:after="0" w:line="139" w:lineRule="exact"/>
        <w:rPr>
          <w:sz w:val="20"/>
          <w:szCs w:val="20"/>
          <w:color w:val="auto"/>
        </w:rPr>
      </w:pPr>
    </w:p>
    <w:p>
      <w:pPr>
        <w:ind w:right="4699" w:firstLine="351"/>
        <w:spacing w:after="0" w:line="266" w:lineRule="auto"/>
        <w:rPr>
          <w:sz w:val="20"/>
          <w:szCs w:val="20"/>
          <w:color w:val="auto"/>
        </w:rPr>
      </w:pPr>
      <w:r>
        <w:rPr>
          <w:rFonts w:ascii="Courier New" w:cs="Courier New" w:eastAsia="Courier New" w:hAnsi="Courier New"/>
          <w:sz w:val="11"/>
          <w:szCs w:val="11"/>
          <w:color w:val="auto"/>
        </w:rPr>
        <w:t>As of December 31, 2007, we had an aggregate of $44.5 million in cash and cash equivalents. This compares to $40.9 million we had as of December 31, 2006 in cash, cash equivalents, and short-term interest-bearing deposits.</w:t>
      </w:r>
    </w:p>
    <w:p>
      <w:pPr>
        <w:spacing w:after="0" w:line="126" w:lineRule="exact"/>
        <w:rPr>
          <w:sz w:val="20"/>
          <w:szCs w:val="20"/>
          <w:color w:val="auto"/>
        </w:rPr>
      </w:pPr>
    </w:p>
    <w:p>
      <w:pPr>
        <w:ind w:right="4699" w:firstLine="351"/>
        <w:spacing w:after="0" w:line="261" w:lineRule="auto"/>
        <w:rPr>
          <w:sz w:val="20"/>
          <w:szCs w:val="20"/>
          <w:color w:val="auto"/>
        </w:rPr>
      </w:pPr>
      <w:r>
        <w:rPr>
          <w:rFonts w:ascii="Courier New" w:cs="Courier New" w:eastAsia="Courier New" w:hAnsi="Courier New"/>
          <w:sz w:val="11"/>
          <w:szCs w:val="11"/>
          <w:color w:val="auto"/>
        </w:rPr>
        <w:t>During the year ended December 31, 2007, we raised $77.2 million in net proceeds from the issuance of debentures, ordinary shares and warrants, $28 million as long-term loans, $1.7 million from Investment Center grants and generated a net amount of $16.7 million from our operating activities. These liquidity resources financed the capital expenditure investments we made during the year ended December 31, 2007, which aggregated $109.0 million, mainly in connection with the purchase and installation of equipment and other assets for the ramp up of Fab 2, repayment of convertible debentures in the amount of $7.1 million and repayment of long-term debt in the amount of $3.2 million.</w:t>
      </w:r>
    </w:p>
    <w:p>
      <w:pPr>
        <w:spacing w:after="0" w:line="131" w:lineRule="exact"/>
        <w:rPr>
          <w:sz w:val="20"/>
          <w:szCs w:val="20"/>
          <w:color w:val="auto"/>
        </w:rPr>
      </w:pPr>
    </w:p>
    <w:p>
      <w:pPr>
        <w:jc w:val="both"/>
        <w:ind w:right="4759"/>
        <w:spacing w:after="0" w:line="236" w:lineRule="auto"/>
        <w:rPr>
          <w:sz w:val="20"/>
          <w:szCs w:val="20"/>
          <w:color w:val="auto"/>
        </w:rPr>
      </w:pPr>
      <w:r>
        <w:rPr>
          <w:rFonts w:ascii="Courier New" w:cs="Courier New" w:eastAsia="Courier New" w:hAnsi="Courier New"/>
          <w:sz w:val="12"/>
          <w:szCs w:val="12"/>
          <w:color w:val="auto"/>
        </w:rPr>
        <w:t>We continue to examine alternatives for additional funding sources in order to fund our Fab2 ramp-up, support our growth plans and improve our shareholders' equity, otherwise expected to become negative during 2008.</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As of December 31, 2007, we had long-term loans from banks, at fair value, in the amount of $379.3 million which we obtained mainly in connection with the establishment of Fab 2. As of such date, we had outstanding, in the aggregate of $125.3 million of debentures, of which $7.9 million are presented as current maturities.</w:t>
      </w:r>
    </w:p>
    <w:p>
      <w:pPr>
        <w:sectPr>
          <w:pgSz w:w="11900" w:h="16838" w:orient="portrait"/>
          <w:cols w:equalWidth="0" w:num="1">
            <w:col w:w="10239"/>
          </w:cols>
          <w:pgMar w:left="220" w:top="141" w:right="1440" w:bottom="1440" w:gutter="0" w:footer="0" w:header="0"/>
        </w:sectPr>
      </w:pPr>
    </w:p>
    <w:bookmarkStart w:id="31" w:name="page32"/>
    <w:bookmarkEnd w:id="31"/>
    <w:p>
      <w:pPr>
        <w:jc w:val="center"/>
        <w:ind w:right="-140"/>
        <w:spacing w:after="0"/>
        <w:rPr>
          <w:sz w:val="20"/>
          <w:szCs w:val="20"/>
          <w:color w:val="auto"/>
        </w:rPr>
      </w:pPr>
      <w:r>
        <w:rPr>
          <w:rFonts w:ascii="Courier New" w:cs="Courier New" w:eastAsia="Courier New" w:hAnsi="Courier New"/>
          <w:sz w:val="11"/>
          <w:szCs w:val="1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CONSENT OF INDEPENDENT REGISTERED PUBLIC ACCOUNTING FIRM</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consent to the incorporation by reference in Registration Statements Nos.</w:t>
      </w:r>
    </w:p>
    <w:p>
      <w:pPr>
        <w:spacing w:after="0"/>
        <w:rPr>
          <w:sz w:val="20"/>
          <w:szCs w:val="20"/>
          <w:color w:val="auto"/>
        </w:rPr>
      </w:pPr>
      <w:r>
        <w:rPr>
          <w:rFonts w:ascii="Courier New" w:cs="Courier New" w:eastAsia="Courier New" w:hAnsi="Courier New"/>
          <w:sz w:val="12"/>
          <w:szCs w:val="12"/>
          <w:color w:val="auto"/>
        </w:rPr>
        <w:t>333-85090, 333-108896, 333-110486, 333-131315, 333-140174, 333-141640 and</w:t>
      </w:r>
    </w:p>
    <w:p>
      <w:pPr>
        <w:spacing w:after="0" w:line="3" w:lineRule="exact"/>
        <w:rPr>
          <w:sz w:val="20"/>
          <w:szCs w:val="20"/>
          <w:color w:val="auto"/>
        </w:rPr>
      </w:pPr>
    </w:p>
    <w:p>
      <w:pPr>
        <w:ind w:right="4899"/>
        <w:spacing w:after="0" w:line="237" w:lineRule="auto"/>
        <w:rPr>
          <w:sz w:val="20"/>
          <w:szCs w:val="20"/>
          <w:color w:val="auto"/>
        </w:rPr>
      </w:pPr>
      <w:r>
        <w:rPr>
          <w:rFonts w:ascii="Courier New" w:cs="Courier New" w:eastAsia="Courier New" w:hAnsi="Courier New"/>
          <w:sz w:val="12"/>
          <w:szCs w:val="12"/>
          <w:color w:val="auto"/>
        </w:rPr>
        <w:t>333-148747 on Form F-3, and Nos. 33-80947, 333-06482, 333-11720, 333-83204, 333-107943, 333-117565, 333-138837 and 333-147071 on Form S-8, of our report dated February 6, 2008, relating to the consolidated financial statements of Tower Semiconductor Ltd., appearing in this Report on Form 6-K of Tower Semiconductor Ltd.</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Brightman Almagor &amp; Co.</w:t>
      </w:r>
    </w:p>
    <w:p>
      <w:pPr>
        <w:spacing w:after="0"/>
        <w:rPr>
          <w:sz w:val="20"/>
          <w:szCs w:val="20"/>
          <w:color w:val="auto"/>
        </w:rPr>
      </w:pPr>
      <w:r>
        <w:rPr>
          <w:rFonts w:ascii="Courier New" w:cs="Courier New" w:eastAsia="Courier New" w:hAnsi="Courier New"/>
          <w:sz w:val="12"/>
          <w:szCs w:val="12"/>
          <w:color w:val="auto"/>
        </w:rPr>
        <w:t>Certified Public Accountants</w:t>
      </w:r>
    </w:p>
    <w:p>
      <w:pPr>
        <w:spacing w:after="0" w:line="237" w:lineRule="auto"/>
        <w:rPr>
          <w:sz w:val="20"/>
          <w:szCs w:val="20"/>
          <w:color w:val="auto"/>
        </w:rPr>
      </w:pPr>
      <w:r>
        <w:rPr>
          <w:rFonts w:ascii="Courier New" w:cs="Courier New" w:eastAsia="Courier New" w:hAnsi="Courier New"/>
          <w:sz w:val="12"/>
          <w:szCs w:val="12"/>
          <w:color w:val="auto"/>
        </w:rPr>
        <w:t>A Member Firm of Deloitte Touche Tohmatsu</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 Israel</w:t>
      </w:r>
    </w:p>
    <w:p>
      <w:pPr>
        <w:spacing w:after="0"/>
        <w:rPr>
          <w:sz w:val="20"/>
          <w:szCs w:val="20"/>
          <w:color w:val="auto"/>
        </w:rPr>
      </w:pPr>
      <w:r>
        <w:rPr>
          <w:rFonts w:ascii="Courier New" w:cs="Courier New" w:eastAsia="Courier New" w:hAnsi="Courier New"/>
          <w:sz w:val="12"/>
          <w:szCs w:val="12"/>
          <w:color w:val="auto"/>
        </w:rPr>
        <w:t>February 7, 2008</w:t>
      </w:r>
    </w:p>
    <w:sectPr>
      <w:pgSz w:w="11900" w:h="16838" w:orient="portrait"/>
      <w:cols w:equalWidth="0" w:num="1">
        <w:col w:w="10239"/>
      </w:cols>
      <w:pgMar w:left="220" w:top="4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upperLetter"/>
      <w:start w:val="1"/>
    </w:lvl>
  </w:abstractNum>
  <w:abstractNum w:abstractNumId="2">
    <w:nsid w:val="7724C67E"/>
    <w:multiLevelType w:val="hybridMultilevel"/>
    <w:lvl w:ilvl="0">
      <w:lvlJc w:val="left"/>
      <w:lvlText w:val="%1."/>
      <w:numFmt w:val="upperLetter"/>
      <w:start w:val="6"/>
    </w:lvl>
    <w:lvl w:ilvl="1">
      <w:lvlJc w:val="left"/>
      <w:lvlText w:val="(%2)"/>
      <w:numFmt w:val="decimal"/>
      <w:start w:val="1"/>
    </w:lvl>
  </w:abstractNum>
  <w:abstractNum w:abstractNumId="3">
    <w:nsid w:val="5C482A97"/>
    <w:multiLevelType w:val="hybridMultilevel"/>
    <w:lvl w:ilvl="0">
      <w:lvlJc w:val="left"/>
      <w:lvlText w:val="(%1)"/>
      <w:numFmt w:val="decimal"/>
      <w:start w:val="1"/>
    </w:lvl>
    <w:lvl w:ilvl="1">
      <w:lvlJc w:val="left"/>
      <w:lvlText w:val="(*)"/>
      <w:numFmt w:val="bullet"/>
      <w:start w:val="1"/>
    </w:lvl>
  </w:abstractNum>
  <w:abstractNum w:abstractNumId="4">
    <w:nsid w:val="2463B9EA"/>
    <w:multiLevelType w:val="hybridMultilevel"/>
    <w:lvl w:ilvl="0">
      <w:lvlJc w:val="left"/>
      <w:lvlText w:val="%1."/>
      <w:numFmt w:val="upperLetter"/>
      <w:start w:val="7"/>
    </w:lvl>
  </w:abstractNum>
  <w:abstractNum w:abstractNumId="5">
    <w:nsid w:val="5E884ADC"/>
    <w:multiLevelType w:val="hybridMultilevel"/>
    <w:lvl w:ilvl="0">
      <w:lvlJc w:val="left"/>
      <w:lvlText w:val="%1."/>
      <w:numFmt w:val="upperLetter"/>
      <w:start w:val="10"/>
    </w:lvl>
  </w:abstractNum>
  <w:abstractNum w:abstractNumId="6">
    <w:nsid w:val="51EAD36B"/>
    <w:multiLevelType w:val="hybridMultilevel"/>
    <w:lvl w:ilvl="0">
      <w:lvlJc w:val="left"/>
      <w:lvlText w:val="%1."/>
      <w:numFmt w:val="upperLetter"/>
      <w:start w:val="13"/>
    </w:lvl>
  </w:abstractNum>
  <w:abstractNum w:abstractNumId="7">
    <w:nsid w:val="2D517796"/>
    <w:multiLevelType w:val="hybridMultilevel"/>
    <w:lvl w:ilvl="0">
      <w:lvlJc w:val="left"/>
      <w:lvlText w:val="(%1)"/>
      <w:numFmt w:val="lowerLetter"/>
      <w:start w:val="1"/>
    </w:lvl>
  </w:abstractNum>
  <w:abstractNum w:abstractNumId="8">
    <w:nsid w:val="580BD78F"/>
    <w:multiLevelType w:val="hybridMultilevel"/>
    <w:lvl w:ilvl="0">
      <w:lvlJc w:val="left"/>
      <w:lvlText w:val="%1."/>
      <w:numFmt w:val="upperLetter"/>
      <w:start w:val="16"/>
    </w:lvl>
  </w:abstractNum>
  <w:abstractNum w:abstractNumId="9">
    <w:nsid w:val="153EA438"/>
    <w:multiLevelType w:val="hybridMultilevel"/>
    <w:lvl w:ilvl="0">
      <w:lvlJc w:val="left"/>
      <w:lvlText w:val="%1."/>
      <w:numFmt w:val="upperLetter"/>
      <w:start w:val="17"/>
    </w:lvl>
  </w:abstractNum>
  <w:abstractNum w:abstractNumId="10">
    <w:nsid w:val="3855585C"/>
    <w:multiLevelType w:val="hybridMultilevel"/>
    <w:lvl w:ilvl="0">
      <w:lvlJc w:val="left"/>
      <w:lvlText w:val="%1."/>
      <w:numFmt w:val="upperLetter"/>
      <w:start w:val="20"/>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1."/>
      <w:numFmt w:val="upperLetter"/>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1."/>
      <w:numFmt w:val="upperLetter"/>
      <w:start w:val="2"/>
    </w:lvl>
  </w:abstractNum>
  <w:abstractNum w:abstractNumId="15">
    <w:nsid w:val="725A06FB"/>
    <w:multiLevelType w:val="hybridMultilevel"/>
    <w:lvl w:ilvl="0">
      <w:lvlJc w:val="left"/>
      <w:lvlText w:val="%1."/>
      <w:numFmt w:val="upperLetter"/>
      <w:start w:val="2"/>
    </w:lvl>
  </w:abstractNum>
  <w:abstractNum w:abstractNumId="16">
    <w:nsid w:val="2CD89A32"/>
    <w:multiLevelType w:val="hybridMultilevel"/>
    <w:lvl w:ilvl="0">
      <w:lvlJc w:val="left"/>
      <w:lvlText w:val="%1."/>
      <w:numFmt w:val="upperLetter"/>
      <w:start w:val="2"/>
    </w:lvl>
  </w:abstractNum>
  <w:abstractNum w:abstractNumId="17">
    <w:nsid w:val="57E4CCAF"/>
    <w:multiLevelType w:val="hybridMultilevel"/>
    <w:lvl w:ilvl="0">
      <w:lvlJc w:val="left"/>
      <w:lvlText w:val="%1."/>
      <w:numFmt w:val="upperLetter"/>
      <w:start w:val="2"/>
    </w:lvl>
  </w:abstractNum>
  <w:abstractNum w:abstractNumId="18">
    <w:nsid w:val="7A6D8D3C"/>
    <w:multiLevelType w:val="hybridMultilevel"/>
    <w:lvl w:ilvl="0">
      <w:lvlJc w:val="left"/>
      <w:lvlText w:val="%1."/>
      <w:numFmt w:val="upperLetter"/>
      <w:start w:val="2"/>
    </w:lvl>
  </w:abstractNum>
  <w:abstractNum w:abstractNumId="19">
    <w:nsid w:val="4B588F54"/>
    <w:multiLevelType w:val="hybridMultilevel"/>
    <w:lvl w:ilvl="0">
      <w:lvlJc w:val="left"/>
      <w:lvlText w:val="%1."/>
      <w:numFmt w:val="upperLetter"/>
      <w:start w:val="3"/>
    </w:lvl>
  </w:abstractNum>
  <w:abstractNum w:abstractNumId="20">
    <w:nsid w:val="542289EC"/>
    <w:multiLevelType w:val="hybridMultilevel"/>
    <w:lvl w:ilvl="0">
      <w:lvlJc w:val="left"/>
      <w:lvlText w:val="%1."/>
      <w:numFmt w:val="upperLetter"/>
      <w:start w:val="4"/>
    </w:lvl>
  </w:abstractNum>
  <w:abstractNum w:abstractNumId="21">
    <w:nsid w:val="6DE91B18"/>
    <w:multiLevelType w:val="hybridMultilevel"/>
    <w:lvl w:ilvl="0">
      <w:lvlJc w:val="left"/>
      <w:lvlText w:val="%1."/>
      <w:numFmt w:val="upperLetter"/>
      <w:start w:val="1"/>
    </w:lvl>
  </w:abstractNum>
  <w:abstractNum w:abstractNumId="22">
    <w:nsid w:val="38437FDB"/>
    <w:multiLevelType w:val="hybridMultilevel"/>
    <w:lvl w:ilvl="0">
      <w:lvlJc w:val="left"/>
      <w:lvlText w:val="%1."/>
      <w:numFmt w:val="upperLetter"/>
      <w:start w:val="2"/>
    </w:lvl>
  </w:abstractNum>
  <w:abstractNum w:abstractNumId="23">
    <w:nsid w:val="7644A45C"/>
    <w:multiLevelType w:val="hybridMultilevel"/>
    <w:lvl w:ilvl="0">
      <w:lvlJc w:val="left"/>
      <w:lvlText w:val="%1."/>
      <w:numFmt w:val="upperLetter"/>
      <w:start w:val="3"/>
    </w:lvl>
  </w:abstractNum>
  <w:abstractNum w:abstractNumId="24">
    <w:nsid w:val="32FFF902"/>
    <w:multiLevelType w:val="hybridMultilevel"/>
    <w:lvl w:ilvl="0">
      <w:lvlJc w:val="left"/>
      <w:lvlText w:val="%1."/>
      <w:numFmt w:val="upperLetter"/>
      <w:start w:val="4"/>
    </w:lvl>
    <w:lvl w:ilvl="1">
      <w:lvlJc w:val="left"/>
      <w:lvlText w:val="(%2)"/>
      <w:numFmt w:val="lowerRoman"/>
      <w:start w:val="3"/>
    </w:lvl>
  </w:abstractNum>
  <w:abstractNum w:abstractNumId="25">
    <w:nsid w:val="684A481A"/>
    <w:multiLevelType w:val="hybridMultilevel"/>
    <w:lvl w:ilvl="0">
      <w:lvlJc w:val="left"/>
      <w:lvlText w:val="%1."/>
      <w:numFmt w:val="upperLetter"/>
      <w:start w:val="1"/>
    </w:lvl>
  </w:abstractNum>
  <w:abstractNum w:abstractNumId="26">
    <w:nsid w:val="579478FE"/>
    <w:multiLevelType w:val="hybridMultilevel"/>
    <w:lvl w:ilvl="0">
      <w:lvlJc w:val="left"/>
      <w:lvlText w:val="%1."/>
      <w:numFmt w:val="upperLetter"/>
      <w:start w:val="2"/>
    </w:lvl>
  </w:abstractNum>
  <w:abstractNum w:abstractNumId="27">
    <w:nsid w:val="749ABB43"/>
    <w:multiLevelType w:val="hybridMultilevel"/>
    <w:lvl w:ilvl="0">
      <w:lvlJc w:val="left"/>
      <w:lvlText w:val="%1."/>
      <w:numFmt w:val="upperLetter"/>
      <w:start w:val="4"/>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1."/>
      <w:numFmt w:val="upperLetter"/>
      <w:start w:val="2"/>
    </w:lvl>
  </w:abstractNum>
  <w:abstractNum w:abstractNumId="30">
    <w:nsid w:val="79A1DEAA"/>
    <w:multiLevelType w:val="hybridMultilevel"/>
    <w:lvl w:ilvl="0">
      <w:lvlJc w:val="left"/>
      <w:lvlText w:val="%1."/>
      <w:numFmt w:val="upperLetter"/>
      <w:start w:val="1"/>
    </w:lvl>
    <w:lvl w:ilvl="1">
      <w:lvlJc w:val="left"/>
      <w:lvlText w:val="(%2)"/>
      <w:numFmt w:val="decimal"/>
      <w:start w:val="1"/>
    </w:lvl>
  </w:abstractNum>
  <w:abstractNum w:abstractNumId="31">
    <w:nsid w:val="75C6C33A"/>
    <w:multiLevelType w:val="hybridMultilevel"/>
    <w:lvl w:ilvl="0">
      <w:lvlJc w:val="left"/>
      <w:lvlText w:val="%1."/>
      <w:numFmt w:val="upperLetter"/>
      <w:start w:val="1"/>
    </w:lvl>
    <w:lvl w:ilvl="1">
      <w:lvlJc w:val="left"/>
      <w:lvlText w:val="(%2)"/>
      <w:numFmt w:val="decimal"/>
      <w:start w:val="1"/>
    </w:lvl>
  </w:abstractNum>
  <w:abstractNum w:abstractNumId="32">
    <w:nsid w:val="12E685FB"/>
    <w:multiLevelType w:val="hybridMultilevel"/>
    <w:lvl w:ilvl="0">
      <w:lvlJc w:val="left"/>
      <w:lvlText w:val="%1."/>
      <w:numFmt w:val="upperLetter"/>
      <w:start w:val="1"/>
    </w:lvl>
    <w:lvl w:ilvl="1">
      <w:lvlJc w:val="left"/>
      <w:lvlText w:val="(%2)"/>
      <w:numFmt w:val="decimal"/>
      <w:start w:val="3"/>
    </w:lvl>
  </w:abstractNum>
  <w:abstractNum w:abstractNumId="33">
    <w:nsid w:val="70C6A529"/>
    <w:multiLevelType w:val="hybridMultilevel"/>
    <w:lvl w:ilvl="0">
      <w:lvlJc w:val="left"/>
      <w:lvlText w:val="%1."/>
      <w:numFmt w:val="upperLetter"/>
      <w:start w:val="1"/>
    </w:lvl>
    <w:lvl w:ilvl="1">
      <w:lvlJc w:val="left"/>
      <w:lvlText w:val="(%2)"/>
      <w:numFmt w:val="decimal"/>
      <w:start w:val="4"/>
    </w:lvl>
  </w:abstractNum>
  <w:abstractNum w:abstractNumId="34">
    <w:nsid w:val="520EEDD1"/>
    <w:multiLevelType w:val="hybridMultilevel"/>
    <w:lvl w:ilvl="0">
      <w:lvlJc w:val="left"/>
      <w:lvlText w:val="%1."/>
      <w:numFmt w:val="upperLetter"/>
      <w:start w:val="1"/>
    </w:lvl>
    <w:lvl w:ilvl="1">
      <w:lvlJc w:val="left"/>
      <w:lvlText w:val="(%2)"/>
      <w:numFmt w:val="decimal"/>
      <w:start w:val="4"/>
    </w:lvl>
  </w:abstractNum>
  <w:abstractNum w:abstractNumId="35">
    <w:nsid w:val="374A3FE6"/>
    <w:multiLevelType w:val="hybridMultilevel"/>
    <w:lvl w:ilvl="0">
      <w:lvlJc w:val="left"/>
      <w:lvlText w:val="%1."/>
      <w:numFmt w:val="upperLetter"/>
      <w:start w:val="1"/>
    </w:lvl>
    <w:lvl w:ilvl="1">
      <w:lvlJc w:val="left"/>
      <w:lvlText w:val="(%2)"/>
      <w:numFmt w:val="decimal"/>
      <w:start w:val="6"/>
    </w:lvl>
  </w:abstractNum>
  <w:abstractNum w:abstractNumId="36">
    <w:nsid w:val="4F4EF005"/>
    <w:multiLevelType w:val="hybridMultilevel"/>
    <w:lvl w:ilvl="0">
      <w:lvlJc w:val="left"/>
      <w:lvlText w:val="%1."/>
      <w:numFmt w:val="upperLetter"/>
      <w:start w:val="1"/>
    </w:lvl>
    <w:lvl w:ilvl="1">
      <w:lvlJc w:val="left"/>
      <w:lvlText w:val="(%2)"/>
      <w:numFmt w:val="decimal"/>
      <w:start w:val="7"/>
    </w:lvl>
  </w:abstractNum>
  <w:abstractNum w:abstractNumId="37">
    <w:nsid w:val="23F9C13C"/>
    <w:multiLevelType w:val="hybridMultilevel"/>
    <w:lvl w:ilvl="0">
      <w:lvlJc w:val="left"/>
      <w:lvlText w:val="%1."/>
      <w:numFmt w:val="upperLetter"/>
      <w:start w:val="1"/>
    </w:lvl>
    <w:lvl w:ilvl="1">
      <w:lvlJc w:val="left"/>
      <w:lvlText w:val="(%2)"/>
      <w:numFmt w:val="decimal"/>
      <w:start w:val="9"/>
    </w:lvl>
  </w:abstractNum>
  <w:abstractNum w:abstractNumId="38">
    <w:nsid w:val="649BB77C"/>
    <w:multiLevelType w:val="hybridMultilevel"/>
    <w:lvl w:ilvl="0">
      <w:lvlJc w:val="left"/>
      <w:lvlText w:val="%1."/>
      <w:numFmt w:val="upperLetter"/>
      <w:start w:val="2"/>
    </w:lvl>
    <w:lvl w:ilvl="1">
      <w:lvlJc w:val="left"/>
      <w:lvlText w:val="(%2)"/>
      <w:numFmt w:val="decimal"/>
      <w:start w:val="1"/>
    </w:lvl>
  </w:abstractNum>
  <w:abstractNum w:abstractNumId="39">
    <w:nsid w:val="275AC794"/>
    <w:multiLevelType w:val="hybridMultilevel"/>
    <w:lvl w:ilvl="0">
      <w:lvlJc w:val="left"/>
      <w:lvlText w:val="%1."/>
      <w:numFmt w:val="upperLetter"/>
      <w:start w:val="2"/>
    </w:lvl>
    <w:lvl w:ilvl="1">
      <w:lvlJc w:val="left"/>
      <w:lvlText w:val="(%2)"/>
      <w:numFmt w:val="decimal"/>
      <w:start w:val="3"/>
    </w:lvl>
  </w:abstractNum>
  <w:abstractNum w:abstractNumId="40">
    <w:nsid w:val="39386575"/>
    <w:multiLevelType w:val="hybridMultilevel"/>
    <w:lvl w:ilvl="0">
      <w:lvlJc w:val="left"/>
      <w:lvlText w:val="%1"/>
      <w:numFmt w:val="upperLetter"/>
      <w:start w:val="1"/>
    </w:lvl>
    <w:lvl w:ilvl="1">
      <w:lvlJc w:val="left"/>
      <w:lvlText w:val="(%2)"/>
      <w:numFmt w:val="decimal"/>
      <w:start w:val="1"/>
    </w:lvl>
  </w:abstractNum>
  <w:abstractNum w:abstractNumId="41">
    <w:nsid w:val="1CF10FD8"/>
    <w:multiLevelType w:val="hybridMultilevel"/>
    <w:lvl w:ilvl="0">
      <w:lvlJc w:val="left"/>
      <w:lvlText w:val="%1."/>
      <w:numFmt w:val="upperLetter"/>
      <w:start w:val="4"/>
    </w:lvl>
    <w:lvl w:ilvl="1">
      <w:lvlJc w:val="left"/>
      <w:lvlText w:val="(%2)"/>
      <w:numFmt w:val="decimal"/>
      <w:start w:val="1"/>
    </w:lvl>
  </w:abstractNum>
  <w:abstractNum w:abstractNumId="42">
    <w:nsid w:val="180115BE"/>
    <w:multiLevelType w:val="hybridMultilevel"/>
    <w:lvl w:ilvl="0">
      <w:lvlJc w:val="left"/>
      <w:lvlText w:val="%1."/>
      <w:numFmt w:val="upperLetter"/>
      <w:start w:val="5"/>
    </w:lvl>
  </w:abstractNum>
  <w:abstractNum w:abstractNumId="43">
    <w:nsid w:val="235BA861"/>
    <w:multiLevelType w:val="hybridMultilevel"/>
    <w:lvl w:ilvl="0">
      <w:lvlJc w:val="left"/>
      <w:lvlText w:val="%1."/>
      <w:numFmt w:val="upperLetter"/>
      <w:start w:val="6"/>
    </w:lvl>
  </w:abstractNum>
  <w:abstractNum w:abstractNumId="44">
    <w:nsid w:val="47398C89"/>
    <w:multiLevelType w:val="hybridMultilevel"/>
    <w:lvl w:ilvl="0">
      <w:lvlJc w:val="left"/>
      <w:lvlText w:val="%1."/>
      <w:numFmt w:val="upperLetter"/>
      <w:start w:val="1"/>
    </w:lvl>
    <w:lvl w:ilvl="1">
      <w:lvlJc w:val="left"/>
      <w:lvlText w:val="(%2)"/>
      <w:numFmt w:val="lowerRoman"/>
      <w:start w:val="2"/>
    </w:lvl>
  </w:abstractNum>
  <w:abstractNum w:abstractNumId="45">
    <w:nsid w:val="354FE9F9"/>
    <w:multiLevelType w:val="hybridMultilevel"/>
    <w:lvl w:ilvl="0">
      <w:lvlJc w:val="left"/>
      <w:lvlText w:val="(%1)"/>
      <w:numFmt w:val="decimal"/>
      <w:start w:val="1"/>
    </w:lvl>
    <w:lvl w:ilvl="1">
      <w:lvlJc w:val="left"/>
      <w:lvlText w:val="(%2)"/>
      <w:numFmt w:val="upperLetter"/>
      <w:start w:val="1"/>
    </w:lvl>
  </w:abstractNum>
  <w:abstractNum w:abstractNumId="46">
    <w:nsid w:val="15B5AF5C"/>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2"/>
    </w:lvl>
  </w:abstractNum>
  <w:abstractNum w:abstractNumId="47">
    <w:nsid w:val="741226BB"/>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3"/>
    </w:lvl>
  </w:abstractNum>
  <w:abstractNum w:abstractNumId="48">
    <w:nsid w:val="D34B6A8"/>
    <w:multiLevelType w:val="hybridMultilevel"/>
    <w:lvl w:ilvl="0">
      <w:lvlJc w:val="left"/>
      <w:lvlText w:val="%1."/>
      <w:numFmt w:val="upperLetter"/>
      <w:start w:val="2"/>
    </w:lvl>
    <w:lvl w:ilvl="1">
      <w:lvlJc w:val="left"/>
      <w:lvlText w:val="(%2)"/>
      <w:numFmt w:val="decimal"/>
      <w:start w:val="1"/>
    </w:lvl>
  </w:abstractNum>
  <w:abstractNum w:abstractNumId="49">
    <w:nsid w:val="10233C99"/>
    <w:multiLevelType w:val="hybridMultilevel"/>
    <w:lvl w:ilvl="0">
      <w:lvlJc w:val="left"/>
      <w:lvlText w:val="(%1)"/>
      <w:numFmt w:val="upperLetter"/>
      <w:start w:val="4"/>
    </w:lvl>
  </w:abstractNum>
  <w:abstractNum w:abstractNumId="50">
    <w:nsid w:val="3F6AB60F"/>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6"/>
    </w:lvl>
  </w:abstractNum>
  <w:abstractNum w:abstractNumId="51">
    <w:nsid w:val="61574095"/>
    <w:multiLevelType w:val="hybridMultilevel"/>
    <w:lvl w:ilvl="0">
      <w:lvlJc w:val="left"/>
      <w:lvlText w:val="(%1)"/>
      <w:numFmt w:val="decimal"/>
      <w:start w:val="1"/>
    </w:lvl>
    <w:lvl w:ilvl="1">
      <w:lvlJc w:val="left"/>
      <w:lvlText w:val="(%2)"/>
      <w:numFmt w:val="upperLetter"/>
      <w:start w:val="6"/>
    </w:lvl>
  </w:abstractNum>
  <w:abstractNum w:abstractNumId="52">
    <w:nsid w:val="7E0C57B1"/>
    <w:multiLevelType w:val="hybridMultilevel"/>
    <w:lvl w:ilvl="0">
      <w:lvlJc w:val="left"/>
      <w:lvlText w:val="%1."/>
      <w:numFmt w:val="upperLetter"/>
      <w:start w:val="2"/>
    </w:lvl>
    <w:lvl w:ilvl="1">
      <w:lvlJc w:val="left"/>
      <w:lvlText w:val="(%2)"/>
      <w:numFmt w:val="decimal"/>
      <w:start w:val="3"/>
    </w:lvl>
  </w:abstractNum>
  <w:abstractNum w:abstractNumId="53">
    <w:nsid w:val="77AE35EB"/>
    <w:multiLevelType w:val="hybridMultilevel"/>
    <w:lvl w:ilvl="0">
      <w:lvlJc w:val="left"/>
      <w:lvlText w:val="(%1)"/>
      <w:numFmt w:val="decimal"/>
      <w:start w:val="4"/>
    </w:lvl>
  </w:abstractNum>
  <w:abstractNum w:abstractNumId="54">
    <w:nsid w:val="579BE4F1"/>
    <w:multiLevelType w:val="hybridMultilevel"/>
    <w:lvl w:ilvl="0">
      <w:lvlJc w:val="left"/>
      <w:lvlText w:val="%1."/>
      <w:numFmt w:val="upperLetter"/>
      <w:start w:val="2"/>
    </w:lvl>
    <w:lvl w:ilvl="1">
      <w:lvlJc w:val="left"/>
      <w:lvlText w:val="(%2)"/>
      <w:numFmt w:val="decimal"/>
      <w:start w:val="5"/>
    </w:lvl>
  </w:abstractNum>
  <w:abstractNum w:abstractNumId="55">
    <w:nsid w:val="310C50B3"/>
    <w:multiLevelType w:val="hybridMultilevel"/>
    <w:lvl w:ilvl="0">
      <w:lvlJc w:val="left"/>
      <w:lvlText w:val="(%1)"/>
      <w:numFmt w:val="upperLetter"/>
      <w:start w:val="1"/>
    </w:lvl>
  </w:abstractNum>
  <w:abstractNum w:abstractNumId="56">
    <w:nsid w:val="5FF87E05"/>
    <w:multiLevelType w:val="hybridMultilevel"/>
    <w:lvl w:ilvl="0">
      <w:lvlJc w:val="left"/>
      <w:lvlText w:val="%1."/>
      <w:numFmt w:val="upperLetter"/>
      <w:start w:val="2"/>
    </w:lvl>
    <w:lvl w:ilvl="1">
      <w:lvlJc w:val="left"/>
      <w:lvlText w:val="(%2)"/>
      <w:numFmt w:val="decimal"/>
      <w:start w:val="5"/>
    </w:lvl>
    <w:lvl w:ilvl="2">
      <w:lvlJc w:val="left"/>
      <w:lvlText w:val="%3"/>
      <w:numFmt w:val="lowerRoman"/>
      <w:start w:val="1"/>
    </w:lvl>
  </w:abstractNum>
  <w:abstractNum w:abstractNumId="57">
    <w:nsid w:val="2F305DEF"/>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8">
    <w:nsid w:val="25A70BF7"/>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abstractNum>
  <w:abstractNum w:abstractNumId="59">
    <w:nsid w:val="1DBABF00"/>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60">
    <w:nsid w:val="4AD084E9"/>
    <w:multiLevelType w:val="hybridMultilevel"/>
    <w:lvl w:ilvl="0">
      <w:lvlJc w:val="left"/>
      <w:lvlText w:val="%1."/>
      <w:numFmt w:val="upperLetter"/>
      <w:start w:val="4"/>
    </w:lvl>
  </w:abstractNum>
  <w:abstractNum w:abstractNumId="61">
    <w:nsid w:val="1F48EAA1"/>
    <w:multiLevelType w:val="hybridMultilevel"/>
    <w:lvl w:ilvl="0">
      <w:lvlJc w:val="left"/>
      <w:lvlText w:val="%1."/>
      <w:numFmt w:val="upperLetter"/>
      <w:start w:val="5"/>
    </w:lvl>
  </w:abstractNum>
  <w:abstractNum w:abstractNumId="62">
    <w:nsid w:val="1381823A"/>
    <w:multiLevelType w:val="hybridMultilevel"/>
    <w:lvl w:ilvl="0">
      <w:lvlJc w:val="left"/>
      <w:lvlText w:val="%1."/>
      <w:numFmt w:val="upperLetter"/>
      <w:start w:val="9"/>
    </w:lvl>
  </w:abstractNum>
  <w:abstractNum w:abstractNumId="63">
    <w:nsid w:val="5DB70AE5"/>
    <w:multiLevelType w:val="hybridMultilevel"/>
    <w:lvl w:ilvl="0">
      <w:lvlJc w:val="left"/>
      <w:lvlText w:val="%1."/>
      <w:numFmt w:val="upperLetter"/>
      <w:start w:val="11"/>
    </w:lvl>
  </w:abstractNum>
  <w:abstractNum w:abstractNumId="64">
    <w:nsid w:val="100F8FCA"/>
    <w:multiLevelType w:val="hybridMultilevel"/>
    <w:lvl w:ilvl="0">
      <w:lvlJc w:val="left"/>
      <w:lvlText w:val="%1."/>
      <w:numFmt w:val="upperLetter"/>
      <w:start w:val="1"/>
    </w:lvl>
  </w:abstractNum>
  <w:abstractNum w:abstractNumId="65">
    <w:nsid w:val="6590700B"/>
    <w:multiLevelType w:val="hybridMultilevel"/>
    <w:lvl w:ilvl="0">
      <w:lvlJc w:val="left"/>
      <w:lvlText w:val="%1."/>
      <w:numFmt w:val="upperLetter"/>
      <w:start w:val="2"/>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1."/>
      <w:numFmt w:val="upperLetter"/>
      <w:start w:val="1"/>
    </w:lvl>
  </w:abstractNum>
  <w:abstractNum w:abstractNumId="68">
    <w:nsid w:val="98A3148"/>
    <w:multiLevelType w:val="hybridMultilevel"/>
    <w:lvl w:ilvl="0">
      <w:lvlJc w:val="left"/>
      <w:lvlText w:val="%1."/>
      <w:numFmt w:val="upperLetter"/>
      <w:start w:val="2"/>
    </w:lvl>
  </w:abstractNum>
  <w:abstractNum w:abstractNumId="69">
    <w:nsid w:val="799D0247"/>
    <w:multiLevelType w:val="hybridMultilevel"/>
    <w:lvl w:ilvl="0">
      <w:lvlJc w:val="left"/>
      <w:lvlText w:val="%1."/>
      <w:numFmt w:val="upperLetter"/>
      <w:start w:val="3"/>
    </w:lvl>
  </w:abstractNum>
  <w:abstractNum w:abstractNumId="70">
    <w:nsid w:val="6B94764"/>
    <w:multiLevelType w:val="hybridMultilevel"/>
    <w:lvl w:ilvl="0">
      <w:lvlJc w:val="left"/>
      <w:lvlText w:val="%1."/>
      <w:numFmt w:val="upperLetter"/>
      <w:start w:val="4"/>
    </w:lvl>
  </w:abstractNum>
  <w:abstractNum w:abstractNumId="71">
    <w:nsid w:val="42C296BD"/>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2019-12-14T03:27:43Z</dcterms:created>
  <dcterms:modified xsi:type="dcterms:W3CDTF">2019-12-14T03:27:43Z</dcterms:modified>
</cp:coreProperties>
</file>