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334" w:lineRule="exact"/>
        <w:rPr>
          <w:sz w:val="24"/>
          <w:szCs w:val="24"/>
          <w:color w:val="auto"/>
        </w:rPr>
      </w:pPr>
    </w:p>
    <w:p>
      <w:pPr>
        <w:ind w:left="3000"/>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For the month October 2018 No. 5</w:t>
      </w:r>
    </w:p>
    <w:p>
      <w:pPr>
        <w:spacing w:after="0" w:line="275" w:lineRule="exact"/>
        <w:rPr>
          <w:sz w:val="24"/>
          <w:szCs w:val="24"/>
          <w:color w:val="auto"/>
        </w:rPr>
      </w:pPr>
    </w:p>
    <w:p>
      <w:pPr>
        <w:jc w:val="center"/>
        <w:ind w:right="-3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(Translation of registrant's name into English)</w:t>
      </w:r>
    </w:p>
    <w:p>
      <w:pPr>
        <w:spacing w:after="0" w:line="264" w:lineRule="exact"/>
        <w:rPr>
          <w:sz w:val="24"/>
          <w:szCs w:val="24"/>
          <w:color w:val="auto"/>
        </w:rPr>
      </w:pPr>
    </w:p>
    <w:p>
      <w:pPr>
        <w:jc w:val="center"/>
        <w:ind w:right="-319"/>
        <w:spacing w:after="0"/>
        <w:rPr>
          <w:sz w:val="20"/>
          <w:szCs w:val="20"/>
          <w:color w:val="auto"/>
        </w:rPr>
      </w:pPr>
      <w:r>
        <w:rPr>
          <w:rFonts w:ascii="Arial" w:cs="Arial" w:eastAsia="Arial" w:hAnsi="Arial"/>
          <w:sz w:val="22"/>
          <w:szCs w:val="22"/>
          <w:b w:val="1"/>
          <w:bCs w:val="1"/>
          <w:color w:val="auto"/>
        </w:rPr>
        <w:t>Ramat Gavriel Industrial Park</w:t>
      </w:r>
    </w:p>
    <w:p>
      <w:pPr>
        <w:spacing w:after="0" w:line="28" w:lineRule="exact"/>
        <w:rPr>
          <w:sz w:val="24"/>
          <w:szCs w:val="24"/>
          <w:color w:val="auto"/>
        </w:rPr>
      </w:pPr>
    </w:p>
    <w:p>
      <w:pPr>
        <w:jc w:val="center"/>
        <w:ind w:right="-319"/>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13"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50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299"/>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firstLine="486"/>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ind w:right="-299"/>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20"/>
          </w:cols>
          <w:pgMar w:left="240" w:top="778" w:right="539" w:bottom="1440" w:gutter="0" w:footer="0" w:header="0"/>
        </w:sectPr>
      </w:pPr>
    </w:p>
    <w:bookmarkStart w:id="1" w:name="page2"/>
    <w:bookmarkEnd w:id="1"/>
    <w:p>
      <w:pPr>
        <w:jc w:val="center"/>
        <w:ind w:left="1820" w:right="1799"/>
        <w:spacing w:after="0" w:line="264" w:lineRule="auto"/>
        <w:rPr>
          <w:sz w:val="20"/>
          <w:szCs w:val="20"/>
          <w:color w:val="auto"/>
        </w:rPr>
      </w:pPr>
      <w:r>
        <w:rPr>
          <w:rFonts w:ascii="Arial" w:cs="Arial" w:eastAsia="Arial" w:hAnsi="Arial"/>
          <w:sz w:val="18"/>
          <w:szCs w:val="18"/>
          <w:color w:val="auto"/>
        </w:rPr>
        <w:t>On October 17, 2018, the Registrant Announces, Showcasing its Extensive Automotive Power, Radar, and LiDAR Foundry Technologies at China Vehicle Connectivity Summit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441325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October 17, 2018</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3837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79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563245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121" w:right="39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260350</wp:posOffset>
            </wp:positionV>
            <wp:extent cx="1346200" cy="6089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346200" cy="608965"/>
                    </a:xfrm>
                    <a:prstGeom prst="rect">
                      <a:avLst/>
                    </a:prstGeom>
                    <a:noFill/>
                  </pic:spPr>
                </pic:pic>
              </a:graphicData>
            </a:graphic>
          </wp:anchor>
        </w:drawing>
      </w:r>
    </w:p>
    <w:p>
      <w:pPr>
        <w:spacing w:after="0" w:line="255" w:lineRule="exact"/>
        <w:rPr>
          <w:sz w:val="20"/>
          <w:szCs w:val="20"/>
          <w:color w:val="auto"/>
        </w:rPr>
      </w:pPr>
    </w:p>
    <w:p>
      <w:pPr>
        <w:spacing w:after="0"/>
        <w:tabs>
          <w:tab w:leader="none" w:pos="9080" w:val="left"/>
        </w:tabs>
        <w:rPr>
          <w:sz w:val="20"/>
          <w:szCs w:val="20"/>
          <w:color w:val="auto"/>
        </w:rPr>
      </w:pPr>
      <w:r>
        <w:rPr>
          <w:rFonts w:ascii="Arial" w:cs="Arial" w:eastAsia="Arial" w:hAnsi="Arial"/>
          <w:sz w:val="18"/>
          <w:szCs w:val="18"/>
          <w:b w:val="1"/>
          <w:bCs w:val="1"/>
          <w:i w:val="1"/>
          <w:iCs w:val="1"/>
          <w:color w:val="auto"/>
        </w:rPr>
        <w:t>NEWS ANNOUNCEMENT</w:t>
      </w:r>
      <w:r>
        <w:rPr>
          <w:sz w:val="20"/>
          <w:szCs w:val="20"/>
          <w:color w:val="auto"/>
        </w:rPr>
        <w:tab/>
      </w:r>
      <w:r>
        <w:rPr>
          <w:rFonts w:ascii="Arial" w:cs="Arial" w:eastAsia="Arial" w:hAnsi="Arial"/>
          <w:sz w:val="17"/>
          <w:szCs w:val="17"/>
          <w:b w:val="1"/>
          <w:bCs w:val="1"/>
          <w:i w:val="1"/>
          <w:iCs w:val="1"/>
          <w:color w:val="auto"/>
        </w:rPr>
        <w:t>FOR IMMEDIATE RELEASE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TowerJazz Showcasing its Extensive Automotive Power, Radar, and LiDAR Foundry Technologies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at China Vehicle Connectivity Summit 2018</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TowerJazz is leading the revolution in automotive sensing and power specialty foundry solutions that enable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green and increasingly autonomous driving</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SHANGHAI, China, October 17, 2018 – </w:t>
      </w:r>
      <w:r>
        <w:rPr>
          <w:rFonts w:ascii="Arial" w:cs="Arial" w:eastAsia="Arial" w:hAnsi="Arial"/>
          <w:sz w:val="18"/>
          <w:szCs w:val="18"/>
          <w:u w:val="single" w:color="auto"/>
          <w:color w:val="auto"/>
        </w:rPr>
        <w:t>TowerJazz</w:t>
      </w:r>
      <w:r>
        <w:rPr>
          <w:rFonts w:ascii="Arial" w:cs="Arial" w:eastAsia="Arial" w:hAnsi="Arial"/>
          <w:sz w:val="18"/>
          <w:szCs w:val="18"/>
          <w:color w:val="auto"/>
        </w:rPr>
        <w:t>, the global specialty foundry leader, today announced its participation at the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China Vehicle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Connectivity Summit 2018</w:t>
      </w:r>
      <w:r>
        <w:rPr>
          <w:rFonts w:ascii="Arial" w:cs="Arial" w:eastAsia="Arial" w:hAnsi="Arial"/>
          <w:sz w:val="18"/>
          <w:szCs w:val="18"/>
          <w:color w:val="auto"/>
        </w:rPr>
        <w:t xml:space="preserve"> and its presentation, “Specialty Analog Foundry Solutions for Connected and Automated Vehicles” by Dr. Amol Kalburge, Sr. Director of Strategic Marketing and Head of TowerJazz’s Automotive Program, on October 18, 2018 from 15:30-16:10. The presentation will discuss the critical role a specialty analog foundry plays in bringing connectivity and automation to tomorrow’s vehicles.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automotive market is the fastest growing IC market dominated by analog semiconductors. TowerJazz is well positioned to serve the growing needs of the automotive market through decades-long automotive experience and by providing advanced and specialized technologies and best practices from the consumer electronics market. The Company’s best-in-class analog technology solutions developed through deep application knowledge and end-to-end quality commitment enable fast time to market through proven flexible engagement models.</w:t>
      </w:r>
    </w:p>
    <w:p>
      <w:pPr>
        <w:spacing w:after="0" w:line="2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TowerJazz’s broad technology offering fulfills the extensive requirements for a wide range of automotive applications including: ADAS (radar, V2X, automotive ethernet, LiDAR, cameras and night vision IR), vehicle diagnostics/dynamics, comfort and convenience, EV battery management and regulators, drivers, and other power management applications.</w:t>
      </w:r>
    </w:p>
    <w:p>
      <w:pPr>
        <w:spacing w:after="0" w:line="23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TowerJazz has attained the Automotive Quality Certification, IATF 16949, the industry’s highest standard of quality system for automotive suppliers and has qualified each major process flow in at least two geographically distinct production sites to ensure customers with supply and capacity flexibility at all times.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additional information on TowerJazz’s automotive offering, please visit: </w:t>
      </w:r>
      <w:r>
        <w:rPr>
          <w:rFonts w:ascii="Arial" w:cs="Arial" w:eastAsia="Arial" w:hAnsi="Arial"/>
          <w:sz w:val="18"/>
          <w:szCs w:val="18"/>
          <w:u w:val="single" w:color="auto"/>
          <w:color w:val="auto"/>
        </w:rPr>
        <w:t>http://www.towerjazz.com/automotive.html</w:t>
      </w:r>
      <w:r>
        <w:rPr>
          <w:rFonts w:ascii="Arial" w:cs="Arial" w:eastAsia="Arial" w:hAnsi="Arial"/>
          <w:sz w:val="18"/>
          <w:szCs w:val="18"/>
          <w:color w:val="auto"/>
        </w:rPr>
        <w: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TowerJazz</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Regarding Forward-Looking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TowerJazz’s business is included under the heading "Risk Factors" in Tower’s most recent filings on Forms 20-F, F-3, F-4 and 6-K, as were filed with the Securities and Exchange Commission (the “SEC”) and the Israel Securities Authority and Jazz’s most recent filings on Forms 10-K and 10-Q, as were filed with the SEC, respectively. Tower and Jazz do not intend to update, and expressly disclaim any obligation to update, the information contained in this release.</w:t>
      </w:r>
    </w:p>
    <w:p>
      <w:pPr>
        <w:spacing w:after="0" w:line="19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Company Contact: </w:t>
      </w:r>
      <w:r>
        <w:rPr>
          <w:rFonts w:ascii="Arial" w:cs="Arial" w:eastAsia="Arial" w:hAnsi="Arial"/>
          <w:sz w:val="18"/>
          <w:szCs w:val="18"/>
          <w:color w:val="auto"/>
        </w:rPr>
        <w:t>Shoko Saimiya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Shoko.saimiya@towerjazz.com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TowerJazz Investor Relations Contact: </w:t>
      </w:r>
      <w:r>
        <w:rPr>
          <w:rFonts w:ascii="Arial" w:cs="Arial" w:eastAsia="Arial" w:hAnsi="Arial"/>
          <w:sz w:val="18"/>
          <w:szCs w:val="18"/>
          <w:color w:val="auto"/>
        </w:rPr>
        <w:t>Noit Levi | +972-4-604-7066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noit.levi@towerjazz.com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2019-12-06T02:46:23Z</dcterms:created>
  <dcterms:modified xsi:type="dcterms:W3CDTF">2019-12-06T02:46:23Z</dcterms:modified>
</cp:coreProperties>
</file>