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Mail Stop 6010</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February 10, 2006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Tower Semiconductor USA</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4300 Stevens Creek Blvd., Suite 175</w:t>
      </w:r>
    </w:p>
    <w:p>
      <w:pPr>
        <w:spacing w:after="0" w:line="238" w:lineRule="auto"/>
        <w:rPr>
          <w:sz w:val="20"/>
          <w:szCs w:val="20"/>
          <w:color w:val="auto"/>
        </w:rPr>
      </w:pPr>
      <w:r>
        <w:rPr>
          <w:rFonts w:ascii="Courier New" w:cs="Courier New" w:eastAsia="Courier New" w:hAnsi="Courier New"/>
          <w:sz w:val="18"/>
          <w:szCs w:val="18"/>
          <w:color w:val="auto"/>
        </w:rPr>
        <w:t>San Jose, CA 95129</w:t>
      </w:r>
    </w:p>
    <w:p>
      <w:pPr>
        <w:spacing w:after="0"/>
        <w:rPr>
          <w:sz w:val="20"/>
          <w:szCs w:val="20"/>
          <w:color w:val="auto"/>
        </w:rPr>
      </w:pPr>
      <w:r>
        <w:rPr>
          <w:rFonts w:ascii="Courier New" w:cs="Courier New" w:eastAsia="Courier New" w:hAnsi="Courier New"/>
          <w:sz w:val="18"/>
          <w:szCs w:val="18"/>
          <w:color w:val="auto"/>
        </w:rPr>
        <w:t>As Agent for Service of Tower Semiconductor Ltd.</w:t>
      </w:r>
    </w:p>
    <w:p>
      <w:pPr>
        <w:spacing w:after="0" w:line="169" w:lineRule="exact"/>
        <w:rPr>
          <w:sz w:val="24"/>
          <w:szCs w:val="24"/>
          <w:color w:val="auto"/>
        </w:rPr>
      </w:pPr>
    </w:p>
    <w:p>
      <w:pPr>
        <w:ind w:left="640"/>
        <w:spacing w:after="0"/>
        <w:tabs>
          <w:tab w:leader="none" w:pos="168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Tower Semiconductor Ltd.</w:t>
      </w:r>
    </w:p>
    <w:p>
      <w:pPr>
        <w:spacing w:after="0" w:line="2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Registration Statement on Form F-3</w:t>
      </w:r>
    </w:p>
    <w:p>
      <w:pPr>
        <w:ind w:left="640"/>
        <w:spacing w:after="0" w:line="238" w:lineRule="auto"/>
        <w:rPr>
          <w:sz w:val="20"/>
          <w:szCs w:val="20"/>
          <w:color w:val="auto"/>
        </w:rPr>
      </w:pPr>
      <w:r>
        <w:rPr>
          <w:rFonts w:ascii="Courier New" w:cs="Courier New" w:eastAsia="Courier New" w:hAnsi="Courier New"/>
          <w:sz w:val="18"/>
          <w:szCs w:val="18"/>
          <w:color w:val="auto"/>
        </w:rPr>
        <w:t>Filed January 26, 2006</w:t>
      </w:r>
    </w:p>
    <w:p>
      <w:pPr>
        <w:ind w:left="640"/>
        <w:spacing w:after="0"/>
        <w:rPr>
          <w:sz w:val="20"/>
          <w:szCs w:val="20"/>
          <w:color w:val="auto"/>
        </w:rPr>
      </w:pPr>
      <w:r>
        <w:rPr>
          <w:rFonts w:ascii="Courier New" w:cs="Courier New" w:eastAsia="Courier New" w:hAnsi="Courier New"/>
          <w:sz w:val="18"/>
          <w:szCs w:val="18"/>
          <w:color w:val="auto"/>
        </w:rPr>
        <w:t>File No. 333-131315</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Sir/Madam:</w:t>
      </w:r>
    </w:p>
    <w:p>
      <w:pPr>
        <w:spacing w:after="0" w:line="201" w:lineRule="exact"/>
        <w:rPr>
          <w:sz w:val="24"/>
          <w:szCs w:val="24"/>
          <w:color w:val="auto"/>
        </w:rPr>
      </w:pPr>
    </w:p>
    <w:p>
      <w:pPr>
        <w:ind w:right="3259" w:firstLine="632"/>
        <w:spacing w:after="0" w:line="250" w:lineRule="auto"/>
        <w:rPr>
          <w:sz w:val="20"/>
          <w:szCs w:val="20"/>
          <w:color w:val="auto"/>
        </w:rPr>
      </w:pPr>
      <w:r>
        <w:rPr>
          <w:rFonts w:ascii="Courier New" w:cs="Courier New" w:eastAsia="Courier New" w:hAnsi="Courier New"/>
          <w:sz w:val="18"/>
          <w:szCs w:val="18"/>
          <w:color w:val="auto"/>
        </w:rPr>
        <w:t>We have limited our review of your filing to those issues we have addressed in our comments. Where indicated, we think you should</w:t>
      </w:r>
    </w:p>
    <w:p>
      <w:pPr>
        <w:spacing w:after="0" w:line="3" w:lineRule="exact"/>
        <w:rPr>
          <w:sz w:val="24"/>
          <w:szCs w:val="24"/>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revise your document in response to these comments. If you disagree,</w:t>
      </w:r>
    </w:p>
    <w:p>
      <w:pPr>
        <w:spacing w:after="0" w:line="1" w:lineRule="exact"/>
        <w:rPr>
          <w:sz w:val="24"/>
          <w:szCs w:val="24"/>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we will consider your explanation as to why our comment is inapplicable or a revision is unnecessary. Please be as detailed as</w:t>
      </w:r>
    </w:p>
    <w:p>
      <w:pPr>
        <w:spacing w:after="0" w:line="1" w:lineRule="exact"/>
        <w:rPr>
          <w:sz w:val="24"/>
          <w:szCs w:val="24"/>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necessary in your explanation. In some of our comments, we may ask</w:t>
      </w:r>
    </w:p>
    <w:p>
      <w:pPr>
        <w:spacing w:after="0" w:line="1" w:lineRule="exact"/>
        <w:rPr>
          <w:sz w:val="24"/>
          <w:szCs w:val="24"/>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you to provide us with information so we may better understand your</w:t>
      </w:r>
    </w:p>
    <w:p>
      <w:pPr>
        <w:spacing w:after="0" w:line="1" w:lineRule="exact"/>
        <w:rPr>
          <w:sz w:val="24"/>
          <w:szCs w:val="24"/>
          <w:color w:val="auto"/>
        </w:rPr>
      </w:pPr>
    </w:p>
    <w:p>
      <w:pPr>
        <w:ind w:right="3999"/>
        <w:spacing w:after="0" w:line="309" w:lineRule="auto"/>
        <w:rPr>
          <w:sz w:val="20"/>
          <w:szCs w:val="20"/>
          <w:color w:val="auto"/>
        </w:rPr>
      </w:pPr>
      <w:r>
        <w:rPr>
          <w:rFonts w:ascii="Courier New" w:cs="Courier New" w:eastAsia="Courier New" w:hAnsi="Courier New"/>
          <w:sz w:val="18"/>
          <w:szCs w:val="18"/>
          <w:color w:val="auto"/>
        </w:rPr>
        <w:t>disclosure. After reviewing this information, we may raise additional comments.</w:t>
      </w:r>
    </w:p>
    <w:p>
      <w:pPr>
        <w:spacing w:after="0" w:line="51"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Please understand that the purpose of our review process is</w:t>
      </w:r>
    </w:p>
    <w:p>
      <w:pPr>
        <w:spacing w:after="0" w:line="5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w:t>
      </w:r>
    </w:p>
    <w:p>
      <w:pPr>
        <w:ind w:right="3259"/>
        <w:spacing w:after="0" w:line="238" w:lineRule="auto"/>
        <w:rPr>
          <w:sz w:val="20"/>
          <w:szCs w:val="20"/>
          <w:color w:val="auto"/>
        </w:rPr>
      </w:pPr>
      <w:r>
        <w:rPr>
          <w:rFonts w:ascii="Courier New" w:cs="Courier New" w:eastAsia="Courier New" w:hAnsi="Courier New"/>
          <w:sz w:val="18"/>
          <w:szCs w:val="18"/>
          <w:color w:val="auto"/>
        </w:rPr>
        <w:t>assist you in your compliance with the applicable disclosure requirements and to enhance the overall disclosure in your filing. We look forward to working with you in these respects. We welcome any questions you may have about our comments or any other aspect of</w:t>
      </w:r>
    </w:p>
    <w:p>
      <w:pPr>
        <w:spacing w:after="0" w:line="2" w:lineRule="exact"/>
        <w:rPr>
          <w:sz w:val="24"/>
          <w:szCs w:val="24"/>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our review. Feel free to call us at the telephone numbers listed at</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end of this letter.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9"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a view toward disclosure, please update as to the status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w:t>
      </w:r>
    </w:p>
    <w:p>
      <w:pPr>
        <w:ind w:right="357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your discussions with the Investment Center and your efforts to comply with the conditions of the Israeli government grants.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Selling Securityholders, page 17</w:t>
      </w:r>
    </w:p>
    <w:p>
      <w:pPr>
        <w:spacing w:after="0" w:line="31" w:lineRule="exact"/>
        <w:rPr>
          <w:sz w:val="24"/>
          <w:szCs w:val="24"/>
          <w:color w:val="auto"/>
        </w:rPr>
      </w:pPr>
    </w:p>
    <w:p>
      <w:pPr>
        <w:ind w:right="3359" w:firstLine="8"/>
        <w:spacing w:after="0" w:line="238"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disclosure in the first sentence on page 18 that certain selling shareholders may use this prospectus to "resell warrants" and the shares which may be issued upon their exercise. However, the Fee Table and the Exhibit 5.1 opinion make no reference</w:t>
      </w:r>
    </w:p>
    <w:p>
      <w:pPr>
        <w:spacing w:after="0" w:line="1" w:lineRule="exact"/>
        <w:rPr>
          <w:rFonts w:ascii="Courier New" w:cs="Courier New" w:eastAsia="Courier New" w:hAnsi="Courier New"/>
          <w:sz w:val="18"/>
          <w:szCs w:val="18"/>
          <w:color w:val="auto"/>
        </w:rPr>
      </w:pPr>
    </w:p>
    <w:p>
      <w:pPr>
        <w:ind w:right="32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the registration of warrants. If you intend to register the resale of these warrants, please revise your disclosure throughout the filing accordingly and obtain a revised opinion that reflects the</w:t>
      </w:r>
    </w:p>
    <w:p>
      <w:pPr>
        <w:spacing w:after="0" w:line="1" w:lineRule="exact"/>
        <w:rPr>
          <w:rFonts w:ascii="Courier New" w:cs="Courier New" w:eastAsia="Courier New" w:hAnsi="Courier New"/>
          <w:sz w:val="18"/>
          <w:szCs w:val="18"/>
          <w:color w:val="auto"/>
        </w:rPr>
      </w:pPr>
    </w:p>
    <w:p>
      <w:pPr>
        <w:ind w:right="33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of the warrants. Also include a brief discussion of how</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these shareholders acquired these securities.</w:t>
      </w:r>
    </w:p>
    <w:p>
      <w:pPr>
        <w:ind w:right="3579" w:firstLine="8"/>
        <w:spacing w:after="0" w:line="238"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disclose your material relationships with each of the selling shareholders during the past three years.</w:t>
      </w:r>
    </w:p>
    <w:p>
      <w:pPr>
        <w:ind w:right="3779" w:firstLine="8"/>
        <w:spacing w:after="0" w:line="238"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tell us whether any of the selling shareholders are broker-</w:t>
      </w:r>
    </w:p>
    <w:p>
      <w:pPr>
        <w:ind w:right="32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dealers or affiliates of a broker-dealer. Any selling shareholder who is a broker-dealer must be identified in the prospectus as an underwriter and is not eligible to rely on Rule 144 promulgated under</w:t>
      </w:r>
    </w:p>
    <w:p>
      <w:pPr>
        <w:spacing w:after="0" w:line="1" w:lineRule="exact"/>
        <w:rPr>
          <w:rFonts w:ascii="Courier New" w:cs="Courier New" w:eastAsia="Courier New" w:hAnsi="Courier New"/>
          <w:sz w:val="18"/>
          <w:szCs w:val="18"/>
          <w:color w:val="auto"/>
        </w:rPr>
      </w:pPr>
    </w:p>
    <w:p>
      <w:pPr>
        <w:ind w:right="33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Securities Act. In addition, each selling shareholder who is an</w:t>
      </w:r>
    </w:p>
    <w:p>
      <w:pPr>
        <w:ind w:right="33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of a broker-dealer must be identified in the prospectus as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 underwriter unless you disclose, if true, that:</w:t>
      </w:r>
    </w:p>
    <w:p>
      <w:pPr>
        <w:ind w:right="35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selling shareholder purchased the shares being registered for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resale in the ordinary course of business, and</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At the time of the purchase, the selling shareholder had no</w:t>
      </w:r>
    </w:p>
    <w:p>
      <w:pPr>
        <w:sectPr>
          <w:pgSz w:w="11900" w:h="16861" w:orient="portrait"/>
          <w:cols w:equalWidth="0" w:num="1">
            <w:col w:w="10219"/>
          </w:cols>
          <w:pgMar w:left="240" w:top="826" w:right="1440" w:bottom="0" w:gutter="0" w:footer="0" w:header="0"/>
        </w:sectPr>
      </w:pPr>
    </w:p>
    <w:bookmarkStart w:id="1" w:name="page2"/>
    <w:bookmarkEnd w:id="1"/>
    <w:p>
      <w:pPr>
        <w:ind w:right="3679"/>
        <w:spacing w:after="0" w:line="257" w:lineRule="auto"/>
        <w:rPr>
          <w:sz w:val="20"/>
          <w:szCs w:val="20"/>
          <w:color w:val="auto"/>
        </w:rPr>
      </w:pPr>
      <w:r>
        <w:rPr>
          <w:rFonts w:ascii="Courier New" w:cs="Courier New" w:eastAsia="Courier New" w:hAnsi="Courier New"/>
          <w:sz w:val="18"/>
          <w:szCs w:val="18"/>
          <w:color w:val="auto"/>
        </w:rPr>
        <w:t>agreements or understandings, directly or indirectly, with any person</w:t>
      </w:r>
    </w:p>
    <w:p>
      <w:pPr>
        <w:spacing w:after="0"/>
        <w:rPr>
          <w:sz w:val="20"/>
          <w:szCs w:val="20"/>
          <w:color w:val="auto"/>
        </w:rPr>
      </w:pPr>
      <w:r>
        <w:rPr>
          <w:rFonts w:ascii="Courier New" w:cs="Courier New" w:eastAsia="Courier New" w:hAnsi="Courier New"/>
          <w:sz w:val="18"/>
          <w:szCs w:val="18"/>
          <w:color w:val="auto"/>
        </w:rPr>
        <w:t>to distribute the securities.</w:t>
      </w:r>
    </w:p>
    <w:p>
      <w:pPr>
        <w:ind w:left="640"/>
        <w:spacing w:after="0" w:line="238" w:lineRule="auto"/>
        <w:rPr>
          <w:sz w:val="20"/>
          <w:szCs w:val="20"/>
          <w:color w:val="auto"/>
        </w:rPr>
      </w:pPr>
      <w:r>
        <w:rPr>
          <w:rFonts w:ascii="Courier New" w:cs="Courier New" w:eastAsia="Courier New" w:hAnsi="Courier New"/>
          <w:sz w:val="18"/>
          <w:szCs w:val="18"/>
          <w:color w:val="auto"/>
        </w:rPr>
        <w:t>Please revise accordingly.</w:t>
      </w:r>
    </w:p>
    <w:p>
      <w:pPr>
        <w:ind w:right="3479" w:firstLine="8"/>
        <w:spacing w:after="0" w:line="309"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identify the natural persons that beneficially own the securities held by the entities named in the table.</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Undertakings</w:t>
      </w:r>
    </w:p>
    <w:p>
      <w:pPr>
        <w:spacing w:after="0" w:line="31" w:lineRule="exact"/>
        <w:rPr>
          <w:sz w:val="20"/>
          <w:szCs w:val="20"/>
          <w:color w:val="auto"/>
        </w:rPr>
      </w:pPr>
    </w:p>
    <w:p>
      <w:pPr>
        <w:ind w:right="3779" w:firstLine="8"/>
        <w:spacing w:after="0" w:line="309"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include the undertaking set forth in Item 512(a) of Regulation S-K, as revised by Release 33-8591.</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Closing Comments</w:t>
      </w:r>
    </w:p>
    <w:p>
      <w:pPr>
        <w:spacing w:after="0" w:line="201" w:lineRule="exact"/>
        <w:rPr>
          <w:sz w:val="20"/>
          <w:szCs w:val="20"/>
          <w:color w:val="auto"/>
        </w:rPr>
      </w:pPr>
    </w:p>
    <w:p>
      <w:pPr>
        <w:ind w:right="3359" w:firstLine="632"/>
        <w:spacing w:after="0" w:line="250" w:lineRule="auto"/>
        <w:rPr>
          <w:sz w:val="20"/>
          <w:szCs w:val="20"/>
          <w:color w:val="auto"/>
        </w:rPr>
      </w:pPr>
      <w:r>
        <w:rPr>
          <w:rFonts w:ascii="Courier New" w:cs="Courier New" w:eastAsia="Courier New" w:hAnsi="Courier New"/>
          <w:sz w:val="18"/>
          <w:szCs w:val="18"/>
          <w:color w:val="auto"/>
        </w:rPr>
        <w:t>As appropriate, please amend your registration statement in response to these comments. You may wish to provide us with marked</w:t>
      </w:r>
    </w:p>
    <w:p>
      <w:pPr>
        <w:spacing w:after="0" w:line="3"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copies of the amendment to expedite our review. Please furnish a cover letter with your amendment that keys your responses to our comments and provides any requested information. Detailed cover letters greatly facilitate our review. Please understand that we may</w:t>
      </w:r>
    </w:p>
    <w:p>
      <w:pPr>
        <w:spacing w:after="0" w:line="2"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have additional comments after reviewing your amendment and responses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our comments.</w:t>
      </w:r>
    </w:p>
    <w:p>
      <w:pPr>
        <w:spacing w:after="0" w:line="169" w:lineRule="exact"/>
        <w:rPr>
          <w:sz w:val="20"/>
          <w:szCs w:val="20"/>
          <w:color w:val="auto"/>
        </w:rPr>
      </w:pPr>
    </w:p>
    <w:p>
      <w:pPr>
        <w:ind w:right="3259" w:firstLine="632"/>
        <w:spacing w:after="0" w:line="247" w:lineRule="auto"/>
        <w:rPr>
          <w:sz w:val="20"/>
          <w:szCs w:val="20"/>
          <w:color w:val="auto"/>
        </w:rPr>
      </w:pPr>
      <w:r>
        <w:rPr>
          <w:rFonts w:ascii="Courier New" w:cs="Courier New" w:eastAsia="Courier New" w:hAnsi="Courier New"/>
          <w:sz w:val="18"/>
          <w:szCs w:val="18"/>
          <w:color w:val="auto"/>
        </w:rPr>
        <w:t>We urge all persons who are responsible for the accuracy and adequacy of the disclosure in the filing to be certain that the filing includes all information required under the Securities Act of</w:t>
      </w:r>
    </w:p>
    <w:p>
      <w:pPr>
        <w:spacing w:after="0" w:line="3"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8"/>
          <w:szCs w:val="18"/>
          <w:color w:val="auto"/>
        </w:rPr>
        <w:t>1933 and that they have provided all information investors require for an informed investment decision. Since the company and its management are in possession of all facts relating to a company`s disclosure, they are responsible for the accuracy and adequacy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disclosures they have made.</w:t>
      </w:r>
    </w:p>
    <w:p>
      <w:pPr>
        <w:spacing w:after="0" w:line="169" w:lineRule="exact"/>
        <w:rPr>
          <w:sz w:val="20"/>
          <w:szCs w:val="20"/>
          <w:color w:val="auto"/>
        </w:rPr>
      </w:pPr>
    </w:p>
    <w:p>
      <w:pPr>
        <w:ind w:right="3899" w:firstLine="632"/>
        <w:spacing w:after="0" w:line="257" w:lineRule="auto"/>
        <w:rPr>
          <w:sz w:val="20"/>
          <w:szCs w:val="20"/>
          <w:color w:val="auto"/>
        </w:rPr>
      </w:pPr>
      <w:r>
        <w:rPr>
          <w:rFonts w:ascii="Courier New" w:cs="Courier New" w:eastAsia="Courier New" w:hAnsi="Courier New"/>
          <w:sz w:val="18"/>
          <w:szCs w:val="18"/>
          <w:color w:val="auto"/>
        </w:rPr>
        <w:t>Notwithstanding our comments, in the event the company requests</w:t>
      </w:r>
    </w:p>
    <w:p>
      <w:pPr>
        <w:spacing w:after="0"/>
        <w:rPr>
          <w:sz w:val="20"/>
          <w:szCs w:val="20"/>
          <w:color w:val="auto"/>
        </w:rPr>
      </w:pPr>
      <w:r>
        <w:rPr>
          <w:rFonts w:ascii="Courier New" w:cs="Courier New" w:eastAsia="Courier New" w:hAnsi="Courier New"/>
          <w:sz w:val="18"/>
          <w:szCs w:val="18"/>
          <w:color w:val="auto"/>
        </w:rPr>
        <w:t>acceleration of the effective date of the pending registration</w:t>
      </w:r>
    </w:p>
    <w:p>
      <w:pPr>
        <w:spacing w:after="0" w:line="238" w:lineRule="auto"/>
        <w:rPr>
          <w:sz w:val="20"/>
          <w:szCs w:val="20"/>
          <w:color w:val="auto"/>
        </w:rPr>
      </w:pPr>
      <w:r>
        <w:rPr>
          <w:rFonts w:ascii="Courier New" w:cs="Courier New" w:eastAsia="Courier New" w:hAnsi="Courier New"/>
          <w:sz w:val="18"/>
          <w:szCs w:val="18"/>
          <w:color w:val="auto"/>
        </w:rPr>
        <w:t>statement, it should furnish a letter, at the time of such</w:t>
      </w:r>
    </w:p>
    <w:p>
      <w:pPr>
        <w:spacing w:after="0"/>
        <w:rPr>
          <w:sz w:val="20"/>
          <w:szCs w:val="20"/>
          <w:color w:val="auto"/>
        </w:rPr>
      </w:pPr>
      <w:r>
        <w:rPr>
          <w:rFonts w:ascii="Courier New" w:cs="Courier New" w:eastAsia="Courier New" w:hAnsi="Courier New"/>
          <w:sz w:val="18"/>
          <w:szCs w:val="18"/>
          <w:color w:val="auto"/>
        </w:rPr>
        <w:t>request,</w:t>
      </w:r>
    </w:p>
    <w:p>
      <w:pPr>
        <w:spacing w:after="0"/>
        <w:rPr>
          <w:sz w:val="20"/>
          <w:szCs w:val="20"/>
          <w:color w:val="auto"/>
        </w:rPr>
      </w:pPr>
      <w:r>
        <w:rPr>
          <w:rFonts w:ascii="Courier New" w:cs="Courier New" w:eastAsia="Courier New" w:hAnsi="Courier New"/>
          <w:sz w:val="18"/>
          <w:szCs w:val="18"/>
          <w:color w:val="auto"/>
        </w:rPr>
        <w:t>acknowledging that:</w:t>
      </w:r>
    </w:p>
    <w:p>
      <w:pPr>
        <w:spacing w:after="0" w:line="169" w:lineRule="exact"/>
        <w:rPr>
          <w:sz w:val="20"/>
          <w:szCs w:val="20"/>
          <w:color w:val="auto"/>
        </w:rPr>
      </w:pPr>
    </w:p>
    <w:p>
      <w:pPr>
        <w:ind w:right="3679" w:firstLine="8"/>
        <w:spacing w:after="0" w:line="25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should the Commission or the staff, acting pursuant to delegated</w:t>
      </w:r>
    </w:p>
    <w:p>
      <w:pPr>
        <w:ind w:right="325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authority, declare the filing effective, it does not foreclose the Commission from taking any action with respect to the filing;</w:t>
      </w:r>
    </w:p>
    <w:p>
      <w:pPr>
        <w:spacing w:after="0" w:line="4" w:lineRule="exact"/>
        <w:rPr>
          <w:rFonts w:ascii="Courier New" w:cs="Courier New" w:eastAsia="Courier New" w:hAnsi="Courier New"/>
          <w:sz w:val="18"/>
          <w:szCs w:val="18"/>
          <w:color w:val="auto"/>
        </w:rPr>
      </w:pPr>
    </w:p>
    <w:p>
      <w:pPr>
        <w:ind w:right="2939" w:firstLine="8"/>
        <w:spacing w:after="0" w:line="24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action of the Commission or the staff, acting pursuant to delegated authority, in declaring the filing effective, does not relieve the company from its full responsibility for the adequacy and</w:t>
      </w:r>
    </w:p>
    <w:p>
      <w:pPr>
        <w:spacing w:after="0" w:line="2"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accuracy of the disclosure in the filing; and</w:t>
      </w:r>
    </w:p>
    <w:p>
      <w:pPr>
        <w:spacing w:after="0" w:line="169"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not assert staff comments and the declaration</w:t>
      </w:r>
    </w:p>
    <w:p>
      <w:pPr>
        <w:spacing w:after="0" w:line="53"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w:t>
      </w:r>
    </w:p>
    <w:p>
      <w:pPr>
        <w:ind w:right="3359"/>
        <w:spacing w:after="0" w:line="273"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effectiveness as a defense in any proceeding initiated by the Commission or any person under the federal securities laws of the United States.</w:t>
      </w:r>
    </w:p>
    <w:p>
      <w:pPr>
        <w:spacing w:after="0" w:line="82" w:lineRule="exact"/>
        <w:rPr>
          <w:sz w:val="20"/>
          <w:szCs w:val="20"/>
          <w:color w:val="auto"/>
        </w:rPr>
      </w:pPr>
    </w:p>
    <w:p>
      <w:pPr>
        <w:ind w:right="3999" w:firstLine="843"/>
        <w:spacing w:after="0" w:line="257" w:lineRule="auto"/>
        <w:rPr>
          <w:sz w:val="20"/>
          <w:szCs w:val="20"/>
          <w:color w:val="auto"/>
        </w:rPr>
      </w:pPr>
      <w:r>
        <w:rPr>
          <w:rFonts w:ascii="Courier New" w:cs="Courier New" w:eastAsia="Courier New" w:hAnsi="Courier New"/>
          <w:sz w:val="18"/>
          <w:szCs w:val="18"/>
          <w:color w:val="auto"/>
        </w:rPr>
        <w:t>In addition, please be advised that the Division of Enforcement</w:t>
      </w:r>
    </w:p>
    <w:p>
      <w:pPr>
        <w:ind w:right="3479"/>
        <w:spacing w:after="0" w:line="238" w:lineRule="auto"/>
        <w:rPr>
          <w:sz w:val="20"/>
          <w:szCs w:val="20"/>
          <w:color w:val="auto"/>
        </w:rPr>
      </w:pPr>
      <w:r>
        <w:rPr>
          <w:rFonts w:ascii="Courier New" w:cs="Courier New" w:eastAsia="Courier New" w:hAnsi="Courier New"/>
          <w:sz w:val="18"/>
          <w:szCs w:val="18"/>
          <w:color w:val="auto"/>
        </w:rPr>
        <w:t>has access to all information you provide to the staff of the Division of Corporation Finance in connection with our review of your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filing or in response to our comments on your filing.</w:t>
      </w:r>
    </w:p>
    <w:p>
      <w:pPr>
        <w:spacing w:after="0" w:line="169" w:lineRule="exact"/>
        <w:rPr>
          <w:sz w:val="20"/>
          <w:szCs w:val="20"/>
          <w:color w:val="auto"/>
        </w:rPr>
      </w:pPr>
    </w:p>
    <w:p>
      <w:pPr>
        <w:jc w:val="both"/>
        <w:ind w:right="3479" w:firstLine="632"/>
        <w:spacing w:after="0" w:line="250" w:lineRule="auto"/>
        <w:rPr>
          <w:sz w:val="20"/>
          <w:szCs w:val="20"/>
          <w:color w:val="auto"/>
        </w:rPr>
      </w:pPr>
      <w:r>
        <w:rPr>
          <w:rFonts w:ascii="Courier New" w:cs="Courier New" w:eastAsia="Courier New" w:hAnsi="Courier New"/>
          <w:sz w:val="18"/>
          <w:szCs w:val="18"/>
          <w:color w:val="auto"/>
        </w:rPr>
        <w:t>We will consider a written request for acceleration of the effective date of the registration statement as confirmation of the</w:t>
      </w:r>
    </w:p>
    <w:p>
      <w:pPr>
        <w:spacing w:after="0" w:line="3" w:lineRule="exact"/>
        <w:rPr>
          <w:sz w:val="20"/>
          <w:szCs w:val="20"/>
          <w:color w:val="auto"/>
        </w:rPr>
      </w:pPr>
    </w:p>
    <w:p>
      <w:pPr>
        <w:ind w:right="4099"/>
        <w:spacing w:after="0" w:line="238" w:lineRule="auto"/>
        <w:rPr>
          <w:sz w:val="20"/>
          <w:szCs w:val="20"/>
          <w:color w:val="auto"/>
        </w:rPr>
      </w:pPr>
      <w:r>
        <w:rPr>
          <w:rFonts w:ascii="Courier New" w:cs="Courier New" w:eastAsia="Courier New" w:hAnsi="Courier New"/>
          <w:sz w:val="18"/>
          <w:szCs w:val="18"/>
          <w:color w:val="auto"/>
        </w:rPr>
        <w:t>fact that those requesting acceleration are aware of their respective</w:t>
      </w:r>
    </w:p>
    <w:p>
      <w:pPr>
        <w:spacing w:after="0" w:line="1"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responsibilities under the Securities Act of 1933 and the Securities</w:t>
      </w:r>
    </w:p>
    <w:p>
      <w:pPr>
        <w:spacing w:after="0" w:line="1" w:lineRule="exact"/>
        <w:rPr>
          <w:sz w:val="20"/>
          <w:szCs w:val="20"/>
          <w:color w:val="auto"/>
        </w:rPr>
      </w:pPr>
    </w:p>
    <w:p>
      <w:pPr>
        <w:ind w:right="4099"/>
        <w:spacing w:after="0" w:line="238" w:lineRule="auto"/>
        <w:rPr>
          <w:sz w:val="20"/>
          <w:szCs w:val="20"/>
          <w:color w:val="auto"/>
        </w:rPr>
      </w:pPr>
      <w:r>
        <w:rPr>
          <w:rFonts w:ascii="Courier New" w:cs="Courier New" w:eastAsia="Courier New" w:hAnsi="Courier New"/>
          <w:sz w:val="18"/>
          <w:szCs w:val="18"/>
          <w:color w:val="auto"/>
        </w:rPr>
        <w:t>Exchange Act of 1934 as they relate to the proposed public offering</w:t>
      </w:r>
    </w:p>
    <w:p>
      <w:pPr>
        <w:spacing w:after="0"/>
        <w:rPr>
          <w:sz w:val="20"/>
          <w:szCs w:val="20"/>
          <w:color w:val="auto"/>
        </w:rPr>
      </w:pPr>
      <w:r>
        <w:rPr>
          <w:rFonts w:ascii="Courier New" w:cs="Courier New" w:eastAsia="Courier New" w:hAnsi="Courier New"/>
          <w:sz w:val="18"/>
          <w:szCs w:val="18"/>
          <w:color w:val="auto"/>
        </w:rPr>
        <w:t>of the securities specified in the above registration statement.</w:t>
      </w:r>
    </w:p>
    <w:p>
      <w:pPr>
        <w:spacing w:after="0" w:line="238" w:lineRule="auto"/>
        <w:rPr>
          <w:sz w:val="20"/>
          <w:szCs w:val="20"/>
          <w:color w:val="auto"/>
        </w:rPr>
      </w:pPr>
      <w:r>
        <w:rPr>
          <w:rFonts w:ascii="Courier New" w:cs="Courier New" w:eastAsia="Courier New" w:hAnsi="Courier New"/>
          <w:sz w:val="18"/>
          <w:szCs w:val="18"/>
          <w:color w:val="auto"/>
        </w:rPr>
        <w:t>We</w:t>
      </w:r>
    </w:p>
    <w:p>
      <w:pPr>
        <w:spacing w:after="0"/>
        <w:rPr>
          <w:sz w:val="20"/>
          <w:szCs w:val="20"/>
          <w:color w:val="auto"/>
        </w:rPr>
      </w:pPr>
      <w:r>
        <w:rPr>
          <w:rFonts w:ascii="Courier New" w:cs="Courier New" w:eastAsia="Courier New" w:hAnsi="Courier New"/>
          <w:sz w:val="18"/>
          <w:szCs w:val="18"/>
          <w:color w:val="auto"/>
        </w:rPr>
        <w:t>will act on the request and, pursuant to delegated authority,</w:t>
      </w:r>
    </w:p>
    <w:p>
      <w:pPr>
        <w:sectPr>
          <w:pgSz w:w="11900" w:h="16838" w:orient="portrait"/>
          <w:cols w:equalWidth="0" w:num="1">
            <w:col w:w="10219"/>
          </w:cols>
          <w:pgMar w:left="240" w:top="110"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grant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acceleration of the effective date.</w:t>
      </w:r>
    </w:p>
    <w:p>
      <w:pPr>
        <w:spacing w:after="0" w:line="169" w:lineRule="exact"/>
        <w:rPr>
          <w:sz w:val="20"/>
          <w:szCs w:val="20"/>
          <w:color w:val="auto"/>
        </w:rPr>
      </w:pPr>
    </w:p>
    <w:p>
      <w:pPr>
        <w:ind w:right="3259" w:firstLine="632"/>
        <w:spacing w:after="0" w:line="260" w:lineRule="auto"/>
        <w:rPr>
          <w:sz w:val="20"/>
          <w:szCs w:val="20"/>
          <w:color w:val="auto"/>
        </w:rPr>
      </w:pPr>
      <w:r>
        <w:rPr>
          <w:rFonts w:ascii="Courier New" w:cs="Courier New" w:eastAsia="Courier New" w:hAnsi="Courier New"/>
          <w:sz w:val="18"/>
          <w:szCs w:val="18"/>
          <w:color w:val="auto"/>
        </w:rPr>
        <w:t>We direct your attention to Rules 460 and 461 regarding requesting acceleration of a registration statement. Please allow adequate time after the filing of any amendment for further review before submitting a request for acceleration. Please provide this request at least two business days in advance of the requested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Please contact Adelaja Heyliger at (202) 551-3636 or me at</w:t>
      </w:r>
    </w:p>
    <w:p>
      <w:pPr>
        <w:spacing w:after="0" w:line="31" w:lineRule="exact"/>
        <w:rPr>
          <w:sz w:val="20"/>
          <w:szCs w:val="20"/>
          <w:color w:val="auto"/>
        </w:rPr>
      </w:pPr>
    </w:p>
    <w:p>
      <w:pPr>
        <w:ind w:left="640" w:right="6639" w:hanging="632"/>
        <w:spacing w:after="0" w:line="547"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551-3800 with any questions. Sincerely,</w:t>
      </w:r>
    </w:p>
    <w:p>
      <w:pPr>
        <w:spacing w:after="0" w:line="254" w:lineRule="exact"/>
        <w:rPr>
          <w:sz w:val="20"/>
          <w:szCs w:val="20"/>
          <w:color w:val="auto"/>
        </w:rPr>
      </w:pPr>
    </w:p>
    <w:p>
      <w:pPr>
        <w:ind w:left="6760"/>
        <w:spacing w:after="0"/>
        <w:rPr>
          <w:sz w:val="20"/>
          <w:szCs w:val="20"/>
          <w:color w:val="auto"/>
        </w:rPr>
      </w:pPr>
      <w:r>
        <w:rPr>
          <w:rFonts w:ascii="Courier New" w:cs="Courier New" w:eastAsia="Courier New" w:hAnsi="Courier New"/>
          <w:sz w:val="18"/>
          <w:szCs w:val="18"/>
          <w:color w:val="auto"/>
        </w:rPr>
        <w:t>Peggy A. Fisher</w:t>
      </w:r>
    </w:p>
    <w:p>
      <w:pPr>
        <w:spacing w:after="0" w:line="31" w:lineRule="exact"/>
        <w:rPr>
          <w:sz w:val="20"/>
          <w:szCs w:val="20"/>
          <w:color w:val="auto"/>
        </w:rPr>
      </w:pPr>
    </w:p>
    <w:p>
      <w:pPr>
        <w:ind w:left="6760"/>
        <w:spacing w:after="0"/>
        <w:rPr>
          <w:sz w:val="20"/>
          <w:szCs w:val="20"/>
          <w:color w:val="auto"/>
        </w:rPr>
      </w:pPr>
      <w:r>
        <w:rPr>
          <w:rFonts w:ascii="Courier New" w:cs="Courier New" w:eastAsia="Courier New" w:hAnsi="Courier New"/>
          <w:sz w:val="16"/>
          <w:szCs w:val="16"/>
          <w:color w:val="auto"/>
        </w:rPr>
        <w:t>Assistant Director</w:t>
      </w:r>
    </w:p>
    <w:p>
      <w:pPr>
        <w:spacing w:after="0" w:line="192" w:lineRule="exact"/>
        <w:rPr>
          <w:sz w:val="20"/>
          <w:szCs w:val="20"/>
          <w:color w:val="auto"/>
        </w:rPr>
      </w:pPr>
    </w:p>
    <w:p>
      <w:pPr>
        <w:ind w:left="860" w:right="6419" w:hanging="852"/>
        <w:spacing w:after="0" w:line="292" w:lineRule="auto"/>
        <w:tabs>
          <w:tab w:leader="none" w:pos="33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(via fax): Sheldon Krause, Esq. Eilenberg &amp; Krause LLP 212.986.2399</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USA</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Agent for Service of Tower Semiconductor Ltd.</w:t>
      </w:r>
    </w:p>
    <w:p>
      <w:pPr>
        <w:spacing w:after="0" w:line="238" w:lineRule="auto"/>
        <w:rPr>
          <w:sz w:val="20"/>
          <w:szCs w:val="20"/>
          <w:color w:val="auto"/>
        </w:rPr>
      </w:pPr>
      <w:r>
        <w:rPr>
          <w:rFonts w:ascii="Courier New" w:cs="Courier New" w:eastAsia="Courier New" w:hAnsi="Courier New"/>
          <w:sz w:val="18"/>
          <w:szCs w:val="18"/>
          <w:color w:val="auto"/>
        </w:rPr>
        <w:t>February 10, 2006</w:t>
      </w:r>
    </w:p>
    <w:p>
      <w:pPr>
        <w:spacing w:after="0"/>
        <w:rPr>
          <w:sz w:val="20"/>
          <w:szCs w:val="20"/>
          <w:color w:val="auto"/>
        </w:rPr>
      </w:pPr>
      <w:r>
        <w:rPr>
          <w:rFonts w:ascii="Courier New" w:cs="Courier New" w:eastAsia="Courier New" w:hAnsi="Courier New"/>
          <w:sz w:val="18"/>
          <w:szCs w:val="18"/>
          <w:color w:val="auto"/>
        </w:rPr>
        <w:t>Page 1</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1."/>
      <w:numFmt w:val="decimal"/>
      <w:start w:val="6"/>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202"/>
    </w:lvl>
  </w:abstractNum>
  <w:abstractNum w:abstractNumId="6">
    <w:nsid w:val="41B71EF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2019-12-14T04:16:26Z</dcterms:created>
  <dcterms:modified xsi:type="dcterms:W3CDTF">2019-12-14T04:16:26Z</dcterms:modified>
</cp:coreProperties>
</file>