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559166103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559166103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7,297,497.00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7,489,618.00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7,489,618.00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74" w:orient="portrait"/>
          <w:cols w:equalWidth="0" w:num="2">
            <w:col w:w="1100" w:space="60"/>
            <w:col w:w="9820"/>
          </w:cols>
          <w:pgMar w:left="320" w:top="0" w:right="5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and (9), please see Item 4. Row (11) is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111,069,860 Ordinary Shares issued and outstanding as of May 31, 2024 (as reported by the Issuer in Exhibit 99.1 to its Report on Form 6-K filed with the Securities and Exchange Commission on June 20,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 Aba Hillel Street, Ramat Gan 52118,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559166103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74" w:orient="portrait"/>
          <w:cols w:equalWidth="0" w:num="1">
            <w:col w:w="10980"/>
          </w:cols>
          <w:pgMar w:left="320" w:top="0" w:right="5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39" w:right="399" w:bottom="0" w:gutter="0" w:footer="0" w:header="0"/>
        </w:sectPr>
      </w:pPr>
    </w:p>
    <w:p>
      <w:pPr>
        <w:spacing w:after="0" w:line="33"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Of the 7,489,618 Ordinary Shares reported in this Statement as beneficially owned by the Reporting Person, (i) 7,095,856 Ordinary Shares are held for members of the public through, among others, provident funds and/or mutual funds and/or pension funds and/or insurance policies and/or exchange traded funds, which are managed by</w:t>
      </w:r>
    </w:p>
    <w:p>
      <w:pPr>
        <w:ind w:left="920" w:right="20" w:hanging="912"/>
        <w:spacing w:after="0" w:line="204"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subsidiaries of the Reporting Person, each of which subsidiaries operates under independent management and makes independent voting and investment decisions, (ii) 192,121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201,641 Ordinary Shares are beneficially held for its own account. Consequently, this Statement shall not be construed as an admission by the Reporting Person that it is the beneficial owner of more than 201,641 Ordinary Shares covered by this Statement.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of the Reporting Person above.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39"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of the Reporting Person above and note in Item 4 above.</w:t>
      </w:r>
    </w:p>
    <w:p>
      <w:pPr>
        <w:spacing w:after="0" w:line="287" w:lineRule="exact"/>
        <w:rPr>
          <w:sz w:val="20"/>
          <w:szCs w:val="20"/>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of the Reporting Person above and note in Item 4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39" w:right="399" w:bottom="0" w:gutter="0" w:footer="0" w:header="0"/>
          <w:type w:val="continuous"/>
        </w:sectPr>
      </w:pPr>
    </w:p>
    <w:bookmarkStart w:id="3" w:name="page4"/>
    <w:bookmarkEnd w:id="3"/>
    <w:p>
      <w:pPr>
        <w:jc w:val="right"/>
        <w:ind w:right="519"/>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Alon Kaufman</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Alon Kaufman/Vice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2025-01-27T05:07:02Z</dcterms:created>
  <dcterms:modified xsi:type="dcterms:W3CDTF">2025-01-27T05:07:02Z</dcterms:modified>
</cp:coreProperties>
</file>