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INFORMATION TO BE INCLUDED IN STATEMENTS FILED PURSUANT TO RULES 13d-1(b), (c) AND</w:t>
      </w:r>
    </w:p>
    <w:p>
      <w:pPr>
        <w:spacing w:after="0" w:line="8" w:lineRule="exact"/>
        <w:rPr>
          <w:sz w:val="24"/>
          <w:szCs w:val="24"/>
          <w:color w:val="auto"/>
        </w:rPr>
      </w:pPr>
    </w:p>
    <w:p>
      <w:pPr>
        <w:ind w:left="2420" w:hanging="284"/>
        <w:spacing w:after="0"/>
        <w:tabs>
          <w:tab w:leader="none" w:pos="2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AND AMENDMENTS THERETO FILED PURSUANT TO RULE 13d-2(b)</w:t>
      </w:r>
    </w:p>
    <w:p>
      <w:pPr>
        <w:spacing w:after="0" w:line="215" w:lineRule="exact"/>
        <w:rPr>
          <w:rFonts w:ascii="Arial" w:cs="Arial" w:eastAsia="Arial" w:hAnsi="Arial"/>
          <w:sz w:val="22"/>
          <w:szCs w:val="22"/>
          <w:color w:val="auto"/>
        </w:rPr>
      </w:pPr>
    </w:p>
    <w:p>
      <w:pPr>
        <w:ind w:left="3120"/>
        <w:spacing w:after="0"/>
        <w:rPr>
          <w:rFonts w:ascii="Arial" w:cs="Arial" w:eastAsia="Arial" w:hAnsi="Arial"/>
          <w:sz w:val="22"/>
          <w:szCs w:val="22"/>
          <w:color w:val="auto"/>
        </w:rPr>
      </w:pPr>
      <w:r>
        <w:rPr>
          <w:rFonts w:ascii="Arial" w:cs="Arial" w:eastAsia="Arial" w:hAnsi="Arial"/>
          <w:sz w:val="22"/>
          <w:szCs w:val="22"/>
          <w:color w:val="auto"/>
        </w:rPr>
        <w:t>UNDER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wp:posOffset>
            </wp:positionV>
            <wp:extent cx="23831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following box to designate the rule pursuant to which the Schedule is filed:</w:t>
      </w:r>
    </w:p>
    <w:p>
      <w:pPr>
        <w:spacing w:after="0" w:line="24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7"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7" w:lineRule="exact"/>
        <w:rPr>
          <w:sz w:val="24"/>
          <w:szCs w:val="24"/>
          <w:color w:val="auto"/>
        </w:rPr>
      </w:pPr>
    </w:p>
    <w:p>
      <w:pPr>
        <w:ind w:left="900" w:hanging="244"/>
        <w:spacing w:after="0"/>
        <w:tabs>
          <w:tab w:leader="none" w:pos="900" w:val="left"/>
        </w:tabs>
        <w:numPr>
          <w:ilvl w:val="1"/>
          <w:numId w:val="4"/>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40" w:lineRule="exact"/>
        <w:rPr>
          <w:rFonts w:ascii="MS PGothic" w:cs="MS PGothic" w:eastAsia="MS PGothic" w:hAnsi="MS PGothic"/>
          <w:sz w:val="22"/>
          <w:szCs w:val="22"/>
          <w:color w:val="auto"/>
        </w:rPr>
      </w:pPr>
    </w:p>
    <w:p>
      <w:pPr>
        <w:ind w:left="340" w:hanging="324"/>
        <w:spacing w:after="0" w:line="277" w:lineRule="auto"/>
        <w:rPr>
          <w:rFonts w:ascii="MS PGothic" w:cs="MS PGothic" w:eastAsia="MS PGothic" w:hAnsi="MS PGothic"/>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0" w:lineRule="exact"/>
        <w:rPr>
          <w:sz w:val="24"/>
          <w:szCs w:val="24"/>
          <w:color w:val="auto"/>
        </w:rPr>
      </w:pPr>
    </w:p>
    <w:p>
      <w:pPr>
        <w:jc w:val="both"/>
        <w:ind w:left="34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u w:val="single" w:color="auto"/>
          <w:color w:val="auto"/>
        </w:rPr>
        <w:t>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6129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29020"/>
                    </a:xfrm>
                    <a:prstGeom prst="rect">
                      <a:avLst/>
                    </a:prstGeom>
                    <a:noFill/>
                  </pic:spPr>
                </pic:pic>
              </a:graphicData>
            </a:graphic>
          </wp:anchor>
        </w:drawing>
      </w:r>
    </w:p>
    <w:p>
      <w:pPr>
        <w:spacing w:after="0" w:line="218" w:lineRule="exact"/>
        <w:rPr>
          <w:sz w:val="20"/>
          <w:szCs w:val="20"/>
          <w:color w:val="auto"/>
        </w:rPr>
      </w:pPr>
    </w:p>
    <w:p>
      <w:pPr>
        <w:ind w:left="860" w:hanging="513"/>
        <w:spacing w:after="0"/>
        <w:tabs>
          <w:tab w:leader="none" w:pos="8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Name of Reporting Persons</w:t>
      </w:r>
    </w:p>
    <w:p>
      <w:pPr>
        <w:spacing w:after="0" w:line="201" w:lineRule="exact"/>
        <w:rPr>
          <w:rFonts w:ascii="Arial" w:cs="Arial" w:eastAsia="Arial" w:hAnsi="Arial"/>
          <w:sz w:val="29"/>
          <w:szCs w:val="29"/>
          <w:color w:val="auto"/>
          <w:vertAlign w:val="superscript"/>
        </w:rPr>
      </w:pPr>
    </w:p>
    <w:p>
      <w:pPr>
        <w:ind w:left="860"/>
        <w:spacing w:after="0"/>
        <w:rPr>
          <w:rFonts w:ascii="Arial" w:cs="Arial" w:eastAsia="Arial" w:hAnsi="Arial"/>
          <w:sz w:val="29"/>
          <w:szCs w:val="29"/>
          <w:color w:val="auto"/>
          <w:vertAlign w:val="superscript"/>
        </w:rPr>
      </w:pPr>
      <w:r>
        <w:rPr>
          <w:rFonts w:ascii="Arial" w:cs="Arial" w:eastAsia="Arial" w:hAnsi="Arial"/>
          <w:sz w:val="18"/>
          <w:szCs w:val="18"/>
          <w:color w:val="auto"/>
        </w:rPr>
        <w:t>Harel Insurance Investments &amp; Financial Services Ltd.</w:t>
      </w:r>
    </w:p>
    <w:p>
      <w:pPr>
        <w:spacing w:after="0" w:line="67" w:lineRule="exact"/>
        <w:rPr>
          <w:rFonts w:ascii="Arial" w:cs="Arial" w:eastAsia="Arial" w:hAnsi="Arial"/>
          <w:sz w:val="29"/>
          <w:szCs w:val="29"/>
          <w:color w:val="auto"/>
          <w:vertAlign w:val="superscript"/>
        </w:rPr>
      </w:pPr>
    </w:p>
    <w:p>
      <w:pPr>
        <w:ind w:left="860" w:hanging="513"/>
        <w:spacing w:after="0"/>
        <w:tabs>
          <w:tab w:leader="none" w:pos="8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Check the Appropriate Box if a Member of a Group</w:t>
      </w:r>
    </w:p>
    <w:p>
      <w:pPr>
        <w:spacing w:after="0" w:line="1" w:lineRule="exact"/>
        <w:rPr>
          <w:rFonts w:ascii="Arial" w:cs="Arial" w:eastAsia="Arial" w:hAnsi="Arial"/>
          <w:sz w:val="29"/>
          <w:szCs w:val="29"/>
          <w:color w:val="auto"/>
          <w:vertAlign w:val="superscript"/>
        </w:rPr>
      </w:pPr>
    </w:p>
    <w:p>
      <w:pPr>
        <w:ind w:left="1160" w:hanging="298"/>
        <w:spacing w:after="0" w:line="207" w:lineRule="exact"/>
        <w:tabs>
          <w:tab w:leader="none" w:pos="11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1160" w:hanging="298"/>
        <w:spacing w:after="0" w:line="207" w:lineRule="exact"/>
        <w:tabs>
          <w:tab w:leader="none" w:pos="11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1" w:lineRule="exact"/>
        <w:rPr>
          <w:rFonts w:ascii="Arial" w:cs="Arial" w:eastAsia="Arial" w:hAnsi="Arial"/>
          <w:sz w:val="18"/>
          <w:szCs w:val="18"/>
          <w:color w:val="auto"/>
        </w:rPr>
      </w:pPr>
    </w:p>
    <w:p>
      <w:pPr>
        <w:ind w:left="860" w:hanging="513"/>
        <w:spacing w:after="0"/>
        <w:tabs>
          <w:tab w:leader="none" w:pos="8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SEC Use only</w:t>
      </w:r>
    </w:p>
    <w:p>
      <w:pPr>
        <w:spacing w:after="0" w:line="200" w:lineRule="exact"/>
        <w:rPr>
          <w:rFonts w:ascii="Arial" w:cs="Arial" w:eastAsia="Arial" w:hAnsi="Arial"/>
          <w:sz w:val="29"/>
          <w:szCs w:val="29"/>
          <w:color w:val="auto"/>
          <w:vertAlign w:val="superscript"/>
        </w:rPr>
      </w:pPr>
    </w:p>
    <w:p>
      <w:pPr>
        <w:spacing w:after="0" w:line="244" w:lineRule="exact"/>
        <w:rPr>
          <w:rFonts w:ascii="Arial" w:cs="Arial" w:eastAsia="Arial" w:hAnsi="Arial"/>
          <w:sz w:val="29"/>
          <w:szCs w:val="29"/>
          <w:color w:val="auto"/>
          <w:vertAlign w:val="superscript"/>
        </w:rPr>
      </w:pPr>
    </w:p>
    <w:p>
      <w:pPr>
        <w:ind w:left="860" w:right="8820" w:hanging="513"/>
        <w:spacing w:after="0" w:line="357" w:lineRule="auto"/>
        <w:tabs>
          <w:tab w:leader="none" w:pos="8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Place of Organization Israel</w:t>
      </w:r>
    </w:p>
    <w:p>
      <w:pPr>
        <w:ind w:left="2440" w:hanging="520"/>
        <w:spacing w:after="0"/>
        <w:tabs>
          <w:tab w:leader="none" w:pos="2440" w:val="left"/>
        </w:tabs>
        <w:numPr>
          <w:ilvl w:val="2"/>
          <w:numId w:val="5"/>
        </w:numPr>
        <w:rPr>
          <w:rFonts w:ascii="Arial" w:cs="Arial" w:eastAsia="Arial" w:hAnsi="Arial"/>
          <w:sz w:val="29"/>
          <w:szCs w:val="29"/>
          <w:color w:val="auto"/>
          <w:vertAlign w:val="superscript"/>
        </w:rPr>
      </w:pPr>
      <w:r>
        <w:rPr>
          <w:rFonts w:ascii="Arial" w:cs="Arial" w:eastAsia="Arial" w:hAnsi="Arial"/>
          <w:sz w:val="18"/>
          <w:szCs w:val="18"/>
          <w:color w:val="auto"/>
        </w:rPr>
        <w:t>Sole Voting Power</w:t>
      </w: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4"/>
        </w:trPr>
        <w:tc>
          <w:tcPr>
            <w:tcW w:w="14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660" w:type="dxa"/>
            <w:vAlign w:val="bottom"/>
            <w:tcBorders>
              <w:bottom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480" w:type="dxa"/>
            <w:vAlign w:val="bottom"/>
            <w:vMerge w:val="continue"/>
          </w:tcPr>
          <w:p>
            <w:pPr>
              <w:spacing w:after="0"/>
              <w:rPr>
                <w:sz w:val="22"/>
                <w:szCs w:val="22"/>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6.</w:t>
            </w:r>
          </w:p>
        </w:tc>
        <w:tc>
          <w:tcPr>
            <w:tcW w:w="900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Shares</w:t>
            </w:r>
          </w:p>
        </w:tc>
        <w:tc>
          <w:tcPr>
            <w:tcW w:w="66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Beneficially</w:t>
            </w:r>
          </w:p>
        </w:tc>
        <w:tc>
          <w:tcPr>
            <w:tcW w:w="66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5,813,543 Ordinary Shares*</w:t>
            </w:r>
          </w:p>
        </w:tc>
        <w:tc>
          <w:tcPr>
            <w:tcW w:w="0" w:type="dxa"/>
            <w:vAlign w:val="bottom"/>
          </w:tcPr>
          <w:p>
            <w:pPr>
              <w:spacing w:after="0"/>
              <w:rPr>
                <w:sz w:val="1"/>
                <w:szCs w:val="1"/>
                <w:color w:val="auto"/>
              </w:rPr>
            </w:pPr>
          </w:p>
        </w:tc>
      </w:tr>
      <w:tr>
        <w:trPr>
          <w:trHeight w:val="116"/>
        </w:trPr>
        <w:tc>
          <w:tcPr>
            <w:tcW w:w="148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6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80" w:type="dxa"/>
            <w:vAlign w:val="bottom"/>
            <w:vMerge w:val="continue"/>
          </w:tcPr>
          <w:p>
            <w:pPr>
              <w:spacing w:after="0"/>
              <w:rPr>
                <w:sz w:val="6"/>
                <w:szCs w:val="6"/>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color w:val="auto"/>
              </w:rPr>
              <w:t>7.</w:t>
            </w:r>
          </w:p>
        </w:tc>
        <w:tc>
          <w:tcPr>
            <w:tcW w:w="900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Each</w:t>
            </w:r>
          </w:p>
        </w:tc>
        <w:tc>
          <w:tcPr>
            <w:tcW w:w="660" w:type="dxa"/>
            <w:vAlign w:val="bottom"/>
            <w:vMerge w:val="continue"/>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Reporting</w:t>
            </w:r>
          </w:p>
        </w:tc>
        <w:tc>
          <w:tcPr>
            <w:tcW w:w="660" w:type="dxa"/>
            <w:vAlign w:val="bottom"/>
          </w:tcPr>
          <w:p>
            <w:pPr>
              <w:spacing w:after="0"/>
              <w:rPr>
                <w:sz w:val="18"/>
                <w:szCs w:val="18"/>
                <w:color w:val="auto"/>
              </w:rPr>
            </w:pPr>
          </w:p>
        </w:tc>
        <w:tc>
          <w:tcPr>
            <w:tcW w:w="900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Person With:</w:t>
            </w:r>
          </w:p>
        </w:tc>
        <w:tc>
          <w:tcPr>
            <w:tcW w:w="660" w:type="dxa"/>
            <w:vAlign w:val="bottom"/>
          </w:tcPr>
          <w:p>
            <w:pPr>
              <w:spacing w:after="0"/>
              <w:rPr>
                <w:sz w:val="20"/>
                <w:szCs w:val="20"/>
                <w:color w:val="auto"/>
              </w:rPr>
            </w:pPr>
          </w:p>
        </w:tc>
        <w:tc>
          <w:tcPr>
            <w:tcW w:w="9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440" w:hanging="520"/>
        <w:spacing w:after="0"/>
        <w:tabs>
          <w:tab w:leader="none" w:pos="2440" w:val="left"/>
        </w:tabs>
        <w:numPr>
          <w:ilvl w:val="1"/>
          <w:numId w:val="6"/>
        </w:numPr>
        <w:rPr>
          <w:rFonts w:ascii="Arial" w:cs="Arial" w:eastAsia="Arial" w:hAnsi="Arial"/>
          <w:sz w:val="29"/>
          <w:szCs w:val="29"/>
          <w:color w:val="auto"/>
          <w:vertAlign w:val="superscript"/>
        </w:rPr>
      </w:pPr>
      <w:r>
        <w:rPr>
          <w:rFonts w:ascii="Arial" w:cs="Arial" w:eastAsia="Arial" w:hAnsi="Arial"/>
          <w:sz w:val="18"/>
          <w:szCs w:val="18"/>
          <w:color w:val="auto"/>
        </w:rPr>
        <w:t>Shared Dispositive Power</w:t>
      </w:r>
    </w:p>
    <w:p>
      <w:pPr>
        <w:spacing w:after="0" w:line="201" w:lineRule="exact"/>
        <w:rPr>
          <w:rFonts w:ascii="Arial" w:cs="Arial" w:eastAsia="Arial" w:hAnsi="Arial"/>
          <w:sz w:val="29"/>
          <w:szCs w:val="29"/>
          <w:color w:val="auto"/>
          <w:vertAlign w:val="superscript"/>
        </w:rPr>
      </w:pPr>
    </w:p>
    <w:p>
      <w:pPr>
        <w:ind w:left="2440"/>
        <w:spacing w:after="0"/>
        <w:rPr>
          <w:rFonts w:ascii="Arial" w:cs="Arial" w:eastAsia="Arial" w:hAnsi="Arial"/>
          <w:sz w:val="29"/>
          <w:szCs w:val="29"/>
          <w:color w:val="auto"/>
          <w:vertAlign w:val="superscript"/>
        </w:rPr>
      </w:pPr>
      <w:r>
        <w:rPr>
          <w:rFonts w:ascii="Arial" w:cs="Arial" w:eastAsia="Arial" w:hAnsi="Arial"/>
          <w:sz w:val="18"/>
          <w:szCs w:val="18"/>
          <w:color w:val="auto"/>
        </w:rPr>
        <w:t>5,813,543 Ordinary Shares*</w:t>
      </w:r>
    </w:p>
    <w:p>
      <w:pPr>
        <w:spacing w:after="0" w:line="171" w:lineRule="exact"/>
        <w:rPr>
          <w:rFonts w:ascii="Arial" w:cs="Arial" w:eastAsia="Arial" w:hAnsi="Arial"/>
          <w:sz w:val="29"/>
          <w:szCs w:val="29"/>
          <w:color w:val="auto"/>
          <w:vertAlign w:val="superscript"/>
        </w:rPr>
      </w:pPr>
    </w:p>
    <w:p>
      <w:pPr>
        <w:ind w:left="860" w:right="5580" w:hanging="513"/>
        <w:spacing w:after="0" w:line="363" w:lineRule="auto"/>
        <w:tabs>
          <w:tab w:leader="none" w:pos="8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Aggregate Amount Beneficially Owned by Each Reporting Person 5,813,543 Ordinary Shares*</w:t>
      </w:r>
    </w:p>
    <w:p>
      <w:pPr>
        <w:ind w:left="860" w:hanging="549"/>
        <w:spacing w:after="0" w:line="182" w:lineRule="auto"/>
        <w:tabs>
          <w:tab w:leader="none" w:pos="860" w:val="left"/>
        </w:tabs>
        <w:numPr>
          <w:ilvl w:val="0"/>
          <w:numId w:val="8"/>
        </w:numPr>
        <w:rPr>
          <w:rFonts w:ascii="Arial" w:cs="Arial" w:eastAsia="Arial" w:hAnsi="Arial"/>
          <w:sz w:val="27"/>
          <w:szCs w:val="27"/>
          <w:color w:val="auto"/>
          <w:vertAlign w:val="superscript"/>
        </w:rPr>
      </w:pPr>
      <w:r>
        <w:rPr>
          <w:rFonts w:ascii="Arial" w:cs="Arial" w:eastAsia="Arial" w:hAnsi="Arial"/>
          <w:sz w:val="17"/>
          <w:szCs w:val="17"/>
          <w:color w:val="auto"/>
        </w:rPr>
        <w:t>Check if the Aggregate Amount in Row (9) Excludes Certain Shares</w:t>
      </w:r>
    </w:p>
    <w:p>
      <w:pPr>
        <w:spacing w:after="0" w:line="157" w:lineRule="exact"/>
        <w:rPr>
          <w:rFonts w:ascii="Arial" w:cs="Arial" w:eastAsia="Arial" w:hAnsi="Arial"/>
          <w:sz w:val="27"/>
          <w:szCs w:val="27"/>
          <w:color w:val="auto"/>
          <w:vertAlign w:val="superscript"/>
        </w:rPr>
      </w:pPr>
    </w:p>
    <w:p>
      <w:pPr>
        <w:ind w:left="860"/>
        <w:spacing w:after="0" w:line="181" w:lineRule="exact"/>
        <w:rPr>
          <w:rFonts w:ascii="Arial" w:cs="Arial" w:eastAsia="Arial" w:hAnsi="Arial"/>
          <w:sz w:val="27"/>
          <w:szCs w:val="27"/>
          <w:color w:val="auto"/>
          <w:vertAlign w:val="superscript"/>
        </w:rPr>
      </w:pPr>
      <w:r>
        <w:rPr>
          <w:rFonts w:ascii="MS PGothic" w:cs="MS PGothic" w:eastAsia="MS PGothic" w:hAnsi="MS PGothic"/>
          <w:sz w:val="18"/>
          <w:szCs w:val="18"/>
          <w:color w:val="auto"/>
        </w:rPr>
        <w:t>☐</w:t>
      </w:r>
    </w:p>
    <w:p>
      <w:pPr>
        <w:spacing w:after="0" w:line="242" w:lineRule="exact"/>
        <w:rPr>
          <w:rFonts w:ascii="Arial" w:cs="Arial" w:eastAsia="Arial" w:hAnsi="Arial"/>
          <w:sz w:val="27"/>
          <w:szCs w:val="27"/>
          <w:color w:val="auto"/>
          <w:vertAlign w:val="superscript"/>
        </w:rPr>
      </w:pPr>
    </w:p>
    <w:p>
      <w:pPr>
        <w:ind w:left="860" w:right="6600" w:hanging="546"/>
        <w:spacing w:after="0" w:line="363" w:lineRule="auto"/>
        <w:tabs>
          <w:tab w:leader="none" w:pos="86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Percent of Class Represented by Amount in Row (9) 5.3%**</w:t>
      </w:r>
    </w:p>
    <w:p>
      <w:pPr>
        <w:ind w:left="860" w:hanging="549"/>
        <w:spacing w:after="0"/>
        <w:tabs>
          <w:tab w:leader="none" w:pos="86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Type of Reporting Person:</w:t>
      </w:r>
    </w:p>
    <w:p>
      <w:pPr>
        <w:spacing w:after="0" w:line="201" w:lineRule="exact"/>
        <w:rPr>
          <w:rFonts w:ascii="Arial" w:cs="Arial" w:eastAsia="Arial" w:hAnsi="Arial"/>
          <w:sz w:val="29"/>
          <w:szCs w:val="29"/>
          <w:color w:val="auto"/>
          <w:vertAlign w:val="superscript"/>
        </w:rPr>
      </w:pPr>
    </w:p>
    <w:p>
      <w:pPr>
        <w:ind w:left="860"/>
        <w:spacing w:after="0"/>
        <w:rPr>
          <w:rFonts w:ascii="Arial" w:cs="Arial" w:eastAsia="Arial" w:hAnsi="Arial"/>
          <w:sz w:val="29"/>
          <w:szCs w:val="29"/>
          <w:color w:val="auto"/>
          <w:vertAlign w:val="superscript"/>
        </w:rPr>
      </w:pPr>
      <w:r>
        <w:rPr>
          <w:rFonts w:ascii="Arial" w:cs="Arial" w:eastAsia="Arial" w:hAnsi="Arial"/>
          <w:sz w:val="18"/>
          <w:szCs w:val="18"/>
          <w:color w:val="auto"/>
        </w:rPr>
        <w:t>CO</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*See Item 4.</w:t>
      </w:r>
    </w:p>
    <w:p>
      <w:pPr>
        <w:spacing w:after="0" w:line="21" w:lineRule="exact"/>
        <w:rPr>
          <w:sz w:val="20"/>
          <w:szCs w:val="20"/>
          <w:color w:val="auto"/>
        </w:rPr>
      </w:pPr>
    </w:p>
    <w:p>
      <w:pPr>
        <w:ind w:firstLine="8"/>
        <w:spacing w:after="0" w:line="259" w:lineRule="auto"/>
        <w:tabs>
          <w:tab w:leader="none" w:pos="281" w:val="left"/>
        </w:tabs>
        <w:numPr>
          <w:ilvl w:val="0"/>
          <w:numId w:val="9"/>
        </w:numPr>
        <w:rPr>
          <w:rFonts w:ascii="Arial" w:cs="Arial" w:eastAsia="Arial" w:hAnsi="Arial"/>
          <w:sz w:val="22"/>
          <w:szCs w:val="22"/>
          <w:color w:val="auto"/>
        </w:rPr>
      </w:pPr>
      <w:r>
        <w:rPr>
          <w:rFonts w:ascii="Arial" w:cs="Arial" w:eastAsia="Arial" w:hAnsi="Arial"/>
          <w:sz w:val="22"/>
          <w:szCs w:val="22"/>
          <w:color w:val="auto"/>
        </w:rPr>
        <w:t>Based on information received from the Issuer, there were 110,286,837 Ordinary Shares issued and outstanding as of August 6, 2023.</w:t>
      </w:r>
    </w:p>
    <w:p>
      <w:pPr>
        <w:spacing w:after="0" w:line="200" w:lineRule="exact"/>
        <w:rPr>
          <w:rFonts w:ascii="Arial" w:cs="Arial" w:eastAsia="Arial" w:hAnsi="Arial"/>
          <w:sz w:val="22"/>
          <w:szCs w:val="22"/>
          <w:color w:val="auto"/>
        </w:rPr>
      </w:pPr>
    </w:p>
    <w:p>
      <w:pPr>
        <w:spacing w:after="0" w:line="210" w:lineRule="exact"/>
        <w:rPr>
          <w:rFonts w:ascii="Arial" w:cs="Arial" w:eastAsia="Arial" w:hAnsi="Arial"/>
          <w:sz w:val="22"/>
          <w:szCs w:val="22"/>
          <w:color w:val="auto"/>
        </w:rPr>
      </w:pPr>
    </w:p>
    <w:p>
      <w:pPr>
        <w:ind w:left="5580" w:hanging="76"/>
        <w:spacing w:after="0"/>
        <w:tabs>
          <w:tab w:leader="none" w:pos="5580" w:val="left"/>
        </w:tabs>
        <w:numPr>
          <w:ilvl w:val="1"/>
          <w:numId w:val="9"/>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4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Tower Semiconductor Ltd. (the “Issuer”).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Ramat Gavriel Industrial Park, P.O. Box 619, Migdal Haemek, 23105 Israel.</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6"/>
          <w:szCs w:val="16"/>
          <w:color w:val="auto"/>
        </w:rPr>
        <w:t>Name of Person Filing, address and citizenship:</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entity is referred to as the “Reporting Person” in this Statement:</w:t>
      </w:r>
    </w:p>
    <w:p>
      <w:pPr>
        <w:spacing w:after="0" w:line="240" w:lineRule="exact"/>
        <w:rPr>
          <w:sz w:val="20"/>
          <w:szCs w:val="20"/>
          <w:color w:val="auto"/>
        </w:rPr>
      </w:pPr>
    </w:p>
    <w:p>
      <w:pPr>
        <w:ind w:left="660" w:right="140"/>
        <w:spacing w:after="0" w:line="293" w:lineRule="auto"/>
        <w:rPr>
          <w:sz w:val="20"/>
          <w:szCs w:val="20"/>
          <w:color w:val="auto"/>
        </w:rPr>
      </w:pPr>
      <w:r>
        <w:rPr>
          <w:rFonts w:ascii="Arial" w:cs="Arial" w:eastAsia="Arial" w:hAnsi="Arial"/>
          <w:sz w:val="18"/>
          <w:szCs w:val="18"/>
          <w:color w:val="auto"/>
        </w:rPr>
        <w:t>Harel Insurance Investments &amp; Financial Services Ltd., an Israeli public company, with a principal business address at Harel House; 3 Aba Hillel Street; Ramat Gan 52118, Israel.</w:t>
      </w:r>
    </w:p>
    <w:p>
      <w:pPr>
        <w:spacing w:after="0" w:line="18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Ordinary Shares, par value NIS 15.00 per share (the “Ordinary Shares”).</w:t>
      </w:r>
    </w:p>
    <w:p>
      <w:pPr>
        <w:spacing w:after="0" w:line="24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M87915274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62" w:lineRule="exact"/>
        <w:rPr>
          <w:sz w:val="20"/>
          <w:szCs w:val="20"/>
          <w:color w:val="auto"/>
        </w:rPr>
      </w:pPr>
    </w:p>
    <w:p>
      <w:pPr>
        <w:jc w:val="both"/>
        <w:ind w:firstLine="638"/>
        <w:spacing w:after="0" w:line="273" w:lineRule="auto"/>
        <w:rPr>
          <w:sz w:val="20"/>
          <w:szCs w:val="20"/>
          <w:color w:val="auto"/>
        </w:rPr>
      </w:pPr>
      <w:r>
        <w:rPr>
          <w:rFonts w:ascii="Arial" w:cs="Arial" w:eastAsia="Arial" w:hAnsi="Arial"/>
          <w:sz w:val="21"/>
          <w:szCs w:val="21"/>
          <w:color w:val="auto"/>
        </w:rPr>
        <w:t>All of the 5,813,543 Ordinary Shares reported in this Statement as beneficially owned by the Reporting Person are held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Consequently, this Statement shall not be construed as an admission by the Reporting Person that it is the beneficial owner of any of the Ordinary Shares covered by this Statement or that it has any pecuniary interest in such Ordinary Shares for purposes of Section 16 of the U.S. Securities Exchange Act of 1934, as amended.</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Except as set forth above, see items 5-11 of the cover pages hereto for beneficial ownership, percentage of class and dispositive power of the Reporting Person, which are incorporated herein.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62" w:lineRule="exact"/>
        <w:rPr>
          <w:sz w:val="20"/>
          <w:szCs w:val="20"/>
          <w:color w:val="auto"/>
        </w:rPr>
      </w:pPr>
    </w:p>
    <w:p>
      <w:pPr>
        <w:ind w:left="660" w:right="780"/>
        <w:spacing w:after="0" w:line="289"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August 9, 2023</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INSURANCE INVESTMENTS AND FINANCIAL SERVICES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LTD.</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Uri Rabinovitz</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Title: Uri Rabinovitz, Vice President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
      <w:numFmt w:val="bullet"/>
      <w:start w:val="1"/>
    </w:lvl>
  </w:abstractNum>
  <w:abstractNum w:abstractNumId="4">
    <w:nsid w:val="515F00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
    <w:nsid w:val="5BD062C2"/>
    <w:multiLevelType w:val="hybridMultilevel"/>
    <w:lvl w:ilvl="0">
      <w:lvlJc w:val="left"/>
      <w:lvlText w:val="%1"/>
      <w:numFmt w:val="decimal"/>
      <w:start w:val="1"/>
    </w:lvl>
    <w:lvl w:ilvl="1">
      <w:lvlJc w:val="left"/>
      <w:lvlText w:val="%2."/>
      <w:numFmt w:val="decimal"/>
      <w:start w:val="8"/>
    </w:lvl>
  </w:abstractNum>
  <w:abstractNum w:abstractNumId="6">
    <w:nsid w:val="12200854"/>
    <w:multiLevelType w:val="hybridMultilevel"/>
    <w:lvl w:ilvl="0">
      <w:lvlJc w:val="left"/>
      <w:lvlText w:val="%1."/>
      <w:numFmt w:val="decimal"/>
      <w:start w:val="9"/>
    </w:lvl>
    <w:lvl w:ilvl="1">
      <w:lvlJc w:val="left"/>
      <w:lvlText w:val="%2"/>
      <w:numFmt w:val="decimal"/>
      <w:start w:val="1"/>
    </w:lvl>
  </w:abstractNum>
  <w:abstractNum w:abstractNumId="7">
    <w:nsid w:val="4DB127F8"/>
    <w:multiLevelType w:val="hybridMultilevel"/>
    <w:lvl w:ilvl="0">
      <w:lvlJc w:val="left"/>
      <w:lvlText w:val="%1."/>
      <w:numFmt w:val="decimal"/>
      <w:start w:val="10"/>
    </w:lvl>
  </w:abstractNum>
  <w:abstractNum w:abstractNumId="8">
    <w:nsid w:val="216231B"/>
    <w:multiLevelType w:val="hybridMultilevel"/>
    <w:lvl w:ilvl="0">
      <w:lvlJc w:val="left"/>
      <w:lvlText w:val="**"/>
      <w:numFmt w:val="bullet"/>
      <w:start w:val="1"/>
    </w:lvl>
    <w:lvl w:ilvl="1">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4"/>
    </w:lvl>
  </w:abstractNum>
  <w:abstractNum w:abstractNumId="11">
    <w:nsid w:val="66EF438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2023-08-10T07:28:59Z</dcterms:created>
  <dcterms:modified xsi:type="dcterms:W3CDTF">2023-08-10T07:28:59Z</dcterms:modified>
</cp:coreProperties>
</file>