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329732.htm"/>
      <w:bookmarkStart w:id="1" w:name="kszk2329732"/>
      <w:bookmarkStart w:id="2" w:name="zk2329732.htm"/>
      <w:bookmarkStart w:id="3" w:name="kszk2329732"/>
      <w:bookmarkEnd w:id="2"/>
      <w:bookmarkEnd w:id="3"/>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r>
    </w:p>
    <w:p>
      <w:pPr>
        <w:pStyle w:val="TextBody"/>
        <w:bidi w:val="0"/>
        <w:spacing w:lineRule="auto" w:line="300" w:before="0" w:after="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300" w:before="0" w:after="0"/>
        <w:jc w:val="center"/>
        <w:rPr>
          <w:rFonts w:ascii="Times New Roman;Times;serif" w:hAnsi="Times New Roman;Times;serif"/>
          <w:b/>
          <w:smallCaps/>
          <w:sz w:val="28"/>
        </w:rPr>
      </w:pPr>
      <w:r>
        <w:rPr>
          <w:rFonts w:ascii="Times New Roman;Times;serif" w:hAnsi="Times New Roman;Times;serif"/>
          <w:b/>
          <w:smallCaps/>
          <w:sz w:val="28"/>
        </w:rPr>
        <w:t>SECURITIES AND EXCHANGE COMMISSION</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smallCaps/>
        </w:rPr>
        <w:t>W</w:t>
      </w:r>
      <w:r>
        <w:rPr>
          <w:rFonts w:ascii="Times New Roman;Times;serif" w:hAnsi="Times New Roman;Times;serif"/>
        </w:rPr>
        <w:t xml:space="preserve">ashington, D.C. </w:t>
      </w:r>
      <w:r>
        <w:rPr>
          <w:rFonts w:ascii="Times New Roman;Times;serif" w:hAnsi="Times New Roman;Times;serif"/>
          <w:smallCaps/>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aps w:val="false"/>
          <w:smallCaps w:val="false"/>
          <w:sz w:val="28"/>
        </w:rPr>
      </w:pPr>
      <w:r>
        <w:rPr>
          <w:rFonts w:ascii="Times New Roman;Times;serif" w:hAnsi="Times New Roman;Times;serif"/>
          <w:b/>
          <w:caps w:val="false"/>
          <w:smallCaps w:val="false"/>
          <w:sz w:val="28"/>
        </w:rPr>
        <w:t>FORM 6-K</w:t>
      </w:r>
    </w:p>
    <w:p>
      <w:pPr>
        <w:pStyle w:val="TextBody"/>
        <w:bidi w:val="0"/>
        <w:spacing w:lineRule="auto" w:line="300" w:before="0" w:after="0"/>
        <w:jc w:val="left"/>
        <w:rPr/>
      </w:pPr>
      <w:r>
        <w:rPr/>
        <w:t> </w:t>
      </w:r>
    </w:p>
    <w:p>
      <w:pPr>
        <w:pStyle w:val="TextBody"/>
        <w:bidi w:val="0"/>
        <w:spacing w:lineRule="auto" w:line="300" w:before="0" w:after="0"/>
        <w:jc w:val="center"/>
        <w:rPr>
          <w:b/>
        </w:rPr>
      </w:pPr>
      <w:r>
        <w:rPr>
          <w:b/>
        </w:rPr>
        <w:t xml:space="preserve">REPORT OF FOREIGN PRIVATE ISSUER PURSUANT TO RULE 13a-16 OR 15d-16 </w:t>
      </w:r>
    </w:p>
    <w:p>
      <w:pPr>
        <w:pStyle w:val="TextBody"/>
        <w:bidi w:val="0"/>
        <w:spacing w:lineRule="auto" w:line="300" w:before="0" w:after="0"/>
        <w:jc w:val="center"/>
        <w:rPr>
          <w:b/>
        </w:rPr>
      </w:pPr>
      <w:r>
        <w:rPr>
          <w:b/>
        </w:rPr>
        <w:t>OF THE SECURITIES EXCHANGE ACT OF 1934</w:t>
      </w:r>
    </w:p>
    <w:p>
      <w:pPr>
        <w:pStyle w:val="TextBody"/>
        <w:bidi w:val="0"/>
        <w:spacing w:lineRule="auto" w:line="300" w:before="0" w:after="0"/>
        <w:jc w:val="left"/>
        <w:rPr/>
      </w:pPr>
      <w:r>
        <w:rPr/>
        <w:t> </w:t>
      </w:r>
    </w:p>
    <w:p>
      <w:pPr>
        <w:pStyle w:val="TextBody"/>
        <w:bidi w:val="0"/>
        <w:spacing w:lineRule="auto" w:line="300" w:before="0" w:after="0"/>
        <w:jc w:val="center"/>
        <w:rPr/>
      </w:pPr>
      <w:r>
        <w:rPr>
          <w:smallCaps/>
        </w:rPr>
        <w:t>F</w:t>
      </w:r>
      <w:r>
        <w:rPr/>
        <w:t>or the month of May 2023 No.2</w:t>
      </w:r>
    </w:p>
    <w:p>
      <w:pPr>
        <w:pStyle w:val="TextBody"/>
        <w:bidi w:val="0"/>
        <w:spacing w:lineRule="auto" w:line="300" w:before="0" w:after="0"/>
        <w:jc w:val="left"/>
        <w:rPr/>
      </w:pPr>
      <w:r>
        <w:rPr/>
      </w:r>
    </w:p>
    <w:p>
      <w:pPr>
        <w:pStyle w:val="TextBody"/>
        <w:bidi w:val="0"/>
        <w:spacing w:lineRule="auto" w:line="300" w:before="0" w:after="0"/>
        <w:jc w:val="center"/>
        <w:rPr/>
      </w:pPr>
      <w:r>
        <w:rPr/>
        <w:t>Commission File Number 0-24790</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sz w:val="32"/>
        </w:rPr>
      </w:pPr>
      <w:r>
        <w:rPr>
          <w:rFonts w:ascii="Times New Roman;Times;serif" w:hAnsi="Times New Roman;Times;serif"/>
          <w:b/>
          <w:sz w:val="32"/>
        </w:rPr>
        <w:t>TOWER SEMICONDUCTOR LTD.</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b/>
        </w:rPr>
      </w:pPr>
      <w:r>
        <w:rPr>
          <w:b/>
        </w:rPr>
        <w:t>Ramat Gavriel Industrial Park</w:t>
      </w:r>
    </w:p>
    <w:p>
      <w:pPr>
        <w:pStyle w:val="TextBody"/>
        <w:bidi w:val="0"/>
        <w:spacing w:lineRule="auto" w:line="300" w:before="0" w:after="0"/>
        <w:jc w:val="center"/>
        <w:rPr>
          <w:rFonts w:ascii="Times New Roman;Times;serif" w:hAnsi="Times New Roman;Times;serif"/>
          <w:b/>
        </w:rPr>
      </w:pPr>
      <w:r>
        <w:rPr>
          <w:rFonts w:ascii="Times New Roman;Times;serif" w:hAnsi="Times New Roman;Times;serif"/>
          <w:b/>
        </w:rPr>
        <w:t>P.O. Box 619, Migdal Haemek, Israel 2310502</w:t>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10"/>
        <w:jc w:val="both"/>
        <w:rPr/>
      </w:pPr>
      <w:r>
        <w:rPr/>
        <w:t>Indicate by check mark whether the registrant files or will file annual reports under cover of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rPr>
      </w:pPr>
      <w:r>
        <w:rPr>
          <w:rFonts w:ascii="Times New Roman;Times;serif" w:hAnsi="Times New Roman;Times;serif"/>
        </w:rPr>
        <w:t>Form 20-F ☒   Form 40-F ☐</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10"/>
        <w:jc w:val="both"/>
        <w:rPr/>
      </w:pPr>
      <w:r>
        <w:rPr/>
        <w:t>On May 15, 2023, the Registrant announced its financial results for the three months ended March 31, 2023. Attached hereto is the following exhibit.</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4ed26fd0c0bb41329c45b4c2a90bc948"/>
      <w:bookmarkStart w:id="5" w:name="z4ed26fd0c0bb41329c45b4c2a90bc948"/>
      <w:bookmarkEnd w:id="5"/>
    </w:p>
    <w:tbl>
      <w:tblPr>
        <w:tblW w:w="4435" w:type="dxa"/>
        <w:jc w:val="left"/>
        <w:tblInd w:w="0" w:type="dxa"/>
        <w:tblLayout w:type="fixed"/>
        <w:tblCellMar>
          <w:top w:w="0" w:type="dxa"/>
          <w:left w:w="0" w:type="dxa"/>
          <w:bottom w:w="0" w:type="dxa"/>
          <w:right w:w="0" w:type="dxa"/>
        </w:tblCellMar>
      </w:tblPr>
      <w:tblGrid>
        <w:gridCol w:w="1190"/>
        <w:gridCol w:w="3245"/>
      </w:tblGrid>
      <w:tr>
        <w:trPr/>
        <w:tc>
          <w:tcPr>
            <w:tcW w:w="1190" w:type="dxa"/>
            <w:tcBorders/>
            <w:vAlign w:val="center"/>
          </w:tcPr>
          <w:p>
            <w:pPr>
              <w:pStyle w:val="TableContents"/>
              <w:bidi w:val="0"/>
              <w:spacing w:lineRule="auto" w:line="300" w:before="0" w:after="0"/>
              <w:jc w:val="both"/>
              <w:rPr/>
            </w:pPr>
            <w:hyperlink w:anchor="exhibit_99-1.htm">
              <w:r>
                <w:rPr>
                  <w:rStyle w:val="InternetLink"/>
                </w:rPr>
                <w:t>Exhibit 99.1</w:t>
              </w:r>
            </w:hyperlink>
          </w:p>
        </w:tc>
        <w:tc>
          <w:tcPr>
            <w:tcW w:w="3245" w:type="dxa"/>
            <w:tcBorders/>
            <w:vAlign w:val="center"/>
          </w:tcPr>
          <w:p>
            <w:pPr>
              <w:pStyle w:val="TableContents"/>
              <w:bidi w:val="0"/>
              <w:spacing w:lineRule="auto" w:line="300" w:before="0" w:after="0"/>
              <w:jc w:val="both"/>
              <w:rPr/>
            </w:pPr>
            <w:hyperlink w:anchor="exhibit_99-1.htm">
              <w:r>
                <w:rPr>
                  <w:rStyle w:val="InternetLink"/>
                </w:rPr>
                <w:t>Press release dated May 15, 2023.</w:t>
              </w:r>
            </w:hyperlink>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b/>
        </w:rPr>
      </w:pPr>
      <w:r>
        <w:rPr>
          <w:b/>
        </w:rPr>
        <w:t>SIGNATURES</w:t>
      </w:r>
    </w:p>
    <w:p>
      <w:pPr>
        <w:pStyle w:val="TextBody"/>
        <w:bidi w:val="0"/>
        <w:spacing w:lineRule="auto" w:line="300" w:before="0" w:after="0"/>
        <w:jc w:val="left"/>
        <w:rPr/>
      </w:pPr>
      <w:r>
        <w:rPr/>
      </w:r>
    </w:p>
    <w:p>
      <w:pPr>
        <w:pStyle w:val="TextBody"/>
        <w:bidi w:val="0"/>
        <w:spacing w:lineRule="auto" w:line="300" w:before="0" w:after="0"/>
        <w:ind w:left="0" w:right="0" w:firstLine="710"/>
        <w:jc w:val="left"/>
        <w:rPr/>
      </w:pPr>
      <w:r>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tbl>
      <w:tblPr>
        <w:tblW w:w="5844" w:type="dxa"/>
        <w:jc w:val="left"/>
        <w:tblInd w:w="0" w:type="dxa"/>
        <w:tblLayout w:type="fixed"/>
        <w:tblCellMar>
          <w:top w:w="0" w:type="dxa"/>
          <w:left w:w="0" w:type="dxa"/>
          <w:bottom w:w="0" w:type="dxa"/>
          <w:right w:w="0" w:type="dxa"/>
        </w:tblCellMar>
      </w:tblPr>
      <w:tblGrid>
        <w:gridCol w:w="1925"/>
        <w:gridCol w:w="556"/>
        <w:gridCol w:w="3303"/>
        <w:gridCol w:w="60"/>
      </w:tblGrid>
      <w:tr>
        <w:trPr/>
        <w:tc>
          <w:tcPr>
            <w:tcW w:w="1925" w:type="dxa"/>
            <w:tcBorders/>
          </w:tcPr>
          <w:p>
            <w:pPr>
              <w:pStyle w:val="TableContents"/>
              <w:bidi w:val="0"/>
              <w:spacing w:before="0" w:after="283"/>
              <w:jc w:val="left"/>
              <w:rPr/>
            </w:pPr>
            <w:r>
              <w:rPr/>
              <w:t> </w:t>
            </w:r>
          </w:p>
        </w:tc>
        <w:tc>
          <w:tcPr>
            <w:tcW w:w="3859" w:type="dxa"/>
            <w:gridSpan w:val="2"/>
            <w:tcBorders/>
          </w:tcPr>
          <w:p>
            <w:pPr>
              <w:pStyle w:val="TableContents"/>
              <w:bidi w:val="0"/>
              <w:spacing w:before="0" w:after="283"/>
              <w:jc w:val="left"/>
              <w:rPr>
                <w:b/>
              </w:rPr>
            </w:pPr>
            <w:r>
              <w:rPr>
                <w:b/>
              </w:rPr>
              <w:t>TOWER SEMICONDUCTOR LTD.</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0"/>
              <w:ind w:left="0" w:right="0" w:hanging="0"/>
              <w:jc w:val="left"/>
              <w:rPr/>
            </w:pPr>
            <w:r>
              <w:rPr/>
              <w:t>Date: May 15, 2023</w:t>
            </w:r>
          </w:p>
        </w:tc>
        <w:tc>
          <w:tcPr>
            <w:tcW w:w="556" w:type="dxa"/>
            <w:tcBorders/>
          </w:tcPr>
          <w:p>
            <w:pPr>
              <w:pStyle w:val="TableContents"/>
              <w:bidi w:val="0"/>
              <w:spacing w:before="0" w:after="0"/>
              <w:ind w:left="0" w:right="0" w:hanging="0"/>
              <w:jc w:val="left"/>
              <w:rPr/>
            </w:pPr>
            <w:r>
              <w:rPr/>
              <w:t xml:space="preserve">By: </w:t>
            </w:r>
          </w:p>
        </w:tc>
        <w:tc>
          <w:tcPr>
            <w:tcW w:w="3303" w:type="dxa"/>
            <w:tcBorders>
              <w:bottom w:val="single" w:sz="12" w:space="0" w:color="000000"/>
            </w:tcBorders>
            <w:tcMar>
              <w:bottom w:w="28" w:type="dxa"/>
            </w:tcMar>
          </w:tcPr>
          <w:p>
            <w:pPr>
              <w:pStyle w:val="TableContents"/>
              <w:bidi w:val="0"/>
              <w:spacing w:before="0" w:after="283"/>
              <w:jc w:val="left"/>
              <w:rPr/>
            </w:pPr>
            <w:r>
              <w:rPr/>
              <w:t>/s/ Nati Somekh</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vAlign w:val="bottom"/>
          </w:tcPr>
          <w:p>
            <w:pPr>
              <w:pStyle w:val="TableContents"/>
              <w:bidi w:val="0"/>
              <w:spacing w:before="0" w:after="283"/>
              <w:jc w:val="left"/>
              <w:rPr/>
            </w:pPr>
            <w:r>
              <w:rPr/>
              <w:t xml:space="preserve">Name:  Nati Somekh </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Title:  Corporate Secretary</w:t>
            </w:r>
          </w:p>
        </w:tc>
        <w:tc>
          <w:tcPr>
            <w:tcW w:w="60" w:type="dxa"/>
            <w:tcBorders/>
          </w:tcPr>
          <w:p>
            <w:pPr>
              <w:pStyle w:val="TableContents"/>
              <w:bidi w:val="0"/>
              <w:spacing w:before="0" w:after="283"/>
              <w:jc w:val="left"/>
              <w:rPr/>
            </w:pPr>
            <w:r>
              <w:rPr/>
              <w:t> </w:t>
            </w:r>
          </w:p>
        </w:tc>
      </w:tr>
      <w:tr>
        <w:trPr/>
        <w:tc>
          <w:tcPr>
            <w:tcW w:w="1925"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3303"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bl>
    <w:p>
      <w:pPr>
        <w:pStyle w:val="TextBody"/>
        <w:bidi w:val="0"/>
        <w:spacing w:lineRule="auto" w:line="300" w:before="0" w:after="0"/>
        <w:jc w:val="left"/>
        <w:rPr/>
      </w:pPr>
      <w:r>
        <w:rPr/>
      </w:r>
    </w:p>
    <w:p>
      <w:pPr>
        <w:pStyle w:val="HorizontalLine"/>
        <w:bidi w:val="0"/>
        <w:spacing w:lineRule="auto" w:line="300"/>
        <w:jc w:val="left"/>
        <w:rPr/>
      </w:pPr>
      <w:r>
        <w:rPr/>
      </w:r>
    </w:p>
    <w:p>
      <w:pPr>
        <w:pStyle w:val="HorizontalLine"/>
        <w:bidi w:val="0"/>
        <w:jc w:val="left"/>
        <w:rPr/>
      </w:pPr>
      <w:r>
        <w:rPr/>
      </w:r>
      <w:bookmarkStart w:id="6" w:name="exhibit_99-1.htm"/>
      <w:bookmarkStart w:id="7" w:name="ksexhibit_991"/>
      <w:bookmarkStart w:id="8" w:name="exhibit_99-1.htm"/>
      <w:bookmarkStart w:id="9" w:name="ksexhibit_991"/>
      <w:bookmarkEnd w:id="8"/>
      <w:bookmarkEnd w:id="9"/>
      <w:r>
        <w:br w:type="page"/>
      </w:r>
    </w:p>
    <w:p>
      <w:pPr>
        <w:pStyle w:val="TextBody"/>
        <w:bidi w:val="0"/>
        <w:spacing w:before="0" w:after="0"/>
        <w:jc w:val="right"/>
        <w:rPr>
          <w:b/>
          <w:u w:val="single"/>
        </w:rPr>
      </w:pPr>
      <w:r>
        <w:rPr>
          <w:b/>
          <w:u w:val="single"/>
        </w:rPr>
        <w:t>Exhibit 99.1</w:t>
      </w:r>
    </w:p>
    <w:p>
      <w:pPr>
        <w:pStyle w:val="TextBody"/>
        <w:bidi w:val="0"/>
        <w:spacing w:before="0" w:after="0"/>
        <w:jc w:val="left"/>
        <w:rPr/>
      </w:pPr>
      <w:r>
        <w:rPr/>
      </w:r>
    </w:p>
    <w:p>
      <w:pPr>
        <w:pStyle w:val="TextBody"/>
        <w:bidi w:val="0"/>
        <w:spacing w:lineRule="auto" w:line="300" w:before="0" w:after="0"/>
        <w:jc w:val="left"/>
        <w:rPr/>
      </w:pPr>
      <w:r>
        <w:rPr/>
      </w:r>
    </w:p>
    <w:p>
      <w:pPr>
        <w:pStyle w:val="TextBody"/>
        <w:bidi w:val="0"/>
        <w:spacing w:lineRule="auto" w:line="300" w:before="0" w:after="0"/>
        <w:jc w:val="both"/>
        <w:rPr/>
      </w:pPr>
      <w:r>
        <w:rPr/>
        <w:drawing>
          <wp:inline distT="0" distB="0" distL="0" distR="0">
            <wp:extent cx="165735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962025"/>
                    </a:xfrm>
                    <a:prstGeom prst="rect">
                      <a:avLst/>
                    </a:prstGeom>
                  </pic:spPr>
                </pic:pic>
              </a:graphicData>
            </a:graphic>
          </wp:inline>
        </w:drawing>
      </w:r>
    </w:p>
    <w:p>
      <w:pPr>
        <w:pStyle w:val="TextBody"/>
        <w:bidi w:val="0"/>
        <w:spacing w:lineRule="auto" w:line="300" w:before="0" w:after="0"/>
        <w:jc w:val="left"/>
        <w:rPr/>
      </w:pPr>
      <w:r>
        <w:rPr/>
        <w:t> </w:t>
      </w:r>
    </w:p>
    <w:p>
      <w:pPr>
        <w:pStyle w:val="TextBody"/>
        <w:bidi w:val="0"/>
        <w:spacing w:lineRule="auto" w:line="300" w:before="0" w:after="0"/>
        <w:jc w:val="center"/>
        <w:rPr>
          <w:b/>
          <w:sz w:val="24"/>
        </w:rPr>
      </w:pPr>
      <w:r>
        <w:rPr>
          <w:b/>
          <w:sz w:val="24"/>
        </w:rPr>
        <w:t>Tower Semiconductor Reports 2023 First Quarter Financial Results</w:t>
      </w:r>
    </w:p>
    <w:p>
      <w:pPr>
        <w:pStyle w:val="TextBody"/>
        <w:bidi w:val="0"/>
        <w:spacing w:lineRule="auto" w:line="300" w:before="0" w:after="0"/>
        <w:jc w:val="center"/>
        <w:rPr/>
      </w:pPr>
      <w:r>
        <w:rPr/>
      </w:r>
    </w:p>
    <w:p>
      <w:pPr>
        <w:pStyle w:val="TextBody"/>
        <w:bidi w:val="0"/>
        <w:spacing w:lineRule="auto" w:line="300" w:before="0" w:after="0"/>
        <w:jc w:val="both"/>
        <w:rPr/>
      </w:pPr>
      <w:r>
        <w:rPr>
          <w:b/>
        </w:rPr>
        <w:t>MIGDAL HAEMEK, ISRAEL – May 15, 2023 –</w:t>
      </w:r>
      <w:r>
        <w:rPr/>
        <w:t xml:space="preserve"> Tower Semiconductor (NASDAQ: TSEM &amp; TASE: TSEM) reports today its results for the first quarter ended March 31, 2023.</w:t>
      </w:r>
    </w:p>
    <w:p>
      <w:pPr>
        <w:pStyle w:val="TextBody"/>
        <w:bidi w:val="0"/>
        <w:spacing w:lineRule="auto" w:line="300" w:before="0" w:after="0"/>
        <w:jc w:val="left"/>
        <w:rPr/>
      </w:pPr>
      <w:r>
        <w:rPr/>
        <w:t> </w:t>
      </w:r>
    </w:p>
    <w:p>
      <w:pPr>
        <w:pStyle w:val="TextBody"/>
        <w:bidi w:val="0"/>
        <w:spacing w:lineRule="auto" w:line="300" w:before="0" w:after="0"/>
        <w:jc w:val="both"/>
        <w:rPr>
          <w:b/>
        </w:rPr>
      </w:pPr>
      <w:r>
        <w:rPr>
          <w:b/>
        </w:rPr>
        <w:t>First Quarter of 2023 Results Overview</w:t>
      </w:r>
    </w:p>
    <w:p>
      <w:pPr>
        <w:pStyle w:val="TextBody"/>
        <w:bidi w:val="0"/>
        <w:spacing w:lineRule="auto" w:line="300" w:before="0" w:after="0"/>
        <w:jc w:val="left"/>
        <w:rPr/>
      </w:pPr>
      <w:r>
        <w:rPr/>
        <w:t> </w:t>
      </w:r>
    </w:p>
    <w:p>
      <w:pPr>
        <w:pStyle w:val="TextBody"/>
        <w:bidi w:val="0"/>
        <w:spacing w:lineRule="auto" w:line="300" w:before="0" w:after="0"/>
        <w:jc w:val="both"/>
        <w:rPr/>
      </w:pPr>
      <w:r>
        <w:rPr>
          <w:b/>
        </w:rPr>
        <w:t xml:space="preserve">Revenue </w:t>
      </w:r>
      <w:r>
        <w:rPr/>
        <w:t>for the first quarter of 2023 was $356 million.  Revenue for the first quarter of 2022 was $421 million, and for the fourth quarter of 2022 was $403 million.</w:t>
      </w:r>
    </w:p>
    <w:p>
      <w:pPr>
        <w:pStyle w:val="TextBody"/>
        <w:bidi w:val="0"/>
        <w:spacing w:lineRule="auto" w:line="300" w:before="0" w:after="0"/>
        <w:jc w:val="left"/>
        <w:rPr/>
      </w:pPr>
      <w:r>
        <w:rPr/>
      </w:r>
    </w:p>
    <w:p>
      <w:pPr>
        <w:pStyle w:val="TextBody"/>
        <w:bidi w:val="0"/>
        <w:spacing w:lineRule="auto" w:line="300" w:before="0" w:after="0"/>
        <w:jc w:val="both"/>
        <w:rPr/>
      </w:pPr>
      <w:r>
        <w:rPr>
          <w:b/>
        </w:rPr>
        <w:t xml:space="preserve">Gross profit </w:t>
      </w:r>
      <w:r>
        <w:rPr/>
        <w:t>for the first quarter of 2023 was $96 million.  Gross profit for the first quarter of 2022 was $105 million, and for the fourth quarter of 2022 was $125 million.</w:t>
      </w:r>
    </w:p>
    <w:p>
      <w:pPr>
        <w:pStyle w:val="TextBody"/>
        <w:bidi w:val="0"/>
        <w:spacing w:lineRule="auto" w:line="300" w:before="0" w:after="0"/>
        <w:jc w:val="left"/>
        <w:rPr/>
      </w:pPr>
      <w:r>
        <w:rPr/>
      </w:r>
    </w:p>
    <w:p>
      <w:pPr>
        <w:pStyle w:val="TextBody"/>
        <w:bidi w:val="0"/>
        <w:spacing w:lineRule="auto" w:line="300" w:before="0" w:after="0"/>
        <w:jc w:val="both"/>
        <w:rPr/>
      </w:pPr>
      <w:r>
        <w:rPr>
          <w:b/>
        </w:rPr>
        <w:t>Operating profit</w:t>
      </w:r>
      <w:r>
        <w:rPr/>
        <w:t xml:space="preserve"> for the first quarter of 2023 was $89 million.  Operating profit for the first quarter of 2022 was $63 million.  This increase includes the restructuring income, net from the previously disclosed reorganization and restructure of our Japan operations during 2022, as in the breakdown in the statement of operations table below.  Operating profit for the fourth quarter of 2022 was $99 million.</w:t>
      </w:r>
    </w:p>
    <w:p>
      <w:pPr>
        <w:pStyle w:val="TextBody"/>
        <w:bidi w:val="0"/>
        <w:spacing w:lineRule="auto" w:line="300" w:before="0" w:after="0"/>
        <w:jc w:val="left"/>
        <w:rPr/>
      </w:pPr>
      <w:r>
        <w:rPr/>
      </w:r>
    </w:p>
    <w:p>
      <w:pPr>
        <w:pStyle w:val="TextBody"/>
        <w:bidi w:val="0"/>
        <w:spacing w:lineRule="auto" w:line="300" w:before="0" w:after="0"/>
        <w:jc w:val="both"/>
        <w:rPr/>
      </w:pPr>
      <w:r>
        <w:rPr>
          <w:b/>
        </w:rPr>
        <w:t>Net profit</w:t>
      </w:r>
      <w:r>
        <w:rPr/>
        <w:t xml:space="preserve"> for the first quarter of 2023 was $71 million, or $0.65 basic and $0.64 diluted earnings per share.  Net profit in the first quarter of 2022 was $54 million, or $0.50 basic and $0.49 diluted earnings per share. This increase includes the restructuring income, net from the previously disclosed reorganization and restructure of our Japan operations during 2022, as in the breakdown in the statement of operations table below.  Net profit for the fourth quarter of 2022 was $83 million, or $0.76 basic and $0.75 diluted earnings per share.</w:t>
      </w:r>
    </w:p>
    <w:p>
      <w:pPr>
        <w:pStyle w:val="TextBody"/>
        <w:bidi w:val="0"/>
        <w:spacing w:lineRule="auto" w:line="300" w:before="0" w:after="0"/>
        <w:jc w:val="left"/>
        <w:rPr/>
      </w:pPr>
      <w:r>
        <w:rPr/>
        <w:t> </w:t>
      </w:r>
    </w:p>
    <w:p>
      <w:pPr>
        <w:pStyle w:val="TextBody"/>
        <w:bidi w:val="0"/>
        <w:spacing w:lineRule="auto" w:line="300" w:before="0" w:after="0"/>
        <w:jc w:val="both"/>
        <w:rPr/>
      </w:pPr>
      <w:r>
        <w:rPr>
          <w:b/>
        </w:rPr>
        <w:t xml:space="preserve">Cash flow </w:t>
      </w:r>
      <w:r>
        <w:rPr/>
        <w:t>generated from operating activities in the first quarter of 2023 was $73 million, as compared to $133 million in the fourth quarter of 2022.  The decrease is attributed mainly to purchase of starting material against a present reduction in shipment.  Investment in fixed assets for the first quarter of 2023 was $105 million, net.  During the first quarter of 2023, the Company repaid $29 million of its debt, resulting in full bonds’ redemption.</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b/>
        </w:rPr>
      </w:pPr>
      <w:r>
        <w:rPr>
          <w:b/>
        </w:rPr>
        <w:t>Corporate Credit Rating</w:t>
      </w:r>
    </w:p>
    <w:p>
      <w:pPr>
        <w:pStyle w:val="TextBody"/>
        <w:bidi w:val="0"/>
        <w:spacing w:lineRule="auto" w:line="300" w:before="0" w:after="0"/>
        <w:jc w:val="both"/>
        <w:rPr/>
      </w:pPr>
      <w:r>
        <w:rPr/>
        <w:t>In May 2023, Standard &amp; Poor’s Maalot (an Israeli rating company that is fully owned by S&amp;P Global Ratings) completed its annual rating review of the Company and re-affirmed its corporate credit rating as “ilAA“/ stable.</w:t>
      </w:r>
    </w:p>
    <w:p>
      <w:pPr>
        <w:pStyle w:val="TextBody"/>
        <w:bidi w:val="0"/>
        <w:spacing w:lineRule="auto" w:line="300" w:before="0" w:after="0"/>
        <w:jc w:val="left"/>
        <w:rPr/>
      </w:pPr>
      <w:r>
        <w:rPr/>
        <w:t> </w:t>
      </w:r>
    </w:p>
    <w:p>
      <w:pPr>
        <w:pStyle w:val="TextBody"/>
        <w:bidi w:val="0"/>
        <w:spacing w:lineRule="auto" w:line="300" w:before="0" w:after="0"/>
        <w:jc w:val="left"/>
        <w:rPr>
          <w:b/>
        </w:rPr>
      </w:pPr>
      <w:r>
        <w:rPr>
          <w:b/>
        </w:rPr>
        <w:t>Guidance and Conference Call</w:t>
      </w:r>
    </w:p>
    <w:p>
      <w:pPr>
        <w:pStyle w:val="TextBody"/>
        <w:bidi w:val="0"/>
        <w:spacing w:lineRule="auto" w:line="300" w:before="0" w:after="0"/>
        <w:jc w:val="both"/>
        <w:rPr/>
      </w:pPr>
      <w:r>
        <w:rPr/>
        <w:t>In light of the Company’s definitive agreement with Intel Corporation, as announced on February 15, 2022, the Company is not providing revenue guidance for the second quarter of 2023 and will not host an earnings conference call.</w:t>
      </w:r>
    </w:p>
    <w:p>
      <w:pPr>
        <w:pStyle w:val="TextBody"/>
        <w:bidi w:val="0"/>
        <w:spacing w:lineRule="auto" w:line="300" w:before="0" w:after="0"/>
        <w:jc w:val="left"/>
        <w:rPr/>
      </w:pPr>
      <w:r>
        <w:rPr/>
        <w:t> </w:t>
      </w:r>
    </w:p>
    <w:p>
      <w:pPr>
        <w:pStyle w:val="TextBody"/>
        <w:bidi w:val="0"/>
        <w:spacing w:lineRule="auto" w:line="300" w:before="0" w:after="0"/>
        <w:jc w:val="both"/>
        <w:rPr/>
      </w:pPr>
      <w:r>
        <w:rPr>
          <w:i/>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w:t>
      </w:r>
      <w:r>
        <w:rPr/>
        <w:t xml:space="preserve">  </w:t>
      </w:r>
      <w:r>
        <w:rPr>
          <w:i/>
        </w:rPr>
        <w:t xml:space="preserve">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(2) compensation expenses in respect of equity grants to directors, officers, and employees and (3) restructuring income, net, which includes income, net of cost associated with the cessation of operations of the Arai manufacturing factory in Japan which occurred during </w:t>
      </w:r>
      <w:r>
        <w:rPr/>
        <w:t xml:space="preserve">2022 </w:t>
      </w:r>
      <w:r>
        <w:rPr>
          <w:i/>
        </w:rPr>
        <w:t>in the amount of approximately $32 million</w:t>
      </w:r>
      <w:r>
        <w:rPr/>
        <w:t> </w:t>
      </w:r>
      <w:r>
        <w:rPr>
          <w:i/>
        </w:rPr>
        <w:t>income, net for the three months ended March 31, 2023 as compared to  $14 million income, net for the three months ended December 31, 2022.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and (iv) restructuring income, net in relation to the Arai manufacturing factory in Japan, as described in (3) above. EBITDA is reconciled in the tables below and/or in prior earnings related filings and/ or in related public disclosures or filings with respect to the financial statements and/ or results of the Company from GAAP operating profit. EBITDA is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$73 million, $133 million and $137 million for the three months periods ended March 31, 2023, December 31, 2022 and March 31, 2022, respectively</w:t>
      </w:r>
      <w:r>
        <w:rPr/>
        <w:t>( </w:t>
      </w:r>
      <w:r>
        <w:rPr>
          <w:i/>
        </w:rPr>
        <w:t>less cash used  for investments in property and equipment, net (in the amounts of $105 million, $38 million and $81 million for the three months periods ended March 31, 2023, December 31, 2022 and March 31, 2022,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pStyle w:val="TextBody"/>
        <w:bidi w:val="0"/>
        <w:spacing w:lineRule="auto" w:line="300" w:before="0" w:after="0"/>
        <w:jc w:val="both"/>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both"/>
        <w:rPr>
          <w:b/>
        </w:rPr>
      </w:pPr>
      <w:r>
        <w:rPr>
          <w:b/>
        </w:rPr>
        <w:t>About Tower Semiconductor</w:t>
      </w:r>
    </w:p>
    <w:p>
      <w:pPr>
        <w:pStyle w:val="TextBody"/>
        <w:bidi w:val="0"/>
        <w:spacing w:lineRule="auto" w:line="300" w:before="0" w:after="0"/>
        <w:jc w:val="both"/>
        <w:rPr/>
      </w:pPr>
      <w:r>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hd w:fill="F9F9F9" w:val="clear"/>
        </w:rPr>
        <w:t> </w:t>
      </w:r>
      <w:r>
        <w:rPr/>
        <w:t>For more information, please visit: </w:t>
      </w:r>
      <w:r>
        <w:rPr>
          <w:u w:val="single"/>
        </w:rPr>
        <w:t>www.towersemi.com</w:t>
      </w:r>
    </w:p>
    <w:p>
      <w:pPr>
        <w:pStyle w:val="TextBody"/>
        <w:bidi w:val="0"/>
        <w:spacing w:lineRule="auto" w:line="300" w:before="0" w:after="0"/>
        <w:jc w:val="left"/>
        <w:rPr/>
      </w:pPr>
      <w:r>
        <w:rPr/>
      </w:r>
    </w:p>
    <w:p>
      <w:pPr>
        <w:pStyle w:val="TextBody"/>
        <w:bidi w:val="0"/>
        <w:spacing w:lineRule="auto" w:line="300" w:before="0" w:after="0"/>
        <w:jc w:val="both"/>
        <w:rPr/>
      </w:pPr>
      <w:r>
        <w:rPr>
          <w:b/>
        </w:rPr>
        <w:t>CONTACTS</w:t>
      </w:r>
      <w:r>
        <w:rPr/>
        <w:t>:</w:t>
      </w:r>
    </w:p>
    <w:p>
      <w:pPr>
        <w:pStyle w:val="TextBody"/>
        <w:bidi w:val="0"/>
        <w:spacing w:lineRule="auto" w:line="300" w:before="0" w:after="0"/>
        <w:jc w:val="both"/>
        <w:rPr/>
      </w:pPr>
      <w:r>
        <w:rPr/>
        <w:t xml:space="preserve">Noit Levy | Investor Relations | +972 74 737 7556 | </w:t>
      </w:r>
      <w:r>
        <w:rPr>
          <w:u w:val="single"/>
        </w:rPr>
        <w:t>noitle@towersemi.com</w:t>
      </w:r>
    </w:p>
    <w:p>
      <w:pPr>
        <w:pStyle w:val="TextBody"/>
        <w:bidi w:val="0"/>
        <w:spacing w:lineRule="auto" w:line="300" w:before="0" w:after="0"/>
        <w:jc w:val="left"/>
        <w:rPr/>
      </w:pPr>
      <w:r>
        <w:rPr/>
      </w:r>
    </w:p>
    <w:p>
      <w:pPr>
        <w:pStyle w:val="TextBody"/>
        <w:bidi w:val="0"/>
        <w:spacing w:lineRule="auto" w:line="300" w:before="0" w:after="0"/>
        <w:jc w:val="both"/>
        <w:rPr>
          <w:rFonts w:ascii="Times New Roman;Times;serif" w:hAnsi="Times New Roman;Times;serif"/>
        </w:rPr>
      </w:pPr>
      <w:r>
        <w:rPr>
          <w:rFonts w:ascii="Times New Roman;Times;serif" w:hAnsi="Times New Roman;Times;serif"/>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in order to enable us to maintain our profitability ,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in addition to the aforementioned restructuring costs and future additional such costs, incurred by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(xxxix)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 customers, diverting management’s attention from the ongoing business operations, potential negative reactions or changes to business relationships resulting from the announcement or completion of the transaction, and (xxxx) business interruption due to fire, earthquake and other natural disasters, the security situation in Israel, global trade “war”, pandemics , including impact on global supply chain to the fabs and from the fabs, power interruptions and other events beyond our control.</w:t>
      </w:r>
    </w:p>
    <w:p>
      <w:pPr>
        <w:pStyle w:val="TextBody"/>
        <w:bidi w:val="0"/>
        <w:spacing w:lineRule="auto" w:line="300" w:before="0" w:after="0"/>
        <w:jc w:val="left"/>
        <w:rPr/>
      </w:pPr>
      <w:r>
        <w:rPr/>
      </w:r>
    </w:p>
    <w:p>
      <w:pPr>
        <w:pStyle w:val="TextBody"/>
        <w:bidi w:val="0"/>
        <w:spacing w:lineRule="auto" w:line="300" w:before="0" w:after="0"/>
        <w:jc w:val="both"/>
        <w:rPr>
          <w:i/>
        </w:rPr>
      </w:pPr>
      <w:r>
        <w:rPr>
          <w:i/>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pStyle w:val="TextBody"/>
        <w:bidi w:val="0"/>
        <w:spacing w:lineRule="auto" w:line="300" w:before="0" w:after="0"/>
        <w:jc w:val="left"/>
        <w:rPr/>
      </w:pPr>
      <w:r>
        <w:rPr/>
      </w:r>
    </w:p>
    <w:p>
      <w:pPr>
        <w:pStyle w:val="TextBody"/>
        <w:bidi w:val="0"/>
        <w:spacing w:lineRule="auto" w:line="300" w:before="0" w:after="0"/>
        <w:ind w:left="283" w:right="0" w:hanging="0"/>
        <w:jc w:val="center"/>
        <w:rPr>
          <w:b/>
        </w:rPr>
      </w:pPr>
      <w:r>
        <w:rPr>
          <w:b/>
        </w:rPr>
        <w:t>#   #   #</w:t>
      </w:r>
    </w:p>
    <w:p>
      <w:pPr>
        <w:pStyle w:val="TextBody"/>
        <w:bidi w:val="0"/>
        <w:spacing w:lineRule="auto" w:line="300" w:before="0" w:after="0"/>
        <w:jc w:val="left"/>
        <w:rPr/>
      </w:pPr>
      <w:r>
        <w:rPr/>
      </w:r>
    </w:p>
    <w:p>
      <w:pPr>
        <w:pStyle w:val="TextBody"/>
        <w:bidi w:val="0"/>
        <w:spacing w:lineRule="auto" w:line="300" w:before="0" w:after="0"/>
        <w:ind w:left="283" w:right="0" w:hanging="0"/>
        <w:jc w:val="center"/>
        <w:rPr>
          <w:i/>
        </w:rPr>
      </w:pPr>
      <w:r>
        <w:rPr>
          <w:i/>
        </w:rPr>
        <w:t>(Financial tables follow)</w:t>
      </w:r>
    </w:p>
    <w:p>
      <w:pPr>
        <w:pStyle w:val="TextBody"/>
        <w:bidi w:val="0"/>
        <w:spacing w:lineRule="auto" w:line="300" w:before="0" w:after="0"/>
        <w:ind w:left="283" w:right="0" w:hanging="0"/>
        <w:jc w:val="center"/>
        <w:rPr>
          <w:i/>
        </w:rPr>
      </w:pPr>
      <w:r>
        <w:rPr>
          <w:i/>
        </w:rPr>
      </w:r>
    </w:p>
    <w:p>
      <w:pPr>
        <w:pStyle w:val="HorizontalLine"/>
        <w:pBdr>
          <w:bottom w:val="single" w:sz="12" w:space="0" w:color="808080"/>
        </w:pBdr>
        <w:bidi w:val="0"/>
        <w:spacing w:before="200" w:after="200"/>
        <w:jc w:val="left"/>
        <w:rPr/>
      </w:pPr>
      <w:r>
        <w:rPr/>
      </w:r>
    </w:p>
    <w:tbl>
      <w:tblPr>
        <w:tblW w:w="9559" w:type="dxa"/>
        <w:jc w:val="left"/>
        <w:tblInd w:w="0" w:type="dxa"/>
        <w:tblLayout w:type="fixed"/>
        <w:tblCellMar>
          <w:top w:w="0" w:type="dxa"/>
          <w:left w:w="0" w:type="dxa"/>
          <w:bottom w:w="0" w:type="dxa"/>
          <w:right w:w="0" w:type="dxa"/>
        </w:tblCellMar>
      </w:tblPr>
      <w:tblGrid>
        <w:gridCol w:w="6770"/>
        <w:gridCol w:w="60"/>
        <w:gridCol w:w="140"/>
        <w:gridCol w:w="980"/>
        <w:gridCol w:w="60"/>
        <w:gridCol w:w="60"/>
        <w:gridCol w:w="176"/>
        <w:gridCol w:w="1238"/>
        <w:gridCol w:w="75"/>
      </w:tblGrid>
      <w:tr>
        <w:trPr/>
        <w:tc>
          <w:tcPr>
            <w:tcW w:w="9484" w:type="dxa"/>
            <w:gridSpan w:val="8"/>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TOWER SEMICONDUCTOR LTD. AND SUBSIDIARIES</w:t>
            </w:r>
          </w:p>
        </w:tc>
        <w:tc>
          <w:tcPr>
            <w:tcW w:w="75" w:type="dxa"/>
            <w:tcBorders/>
            <w:vAlign w:val="bottom"/>
          </w:tcPr>
          <w:p>
            <w:pPr>
              <w:pStyle w:val="TableContents"/>
              <w:bidi w:val="0"/>
              <w:spacing w:before="0" w:after="283"/>
              <w:jc w:val="left"/>
              <w:rPr/>
            </w:pPr>
            <w:r>
              <w:rPr/>
              <w:t> </w:t>
            </w:r>
          </w:p>
        </w:tc>
      </w:tr>
      <w:tr>
        <w:trPr/>
        <w:tc>
          <w:tcPr>
            <w:tcW w:w="9484" w:type="dxa"/>
            <w:gridSpan w:val="8"/>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CONDENSED CONSOLIDATED BALANCE SHEETS (UNAUDITED)</w:t>
            </w:r>
          </w:p>
        </w:tc>
        <w:tc>
          <w:tcPr>
            <w:tcW w:w="75" w:type="dxa"/>
            <w:tcBorders/>
            <w:vAlign w:val="bottom"/>
          </w:tcPr>
          <w:p>
            <w:pPr>
              <w:pStyle w:val="TableContents"/>
              <w:bidi w:val="0"/>
              <w:spacing w:before="0" w:after="283"/>
              <w:jc w:val="left"/>
              <w:rPr/>
            </w:pPr>
            <w:r>
              <w:rPr/>
              <w:t> </w:t>
            </w:r>
          </w:p>
        </w:tc>
      </w:tr>
      <w:tr>
        <w:trPr/>
        <w:tc>
          <w:tcPr>
            <w:tcW w:w="9484" w:type="dxa"/>
            <w:gridSpan w:val="8"/>
            <w:tcBorders/>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(dollars in thousands)</w:t>
            </w:r>
          </w:p>
        </w:tc>
        <w:tc>
          <w:tcPr>
            <w:tcW w:w="75" w:type="dxa"/>
            <w:tcBorders/>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75" w:type="dxa"/>
            <w:tcBorders/>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ASSETS</w:t>
            </w:r>
          </w:p>
        </w:tc>
        <w:tc>
          <w:tcPr>
            <w:tcW w:w="60" w:type="dxa"/>
            <w:tcBorders/>
            <w:shd w:fill="CCEEFF" w:val="clear"/>
            <w:vAlign w:val="bottom"/>
          </w:tcPr>
          <w:p>
            <w:pPr>
              <w:pStyle w:val="TableContents"/>
              <w:bidi w:val="0"/>
              <w:spacing w:before="0" w:after="283"/>
              <w:jc w:val="left"/>
              <w:rPr/>
            </w:pPr>
            <w:r>
              <w:rPr/>
              <w:t> </w:t>
            </w:r>
          </w:p>
        </w:tc>
        <w:tc>
          <w:tcPr>
            <w:tcW w:w="1120" w:type="dxa"/>
            <w:gridSpan w:val="2"/>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14" w:type="dxa"/>
            <w:gridSpan w:val="2"/>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CURRENT ASSETS</w:t>
            </w:r>
          </w:p>
        </w:tc>
        <w:tc>
          <w:tcPr>
            <w:tcW w:w="60" w:type="dxa"/>
            <w:tcBorders/>
            <w:vAlign w:val="bottom"/>
          </w:tcPr>
          <w:p>
            <w:pPr>
              <w:pStyle w:val="TableContents"/>
              <w:bidi w:val="0"/>
              <w:spacing w:before="0" w:after="283"/>
              <w:jc w:val="left"/>
              <w:rPr/>
            </w:pPr>
            <w:r>
              <w:rPr/>
              <w:t> </w:t>
            </w:r>
          </w:p>
        </w:tc>
        <w:tc>
          <w:tcPr>
            <w:tcW w:w="11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Cash and cash equivalents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304,934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340,759</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Short-term deposits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469,284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495,359</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Marketable securities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171,747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169,694</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Trade accounts receivable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144,195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152,935</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Inventories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358,715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302,108</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Other current assets</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35,416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34,319</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Total current assets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1,484,291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1,495,174</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PROPERTY AND EQUIPMENT, NET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1,009,632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962,258</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GOODWILL AND OTHER INTANGIBLE ASSETS, NET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13,540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14,031</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DEFERRED TAX AND OTHER LONG-TERM ASSETS, NET</w:t>
            </w:r>
          </w:p>
        </w:tc>
        <w:tc>
          <w:tcPr>
            <w:tcW w:w="60" w:type="dxa"/>
            <w:tcBorders/>
            <w:vAlign w:val="bottom"/>
          </w:tcPr>
          <w:p>
            <w:pPr>
              <w:pStyle w:val="TableContents"/>
              <w:bidi w:val="0"/>
              <w:spacing w:before="0" w:after="283"/>
              <w:jc w:val="lef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69,623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single" w:sz="12" w:space="0" w:color="000000"/>
            </w:tcBorders>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76,145</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TOTAL ASSETS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8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2,577,086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38"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2,547,608</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LIABILITIES AND SHAREHOLDERS' EQUITY</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Short-term debt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42,224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62,275</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Trade accounts payable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191,006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150,930</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Deferred revenue and customers' advances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30,268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38,911</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Other current liabilities</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90,637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135,272</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Total current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354,135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387,388</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LONG-TERM DEBT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201,445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shd w:fill="CCEEFF" w:val="clear"/>
            <w:vAlign w:val="bottom"/>
          </w:tcPr>
          <w:p>
            <w:pPr>
              <w:pStyle w:val="TableContents"/>
              <w:bidi w:val="0"/>
              <w:spacing w:before="0" w:after="283"/>
              <w:jc w:val="left"/>
              <w:rPr/>
            </w:pPr>
            <w:r>
              <w:rPr/>
              <w:t> </w:t>
            </w:r>
          </w:p>
        </w:tc>
        <w:tc>
          <w:tcPr>
            <w:tcW w:w="1238"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210,069</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LONG-TERM CUSTOMERS' ADVANCES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34,066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40,893</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 xml:space="preserve">DEFERRED TAX AND OTHER LONG-TERM LIABILITIES  </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11,188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20,717</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TOTAL LIABILITIES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600,834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vAlign w:val="bottom"/>
          </w:tcPr>
          <w:p>
            <w:pPr>
              <w:pStyle w:val="TableContents"/>
              <w:bidi w:val="0"/>
              <w:spacing w:before="0" w:after="283"/>
              <w:jc w:val="left"/>
              <w:rPr/>
            </w:pPr>
            <w:r>
              <w:rPr/>
              <w:t> </w:t>
            </w:r>
          </w:p>
        </w:tc>
        <w:tc>
          <w:tcPr>
            <w:tcW w:w="1238"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659,067</w:t>
            </w:r>
          </w:p>
        </w:tc>
        <w:tc>
          <w:tcPr>
            <w:tcW w:w="75" w:type="dxa"/>
            <w:tcBorders/>
            <w:vAlign w:val="bottom"/>
          </w:tcPr>
          <w:p>
            <w:pPr>
              <w:pStyle w:val="TableContents"/>
              <w:bidi w:val="0"/>
              <w:spacing w:before="0" w:after="283"/>
              <w:jc w:val="left"/>
              <w:rPr/>
            </w:pPr>
            <w:r>
              <w:rPr/>
              <w:t> </w:t>
            </w:r>
          </w:p>
        </w:tc>
      </w:tr>
      <w:tr>
        <w:trPr/>
        <w:tc>
          <w:tcPr>
            <w:tcW w:w="6770" w:type="dxa"/>
            <w:tcBorders/>
            <w:shd w:fill="CCEEFF" w:val="clear"/>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TOTAL SHAREHOLDERS' EQUITY</w:t>
            </w:r>
          </w:p>
        </w:tc>
        <w:tc>
          <w:tcPr>
            <w:tcW w:w="60" w:type="dxa"/>
            <w:tcBorders/>
            <w:shd w:fill="CCEEFF" w:val="clear"/>
            <w:vAlign w:val="bottom"/>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1,976,252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38"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1,888,541</w:t>
            </w:r>
          </w:p>
        </w:tc>
        <w:tc>
          <w:tcPr>
            <w:tcW w:w="75" w:type="dxa"/>
            <w:tcBorders/>
            <w:shd w:fill="CCEEFF" w:val="clear"/>
            <w:vAlign w:val="bottom"/>
          </w:tcPr>
          <w:p>
            <w:pPr>
              <w:pStyle w:val="TableContents"/>
              <w:bidi w:val="0"/>
              <w:spacing w:before="0" w:after="283"/>
              <w:jc w:val="left"/>
              <w:rPr/>
            </w:pPr>
            <w:r>
              <w:rPr/>
              <w:t> </w:t>
            </w:r>
          </w:p>
        </w:tc>
      </w:tr>
      <w:tr>
        <w:trPr/>
        <w:tc>
          <w:tcPr>
            <w:tcW w:w="6770"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TOTAL LIABILITIES AND SHAREHOLDERS' EQUITY</w:t>
            </w:r>
          </w:p>
        </w:tc>
        <w:tc>
          <w:tcPr>
            <w:tcW w:w="60" w:type="dxa"/>
            <w:tcBorders/>
            <w:vAlign w:val="bottom"/>
          </w:tcPr>
          <w:p>
            <w:pPr>
              <w:pStyle w:val="TableContents"/>
              <w:bidi w:val="0"/>
              <w:spacing w:before="0" w:after="283"/>
              <w:jc w:val="left"/>
              <w:rPr/>
            </w:pPr>
            <w:r>
              <w:rPr/>
              <w:t> </w:t>
            </w:r>
          </w:p>
        </w:tc>
        <w:tc>
          <w:tcPr>
            <w:tcW w:w="14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8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2,577,086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38"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2,547,608</w:t>
            </w:r>
          </w:p>
        </w:tc>
        <w:tc>
          <w:tcPr>
            <w:tcW w:w="7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rPr>
      </w:pPr>
      <w:r>
        <w:rPr>
          <w:rFonts w:ascii="Times New Roman;Times;serif" w:hAnsi="Times New Roman;Times;serif"/>
        </w:rPr>
      </w:r>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TOWER SEMICONDUCTOR LTD. AND SUBSIDIARIES</w:t>
            </w:r>
          </w:p>
        </w:tc>
      </w:tr>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CONDENSED CONSOLIDATED STATEMENTS OF OPERATIONS (UNAUDITED)</w:t>
            </w:r>
          </w:p>
        </w:tc>
      </w:tr>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(dollars and share count in thousands, except per share data)</w:t>
            </w:r>
          </w:p>
        </w:tc>
      </w:tr>
    </w:tbl>
    <w:p>
      <w:pPr>
        <w:pStyle w:val="TextBody"/>
        <w:bidi w:val="0"/>
        <w:spacing w:before="0" w:after="0"/>
        <w:jc w:val="left"/>
        <w:rPr/>
      </w:pPr>
      <w:r>
        <w:rPr/>
      </w:r>
    </w:p>
    <w:tbl>
      <w:tblPr>
        <w:tblW w:w="10067" w:type="dxa"/>
        <w:jc w:val="left"/>
        <w:tblInd w:w="0" w:type="dxa"/>
        <w:tblLayout w:type="fixed"/>
        <w:tblCellMar>
          <w:top w:w="0" w:type="dxa"/>
          <w:left w:w="0" w:type="dxa"/>
          <w:bottom w:w="0" w:type="dxa"/>
          <w:right w:w="0" w:type="dxa"/>
        </w:tblCellMar>
      </w:tblPr>
      <w:tblGrid>
        <w:gridCol w:w="6035"/>
        <w:gridCol w:w="60"/>
        <w:gridCol w:w="159"/>
        <w:gridCol w:w="910"/>
        <w:gridCol w:w="95"/>
        <w:gridCol w:w="60"/>
        <w:gridCol w:w="210"/>
        <w:gridCol w:w="1204"/>
        <w:gridCol w:w="95"/>
        <w:gridCol w:w="60"/>
        <w:gridCol w:w="159"/>
        <w:gridCol w:w="910"/>
        <w:gridCol w:w="110"/>
      </w:tblGrid>
      <w:tr>
        <w:trPr/>
        <w:tc>
          <w:tcPr>
            <w:tcW w:w="60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62"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110" w:type="dxa"/>
            <w:tcBorders/>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March 31,</w:t>
            </w:r>
          </w:p>
        </w:tc>
        <w:tc>
          <w:tcPr>
            <w:tcW w:w="110" w:type="dxa"/>
            <w:tcBorders/>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REVENUES</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355,611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04"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403,227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421,132</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COST OF REVENUES</w:t>
            </w:r>
          </w:p>
        </w:tc>
        <w:tc>
          <w:tcPr>
            <w:tcW w:w="60" w:type="dxa"/>
            <w:tcBorders/>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259,894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278,501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single" w:sz="12" w:space="0" w:color="000000"/>
            </w:tcBorders>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316,501</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GROSS PROFIT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95,717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124,726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104,631</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OPERATING COSTS AND EXPENSES:</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before="0" w:after="283"/>
              <w:jc w:val="right"/>
              <w:rPr/>
            </w:pPr>
            <w:r>
              <w:rPr/>
              <w:t> </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Research and development</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19,331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20,706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20,318</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Marketing, general and administrative</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18,629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18,880</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21,253</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Restructuring income, net *</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(31,655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(13,592</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6,305</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283"/>
              <w:jc w:val="left"/>
              <w:rPr/>
            </w:pPr>
            <w:r>
              <w:rPr/>
              <w:t> </w:t>
            </w:r>
          </w:p>
        </w:tc>
        <w:tc>
          <w:tcPr>
            <w:tcW w:w="1204"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25,994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41,571</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shd w:fill="CCEEFF" w:val="clear"/>
            <w:vAlign w:val="bottom"/>
          </w:tcPr>
          <w:p>
            <w:pPr>
              <w:pStyle w:val="TableContents"/>
              <w:bidi w:val="0"/>
              <w:spacing w:before="0" w:after="283"/>
              <w:jc w:val="left"/>
              <w:rPr/>
            </w:pPr>
            <w:r>
              <w:rPr/>
              <w:t> </w:t>
            </w:r>
          </w:p>
        </w:tc>
        <w:tc>
          <w:tcPr>
            <w:tcW w:w="1204"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0" w:type="dxa"/>
            <w:tcBorders/>
            <w:shd w:fill="CCEEFF" w:val="clear"/>
            <w:vAlign w:val="bottom"/>
          </w:tcPr>
          <w:p>
            <w:pPr>
              <w:pStyle w:val="TableContents"/>
              <w:bidi w:val="0"/>
              <w:spacing w:before="0" w:after="283"/>
              <w:jc w:val="right"/>
              <w:rPr/>
            </w:pPr>
            <w:r>
              <w:rPr/>
              <w:t> </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OPERATING PROFIT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89,412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98,732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63,060</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FINANCING AND OTHER INCOME (EXPENSE), NET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6,997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(2,133</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035"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PROFIT BEFORE INCOME TAX</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96,409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98,677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60,927</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INCOME TAX EXPENSE, NET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(15,041</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(12,835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(5,153</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035"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NET PROFIT</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81,368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vAlign w:val="bottom"/>
          </w:tcPr>
          <w:p>
            <w:pPr>
              <w:pStyle w:val="TableContents"/>
              <w:bidi w:val="0"/>
              <w:spacing w:before="0" w:after="283"/>
              <w:jc w:val="left"/>
              <w:rPr/>
            </w:pPr>
            <w:r>
              <w:rPr/>
              <w:t> </w:t>
            </w:r>
          </w:p>
        </w:tc>
        <w:tc>
          <w:tcPr>
            <w:tcW w:w="1204"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85,842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0"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55,774</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Net income attributable to non-controlling interest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(9,966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21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204"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(2,518</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5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0"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(1,741</w:t>
            </w:r>
          </w:p>
        </w:tc>
        <w:tc>
          <w:tcPr>
            <w:tcW w:w="110"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035"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NET PROFIT ATTRIBUTABLE TO THE COMPANY</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71,402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04"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83,324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54,033</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BASIC EARNINGS PER SHARE</w:t>
            </w:r>
          </w:p>
        </w:tc>
        <w:tc>
          <w:tcPr>
            <w:tcW w:w="60" w:type="dxa"/>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0.65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0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0.76</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0.50</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Weighted average number of shares</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109,961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283"/>
              <w:jc w:val="left"/>
              <w:rPr/>
            </w:pPr>
            <w:r>
              <w:rPr/>
              <w:t> </w:t>
            </w:r>
          </w:p>
        </w:tc>
        <w:tc>
          <w:tcPr>
            <w:tcW w:w="1204"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109,896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108,934</w:t>
            </w:r>
          </w:p>
        </w:tc>
        <w:tc>
          <w:tcPr>
            <w:tcW w:w="110" w:type="dxa"/>
            <w:tcBorders/>
            <w:vAlign w:val="bottom"/>
          </w:tcPr>
          <w:p>
            <w:pPr>
              <w:pStyle w:val="TableContents"/>
              <w:bidi w:val="0"/>
              <w:spacing w:before="0" w:after="283"/>
              <w:jc w:val="left"/>
              <w:rPr/>
            </w:pPr>
            <w:r>
              <w:rPr/>
              <w:t> </w:t>
            </w:r>
          </w:p>
        </w:tc>
      </w:tr>
      <w:tr>
        <w:trPr/>
        <w:tc>
          <w:tcPr>
            <w:tcW w:w="603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DILUTED EARNINGS PER SHARE</w:t>
            </w:r>
          </w:p>
        </w:tc>
        <w:tc>
          <w:tcPr>
            <w:tcW w:w="60" w:type="dxa"/>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0.64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0"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204"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0.75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0"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0.49</w:t>
            </w:r>
          </w:p>
        </w:tc>
        <w:tc>
          <w:tcPr>
            <w:tcW w:w="110" w:type="dxa"/>
            <w:tcBorders/>
            <w:shd w:fill="CCEEFF" w:val="clear"/>
            <w:vAlign w:val="bottom"/>
          </w:tcPr>
          <w:p>
            <w:pPr>
              <w:pStyle w:val="TableContents"/>
              <w:bidi w:val="0"/>
              <w:spacing w:before="0" w:after="283"/>
              <w:jc w:val="left"/>
              <w:rPr/>
            </w:pPr>
            <w:r>
              <w:rPr/>
              <w:t> </w:t>
            </w:r>
          </w:p>
        </w:tc>
      </w:tr>
      <w:tr>
        <w:trPr/>
        <w:tc>
          <w:tcPr>
            <w:tcW w:w="603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Weighted average number of shares</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111,071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0" w:type="dxa"/>
            <w:tcBorders>
              <w:bottom w:val="double" w:sz="8" w:space="0" w:color="000000"/>
            </w:tcBorders>
            <w:tcMar>
              <w:bottom w:w="28" w:type="dxa"/>
            </w:tcMar>
            <w:vAlign w:val="bottom"/>
          </w:tcPr>
          <w:p>
            <w:pPr>
              <w:pStyle w:val="TableContents"/>
              <w:bidi w:val="0"/>
              <w:spacing w:before="0" w:after="283"/>
              <w:jc w:val="left"/>
              <w:rPr/>
            </w:pPr>
            <w:r>
              <w:rPr/>
              <w:t> </w:t>
            </w:r>
          </w:p>
        </w:tc>
        <w:tc>
          <w:tcPr>
            <w:tcW w:w="1204"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110,938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bottom w:val="double" w:sz="8" w:space="0" w:color="000000"/>
            </w:tcBorders>
            <w:tcMar>
              <w:bottom w:w="28" w:type="dxa"/>
            </w:tcMar>
            <w:vAlign w:val="bottom"/>
          </w:tcPr>
          <w:p>
            <w:pPr>
              <w:pStyle w:val="TableContents"/>
              <w:bidi w:val="0"/>
              <w:spacing w:before="0" w:after="283"/>
              <w:jc w:val="left"/>
              <w:rPr/>
            </w:pPr>
            <w:r>
              <w:rPr/>
              <w:t> </w:t>
            </w:r>
          </w:p>
        </w:tc>
        <w:tc>
          <w:tcPr>
            <w:tcW w:w="910"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110,539</w:t>
            </w:r>
          </w:p>
        </w:tc>
        <w:tc>
          <w:tcPr>
            <w:tcW w:w="11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 Restructuring income, net resulted from the previously disclosed Arai cessation of operations which occurred during 2022 as part of Japan operations reorganization and restructuring.</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rPr>
      </w:pPr>
      <w:r>
        <w:rPr>
          <w:rFonts w:ascii="Times New Roman;Times;serif" w:hAnsi="Times New Roman;Times;serif"/>
        </w:rPr>
      </w:r>
    </w:p>
    <w:tbl>
      <w:tblPr>
        <w:tblW w:w="7310" w:type="dxa"/>
        <w:jc w:val="left"/>
        <w:tblInd w:w="0" w:type="dxa"/>
        <w:tblLayout w:type="fixed"/>
        <w:tblCellMar>
          <w:top w:w="0" w:type="dxa"/>
          <w:left w:w="0" w:type="dxa"/>
          <w:bottom w:w="0" w:type="dxa"/>
          <w:right w:w="0" w:type="dxa"/>
        </w:tblCellMar>
      </w:tblPr>
      <w:tblGrid>
        <w:gridCol w:w="7310"/>
      </w:tblGrid>
      <w:tr>
        <w:trPr/>
        <w:tc>
          <w:tcPr>
            <w:tcW w:w="731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TOWER SEMICONDUCTOR LTD. AND SUBSIDIARIES</w:t>
            </w:r>
          </w:p>
        </w:tc>
      </w:tr>
      <w:tr>
        <w:trPr/>
        <w:tc>
          <w:tcPr>
            <w:tcW w:w="731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CONSOLIDATED SOURCES AND USES REPORT (UNAUDITED)</w:t>
            </w:r>
          </w:p>
        </w:tc>
      </w:tr>
      <w:tr>
        <w:trPr/>
        <w:tc>
          <w:tcPr>
            <w:tcW w:w="731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(dollars in thousands)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314"/>
        <w:gridCol w:w="60"/>
        <w:gridCol w:w="145"/>
        <w:gridCol w:w="909"/>
        <w:gridCol w:w="95"/>
        <w:gridCol w:w="60"/>
        <w:gridCol w:w="181"/>
        <w:gridCol w:w="1139"/>
        <w:gridCol w:w="95"/>
        <w:gridCol w:w="60"/>
        <w:gridCol w:w="154"/>
        <w:gridCol w:w="881"/>
        <w:gridCol w:w="112"/>
      </w:tblGrid>
      <w:tr>
        <w:trPr/>
        <w:tc>
          <w:tcPr>
            <w:tcW w:w="6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19"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Three months ended</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March 31,</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3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December 31,</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03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March 31,</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4"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 xml:space="preserve">2023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320"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 xml:space="preserve">2022 </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035"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 xml:space="preserve">2022 </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AND CASH EQUIVALENTS - BEGINNING OF PERIOD</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90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340,759</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113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390,369</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210,930</w:t>
            </w:r>
          </w:p>
        </w:tc>
        <w:tc>
          <w:tcPr>
            <w:tcW w:w="112"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Net cash provided by operating activities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caps w:val="false"/>
                <w:smallCaps w:val="false"/>
              </w:rPr>
            </w:pPr>
            <w:r>
              <w:rPr>
                <w:caps w:val="false"/>
                <w:smallCaps w:val="false"/>
              </w:rPr>
              <w:t> </w:t>
            </w:r>
          </w:p>
        </w:tc>
        <w:tc>
          <w:tcPr>
            <w:tcW w:w="90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72,727</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81" w:type="dxa"/>
            <w:tcBorders/>
            <w:vAlign w:val="bottom"/>
          </w:tcPr>
          <w:p>
            <w:pPr>
              <w:pStyle w:val="TableContents"/>
              <w:bidi w:val="0"/>
              <w:spacing w:before="0" w:after="283"/>
              <w:jc w:val="left"/>
              <w:rPr>
                <w:caps w:val="false"/>
                <w:smallCaps w:val="false"/>
              </w:rPr>
            </w:pPr>
            <w:r>
              <w:rPr>
                <w:caps w:val="false"/>
                <w:smallCaps w:val="false"/>
              </w:rPr>
              <w:t> </w:t>
            </w:r>
          </w:p>
        </w:tc>
        <w:tc>
          <w:tcPr>
            <w:tcW w:w="113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132,750</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4" w:type="dxa"/>
            <w:tcBorders/>
            <w:vAlign w:val="bottom"/>
          </w:tcPr>
          <w:p>
            <w:pPr>
              <w:pStyle w:val="TableContents"/>
              <w:bidi w:val="0"/>
              <w:spacing w:before="0" w:after="283"/>
              <w:jc w:val="left"/>
              <w:rPr>
                <w:caps w:val="false"/>
                <w:smallCaps w:val="false"/>
              </w:rPr>
            </w:pPr>
            <w:r>
              <w:rPr>
                <w:caps w:val="false"/>
                <w:smallCaps w:val="false"/>
              </w:rPr>
              <w:t> </w:t>
            </w:r>
          </w:p>
        </w:tc>
        <w:tc>
          <w:tcPr>
            <w:tcW w:w="881"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shd w:fill="FFFFFF" w:val="clear"/>
              </w:rPr>
            </w:pPr>
            <w:r>
              <w:rPr>
                <w:rFonts w:ascii="Times New Roman;Times;serif" w:hAnsi="Times New Roman;Times;serif"/>
                <w:b/>
                <w:i w:val="false"/>
                <w:caps w:val="false"/>
                <w:smallCaps w:val="false"/>
                <w:color w:val="000000"/>
                <w:shd w:fill="FFFFFF" w:val="clear"/>
              </w:rPr>
              <w:t>136,571</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Investments in property and equipment,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(105,245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3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(38,186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shd w:fill="CCEEFF" w:val="clear"/>
              </w:rPr>
            </w:pPr>
            <w:r>
              <w:rPr>
                <w:rFonts w:ascii="Times New Roman;Times;serif" w:hAnsi="Times New Roman;Times;serif"/>
                <w:b/>
                <w:i w:val="false"/>
                <w:caps w:val="false"/>
                <w:smallCaps w:val="false"/>
                <w:color w:val="000000"/>
                <w:shd w:fill="CCEEFF" w:val="clear"/>
              </w:rPr>
              <w:t>(80,840</w:t>
            </w:r>
          </w:p>
        </w:tc>
        <w:tc>
          <w:tcPr>
            <w:tcW w:w="112"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shd w:fill="CCEEFF" w:val="clear"/>
              </w:rPr>
            </w:pPr>
            <w:r>
              <w:rPr>
                <w:rFonts w:ascii="Times New Roman;Times;serif" w:hAnsi="Times New Roman;Times;serif"/>
                <w:b/>
                <w:i w:val="false"/>
                <w:caps w:val="false"/>
                <w:smallCaps w:val="false"/>
                <w:color w:val="000000"/>
                <w:shd w:fill="CCEEFF" w:val="clear"/>
              </w:rPr>
              <w:t>)</w:t>
            </w:r>
          </w:p>
        </w:tc>
      </w:tr>
      <w:tr>
        <w:trPr/>
        <w:tc>
          <w:tcPr>
            <w:tcW w:w="6314"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Proceeds from an investment in a subsidiary</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caps w:val="false"/>
                <w:smallCaps w:val="false"/>
              </w:rPr>
            </w:pPr>
            <w:r>
              <w:rPr>
                <w:caps w:val="false"/>
                <w:smallCaps w:val="false"/>
              </w:rPr>
              <w:t> </w:t>
            </w:r>
          </w:p>
        </w:tc>
        <w:tc>
          <w:tcPr>
            <w:tcW w:w="90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1,932</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81" w:type="dxa"/>
            <w:tcBorders/>
            <w:vAlign w:val="bottom"/>
          </w:tcPr>
          <w:p>
            <w:pPr>
              <w:pStyle w:val="TableContents"/>
              <w:bidi w:val="0"/>
              <w:spacing w:before="0" w:after="283"/>
              <w:jc w:val="left"/>
              <w:rPr>
                <w:caps w:val="false"/>
                <w:smallCaps w:val="false"/>
              </w:rPr>
            </w:pPr>
            <w:r>
              <w:rPr>
                <w:caps w:val="false"/>
                <w:smallCaps w:val="false"/>
              </w:rPr>
              <w:t> </w:t>
            </w:r>
          </w:p>
        </w:tc>
        <w:tc>
          <w:tcPr>
            <w:tcW w:w="113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6,216</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4" w:type="dxa"/>
            <w:tcBorders/>
            <w:vAlign w:val="bottom"/>
          </w:tcPr>
          <w:p>
            <w:pPr>
              <w:pStyle w:val="TableContents"/>
              <w:bidi w:val="0"/>
              <w:spacing w:before="0" w:after="283"/>
              <w:jc w:val="left"/>
              <w:rPr>
                <w:caps w:val="false"/>
                <w:smallCaps w:val="false"/>
              </w:rPr>
            </w:pPr>
            <w:r>
              <w:rPr>
                <w:caps w:val="false"/>
                <w:smallCaps w:val="false"/>
              </w:rPr>
              <w:t> </w:t>
            </w:r>
          </w:p>
        </w:tc>
        <w:tc>
          <w:tcPr>
            <w:tcW w:w="881"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shd w:fill="FFFFFF" w:val="clear"/>
              </w:rPr>
            </w:pPr>
            <w:r>
              <w:rPr>
                <w:rFonts w:ascii="Times New Roman;Times;serif" w:hAnsi="Times New Roman;Times;serif"/>
                <w:b/>
                <w:i w:val="false"/>
                <w:caps w:val="false"/>
                <w:smallCaps w:val="false"/>
                <w:color w:val="000000"/>
                <w:shd w:fill="FFFFFF" w:val="clear"/>
              </w:rPr>
              <w:t>--</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r>
        <w:trPr/>
        <w:tc>
          <w:tcPr>
            <w:tcW w:w="6314"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Debt repaid,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90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(28,796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81"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139"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(11,465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4"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881" w:type="dxa"/>
            <w:tcBorders/>
            <w:shd w:fill="CCEEFF" w:val="cle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shd w:fill="CCEEFF" w:val="clear"/>
              </w:rPr>
            </w:pPr>
            <w:r>
              <w:rPr>
                <w:rFonts w:ascii="Times New Roman;Times;serif" w:hAnsi="Times New Roman;Times;serif"/>
                <w:b/>
                <w:i w:val="false"/>
                <w:caps w:val="false"/>
                <w:smallCaps w:val="false"/>
                <w:color w:val="000000"/>
                <w:shd w:fill="CCEEFF" w:val="clear"/>
              </w:rPr>
              <w:t>(30,539</w:t>
            </w:r>
          </w:p>
        </w:tc>
        <w:tc>
          <w:tcPr>
            <w:tcW w:w="112"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shd w:fill="CCEEFF" w:val="clear"/>
              </w:rPr>
            </w:pPr>
            <w:r>
              <w:rPr>
                <w:rFonts w:ascii="Times New Roman;Times;serif" w:hAnsi="Times New Roman;Times;serif"/>
                <w:b/>
                <w:i w:val="false"/>
                <w:caps w:val="false"/>
                <w:smallCaps w:val="false"/>
                <w:color w:val="000000"/>
                <w:shd w:fill="CCEEFF" w:val="clear"/>
              </w:rPr>
              <w:t>)</w:t>
            </w:r>
          </w:p>
        </w:tc>
      </w:tr>
      <w:tr>
        <w:trPr/>
        <w:tc>
          <w:tcPr>
            <w:tcW w:w="6314"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Effect of Japanese Yen exchange rate change over cash balance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caps w:val="false"/>
                <w:smallCaps w:val="false"/>
              </w:rPr>
            </w:pPr>
            <w:r>
              <w:rPr>
                <w:caps w:val="false"/>
                <w:smallCaps w:val="false"/>
              </w:rPr>
              <w:t> </w:t>
            </w:r>
          </w:p>
        </w:tc>
        <w:tc>
          <w:tcPr>
            <w:tcW w:w="90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(637</w:t>
            </w:r>
          </w:p>
        </w:tc>
        <w:tc>
          <w:tcPr>
            <w:tcW w:w="95" w:type="dxa"/>
            <w:tcBorders/>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81" w:type="dxa"/>
            <w:tcBorders/>
            <w:vAlign w:val="bottom"/>
          </w:tcPr>
          <w:p>
            <w:pPr>
              <w:pStyle w:val="TableContents"/>
              <w:bidi w:val="0"/>
              <w:spacing w:before="0" w:after="283"/>
              <w:jc w:val="left"/>
              <w:rPr>
                <w:caps w:val="false"/>
                <w:smallCaps w:val="false"/>
              </w:rPr>
            </w:pPr>
            <w:r>
              <w:rPr>
                <w:caps w:val="false"/>
                <w:smallCaps w:val="false"/>
              </w:rPr>
              <w:t> </w:t>
            </w:r>
          </w:p>
        </w:tc>
        <w:tc>
          <w:tcPr>
            <w:tcW w:w="1139"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11,498</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4" w:type="dxa"/>
            <w:tcBorders/>
            <w:vAlign w:val="bottom"/>
          </w:tcPr>
          <w:p>
            <w:pPr>
              <w:pStyle w:val="TableContents"/>
              <w:bidi w:val="0"/>
              <w:spacing w:before="0" w:after="283"/>
              <w:jc w:val="left"/>
              <w:rPr>
                <w:caps w:val="false"/>
                <w:smallCaps w:val="false"/>
              </w:rPr>
            </w:pPr>
            <w:r>
              <w:rPr>
                <w:caps w:val="false"/>
                <w:smallCaps w:val="false"/>
              </w:rPr>
              <w:t> </w:t>
            </w:r>
          </w:p>
        </w:tc>
        <w:tc>
          <w:tcPr>
            <w:tcW w:w="881" w:type="dxa"/>
            <w:tcBorders/>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(3,071</w:t>
            </w:r>
          </w:p>
        </w:tc>
        <w:tc>
          <w:tcPr>
            <w:tcW w:w="112" w:type="dxa"/>
            <w:tcBorders/>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r>
      <w:tr>
        <w:trPr/>
        <w:tc>
          <w:tcPr>
            <w:tcW w:w="6314"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Investments in short-term deposits, marketable securities and other assets, net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90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24,194</w:t>
            </w:r>
          </w:p>
        </w:tc>
        <w:tc>
          <w:tcPr>
            <w:tcW w:w="95"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1139"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(150,423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60" w:type="dxa"/>
            <w:tcBorders/>
            <w:shd w:fill="CCEEFF" w:val="clear"/>
            <w:vAlign w:val="bottom"/>
          </w:tcPr>
          <w:p>
            <w:pPr>
              <w:pStyle w:val="TableContents"/>
              <w:bidi w:val="0"/>
              <w:spacing w:before="0" w:after="283"/>
              <w:jc w:val="left"/>
              <w:rPr>
                <w:caps w:val="false"/>
                <w:smallCaps w:val="false"/>
              </w:rPr>
            </w:pPr>
            <w:r>
              <w:rPr>
                <w:caps w:val="false"/>
                <w:smallCaps w:val="false"/>
              </w:rPr>
              <w:t> </w:t>
            </w:r>
          </w:p>
        </w:tc>
        <w:tc>
          <w:tcPr>
            <w:tcW w:w="154" w:type="dxa"/>
            <w:tcBorders>
              <w:bottom w:val="single" w:sz="12" w:space="0" w:color="000000"/>
            </w:tcBorders>
            <w:shd w:fill="CCEEFF" w:val="clear"/>
            <w:tcMar>
              <w:bottom w:w="28" w:type="dxa"/>
            </w:tcMar>
            <w:vAlign w:val="bottom"/>
          </w:tcPr>
          <w:p>
            <w:pPr>
              <w:pStyle w:val="TableContents"/>
              <w:bidi w:val="0"/>
              <w:spacing w:before="0" w:after="283"/>
              <w:jc w:val="left"/>
              <w:rPr>
                <w:caps w:val="false"/>
                <w:smallCaps w:val="false"/>
              </w:rPr>
            </w:pPr>
            <w:r>
              <w:rPr>
                <w:caps w:val="false"/>
                <w:smallCaps w:val="false"/>
              </w:rPr>
              <w:t> </w:t>
            </w:r>
          </w:p>
        </w:tc>
        <w:tc>
          <w:tcPr>
            <w:tcW w:w="881"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(29,567</w:t>
            </w:r>
          </w:p>
        </w:tc>
        <w:tc>
          <w:tcPr>
            <w:tcW w:w="112" w:type="dxa"/>
            <w:tcBorders/>
            <w:shd w:fill="CCEEFF" w:val="cle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r>
      <w:tr>
        <w:trPr/>
        <w:tc>
          <w:tcPr>
            <w:tcW w:w="6314"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AND CASH EQUIVALENTS - END OF PERIOD</w:t>
            </w:r>
          </w:p>
        </w:tc>
        <w:tc>
          <w:tcPr>
            <w:tcW w:w="60" w:type="dxa"/>
            <w:tcBorders/>
            <w:vAlign w:val="bottom"/>
          </w:tcPr>
          <w:p>
            <w:pPr>
              <w:pStyle w:val="TableContents"/>
              <w:bidi w:val="0"/>
              <w:spacing w:before="0" w:after="283"/>
              <w:jc w:val="left"/>
              <w:rPr/>
            </w:pPr>
            <w:r>
              <w:rPr/>
              <w:t> </w:t>
            </w:r>
          </w:p>
        </w:tc>
        <w:tc>
          <w:tcPr>
            <w:tcW w:w="145"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90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304,934</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81"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1139"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340,759</w:t>
            </w:r>
          </w:p>
        </w:tc>
        <w:tc>
          <w:tcPr>
            <w:tcW w:w="95" w:type="dxa"/>
            <w:tcBorders/>
            <w:vAlign w:val="bottom"/>
          </w:tcPr>
          <w:p>
            <w:pPr>
              <w:pStyle w:val="TableContents"/>
              <w:bidi w:val="0"/>
              <w:spacing w:before="0" w:after="283"/>
              <w:jc w:val="left"/>
              <w:rPr>
                <w:caps w:val="false"/>
                <w:smallCaps w:val="false"/>
              </w:rPr>
            </w:pPr>
            <w:r>
              <w:rPr>
                <w:caps w:val="false"/>
                <w:smallCaps w:val="false"/>
              </w:rPr>
              <w:t> </w:t>
            </w:r>
          </w:p>
        </w:tc>
        <w:tc>
          <w:tcPr>
            <w:tcW w:w="60" w:type="dxa"/>
            <w:tcBorders/>
            <w:vAlign w:val="bottom"/>
          </w:tcPr>
          <w:p>
            <w:pPr>
              <w:pStyle w:val="TableContents"/>
              <w:bidi w:val="0"/>
              <w:spacing w:before="0" w:after="283"/>
              <w:jc w:val="left"/>
              <w:rPr>
                <w:caps w:val="false"/>
                <w:smallCaps w:val="false"/>
              </w:rPr>
            </w:pPr>
            <w:r>
              <w:rPr>
                <w:caps w:val="false"/>
                <w:smallCaps w:val="false"/>
              </w:rPr>
              <w:t> </w:t>
            </w:r>
          </w:p>
        </w:tc>
        <w:tc>
          <w:tcPr>
            <w:tcW w:w="154" w:type="dxa"/>
            <w:tcBorders>
              <w:bottom w:val="double" w:sz="8" w:space="0" w:color="000000"/>
            </w:tcBorders>
            <w:tcMar>
              <w:bottom w:w="28" w:type="dxa"/>
            </w:tcMar>
            <w:vAlign w:val="bottom"/>
          </w:tcPr>
          <w:p>
            <w:pPr>
              <w:pStyle w:val="TableContents"/>
              <w:bidi w:val="0"/>
              <w:spacing w:lineRule="auto" w:line="300" w:before="0" w:after="0"/>
              <w:jc w:val="lef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w:t>
            </w:r>
          </w:p>
        </w:tc>
        <w:tc>
          <w:tcPr>
            <w:tcW w:w="881" w:type="dxa"/>
            <w:tcBorders>
              <w:bottom w:val="double" w:sz="8"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i w:val="false"/>
                <w:caps w:val="false"/>
                <w:smallCaps w:val="false"/>
                <w:color w:val="000000"/>
              </w:rPr>
            </w:pPr>
            <w:r>
              <w:rPr>
                <w:rFonts w:ascii="Times New Roman;Times;serif" w:hAnsi="Times New Roman;Times;serif"/>
                <w:b/>
                <w:i w:val="false"/>
                <w:caps w:val="false"/>
                <w:smallCaps w:val="false"/>
                <w:color w:val="000000"/>
              </w:rPr>
              <w:t>203,484</w:t>
            </w:r>
          </w:p>
        </w:tc>
        <w:tc>
          <w:tcPr>
            <w:tcW w:w="112" w:type="dxa"/>
            <w:tcBorders/>
            <w:vAlign w:val="bottom"/>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rFonts w:ascii="Times New Roman;Times;serif" w:hAnsi="Times New Roman;Times;serif"/>
        </w:rPr>
      </w:pPr>
      <w:r>
        <w:rPr>
          <w:rFonts w:ascii="Times New Roman;Times;serif" w:hAnsi="Times New Roman;Times;serif"/>
        </w:rPr>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Times;serif" w:hAnsi="Times New Roman;Times;serif"/>
        </w:rPr>
      </w:pPr>
      <w:r>
        <w:rPr>
          <w:rFonts w:ascii="Times New Roman;Times;serif" w:hAnsi="Times New Roman;Times;serif"/>
        </w:rPr>
      </w:r>
    </w:p>
    <w:tbl>
      <w:tblPr>
        <w:tblW w:w="9140" w:type="dxa"/>
        <w:jc w:val="left"/>
        <w:tblInd w:w="0" w:type="dxa"/>
        <w:tblLayout w:type="fixed"/>
        <w:tblCellMar>
          <w:top w:w="0" w:type="dxa"/>
          <w:left w:w="0" w:type="dxa"/>
          <w:bottom w:w="0" w:type="dxa"/>
          <w:right w:w="0" w:type="dxa"/>
        </w:tblCellMar>
      </w:tblPr>
      <w:tblGrid>
        <w:gridCol w:w="9140"/>
      </w:tblGrid>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TOWER SEMICONDUCTOR LTD. AND SUBSIDIARIES</w:t>
            </w:r>
          </w:p>
        </w:tc>
      </w:tr>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CONDENSED CONSOLIDATED STATEMENTS OF CASH FLOWS (UNAUDITED)</w:t>
            </w:r>
          </w:p>
        </w:tc>
      </w:tr>
      <w:tr>
        <w:trPr/>
        <w:tc>
          <w:tcPr>
            <w:tcW w:w="9140" w:type="dxa"/>
            <w:tcBorders/>
            <w:vAlign w:val="center"/>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(dollars in thousands)</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6268"/>
        <w:gridCol w:w="60"/>
        <w:gridCol w:w="145"/>
        <w:gridCol w:w="912"/>
        <w:gridCol w:w="95"/>
        <w:gridCol w:w="60"/>
        <w:gridCol w:w="183"/>
        <w:gridCol w:w="1156"/>
        <w:gridCol w:w="95"/>
        <w:gridCol w:w="60"/>
        <w:gridCol w:w="145"/>
        <w:gridCol w:w="912"/>
        <w:gridCol w:w="114"/>
      </w:tblGrid>
      <w:tr>
        <w:trPr/>
        <w:tc>
          <w:tcPr>
            <w:tcW w:w="6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63" w:type="dxa"/>
            <w:gridSpan w:val="10"/>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Three months ended</w:t>
            </w:r>
          </w:p>
        </w:tc>
        <w:tc>
          <w:tcPr>
            <w:tcW w:w="114" w:type="dxa"/>
            <w:tcBorders/>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March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December 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March 31,</w:t>
            </w:r>
          </w:p>
        </w:tc>
        <w:tc>
          <w:tcPr>
            <w:tcW w:w="114" w:type="dxa"/>
            <w:tcBorders/>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2023</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39"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57" w:type="dxa"/>
            <w:gridSpan w:val="2"/>
            <w:tcBorders>
              <w:bottom w:val="single" w:sz="12" w:space="0" w:color="000000"/>
            </w:tcBorders>
            <w:tcMar>
              <w:bottom w:w="28" w:type="dxa"/>
            </w:tcMar>
            <w:vAlign w:val="bottom"/>
          </w:tcPr>
          <w:p>
            <w:pPr>
              <w:pStyle w:val="TableContents"/>
              <w:bidi w:val="0"/>
              <w:spacing w:lineRule="auto" w:line="300" w:before="0" w:after="0"/>
              <w:jc w:val="center"/>
              <w:rPr>
                <w:rFonts w:ascii="Times New Roman;Times;serif" w:hAnsi="Times New Roman;Times;serif"/>
                <w:b/>
                <w:color w:val="000000"/>
              </w:rPr>
            </w:pPr>
            <w:r>
              <w:rPr>
                <w:rFonts w:ascii="Times New Roman;Times;serif" w:hAnsi="Times New Roman;Times;serif"/>
                <w:b/>
                <w:color w:val="000000"/>
              </w:rPr>
              <w:t>2022</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 OPERATING ACTIVITIES</w:t>
            </w:r>
          </w:p>
        </w:tc>
        <w:tc>
          <w:tcPr>
            <w:tcW w:w="60" w:type="dxa"/>
            <w:tcBorders/>
            <w:shd w:fill="CCEEFF" w:val="clear"/>
            <w:vAlign w:val="bottom"/>
          </w:tcPr>
          <w:p>
            <w:pPr>
              <w:pStyle w:val="TableContents"/>
              <w:bidi w:val="0"/>
              <w:spacing w:before="0" w:after="283"/>
              <w:jc w:val="left"/>
              <w:rPr/>
            </w:pPr>
            <w:r>
              <w:rPr/>
              <w:t> </w:t>
            </w:r>
          </w:p>
        </w:tc>
        <w:tc>
          <w:tcPr>
            <w:tcW w:w="1057"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39" w:type="dxa"/>
            <w:gridSpan w:val="2"/>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57" w:type="dxa"/>
            <w:gridSpan w:val="2"/>
            <w:tcBorders/>
            <w:shd w:fill="CCEEFF" w:val="clear"/>
            <w:vAlign w:val="bottom"/>
          </w:tcPr>
          <w:p>
            <w:pPr>
              <w:pStyle w:val="TableContents"/>
              <w:bidi w:val="0"/>
              <w:spacing w:before="0" w:after="283"/>
              <w:jc w:val="lef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Net profit for the period</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81,368</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85,842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55,774</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Adjustments to reconcile net profit for the period</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360" w:right="0" w:hanging="0"/>
              <w:jc w:val="left"/>
              <w:rPr>
                <w:rFonts w:ascii="Times New Roman;Times;serif" w:hAnsi="Times New Roman;Times;serif"/>
                <w:b/>
                <w:color w:val="000000"/>
              </w:rPr>
            </w:pPr>
            <w:r>
              <w:rPr>
                <w:rFonts w:ascii="Times New Roman;Times;serif" w:hAnsi="Times New Roman;Times;serif"/>
                <w:b/>
                <w:color w:val="000000"/>
              </w:rPr>
              <w:t>to 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 </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Income and expense items not involving cash flows: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Depreciation and amortization</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62,387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79,893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70,780</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Effect of exchange rate differences and fair value adjustment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(926</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9,312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(1,330</w:t>
            </w:r>
          </w:p>
        </w:tc>
        <w:tc>
          <w:tcPr>
            <w:tcW w:w="114"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Other expense (income),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815</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(2,923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1,347</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540" w:right="0" w:hanging="0"/>
              <w:jc w:val="left"/>
              <w:rPr>
                <w:rFonts w:ascii="Times New Roman;Times;serif" w:hAnsi="Times New Roman;Times;serif"/>
                <w:b/>
                <w:color w:val="000000"/>
              </w:rPr>
            </w:pPr>
            <w:r>
              <w:rPr>
                <w:rFonts w:ascii="Times New Roman;Times;serif" w:hAnsi="Times New Roman;Times;serif"/>
                <w:b/>
                <w:color w:val="000000"/>
              </w:rPr>
              <w:t>Changes in assets and liabilities: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Trade accounts receivable</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7,413</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12,380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(35,181</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Other assets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(1,138</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9,381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13,874</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Inventories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(57,420</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(23,423</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(18,328</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Trade accounts payable</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44,542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(57,952</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30,595</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 xml:space="preserve">Deferred revenue and customers' advances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(15,470</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(2,517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3,385</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Other current liabilities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(45,053</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14,231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15,103</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Long-term employee related liabilities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371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2,819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331</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720" w:right="0" w:hanging="0"/>
              <w:jc w:val="left"/>
              <w:rPr>
                <w:rFonts w:ascii="Times New Roman;Times;serif" w:hAnsi="Times New Roman;Times;serif"/>
                <w:b/>
                <w:color w:val="000000"/>
              </w:rPr>
            </w:pPr>
            <w:r>
              <w:rPr>
                <w:rFonts w:ascii="Times New Roman;Times;serif" w:hAnsi="Times New Roman;Times;serif"/>
                <w:b/>
                <w:color w:val="000000"/>
              </w:rPr>
              <w:t>Deferred tax, net and other long-term liabilities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(4,162</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5,707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221</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900" w:right="0" w:hanging="0"/>
              <w:jc w:val="left"/>
              <w:rPr>
                <w:rFonts w:ascii="Times New Roman;Times;serif" w:hAnsi="Times New Roman;Times;serif"/>
                <w:b/>
                <w:color w:val="000000"/>
              </w:rPr>
            </w:pPr>
            <w:r>
              <w:rPr>
                <w:rFonts w:ascii="Times New Roman;Times;serif" w:hAnsi="Times New Roman;Times;serif"/>
                <w:b/>
                <w:color w:val="000000"/>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72,727</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132,750</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136,571</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 INVESTING ACTIVITIES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Investments in property and equipment,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(105,245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(38,186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(80,840</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Investments in deposits, marketable securities and other assets, net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24,194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(150,423</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(29,611</w:t>
            </w:r>
          </w:p>
        </w:tc>
        <w:tc>
          <w:tcPr>
            <w:tcW w:w="114"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shd w:fill="CCEEFF" w:val="clear"/>
            <w:vAlign w:val="bottom"/>
          </w:tcPr>
          <w:p>
            <w:pPr>
              <w:pStyle w:val="TableContents"/>
              <w:bidi w:val="0"/>
              <w:spacing w:lineRule="auto" w:line="300" w:before="0" w:after="0"/>
              <w:ind w:left="900" w:right="0" w:hanging="0"/>
              <w:jc w:val="left"/>
              <w:rPr>
                <w:rFonts w:ascii="Times New Roman;Times;serif" w:hAnsi="Times New Roman;Times;serif"/>
                <w:b/>
                <w:color w:val="000000"/>
              </w:rPr>
            </w:pPr>
            <w:r>
              <w:rPr>
                <w:rFonts w:ascii="Times New Roman;Times;serif" w:hAnsi="Times New Roman;Times;serif"/>
                <w:b/>
                <w:color w:val="000000"/>
              </w:rPr>
              <w:t>Net cash used in investing activities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(81,051</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(188,609</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(110,451</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FLOWS - FINANCING ACTIVITIES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Debt repaid, net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(28,796</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(11,465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(30,539</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Proceeds from an investment in a subsidiary</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1,932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6,216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ind w:left="180" w:right="0" w:hanging="0"/>
              <w:jc w:val="left"/>
              <w:rPr>
                <w:rFonts w:ascii="Times New Roman;Times;serif" w:hAnsi="Times New Roman;Times;serif"/>
                <w:b/>
                <w:color w:val="000000"/>
              </w:rPr>
            </w:pPr>
            <w:r>
              <w:rPr>
                <w:rFonts w:ascii="Times New Roman;Times;serif" w:hAnsi="Times New Roman;Times;serif"/>
                <w:b/>
                <w:color w:val="000000"/>
              </w:rPr>
              <w:t>Exercise of options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44</w:t>
            </w:r>
          </w:p>
        </w:tc>
        <w:tc>
          <w:tcPr>
            <w:tcW w:w="114" w:type="dxa"/>
            <w:tcBorders/>
            <w:shd w:fill="CCEEFF" w:val="clear"/>
            <w:vAlign w:val="bottom"/>
          </w:tcPr>
          <w:p>
            <w:pPr>
              <w:pStyle w:val="TableContents"/>
              <w:bidi w:val="0"/>
              <w:spacing w:before="0" w:after="283"/>
              <w:jc w:val="left"/>
              <w:rPr/>
            </w:pPr>
            <w:r>
              <w:rPr/>
              <w:t> </w:t>
            </w:r>
          </w:p>
        </w:tc>
      </w:tr>
      <w:tr>
        <w:trPr/>
        <w:tc>
          <w:tcPr>
            <w:tcW w:w="6268" w:type="dxa"/>
            <w:tcBorders/>
            <w:vAlign w:val="bottom"/>
          </w:tcPr>
          <w:p>
            <w:pPr>
              <w:pStyle w:val="TableContents"/>
              <w:bidi w:val="0"/>
              <w:spacing w:lineRule="auto" w:line="300" w:before="0" w:after="0"/>
              <w:ind w:left="900" w:right="0" w:hanging="0"/>
              <w:jc w:val="left"/>
              <w:rPr>
                <w:rFonts w:ascii="Times New Roman;Times;serif" w:hAnsi="Times New Roman;Times;serif"/>
                <w:b/>
                <w:color w:val="000000"/>
              </w:rPr>
            </w:pPr>
            <w:r>
              <w:rPr>
                <w:rFonts w:ascii="Times New Roman;Times;serif" w:hAnsi="Times New Roman;Times;serif"/>
                <w:b/>
                <w:color w:val="000000"/>
              </w:rPr>
              <w:t>Net cash used in financing activities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(26,864</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(5,249</w:t>
            </w:r>
          </w:p>
        </w:tc>
        <w:tc>
          <w:tcPr>
            <w:tcW w:w="95"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(30,495</w:t>
            </w:r>
          </w:p>
        </w:tc>
        <w:tc>
          <w:tcPr>
            <w:tcW w:w="114"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EFFECT OF FOREIGN CURRENCY EXCHANGE RATE CHANGE</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(637</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115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11,498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91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(3,071</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56"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DECREASE IN CASH AND CASH EQUIVALENTS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(35,825</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156"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(49,610</w:t>
            </w:r>
          </w:p>
        </w:tc>
        <w:tc>
          <w:tcPr>
            <w:tcW w:w="95"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(7,446</w:t>
            </w:r>
          </w:p>
        </w:tc>
        <w:tc>
          <w:tcPr>
            <w:tcW w:w="114"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r>
      <w:tr>
        <w:trPr/>
        <w:tc>
          <w:tcPr>
            <w:tcW w:w="6268" w:type="dxa"/>
            <w:tcBorders/>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AND CASH EQUIVALENTS - BEGINNING OF PERIOD</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340,759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3" w:type="dxa"/>
            <w:tcBorders>
              <w:bottom w:val="single" w:sz="12" w:space="0" w:color="000000"/>
            </w:tcBorders>
            <w:tcMar>
              <w:bottom w:w="28" w:type="dxa"/>
            </w:tcMar>
            <w:vAlign w:val="bottom"/>
          </w:tcPr>
          <w:p>
            <w:pPr>
              <w:pStyle w:val="TableContents"/>
              <w:bidi w:val="0"/>
              <w:spacing w:before="0" w:after="283"/>
              <w:jc w:val="left"/>
              <w:rPr/>
            </w:pPr>
            <w:r>
              <w:rPr/>
              <w:t> </w:t>
            </w:r>
          </w:p>
        </w:tc>
        <w:tc>
          <w:tcPr>
            <w:tcW w:w="1156"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390,369</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912" w:type="dxa"/>
            <w:tcBorders>
              <w:bottom w:val="single" w:sz="12" w:space="0" w:color="000000"/>
            </w:tcBorders>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210,930</w:t>
            </w:r>
          </w:p>
        </w:tc>
        <w:tc>
          <w:tcPr>
            <w:tcW w:w="114" w:type="dxa"/>
            <w:tcBorders/>
            <w:vAlign w:val="bottom"/>
          </w:tcPr>
          <w:p>
            <w:pPr>
              <w:pStyle w:val="TableContents"/>
              <w:bidi w:val="0"/>
              <w:spacing w:before="0" w:after="283"/>
              <w:jc w:val="left"/>
              <w:rPr/>
            </w:pPr>
            <w:r>
              <w:rPr/>
              <w:t> </w:t>
            </w:r>
          </w:p>
        </w:tc>
      </w:tr>
      <w:tr>
        <w:trPr/>
        <w:tc>
          <w:tcPr>
            <w:tcW w:w="6268" w:type="dxa"/>
            <w:tcBorders/>
            <w:shd w:fill="CCEEFF" w:val="cle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CASH AND CASH EQUIVALENTS - END OF PERIOD</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304,934</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3"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1156"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340,759</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bottom w:val="double" w:sz="8" w:space="0" w:color="000000"/>
            </w:tcBorders>
            <w:shd w:fill="CCEEFF" w:val="clear"/>
            <w:tcMar>
              <w:bottom w:w="28" w:type="dxa"/>
            </w:tcMar>
            <w:vAlign w:val="bottom"/>
          </w:tcPr>
          <w:p>
            <w:pPr>
              <w:pStyle w:val="TableContents"/>
              <w:bidi w:val="0"/>
              <w:spacing w:lineRule="auto" w:line="300" w:before="0" w:after="0"/>
              <w:jc w:val="left"/>
              <w:rPr>
                <w:rFonts w:ascii="Times New Roman;Times;serif" w:hAnsi="Times New Roman;Times;serif"/>
                <w:b/>
                <w:color w:val="000000"/>
              </w:rPr>
            </w:pPr>
            <w:r>
              <w:rPr>
                <w:rFonts w:ascii="Times New Roman;Times;serif" w:hAnsi="Times New Roman;Times;serif"/>
                <w:b/>
                <w:color w:val="000000"/>
              </w:rPr>
              <w:t>$</w:t>
            </w:r>
          </w:p>
        </w:tc>
        <w:tc>
          <w:tcPr>
            <w:tcW w:w="912" w:type="dxa"/>
            <w:tcBorders>
              <w:bottom w:val="double" w:sz="8" w:space="0" w:color="000000"/>
            </w:tcBorders>
            <w:shd w:fill="CCEEFF" w:val="clear"/>
            <w:tcMar>
              <w:bottom w:w="28" w:type="dxa"/>
            </w:tcMar>
            <w:vAlign w:val="bottom"/>
          </w:tcPr>
          <w:p>
            <w:pPr>
              <w:pStyle w:val="TableContents"/>
              <w:bidi w:val="0"/>
              <w:spacing w:lineRule="auto" w:line="300" w:before="0" w:after="0"/>
              <w:jc w:val="right"/>
              <w:rPr>
                <w:rFonts w:ascii="Times New Roman;Times;serif" w:hAnsi="Times New Roman;Times;serif"/>
                <w:b/>
                <w:color w:val="000000"/>
              </w:rPr>
            </w:pPr>
            <w:r>
              <w:rPr>
                <w:rFonts w:ascii="Times New Roman;Times;serif" w:hAnsi="Times New Roman;Times;serif"/>
                <w:b/>
                <w:color w:val="000000"/>
              </w:rPr>
              <w:t>203,484</w:t>
            </w:r>
          </w:p>
        </w:tc>
        <w:tc>
          <w:tcPr>
            <w:tcW w:w="11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3595</Words>
  <Characters>20292</Characters>
  <CharactersWithSpaces>24210</CharactersWithSpaces>
  <Paragraphs>1183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