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9"/>
        <w:spacing w:after="0"/>
        <w:rPr>
          <w:sz w:val="20"/>
          <w:szCs w:val="20"/>
          <w:color w:val="auto"/>
        </w:rPr>
      </w:pPr>
      <w:r>
        <w:rPr>
          <w:rFonts w:ascii="Courier New" w:cs="Courier New" w:eastAsia="Courier New" w:hAnsi="Courier New"/>
          <w:sz w:val="15"/>
          <w:szCs w:val="15"/>
          <w:color w:val="auto"/>
        </w:rPr>
        <w:t>FORM 6-K</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For the month of November 2007</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TOWER SEMICONDUCTOR LTD.</w:t>
      </w:r>
    </w:p>
    <w:p>
      <w:pPr>
        <w:spacing w:after="0" w:line="26"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(Translation of registrant's name into English)</w:t>
      </w:r>
    </w:p>
    <w:p>
      <w:pPr>
        <w:spacing w:after="0" w:line="143"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RAMAT GAVRIEL INDUSTRIAL PARK</w:t>
      </w:r>
    </w:p>
    <w:p>
      <w:pPr>
        <w:spacing w:after="0" w:line="25"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P.O. BOX 619, MIGDAL HAEMEK, ISRAEL 23105</w:t>
      </w:r>
    </w:p>
    <w:p>
      <w:pPr>
        <w:ind w:left="176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43" w:lineRule="exact"/>
        <w:rPr>
          <w:sz w:val="24"/>
          <w:szCs w:val="24"/>
          <w:color w:val="auto"/>
        </w:rPr>
      </w:pPr>
    </w:p>
    <w:p>
      <w:pPr>
        <w:ind w:right="3539" w:firstLine="441"/>
        <w:spacing w:after="0" w:line="347"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7" w:lineRule="exact"/>
        <w:rPr>
          <w:sz w:val="24"/>
          <w:szCs w:val="24"/>
          <w:color w:val="auto"/>
        </w:rPr>
      </w:pPr>
    </w:p>
    <w:p>
      <w:pPr>
        <w:ind w:left="2200"/>
        <w:spacing w:after="0"/>
        <w:tabs>
          <w:tab w:leader="none" w:pos="3760" w:val="left"/>
        </w:tabs>
        <w:rPr>
          <w:sz w:val="20"/>
          <w:szCs w:val="20"/>
          <w:color w:val="auto"/>
        </w:rPr>
      </w:pPr>
      <w:r>
        <w:rPr>
          <w:rFonts w:ascii="Courier New" w:cs="Courier New" w:eastAsia="Courier New" w:hAnsi="Courier New"/>
          <w:sz w:val="15"/>
          <w:szCs w:val="15"/>
          <w:color w:val="auto"/>
        </w:rPr>
        <w:t>Form 20-F [X]</w:t>
      </w:r>
      <w:r>
        <w:rPr>
          <w:sz w:val="20"/>
          <w:szCs w:val="20"/>
          <w:color w:val="auto"/>
        </w:rPr>
        <w:tab/>
      </w:r>
      <w:r>
        <w:rPr>
          <w:rFonts w:ascii="Courier New" w:cs="Courier New" w:eastAsia="Courier New" w:hAnsi="Courier New"/>
          <w:sz w:val="14"/>
          <w:szCs w:val="14"/>
          <w:color w:val="auto"/>
        </w:rPr>
        <w:t>Form 40-F [_]</w:t>
      </w:r>
    </w:p>
    <w:p>
      <w:pPr>
        <w:spacing w:after="0" w:line="169" w:lineRule="exact"/>
        <w:rPr>
          <w:sz w:val="24"/>
          <w:szCs w:val="24"/>
          <w:color w:val="auto"/>
        </w:rPr>
      </w:pPr>
    </w:p>
    <w:p>
      <w:pPr>
        <w:ind w:right="3179" w:firstLine="441"/>
        <w:spacing w:after="0" w:line="322"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40" w:lineRule="exact"/>
        <w:rPr>
          <w:sz w:val="24"/>
          <w:szCs w:val="24"/>
          <w:color w:val="auto"/>
        </w:rPr>
      </w:pPr>
    </w:p>
    <w:p>
      <w:pPr>
        <w:ind w:left="2720"/>
        <w:spacing w:after="0"/>
        <w:tabs>
          <w:tab w:leader="none" w:pos="3760" w:val="left"/>
        </w:tabs>
        <w:rPr>
          <w:sz w:val="20"/>
          <w:szCs w:val="20"/>
          <w:color w:val="auto"/>
        </w:rPr>
      </w:pPr>
      <w:r>
        <w:rPr>
          <w:rFonts w:ascii="Courier New" w:cs="Courier New" w:eastAsia="Courier New" w:hAnsi="Courier New"/>
          <w:sz w:val="15"/>
          <w:szCs w:val="15"/>
          <w:color w:val="auto"/>
        </w:rPr>
        <w:t>Yes [_]</w:t>
      </w:r>
      <w:r>
        <w:rPr>
          <w:sz w:val="20"/>
          <w:szCs w:val="20"/>
          <w:color w:val="auto"/>
        </w:rPr>
        <w:tab/>
      </w:r>
      <w:r>
        <w:rPr>
          <w:rFonts w:ascii="Courier New" w:cs="Courier New" w:eastAsia="Courier New" w:hAnsi="Courier New"/>
          <w:sz w:val="14"/>
          <w:szCs w:val="14"/>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both"/>
        <w:ind w:right="3179" w:firstLine="441"/>
        <w:spacing w:after="0" w:line="293" w:lineRule="auto"/>
        <w:rPr>
          <w:sz w:val="20"/>
          <w:szCs w:val="20"/>
          <w:color w:val="auto"/>
        </w:rPr>
      </w:pPr>
      <w:r>
        <w:rPr>
          <w:rFonts w:ascii="Courier New" w:cs="Courier New" w:eastAsia="Courier New" w:hAnsi="Courier New"/>
          <w:sz w:val="15"/>
          <w:szCs w:val="15"/>
          <w:color w:val="auto"/>
        </w:rPr>
        <w:t>On November 6, 2007, the Registrant announced its financial results for the nine and three months ended September 30, 2007. Attached hereto is a copy of the press release.</w:t>
      </w:r>
    </w:p>
    <w:p>
      <w:pPr>
        <w:sectPr>
          <w:pgSz w:w="11900" w:h="16838" w:orient="portrait"/>
          <w:cols w:equalWidth="0" w:num="1">
            <w:col w:w="10219"/>
          </w:cols>
          <w:pgMar w:left="240" w:top="375" w:right="1440" w:bottom="1440" w:gutter="0" w:footer="0" w:header="0"/>
        </w:sectPr>
      </w:pPr>
    </w:p>
    <w:bookmarkStart w:id="1" w:name="page2"/>
    <w:bookmarkEnd w:id="1"/>
    <w:p>
      <w:pPr>
        <w:jc w:val="center"/>
        <w:ind w:right="3179"/>
        <w:spacing w:after="0"/>
        <w:rPr>
          <w:sz w:val="20"/>
          <w:szCs w:val="20"/>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ind w:right="3439" w:firstLine="441"/>
        <w:spacing w:after="0" w:line="293"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TOWER SEMICONDUCTOR LTD.</w:t>
      </w:r>
    </w:p>
    <w:p>
      <w:pPr>
        <w:sectPr>
          <w:pgSz w:w="11900" w:h="16838" w:orient="portrait"/>
          <w:cols w:equalWidth="0" w:num="1">
            <w:col w:w="10219"/>
          </w:cols>
          <w:pgMar w:left="240" w:top="771" w:right="1440" w:bottom="1440" w:gutter="0" w:footer="0" w:header="0"/>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November 6, 2007</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Nati Somekh Gilboa</w:t>
      </w:r>
    </w:p>
    <w:p>
      <w:pPr>
        <w:spacing w:after="0" w:line="48" w:lineRule="exact"/>
        <w:rPr>
          <w:sz w:val="20"/>
          <w:szCs w:val="20"/>
          <w:color w:val="auto"/>
        </w:rPr>
      </w:pPr>
    </w:p>
    <w:p>
      <w:pPr>
        <w:sectPr>
          <w:pgSz w:w="11900" w:h="16838" w:orient="portrait"/>
          <w:cols w:equalWidth="0" w:num="2">
            <w:col w:w="3940" w:space="720"/>
            <w:col w:w="5559"/>
          </w:cols>
          <w:pgMar w:left="240" w:top="771" w:right="1440" w:bottom="1440" w:gutter="0" w:footer="0" w:header="0"/>
          <w:type w:val="continuous"/>
        </w:sectPr>
      </w:pPr>
    </w:p>
    <w:p>
      <w:pPr>
        <w:ind w:left="4660"/>
        <w:spacing w:after="0"/>
        <w:rPr>
          <w:sz w:val="20"/>
          <w:szCs w:val="20"/>
          <w:color w:val="auto"/>
        </w:rPr>
      </w:pPr>
      <w:r>
        <w:rPr>
          <w:rFonts w:ascii="Courier New" w:cs="Courier New" w:eastAsia="Courier New" w:hAnsi="Courier New"/>
          <w:sz w:val="14"/>
          <w:szCs w:val="14"/>
          <w:color w:val="auto"/>
        </w:rPr>
        <w:t>--------------------------</w:t>
      </w:r>
    </w:p>
    <w:p>
      <w:pPr>
        <w:ind w:left="4660"/>
        <w:spacing w:after="0"/>
        <w:rPr>
          <w:sz w:val="20"/>
          <w:szCs w:val="20"/>
          <w:color w:val="auto"/>
        </w:rPr>
      </w:pPr>
      <w:r>
        <w:rPr>
          <w:rFonts w:ascii="Courier New" w:cs="Courier New" w:eastAsia="Courier New" w:hAnsi="Courier New"/>
          <w:sz w:val="15"/>
          <w:szCs w:val="15"/>
          <w:color w:val="auto"/>
        </w:rPr>
        <w:t>Nati Somekh Gilboa</w:t>
      </w:r>
    </w:p>
    <w:p>
      <w:pPr>
        <w:ind w:left="4660"/>
        <w:spacing w:after="0"/>
        <w:rPr>
          <w:sz w:val="20"/>
          <w:szCs w:val="20"/>
          <w:color w:val="auto"/>
        </w:rPr>
      </w:pPr>
      <w:r>
        <w:rPr>
          <w:rFonts w:ascii="Courier New" w:cs="Courier New" w:eastAsia="Courier New" w:hAnsi="Courier New"/>
          <w:sz w:val="15"/>
          <w:szCs w:val="15"/>
          <w:color w:val="auto"/>
        </w:rPr>
        <w:t>Corporate Secretary</w:t>
      </w:r>
    </w:p>
    <w:p>
      <w:pPr>
        <w:sectPr>
          <w:pgSz w:w="11900" w:h="16838" w:orient="portrait"/>
          <w:cols w:equalWidth="0" w:num="1">
            <w:col w:w="10219"/>
          </w:cols>
          <w:pgMar w:left="240" w:top="771" w:right="1440" w:bottom="1440" w:gutter="0" w:footer="0" w:header="0"/>
          <w:type w:val="continuous"/>
        </w:sectPr>
      </w:pPr>
    </w:p>
    <w:bookmarkStart w:id="2" w:name="page3"/>
    <w:bookmarkEnd w:id="2"/>
    <w:p>
      <w:pPr>
        <w:jc w:val="center"/>
        <w:ind w:right="3179"/>
        <w:spacing w:after="0"/>
        <w:rPr>
          <w:sz w:val="20"/>
          <w:szCs w:val="20"/>
          <w:color w:val="auto"/>
        </w:rPr>
      </w:pPr>
      <w:r>
        <w:rPr>
          <w:rFonts w:ascii="Courier New" w:cs="Courier New" w:eastAsia="Courier New" w:hAnsi="Courier New"/>
          <w:sz w:val="15"/>
          <w:szCs w:val="15"/>
          <w:color w:val="auto"/>
        </w:rPr>
        <w:t>TOWER SEMICONDUCTOR REPORTS 28 PERCENT REVENUE</w:t>
      </w:r>
    </w:p>
    <w:p>
      <w:pPr>
        <w:spacing w:after="0" w:line="2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GROWTH FOR FIRST NINE MONTHS OF 2007</w:t>
      </w:r>
    </w:p>
    <w:p>
      <w:pPr>
        <w:spacing w:after="0" w:line="143" w:lineRule="exact"/>
        <w:rPr>
          <w:sz w:val="20"/>
          <w:szCs w:val="20"/>
          <w:color w:val="auto"/>
        </w:rPr>
      </w:pPr>
    </w:p>
    <w:p>
      <w:pPr>
        <w:jc w:val="center"/>
        <w:ind w:right="3199"/>
        <w:spacing w:after="0" w:line="293" w:lineRule="auto"/>
        <w:rPr>
          <w:sz w:val="20"/>
          <w:szCs w:val="20"/>
          <w:color w:val="auto"/>
        </w:rPr>
      </w:pPr>
      <w:r>
        <w:rPr>
          <w:rFonts w:ascii="Courier New" w:cs="Courier New" w:eastAsia="Courier New" w:hAnsi="Courier New"/>
          <w:sz w:val="15"/>
          <w:szCs w:val="15"/>
          <w:color w:val="auto"/>
        </w:rPr>
        <w:t>THIRD QUARTER REPRESENTS 10 PERCENT REVENUE GROWTH YEAR-OVER-YEAR; MIDRANGE REVENUE GUIDANCE OF 12 PERCENT SEQUENTIAL GROWTH FOR FOURTH QUARTER OF 2007</w:t>
      </w:r>
    </w:p>
    <w:p>
      <w:pPr>
        <w:spacing w:after="0" w:line="56"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MIGDAL HAEMEK, Israel - November 6, 2007 - Tower Semiconductor Ltd. (Nasdaq: TSEM, TASE: TSEM), an independent specialty foundry, today announced financial results for the third quarter ended September 30, 2007.</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QUARTER HIGHLIGHTS</w:t>
      </w:r>
    </w:p>
    <w:p>
      <w:pPr>
        <w:spacing w:after="0" w:line="169" w:lineRule="exact"/>
        <w:rPr>
          <w:sz w:val="20"/>
          <w:szCs w:val="20"/>
          <w:color w:val="auto"/>
        </w:rPr>
      </w:pPr>
    </w:p>
    <w:p>
      <w:pPr>
        <w:ind w:left="880" w:right="3619" w:hanging="449"/>
        <w:spacing w:after="0" w:line="347" w:lineRule="auto"/>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Achieved record nine month revenue of $169.2 million representing year-over-year growth of approximately 28 percent</w:t>
      </w:r>
    </w:p>
    <w:p>
      <w:pPr>
        <w:spacing w:after="0" w:line="17" w:lineRule="exact"/>
        <w:rPr>
          <w:rFonts w:ascii="Courier New" w:cs="Courier New" w:eastAsia="Courier New" w:hAnsi="Courier New"/>
          <w:sz w:val="15"/>
          <w:szCs w:val="15"/>
          <w:color w:val="auto"/>
        </w:rPr>
      </w:pPr>
    </w:p>
    <w:p>
      <w:pPr>
        <w:ind w:left="880" w:right="3179" w:hanging="449"/>
        <w:spacing w:after="0" w:line="384" w:lineRule="auto"/>
        <w:tabs>
          <w:tab w:leader="none" w:pos="8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Achieved positive cash flow from operations for the fourth consecutive quarter and positive EBITDA for the eighth consecutive quarter</w:t>
      </w:r>
    </w:p>
    <w:p>
      <w:pPr>
        <w:spacing w:after="0" w:line="1" w:lineRule="exact"/>
        <w:rPr>
          <w:rFonts w:ascii="Courier New" w:cs="Courier New" w:eastAsia="Courier New" w:hAnsi="Courier New"/>
          <w:sz w:val="14"/>
          <w:szCs w:val="14"/>
          <w:color w:val="auto"/>
        </w:rPr>
      </w:pPr>
    </w:p>
    <w:p>
      <w:pPr>
        <w:ind w:left="880" w:hanging="449"/>
        <w:spacing w:after="0"/>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Won high-volume Fab 2 manufacturing deal with first-tier U.S. IDM</w:t>
      </w:r>
    </w:p>
    <w:p>
      <w:pPr>
        <w:spacing w:after="0" w:line="169" w:lineRule="exact"/>
        <w:rPr>
          <w:rFonts w:ascii="Courier New" w:cs="Courier New" w:eastAsia="Courier New" w:hAnsi="Courier New"/>
          <w:sz w:val="15"/>
          <w:szCs w:val="15"/>
          <w:color w:val="auto"/>
        </w:rPr>
      </w:pPr>
    </w:p>
    <w:p>
      <w:pPr>
        <w:ind w:left="880" w:right="3259" w:hanging="449"/>
        <w:spacing w:after="0" w:line="347" w:lineRule="auto"/>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Secured funding and announced plan to further increase Fab 2 capacity to beyond 30,000 wafers-per-month.</w:t>
      </w:r>
    </w:p>
    <w:p>
      <w:pPr>
        <w:spacing w:after="0" w:line="17"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Revenue for the third quarter was $56.6 million, representing an increase of 10 percent when compared to revenue of $51.5 million reported in the third quarter of 2006. For the nine months ended September 30, 2007, total revenue was $169.2 million, representing an increase of 28 percent when compared to revenue of $131.9 million reported in the same period one year ago.</w:t>
      </w:r>
    </w:p>
    <w:p>
      <w:pPr>
        <w:spacing w:after="0" w:line="75"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Non-GAAP gross profit and operating profit (as described and reconciled below) for the nine months ended September 30, 2007, totaled to $60.5 million and $34.9 million, respectively; and non-GAAP gross profit and operating profit (as described and reconciled below) for the third quarter of 2007 totaled $20.5 million and $11.6 million, respectively. Calculated in accordance with Generally Accepted Accounting Principles (GAAP), net loss for the third quarter of 2007 was $33.4 million, or $0.27 per share, as compared to net income of $39.5 million, or $0.46 per share, in the same period one year ago, which included a one-time restructuring gain of $80.1 million. Excluding the restructuring gain, third quarter 2007 net loss improved by $7.2 million from $40.6 million in the third quarter of 2006.</w:t>
      </w:r>
    </w:p>
    <w:p>
      <w:pPr>
        <w:spacing w:after="0" w:line="87"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"During the third quarter we continued to achieve positive EBITDA and positive cash flow from operations," said Russell Ellwanger, Chief Executive Officer of Tower. "The recent win of a high-volume bid for Fab 2 from a first tier US IDM should be the most significant manufacturing contract that has been secured during my time with the company. With the new tools that we recently purchased, originating at companies such as AMD and Intel, we will be able to fully satisfy our current customers' demand which currently exceeds our capacity as well as begin to satisfy this new high-volume contract. Our fourth quarter customer demand is strong and we look forward to achieving the financial milestone of a quarter of a billion dollars revenue on an annual basis while implementing our plans to improve bottom line performance."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OUTLOOK:</w:t>
      </w:r>
    </w:p>
    <w:p>
      <w:pPr>
        <w:spacing w:after="0" w:line="169"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Tower forecasts revenue in the fourth quarter 2007 to range between $61 and $65 million, representing midrange sequential revenue growth of 12 percent. As a result, Tower expects its fiscal 2007 revenues to be between $230 and $234 million, representing midrange annual revenue growth of 24 percent over 2006 revenues.</w:t>
      </w:r>
    </w:p>
    <w:p>
      <w:pPr>
        <w:sectPr>
          <w:pgSz w:w="11900" w:h="16838" w:orient="portrait"/>
          <w:cols w:equalWidth="0" w:num="1">
            <w:col w:w="10219"/>
          </w:cols>
          <w:pgMar w:left="240" w:top="771" w:right="1440" w:bottom="1440" w:gutter="0" w:footer="0" w:header="0"/>
        </w:sectPr>
      </w:pPr>
    </w:p>
    <w:bookmarkStart w:id="3" w:name="page4"/>
    <w:bookmarkEnd w:id="3"/>
    <w:p>
      <w:pPr>
        <w:ind w:left="10"/>
        <w:spacing w:after="0"/>
        <w:rPr>
          <w:sz w:val="20"/>
          <w:szCs w:val="20"/>
          <w:color w:val="auto"/>
        </w:rPr>
      </w:pPr>
      <w:r>
        <w:rPr>
          <w:rFonts w:ascii="Courier New" w:cs="Courier New" w:eastAsia="Courier New" w:hAnsi="Courier New"/>
          <w:sz w:val="15"/>
          <w:szCs w:val="15"/>
          <w:color w:val="auto"/>
        </w:rPr>
        <w:t>THIRD QUARTER 2007 FINANCIAL RESULTS CONFERENCE CALL AND WEB CAST</w:t>
      </w:r>
    </w:p>
    <w:p>
      <w:pPr>
        <w:spacing w:after="0" w:line="169" w:lineRule="exact"/>
        <w:rPr>
          <w:sz w:val="20"/>
          <w:szCs w:val="20"/>
          <w:color w:val="auto"/>
        </w:rPr>
      </w:pPr>
    </w:p>
    <w:p>
      <w:pPr>
        <w:ind w:left="10" w:right="3179"/>
        <w:spacing w:after="0" w:line="254" w:lineRule="auto"/>
        <w:rPr>
          <w:sz w:val="20"/>
          <w:szCs w:val="20"/>
          <w:color w:val="auto"/>
        </w:rPr>
      </w:pPr>
      <w:r>
        <w:rPr>
          <w:rFonts w:ascii="Courier New" w:cs="Courier New" w:eastAsia="Courier New" w:hAnsi="Courier New"/>
          <w:sz w:val="15"/>
          <w:szCs w:val="15"/>
          <w:color w:val="auto"/>
        </w:rPr>
        <w:t>Tower will host a conference call to discuss these results on Tuesday, November 6, 2007, at 10 a.m. Eastern Standard Time / 5 p.m. Israel time. To participate, please call: 1-888-668-9141 (U.S. toll-free number) or 972-3-918-0688 (international) and mention ID code: TOWER. Callers in Israel are invited to call locally by dialing 03-918-0688. The conference call will also be Web cast live at http://www.earnings.com and at www.towersemi.com and will be available thereafter on both Web sites for replay for 90 days, starting at approximately 2 p.m. Eastern Standard Time on the day of the call.</w:t>
      </w:r>
    </w:p>
    <w:p>
      <w:pPr>
        <w:spacing w:after="0" w:line="87" w:lineRule="exact"/>
        <w:rPr>
          <w:sz w:val="20"/>
          <w:szCs w:val="20"/>
          <w:color w:val="auto"/>
        </w:rPr>
      </w:pPr>
    </w:p>
    <w:p>
      <w:pPr>
        <w:ind w:left="10" w:right="3179"/>
        <w:spacing w:after="0" w:line="254" w:lineRule="auto"/>
        <w:rPr>
          <w:sz w:val="20"/>
          <w:szCs w:val="20"/>
          <w:color w:val="auto"/>
        </w:rPr>
      </w:pPr>
      <w:r>
        <w:rPr>
          <w:rFonts w:ascii="Courier New" w:cs="Courier New" w:eastAsia="Courier New" w:hAnsi="Courier New"/>
          <w:sz w:val="15"/>
          <w:szCs w:val="15"/>
          <w:color w:val="auto"/>
        </w:rPr>
        <w:t>As used in this release, the term EBITDA consists of loss, according to GAAP (Generally Accepted Accounting Principles), excluding interest and financing expenses (net), tax and depreciation and amortization expenses. EBITDA is not a required GAAP financial measure and may not be comparable to a similarly titled measure employed by other companies. EBITDA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87" w:lineRule="exact"/>
        <w:rPr>
          <w:sz w:val="20"/>
          <w:szCs w:val="20"/>
          <w:color w:val="auto"/>
        </w:rPr>
      </w:pPr>
    </w:p>
    <w:p>
      <w:pPr>
        <w:ind w:left="10" w:right="3179"/>
        <w:spacing w:after="0" w:line="247" w:lineRule="auto"/>
        <w:rPr>
          <w:sz w:val="20"/>
          <w:szCs w:val="20"/>
          <w:color w:val="auto"/>
        </w:rPr>
      </w:pPr>
      <w:r>
        <w:rPr>
          <w:rFonts w:ascii="Courier New" w:cs="Courier New" w:eastAsia="Courier New" w:hAnsi="Courier New"/>
          <w:sz w:val="15"/>
          <w:szCs w:val="15"/>
          <w:color w:val="auto"/>
        </w:rPr>
        <w:t>This release, including the financial tables below, presents other financial information that may be considered "non-GAAP financial measures" under Regulation G and related reporting requirements promulgated by the Securities and Exchange Commission as they apply to our company. These non-GAAP financial measures exclude (1) depreciation and amortization expenses and (2) compensation expenses in respect of options granted to directors, officers and employees. Non-GAAP financial measures should be evaluated in conjunction with, and are not a substitute for, GAAP financial measures. The tables also present the GAAP financial measures which are most comparable to the non-GAAP financial measures, as well a reconciliation between the non-GAAP financial measures and the most comparable GAAP financial measures. The non-GAAP financial information presented herein should not be considered in isolation from or as a substitute for operating income, net income or loss, cash flows provided by operating, investing and financing activities, or other income or cash flow statement data prepared in accordance with GAAP.</w:t>
      </w:r>
    </w:p>
    <w:p>
      <w:pPr>
        <w:spacing w:after="0" w:line="8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ABOUT TOWER SEMICONDUCTOR LTD.</w:t>
      </w:r>
    </w:p>
    <w:p>
      <w:pPr>
        <w:spacing w:after="0" w:line="169" w:lineRule="exact"/>
        <w:rPr>
          <w:sz w:val="20"/>
          <w:szCs w:val="20"/>
          <w:color w:val="auto"/>
        </w:rPr>
      </w:pPr>
    </w:p>
    <w:p>
      <w:pPr>
        <w:ind w:left="10" w:right="3259"/>
        <w:spacing w:after="0" w:line="267" w:lineRule="auto"/>
        <w:rPr>
          <w:sz w:val="20"/>
          <w:szCs w:val="20"/>
          <w:color w:val="auto"/>
        </w:rPr>
      </w:pPr>
      <w:r>
        <w:rPr>
          <w:rFonts w:ascii="Courier New" w:cs="Courier New" w:eastAsia="Courier New" w:hAnsi="Courier New"/>
          <w:sz w:val="14"/>
          <w:szCs w:val="14"/>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7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SAFE HARBOR</w:t>
      </w:r>
    </w:p>
    <w:p>
      <w:pPr>
        <w:spacing w:after="0" w:line="169" w:lineRule="exact"/>
        <w:rPr>
          <w:sz w:val="20"/>
          <w:szCs w:val="20"/>
          <w:color w:val="auto"/>
        </w:rPr>
      </w:pPr>
    </w:p>
    <w:p>
      <w:pPr>
        <w:ind w:left="10" w:right="3179"/>
        <w:spacing w:after="0" w:line="258" w:lineRule="auto"/>
        <w:rPr>
          <w:sz w:val="20"/>
          <w:szCs w:val="20"/>
          <w:color w:val="auto"/>
        </w:rPr>
      </w:pPr>
      <w:r>
        <w:rPr>
          <w:rFonts w:ascii="Courier New" w:cs="Courier New" w:eastAsia="Courier New" w:hAnsi="Courier New"/>
          <w:sz w:val="14"/>
          <w:szCs w:val="14"/>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and raising the funds therefor, (ii) the cyclical nature of the semiconductor industry and the resulting periodic overcapacity, fluctuations in operating results, future average selling price erosion that may be more severe than our expectations, (iii) having sufficient funds to operate the company in the short-term and the funding needs for its ramp-up plan, (iv) operating our facilities at satisfactory utilization rates which is critical in order to defray the high level of fixed costs associated with operating a foundry and reduce our losses, (v) our ability to satisfy the covenants stipulated in our amended credit facility agreement, (vi) our ability to capitalize on increases in demand for foundry services, (vii) meeting the conditions to receive Israeli government grants and tax benefits approved for Fab 2 and obtaining the approval of the Israeli Investment Center for a new expansion program, (viii) attracting additional customers, (ix) not receiving orders from our wafer partners and customers, (x) failing to maintain and develop our technology processes and services, (xi) competing effectively, (xii) our large amount of debt and our ability to repay our short-term and long-term debt on a timely basis, (xiii) achieving acceptable device yields, product performance and delivery times,</w:t>
      </w:r>
    </w:p>
    <w:p>
      <w:pPr>
        <w:spacing w:after="0" w:line="4" w:lineRule="exact"/>
        <w:rPr>
          <w:sz w:val="20"/>
          <w:szCs w:val="20"/>
          <w:color w:val="auto"/>
        </w:rPr>
      </w:pPr>
    </w:p>
    <w:p>
      <w:pPr>
        <w:ind w:left="10" w:right="3259" w:hanging="10"/>
        <w:spacing w:after="0" w:line="253" w:lineRule="auto"/>
        <w:tabs>
          <w:tab w:leader="none" w:pos="53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timely development, internal qualification and customer acceptance of new processes and products, (xv) the entering into and the consummation of agreements to purchase the equipment to increase Fab2 capacity beyond 24,000 wafers per month and timely installation thereof, and (xvi) business interruption due to terror attacks, earthquakes, other acts of God and the security situation in Israel.</w:t>
      </w:r>
    </w:p>
    <w:p>
      <w:pPr>
        <w:sectPr>
          <w:pgSz w:w="11900" w:h="16838" w:orient="portrait"/>
          <w:cols w:equalWidth="0" w:num="1">
            <w:col w:w="10229"/>
          </w:cols>
          <w:pgMar w:left="230" w:top="771" w:right="1440" w:bottom="1440" w:gutter="0" w:footer="0" w:header="0"/>
        </w:sectPr>
      </w:pPr>
    </w:p>
    <w:bookmarkStart w:id="4" w:name="page5"/>
    <w:bookmarkEnd w:id="4"/>
    <w:p>
      <w:pPr>
        <w:ind w:right="3359"/>
        <w:spacing w:after="0" w:line="254" w:lineRule="auto"/>
        <w:rPr>
          <w:sz w:val="20"/>
          <w:szCs w:val="20"/>
          <w:color w:val="auto"/>
        </w:rPr>
      </w:pPr>
      <w:r>
        <w:rPr>
          <w:rFonts w:ascii="Courier New" w:cs="Courier New" w:eastAsia="Courier New" w:hAnsi="Courier New"/>
          <w:sz w:val="15"/>
          <w:szCs w:val="15"/>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F-3 and 6-K, as were filed with the Securities and Exchange Commission and the Israel Securities Authority. Future results may differ materially from those previously reported. The Company does not intend to update, and expressly disclaims any obligation to update, the information contained in this release.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Tower Semiconductor</w:t>
      </w:r>
    </w:p>
    <w:p>
      <w:pPr>
        <w:spacing w:after="0" w:line="2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Noit Levi, +972 4 604 7066</w:t>
      </w:r>
    </w:p>
    <w:p>
      <w:pPr>
        <w:ind w:left="340"/>
        <w:spacing w:after="0"/>
        <w:rPr>
          <w:sz w:val="20"/>
          <w:szCs w:val="20"/>
          <w:color w:val="auto"/>
        </w:rPr>
      </w:pPr>
      <w:r>
        <w:rPr>
          <w:rFonts w:ascii="Courier New" w:cs="Courier New" w:eastAsia="Courier New" w:hAnsi="Courier New"/>
          <w:sz w:val="15"/>
          <w:szCs w:val="15"/>
          <w:color w:val="auto"/>
        </w:rPr>
        <w:t>noitle@towersemi.com</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Shelton Group</w:t>
      </w:r>
    </w:p>
    <w:p>
      <w:pPr>
        <w:spacing w:after="0" w:line="2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Ryan Bright, (214) 315-7601</w:t>
      </w:r>
    </w:p>
    <w:p>
      <w:pPr>
        <w:ind w:left="340"/>
        <w:spacing w:after="0"/>
        <w:rPr>
          <w:sz w:val="20"/>
          <w:szCs w:val="20"/>
          <w:color w:val="auto"/>
        </w:rPr>
      </w:pPr>
      <w:r>
        <w:rPr>
          <w:rFonts w:ascii="Courier New" w:cs="Courier New" w:eastAsia="Courier New" w:hAnsi="Courier New"/>
          <w:sz w:val="15"/>
          <w:szCs w:val="15"/>
          <w:color w:val="auto"/>
        </w:rPr>
        <w:t>rbright@sheltongroup.com</w:t>
      </w:r>
    </w:p>
    <w:p>
      <w:pPr>
        <w:sectPr>
          <w:pgSz w:w="11900" w:h="16838" w:orient="portrait"/>
          <w:cols w:equalWidth="0" w:num="1">
            <w:col w:w="10219"/>
          </w:cols>
          <w:pgMar w:left="240" w:top="771" w:right="1440" w:bottom="1440" w:gutter="0" w:footer="0" w:header="0"/>
        </w:sectPr>
      </w:pPr>
    </w:p>
    <w:bookmarkStart w:id="5" w:name="page6"/>
    <w:bookmarkEnd w:id="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BALANCE SHEETS (UNAUDITED)</w:t>
      </w:r>
    </w:p>
    <w:tbl>
      <w:tblPr>
        <w:tblLayout w:type="fixed"/>
        <w:tblInd w:w="0" w:type="dxa"/>
        <w:tblCellMar>
          <w:top w:w="0" w:type="dxa"/>
          <w:left w:w="0" w:type="dxa"/>
          <w:bottom w:w="0" w:type="dxa"/>
          <w:right w:w="0" w:type="dxa"/>
        </w:tblCellMar>
      </w:tblPr>
      <w:tr>
        <w:trPr>
          <w:trHeight w:val="246"/>
        </w:trPr>
        <w:tc>
          <w:tcPr>
            <w:tcW w:w="4880" w:type="dxa"/>
            <w:vAlign w:val="bottom"/>
          </w:tcPr>
          <w:p>
            <w:pPr>
              <w:ind w:left="2540"/>
              <w:spacing w:after="0"/>
              <w:rPr>
                <w:sz w:val="20"/>
                <w:szCs w:val="20"/>
                <w:color w:val="auto"/>
              </w:rPr>
            </w:pPr>
            <w:r>
              <w:rPr>
                <w:rFonts w:ascii="Courier New" w:cs="Courier New" w:eastAsia="Courier New" w:hAnsi="Courier New"/>
                <w:sz w:val="15"/>
                <w:szCs w:val="15"/>
                <w:color w:val="auto"/>
              </w:rPr>
              <w:t>(DOLLARS IN THOUSANDS)</w:t>
            </w:r>
          </w:p>
        </w:tc>
        <w:tc>
          <w:tcPr>
            <w:tcW w:w="1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4880" w:type="dxa"/>
            <w:vAlign w:val="bottom"/>
          </w:tcPr>
          <w:p>
            <w:pPr>
              <w:spacing w:after="0"/>
              <w:rPr>
                <w:sz w:val="24"/>
                <w:szCs w:val="24"/>
                <w:color w:val="auto"/>
              </w:rPr>
            </w:pP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SEPTEMBER 30,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2007</w:t>
            </w: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2007</w:t>
            </w:r>
          </w:p>
        </w:tc>
        <w:tc>
          <w:tcPr>
            <w:tcW w:w="0" w:type="dxa"/>
            <w:vAlign w:val="bottom"/>
          </w:tcPr>
          <w:p>
            <w:pPr>
              <w:spacing w:after="0"/>
              <w:rPr>
                <w:sz w:val="1"/>
                <w:szCs w:val="1"/>
                <w:color w:val="auto"/>
              </w:rPr>
            </w:pPr>
          </w:p>
        </w:tc>
      </w:tr>
      <w:tr>
        <w:trPr>
          <w:trHeight w:val="246"/>
        </w:trPr>
        <w:tc>
          <w:tcPr>
            <w:tcW w:w="4880" w:type="dxa"/>
            <w:vAlign w:val="bottom"/>
          </w:tcPr>
          <w:p>
            <w:pPr>
              <w:spacing w:after="0"/>
              <w:rPr>
                <w:sz w:val="21"/>
                <w:szCs w:val="21"/>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CURRENT ASSETS</w:t>
            </w:r>
          </w:p>
        </w:tc>
        <w:tc>
          <w:tcPr>
            <w:tcW w:w="13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$ 42,600</w:t>
            </w:r>
          </w:p>
        </w:tc>
        <w:tc>
          <w:tcPr>
            <w:tcW w:w="9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$ 20,723</w:t>
            </w:r>
          </w:p>
        </w:tc>
        <w:tc>
          <w:tcPr>
            <w:tcW w:w="0" w:type="dxa"/>
            <w:vAlign w:val="bottom"/>
          </w:tcPr>
          <w:p>
            <w:pPr>
              <w:spacing w:after="0"/>
              <w:rPr>
                <w:sz w:val="1"/>
                <w:szCs w:val="1"/>
                <w:color w:val="auto"/>
              </w:rPr>
            </w:pPr>
          </w:p>
        </w:tc>
      </w:tr>
      <w:tr>
        <w:trPr>
          <w:trHeight w:val="170"/>
        </w:trPr>
        <w:tc>
          <w:tcPr>
            <w:tcW w:w="4880" w:type="dxa"/>
            <w:vAlign w:val="bottom"/>
          </w:tcPr>
          <w:p>
            <w:pPr>
              <w:ind w:left="600"/>
              <w:spacing w:after="0"/>
              <w:rPr>
                <w:sz w:val="20"/>
                <w:szCs w:val="20"/>
                <w:color w:val="auto"/>
              </w:rPr>
            </w:pPr>
            <w:r>
              <w:rPr>
                <w:rFonts w:ascii="Courier New" w:cs="Courier New" w:eastAsia="Courier New" w:hAnsi="Courier New"/>
                <w:sz w:val="15"/>
                <w:szCs w:val="15"/>
                <w:color w:val="auto"/>
              </w:rPr>
              <w:t>CASH, CASH EQUIVALENTS AND DEPOSITS</w:t>
            </w:r>
          </w:p>
        </w:tc>
        <w:tc>
          <w:tcPr>
            <w:tcW w:w="13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600"/>
              <w:spacing w:after="0"/>
              <w:rPr>
                <w:sz w:val="20"/>
                <w:szCs w:val="20"/>
                <w:color w:val="auto"/>
              </w:rPr>
            </w:pPr>
            <w:r>
              <w:rPr>
                <w:rFonts w:ascii="Courier New" w:cs="Courier New" w:eastAsia="Courier New" w:hAnsi="Courier New"/>
                <w:sz w:val="15"/>
                <w:szCs w:val="15"/>
                <w:color w:val="auto"/>
              </w:rPr>
              <w:t>PROCEEDS RECEIVABLES RELATING PUBLIC OFFERING</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13,932</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80" w:type="dxa"/>
            <w:vAlign w:val="bottom"/>
          </w:tcPr>
          <w:p>
            <w:pPr>
              <w:ind w:left="600"/>
              <w:spacing w:after="0"/>
              <w:rPr>
                <w:sz w:val="20"/>
                <w:szCs w:val="20"/>
                <w:color w:val="auto"/>
              </w:rPr>
            </w:pPr>
            <w:r>
              <w:rPr>
                <w:rFonts w:ascii="Courier New" w:cs="Courier New" w:eastAsia="Courier New" w:hAnsi="Courier New"/>
                <w:sz w:val="15"/>
                <w:szCs w:val="15"/>
                <w:color w:val="auto"/>
              </w:rPr>
              <w:t>TRADE ACCOUNTS RECEIVABLE</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40,298</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45,476</w:t>
            </w:r>
          </w:p>
        </w:tc>
        <w:tc>
          <w:tcPr>
            <w:tcW w:w="0" w:type="dxa"/>
            <w:vAlign w:val="bottom"/>
          </w:tcPr>
          <w:p>
            <w:pPr>
              <w:spacing w:after="0"/>
              <w:rPr>
                <w:sz w:val="1"/>
                <w:szCs w:val="1"/>
                <w:color w:val="auto"/>
              </w:rPr>
            </w:pPr>
          </w:p>
        </w:tc>
      </w:tr>
      <w:tr>
        <w:trPr>
          <w:trHeight w:val="170"/>
        </w:trPr>
        <w:tc>
          <w:tcPr>
            <w:tcW w:w="4880" w:type="dxa"/>
            <w:vAlign w:val="bottom"/>
          </w:tcPr>
          <w:p>
            <w:pPr>
              <w:ind w:left="600"/>
              <w:spacing w:after="0"/>
              <w:rPr>
                <w:sz w:val="20"/>
                <w:szCs w:val="20"/>
                <w:color w:val="auto"/>
              </w:rPr>
            </w:pPr>
            <w:r>
              <w:rPr>
                <w:rFonts w:ascii="Courier New" w:cs="Courier New" w:eastAsia="Courier New" w:hAnsi="Courier New"/>
                <w:sz w:val="15"/>
                <w:szCs w:val="15"/>
                <w:color w:val="auto"/>
              </w:rPr>
              <w:t>OTHER RECEIVABLES</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1,260</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2,769</w:t>
            </w:r>
          </w:p>
        </w:tc>
        <w:tc>
          <w:tcPr>
            <w:tcW w:w="0" w:type="dxa"/>
            <w:vAlign w:val="bottom"/>
          </w:tcPr>
          <w:p>
            <w:pPr>
              <w:spacing w:after="0"/>
              <w:rPr>
                <w:sz w:val="1"/>
                <w:szCs w:val="1"/>
                <w:color w:val="auto"/>
              </w:rPr>
            </w:pPr>
          </w:p>
        </w:tc>
      </w:tr>
      <w:tr>
        <w:trPr>
          <w:trHeight w:val="170"/>
        </w:trPr>
        <w:tc>
          <w:tcPr>
            <w:tcW w:w="4880" w:type="dxa"/>
            <w:vAlign w:val="bottom"/>
          </w:tcPr>
          <w:p>
            <w:pPr>
              <w:ind w:left="600"/>
              <w:spacing w:after="0"/>
              <w:rPr>
                <w:sz w:val="20"/>
                <w:szCs w:val="20"/>
                <w:color w:val="auto"/>
              </w:rPr>
            </w:pPr>
            <w:r>
              <w:rPr>
                <w:rFonts w:ascii="Courier New" w:cs="Courier New" w:eastAsia="Courier New" w:hAnsi="Courier New"/>
                <w:sz w:val="15"/>
                <w:szCs w:val="15"/>
                <w:color w:val="auto"/>
              </w:rPr>
              <w:t>INVENTORIES</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35,431</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37,691</w:t>
            </w:r>
          </w:p>
        </w:tc>
        <w:tc>
          <w:tcPr>
            <w:tcW w:w="0" w:type="dxa"/>
            <w:vAlign w:val="bottom"/>
          </w:tcPr>
          <w:p>
            <w:pPr>
              <w:spacing w:after="0"/>
              <w:rPr>
                <w:sz w:val="1"/>
                <w:szCs w:val="1"/>
                <w:color w:val="auto"/>
              </w:rPr>
            </w:pPr>
          </w:p>
        </w:tc>
      </w:tr>
      <w:tr>
        <w:trPr>
          <w:trHeight w:val="170"/>
        </w:trPr>
        <w:tc>
          <w:tcPr>
            <w:tcW w:w="4880" w:type="dxa"/>
            <w:vAlign w:val="bottom"/>
          </w:tcPr>
          <w:p>
            <w:pPr>
              <w:ind w:left="600"/>
              <w:spacing w:after="0"/>
              <w:rPr>
                <w:sz w:val="20"/>
                <w:szCs w:val="20"/>
                <w:color w:val="auto"/>
              </w:rPr>
            </w:pPr>
            <w:r>
              <w:rPr>
                <w:rFonts w:ascii="Courier New" w:cs="Courier New" w:eastAsia="Courier New" w:hAnsi="Courier New"/>
                <w:sz w:val="15"/>
                <w:szCs w:val="15"/>
                <w:color w:val="auto"/>
              </w:rPr>
              <w:t>OTHER CURRENT ASSETS</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1,040</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1,465</w:t>
            </w:r>
          </w:p>
        </w:tc>
        <w:tc>
          <w:tcPr>
            <w:tcW w:w="0" w:type="dxa"/>
            <w:vAlign w:val="bottom"/>
          </w:tcPr>
          <w:p>
            <w:pPr>
              <w:spacing w:after="0"/>
              <w:rPr>
                <w:sz w:val="1"/>
                <w:szCs w:val="1"/>
                <w:color w:val="auto"/>
              </w:rPr>
            </w:pPr>
          </w:p>
        </w:tc>
      </w:tr>
      <w:tr>
        <w:trPr>
          <w:trHeight w:val="170"/>
        </w:trPr>
        <w:tc>
          <w:tcPr>
            <w:tcW w:w="488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TOTAL CURRENT ASSETS</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80" w:type="dxa"/>
            <w:vAlign w:val="bottom"/>
            <w:vMerge w:val="continue"/>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134,561</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108,124</w:t>
            </w:r>
          </w:p>
        </w:tc>
        <w:tc>
          <w:tcPr>
            <w:tcW w:w="0" w:type="dxa"/>
            <w:vAlign w:val="bottom"/>
          </w:tcPr>
          <w:p>
            <w:pPr>
              <w:spacing w:after="0"/>
              <w:rPr>
                <w:sz w:val="1"/>
                <w:szCs w:val="1"/>
                <w:color w:val="auto"/>
              </w:rPr>
            </w:pPr>
          </w:p>
        </w:tc>
      </w:tr>
      <w:tr>
        <w:trPr>
          <w:trHeight w:val="246"/>
        </w:trPr>
        <w:tc>
          <w:tcPr>
            <w:tcW w:w="4880" w:type="dxa"/>
            <w:vAlign w:val="bottom"/>
          </w:tcPr>
          <w:p>
            <w:pPr>
              <w:spacing w:after="0"/>
              <w:rPr>
                <w:sz w:val="21"/>
                <w:szCs w:val="21"/>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PROPERTY AND EQUIPMENT, NET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494,361</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507,414</w:t>
            </w:r>
          </w:p>
        </w:tc>
        <w:tc>
          <w:tcPr>
            <w:tcW w:w="0" w:type="dxa"/>
            <w:vAlign w:val="bottom"/>
          </w:tcPr>
          <w:p>
            <w:pPr>
              <w:spacing w:after="0"/>
              <w:rPr>
                <w:sz w:val="1"/>
                <w:szCs w:val="1"/>
                <w:color w:val="auto"/>
              </w:rPr>
            </w:pPr>
          </w:p>
        </w:tc>
      </w:tr>
      <w:tr>
        <w:trPr>
          <w:trHeight w:val="246"/>
        </w:trPr>
        <w:tc>
          <w:tcPr>
            <w:tcW w:w="4880" w:type="dxa"/>
            <w:vAlign w:val="bottom"/>
          </w:tcPr>
          <w:p>
            <w:pPr>
              <w:spacing w:after="0"/>
              <w:rPr>
                <w:sz w:val="21"/>
                <w:szCs w:val="21"/>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INTANGIBLE ASSETS, NET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36,386</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39,482</w:t>
            </w:r>
          </w:p>
        </w:tc>
        <w:tc>
          <w:tcPr>
            <w:tcW w:w="0" w:type="dxa"/>
            <w:vAlign w:val="bottom"/>
          </w:tcPr>
          <w:p>
            <w:pPr>
              <w:spacing w:after="0"/>
              <w:rPr>
                <w:sz w:val="1"/>
                <w:szCs w:val="1"/>
                <w:color w:val="auto"/>
              </w:rPr>
            </w:pPr>
          </w:p>
        </w:tc>
      </w:tr>
      <w:tr>
        <w:trPr>
          <w:trHeight w:val="246"/>
        </w:trPr>
        <w:tc>
          <w:tcPr>
            <w:tcW w:w="4880" w:type="dxa"/>
            <w:vAlign w:val="bottom"/>
          </w:tcPr>
          <w:p>
            <w:pPr>
              <w:spacing w:after="0"/>
              <w:rPr>
                <w:sz w:val="21"/>
                <w:szCs w:val="21"/>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OTHER ASSETS, NET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1,286</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1,303</w:t>
            </w:r>
          </w:p>
        </w:tc>
        <w:tc>
          <w:tcPr>
            <w:tcW w:w="0" w:type="dxa"/>
            <w:vAlign w:val="bottom"/>
          </w:tcPr>
          <w:p>
            <w:pPr>
              <w:spacing w:after="0"/>
              <w:rPr>
                <w:sz w:val="1"/>
                <w:szCs w:val="1"/>
                <w:color w:val="auto"/>
              </w:rPr>
            </w:pPr>
          </w:p>
        </w:tc>
      </w:tr>
      <w:tr>
        <w:trPr>
          <w:trHeight w:val="246"/>
        </w:trPr>
        <w:tc>
          <w:tcPr>
            <w:tcW w:w="4880" w:type="dxa"/>
            <w:vAlign w:val="bottom"/>
          </w:tcPr>
          <w:p>
            <w:pPr>
              <w:spacing w:after="0"/>
              <w:rPr>
                <w:sz w:val="21"/>
                <w:szCs w:val="21"/>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880" w:type="dxa"/>
            <w:vAlign w:val="bottom"/>
          </w:tcPr>
          <w:p>
            <w:pPr>
              <w:ind w:left="1040"/>
              <w:spacing w:after="0"/>
              <w:rPr>
                <w:sz w:val="20"/>
                <w:szCs w:val="20"/>
                <w:color w:val="auto"/>
              </w:rPr>
            </w:pPr>
            <w:r>
              <w:rPr>
                <w:rFonts w:ascii="Courier New" w:cs="Courier New" w:eastAsia="Courier New" w:hAnsi="Courier New"/>
                <w:sz w:val="15"/>
                <w:szCs w:val="15"/>
                <w:color w:val="auto"/>
              </w:rPr>
              <w:t>TOTAL ASSETS</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$666,594</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$656,323</w:t>
            </w:r>
          </w:p>
        </w:tc>
        <w:tc>
          <w:tcPr>
            <w:tcW w:w="0" w:type="dxa"/>
            <w:vAlign w:val="bottom"/>
          </w:tcPr>
          <w:p>
            <w:pPr>
              <w:spacing w:after="0"/>
              <w:rPr>
                <w:sz w:val="1"/>
                <w:szCs w:val="1"/>
                <w:color w:val="auto"/>
              </w:rPr>
            </w:pPr>
          </w:p>
        </w:tc>
      </w:tr>
      <w:tr>
        <w:trPr>
          <w:trHeight w:val="246"/>
        </w:trPr>
        <w:tc>
          <w:tcPr>
            <w:tcW w:w="4880" w:type="dxa"/>
            <w:vAlign w:val="bottom"/>
          </w:tcPr>
          <w:p>
            <w:pPr>
              <w:spacing w:after="0"/>
              <w:rPr>
                <w:sz w:val="21"/>
                <w:szCs w:val="21"/>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CURRENT LIABILITIES</w:t>
            </w:r>
          </w:p>
        </w:tc>
        <w:tc>
          <w:tcPr>
            <w:tcW w:w="13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  7,340</w:t>
            </w:r>
          </w:p>
        </w:tc>
        <w:tc>
          <w:tcPr>
            <w:tcW w:w="9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6,611</w:t>
            </w:r>
          </w:p>
        </w:tc>
        <w:tc>
          <w:tcPr>
            <w:tcW w:w="0" w:type="dxa"/>
            <w:vAlign w:val="bottom"/>
          </w:tcPr>
          <w:p>
            <w:pPr>
              <w:spacing w:after="0"/>
              <w:rPr>
                <w:sz w:val="1"/>
                <w:szCs w:val="1"/>
                <w:color w:val="auto"/>
              </w:rPr>
            </w:pPr>
          </w:p>
        </w:tc>
      </w:tr>
      <w:tr>
        <w:trPr>
          <w:trHeight w:val="170"/>
        </w:trPr>
        <w:tc>
          <w:tcPr>
            <w:tcW w:w="4880" w:type="dxa"/>
            <w:vAlign w:val="bottom"/>
          </w:tcPr>
          <w:p>
            <w:pPr>
              <w:ind w:left="600"/>
              <w:spacing w:after="0"/>
              <w:rPr>
                <w:sz w:val="20"/>
                <w:szCs w:val="20"/>
                <w:color w:val="auto"/>
              </w:rPr>
            </w:pPr>
            <w:r>
              <w:rPr>
                <w:rFonts w:ascii="Courier New" w:cs="Courier New" w:eastAsia="Courier New" w:hAnsi="Courier New"/>
                <w:sz w:val="15"/>
                <w:szCs w:val="15"/>
                <w:color w:val="auto"/>
              </w:rPr>
              <w:t>CURRENT MATURITIES OF CONVERTIBLE DEBENTURES</w:t>
            </w:r>
          </w:p>
        </w:tc>
        <w:tc>
          <w:tcPr>
            <w:tcW w:w="13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tcPr>
          <w:p>
            <w:pPr>
              <w:ind w:left="600"/>
              <w:spacing w:after="0"/>
              <w:rPr>
                <w:sz w:val="20"/>
                <w:szCs w:val="20"/>
                <w:color w:val="auto"/>
              </w:rPr>
            </w:pPr>
            <w:r>
              <w:rPr>
                <w:rFonts w:ascii="Courier New" w:cs="Courier New" w:eastAsia="Courier New" w:hAnsi="Courier New"/>
                <w:sz w:val="15"/>
                <w:szCs w:val="15"/>
                <w:color w:val="auto"/>
              </w:rPr>
              <w:t>TRADE ACCOUNTS PAYABLE</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39,480</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55,922</w:t>
            </w:r>
          </w:p>
        </w:tc>
        <w:tc>
          <w:tcPr>
            <w:tcW w:w="0" w:type="dxa"/>
            <w:vAlign w:val="bottom"/>
          </w:tcPr>
          <w:p>
            <w:pPr>
              <w:spacing w:after="0"/>
              <w:rPr>
                <w:sz w:val="1"/>
                <w:szCs w:val="1"/>
                <w:color w:val="auto"/>
              </w:rPr>
            </w:pPr>
          </w:p>
        </w:tc>
      </w:tr>
      <w:tr>
        <w:trPr>
          <w:trHeight w:val="170"/>
        </w:trPr>
        <w:tc>
          <w:tcPr>
            <w:tcW w:w="4880" w:type="dxa"/>
            <w:vAlign w:val="bottom"/>
          </w:tcPr>
          <w:p>
            <w:pPr>
              <w:ind w:left="600"/>
              <w:spacing w:after="0"/>
              <w:rPr>
                <w:sz w:val="20"/>
                <w:szCs w:val="20"/>
                <w:color w:val="auto"/>
              </w:rPr>
            </w:pPr>
            <w:r>
              <w:rPr>
                <w:rFonts w:ascii="Courier New" w:cs="Courier New" w:eastAsia="Courier New" w:hAnsi="Courier New"/>
                <w:sz w:val="15"/>
                <w:szCs w:val="15"/>
                <w:color w:val="auto"/>
              </w:rPr>
              <w:t>OTHER CURRENT LIABILITIES</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20,041</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20,907</w:t>
            </w:r>
          </w:p>
        </w:tc>
        <w:tc>
          <w:tcPr>
            <w:tcW w:w="0" w:type="dxa"/>
            <w:vAlign w:val="bottom"/>
          </w:tcPr>
          <w:p>
            <w:pPr>
              <w:spacing w:after="0"/>
              <w:rPr>
                <w:sz w:val="1"/>
                <w:szCs w:val="1"/>
                <w:color w:val="auto"/>
              </w:rPr>
            </w:pPr>
          </w:p>
        </w:tc>
      </w:tr>
      <w:tr>
        <w:trPr>
          <w:trHeight w:val="170"/>
        </w:trPr>
        <w:tc>
          <w:tcPr>
            <w:tcW w:w="4880" w:type="dxa"/>
            <w:vAlign w:val="bottom"/>
            <w:vMerge w:val="restart"/>
          </w:tcPr>
          <w:p>
            <w:pPr>
              <w:ind w:left="1040"/>
              <w:spacing w:after="0"/>
              <w:rPr>
                <w:sz w:val="20"/>
                <w:szCs w:val="20"/>
                <w:color w:val="auto"/>
              </w:rPr>
            </w:pPr>
            <w:r>
              <w:rPr>
                <w:rFonts w:ascii="Courier New" w:cs="Courier New" w:eastAsia="Courier New" w:hAnsi="Courier New"/>
                <w:sz w:val="15"/>
                <w:szCs w:val="15"/>
                <w:color w:val="auto"/>
              </w:rPr>
              <w:t>TOTAL CURRENT LIABILITIES</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880" w:type="dxa"/>
            <w:vAlign w:val="bottom"/>
            <w:vMerge w:val="continue"/>
          </w:tcPr>
          <w:p>
            <w:pPr>
              <w:spacing w:after="0"/>
              <w:rPr>
                <w:sz w:val="21"/>
                <w:szCs w:val="21"/>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66,861</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83,440</w:t>
            </w:r>
          </w:p>
        </w:tc>
        <w:tc>
          <w:tcPr>
            <w:tcW w:w="0" w:type="dxa"/>
            <w:vAlign w:val="bottom"/>
          </w:tcPr>
          <w:p>
            <w:pPr>
              <w:spacing w:after="0"/>
              <w:rPr>
                <w:sz w:val="1"/>
                <w:szCs w:val="1"/>
                <w:color w:val="auto"/>
              </w:rPr>
            </w:pPr>
          </w:p>
        </w:tc>
      </w:tr>
      <w:tr>
        <w:trPr>
          <w:trHeight w:val="339"/>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LONG-TERM DEBT FROM BANKS</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362,162</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360,689</w:t>
            </w:r>
          </w:p>
        </w:tc>
        <w:tc>
          <w:tcPr>
            <w:tcW w:w="0" w:type="dxa"/>
            <w:vAlign w:val="bottom"/>
          </w:tcPr>
          <w:p>
            <w:pPr>
              <w:spacing w:after="0"/>
              <w:rPr>
                <w:sz w:val="1"/>
                <w:szCs w:val="1"/>
                <w:color w:val="auto"/>
              </w:rPr>
            </w:pPr>
          </w:p>
        </w:tc>
      </w:tr>
      <w:tr>
        <w:trPr>
          <w:trHeight w:val="339"/>
        </w:trPr>
        <w:tc>
          <w:tcPr>
            <w:tcW w:w="4880" w:type="dxa"/>
            <w:vAlign w:val="bottom"/>
          </w:tcPr>
          <w:p>
            <w:pPr>
              <w:ind w:left="440"/>
              <w:spacing w:after="0"/>
              <w:rPr>
                <w:sz w:val="20"/>
                <w:szCs w:val="20"/>
                <w:color w:val="auto"/>
              </w:rPr>
            </w:pPr>
            <w:r>
              <w:rPr>
                <w:rFonts w:ascii="Courier New" w:cs="Courier New" w:eastAsia="Courier New" w:hAnsi="Courier New"/>
                <w:sz w:val="15"/>
                <w:szCs w:val="15"/>
                <w:color w:val="auto"/>
              </w:rPr>
              <w:t>DEBENTURES</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116,865</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58,609</w:t>
            </w:r>
          </w:p>
        </w:tc>
        <w:tc>
          <w:tcPr>
            <w:tcW w:w="0" w:type="dxa"/>
            <w:vAlign w:val="bottom"/>
          </w:tcPr>
          <w:p>
            <w:pPr>
              <w:spacing w:after="0"/>
              <w:rPr>
                <w:sz w:val="1"/>
                <w:szCs w:val="1"/>
                <w:color w:val="auto"/>
              </w:rPr>
            </w:pPr>
          </w:p>
        </w:tc>
      </w:tr>
      <w:tr>
        <w:trPr>
          <w:trHeight w:val="339"/>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LONG-TERM CUSTOMERS' ADVANCES</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36,072</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42,070</w:t>
            </w:r>
          </w:p>
        </w:tc>
        <w:tc>
          <w:tcPr>
            <w:tcW w:w="0" w:type="dxa"/>
            <w:vAlign w:val="bottom"/>
          </w:tcPr>
          <w:p>
            <w:pPr>
              <w:spacing w:after="0"/>
              <w:rPr>
                <w:sz w:val="1"/>
                <w:szCs w:val="1"/>
                <w:color w:val="auto"/>
              </w:rPr>
            </w:pPr>
          </w:p>
        </w:tc>
      </w:tr>
      <w:tr>
        <w:trPr>
          <w:trHeight w:val="262"/>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OTHER LONG-TERM LIABILITIES</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15,397</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19,441</w:t>
            </w:r>
          </w:p>
        </w:tc>
        <w:tc>
          <w:tcPr>
            <w:tcW w:w="0" w:type="dxa"/>
            <w:vAlign w:val="bottom"/>
          </w:tcPr>
          <w:p>
            <w:pPr>
              <w:spacing w:after="0"/>
              <w:rPr>
                <w:sz w:val="1"/>
                <w:szCs w:val="1"/>
                <w:color w:val="auto"/>
              </w:rPr>
            </w:pPr>
          </w:p>
        </w:tc>
      </w:tr>
      <w:tr>
        <w:trPr>
          <w:trHeight w:val="170"/>
        </w:trPr>
        <w:tc>
          <w:tcPr>
            <w:tcW w:w="4880" w:type="dxa"/>
            <w:vAlign w:val="bottom"/>
            <w:vMerge w:val="restart"/>
          </w:tcPr>
          <w:p>
            <w:pPr>
              <w:ind w:left="1040"/>
              <w:spacing w:after="0"/>
              <w:rPr>
                <w:sz w:val="20"/>
                <w:szCs w:val="20"/>
                <w:color w:val="auto"/>
              </w:rPr>
            </w:pPr>
            <w:r>
              <w:rPr>
                <w:rFonts w:ascii="Courier New" w:cs="Courier New" w:eastAsia="Courier New" w:hAnsi="Courier New"/>
                <w:sz w:val="15"/>
                <w:szCs w:val="15"/>
                <w:color w:val="auto"/>
              </w:rPr>
              <w:t>TOTAL LIABILITIES</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880" w:type="dxa"/>
            <w:vAlign w:val="bottom"/>
            <w:vMerge w:val="continue"/>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597,357</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564,249</w:t>
            </w:r>
          </w:p>
        </w:tc>
        <w:tc>
          <w:tcPr>
            <w:tcW w:w="0" w:type="dxa"/>
            <w:vAlign w:val="bottom"/>
          </w:tcPr>
          <w:p>
            <w:pPr>
              <w:spacing w:after="0"/>
              <w:rPr>
                <w:sz w:val="1"/>
                <w:szCs w:val="1"/>
                <w:color w:val="auto"/>
              </w:rPr>
            </w:pPr>
          </w:p>
        </w:tc>
      </w:tr>
      <w:tr>
        <w:trPr>
          <w:trHeight w:val="246"/>
        </w:trPr>
        <w:tc>
          <w:tcPr>
            <w:tcW w:w="4880" w:type="dxa"/>
            <w:vAlign w:val="bottom"/>
          </w:tcPr>
          <w:p>
            <w:pPr>
              <w:spacing w:after="0"/>
              <w:rPr>
                <w:sz w:val="21"/>
                <w:szCs w:val="21"/>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SHAREHOLDERS' EQUITY</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69,237</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92,074</w:t>
            </w:r>
          </w:p>
        </w:tc>
        <w:tc>
          <w:tcPr>
            <w:tcW w:w="0" w:type="dxa"/>
            <w:vAlign w:val="bottom"/>
          </w:tcPr>
          <w:p>
            <w:pPr>
              <w:spacing w:after="0"/>
              <w:rPr>
                <w:sz w:val="1"/>
                <w:szCs w:val="1"/>
                <w:color w:val="auto"/>
              </w:rPr>
            </w:pPr>
          </w:p>
        </w:tc>
      </w:tr>
      <w:tr>
        <w:trPr>
          <w:trHeight w:val="246"/>
        </w:trPr>
        <w:tc>
          <w:tcPr>
            <w:tcW w:w="4880" w:type="dxa"/>
            <w:vAlign w:val="bottom"/>
          </w:tcPr>
          <w:p>
            <w:pPr>
              <w:spacing w:after="0"/>
              <w:rPr>
                <w:sz w:val="21"/>
                <w:szCs w:val="21"/>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880" w:type="dxa"/>
            <w:vAlign w:val="bottom"/>
          </w:tcPr>
          <w:p>
            <w:pPr>
              <w:ind w:left="10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$666,594</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$656,323</w:t>
            </w:r>
          </w:p>
        </w:tc>
        <w:tc>
          <w:tcPr>
            <w:tcW w:w="0" w:type="dxa"/>
            <w:vAlign w:val="bottom"/>
          </w:tcPr>
          <w:p>
            <w:pPr>
              <w:spacing w:after="0"/>
              <w:rPr>
                <w:sz w:val="1"/>
                <w:szCs w:val="1"/>
                <w:color w:val="auto"/>
              </w:rPr>
            </w:pPr>
          </w:p>
        </w:tc>
      </w:tr>
      <w:tr>
        <w:trPr>
          <w:trHeight w:val="246"/>
        </w:trPr>
        <w:tc>
          <w:tcPr>
            <w:tcW w:w="4880" w:type="dxa"/>
            <w:vAlign w:val="bottom"/>
          </w:tcPr>
          <w:p>
            <w:pPr>
              <w:spacing w:after="0"/>
              <w:rPr>
                <w:sz w:val="21"/>
                <w:szCs w:val="21"/>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771" w:right="1440" w:bottom="1440" w:gutter="0" w:footer="0" w:header="0"/>
        </w:sectPr>
      </w:pPr>
    </w:p>
    <w:bookmarkStart w:id="6" w:name="page7"/>
    <w:bookmarkEnd w:id="6"/>
    <w:p>
      <w:pPr>
        <w:jc w:val="center"/>
        <w:ind w:right="437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5" w:lineRule="exact"/>
        <w:rPr>
          <w:sz w:val="20"/>
          <w:szCs w:val="20"/>
          <w:color w:val="auto"/>
        </w:rPr>
      </w:pPr>
    </w:p>
    <w:p>
      <w:pPr>
        <w:jc w:val="center"/>
        <w:ind w:right="4390"/>
        <w:spacing w:after="0"/>
        <w:rPr>
          <w:sz w:val="20"/>
          <w:szCs w:val="20"/>
          <w:color w:val="auto"/>
        </w:rPr>
      </w:pPr>
      <w:r>
        <w:rPr>
          <w:rFonts w:ascii="Courier New" w:cs="Courier New" w:eastAsia="Courier New" w:hAnsi="Courier New"/>
          <w:sz w:val="15"/>
          <w:szCs w:val="15"/>
          <w:color w:val="auto"/>
        </w:rPr>
        <w:t>CONSOLIDATED STATEMENTS OF OPERATIONS (UNAUDITED)</w:t>
      </w:r>
    </w:p>
    <w:tbl>
      <w:tblPr>
        <w:tblLayout w:type="fixed"/>
        <w:tblInd w:w="10" w:type="dxa"/>
        <w:tblCellMar>
          <w:top w:w="0" w:type="dxa"/>
          <w:left w:w="0" w:type="dxa"/>
          <w:bottom w:w="0" w:type="dxa"/>
          <w:right w:w="0" w:type="dxa"/>
        </w:tblCellMar>
      </w:tblPr>
      <w:tr>
        <w:trPr>
          <w:trHeight w:val="246"/>
        </w:trPr>
        <w:tc>
          <w:tcPr>
            <w:tcW w:w="6600" w:type="dxa"/>
            <w:vAlign w:val="bottom"/>
            <w:gridSpan w:val="4"/>
          </w:tcPr>
          <w:p>
            <w:pPr>
              <w:jc w:val="right"/>
              <w:ind w:right="367"/>
              <w:spacing w:after="0"/>
              <w:rPr>
                <w:sz w:val="20"/>
                <w:szCs w:val="20"/>
                <w:color w:val="auto"/>
              </w:rPr>
            </w:pPr>
            <w:r>
              <w:rPr>
                <w:rFonts w:ascii="Courier New" w:cs="Courier New" w:eastAsia="Courier New" w:hAnsi="Courier New"/>
                <w:sz w:val="15"/>
                <w:szCs w:val="15"/>
                <w:color w:val="auto"/>
              </w:rPr>
              <w:t>(DOLLARS IN THOUSANDS, EXCEPT SHARE DATA AND PER SHARE DATA)</w:t>
            </w: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3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NINE MONTHS ENDED</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THREE MONTHS ENDED</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SEPTEMBER 30,</w:t>
            </w: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SEPTEMBER 30,</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3980" w:type="dxa"/>
            <w:vAlign w:val="bottom"/>
            <w:gridSpan w:val="4"/>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72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2007</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2006</w:t>
            </w:r>
          </w:p>
        </w:tc>
        <w:tc>
          <w:tcPr>
            <w:tcW w:w="1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2005</w:t>
            </w:r>
          </w:p>
        </w:tc>
        <w:tc>
          <w:tcPr>
            <w:tcW w:w="340" w:type="dxa"/>
            <w:vAlign w:val="bottom"/>
          </w:tcPr>
          <w:p>
            <w:pPr>
              <w:spacing w:after="0"/>
              <w:rPr>
                <w:sz w:val="14"/>
                <w:szCs w:val="14"/>
                <w:color w:val="auto"/>
              </w:rPr>
            </w:pP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2007</w:t>
            </w:r>
          </w:p>
        </w:tc>
        <w:tc>
          <w:tcPr>
            <w:tcW w:w="560" w:type="dxa"/>
            <w:vAlign w:val="bottom"/>
          </w:tcPr>
          <w:p>
            <w:pPr>
              <w:spacing w:after="0"/>
              <w:rPr>
                <w:sz w:val="14"/>
                <w:szCs w:val="14"/>
                <w:color w:val="auto"/>
              </w:rPr>
            </w:pPr>
          </w:p>
        </w:tc>
        <w:tc>
          <w:tcPr>
            <w:tcW w:w="11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2006</w:t>
            </w:r>
          </w:p>
        </w:tc>
        <w:tc>
          <w:tcPr>
            <w:tcW w:w="220" w:type="dxa"/>
            <w:vAlign w:val="bottom"/>
          </w:tcPr>
          <w:p>
            <w:pPr>
              <w:spacing w:after="0"/>
              <w:rPr>
                <w:sz w:val="14"/>
                <w:szCs w:val="14"/>
                <w:color w:val="auto"/>
              </w:rPr>
            </w:pPr>
          </w:p>
        </w:tc>
        <w:tc>
          <w:tcPr>
            <w:tcW w:w="7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2005</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GAAP</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GAAP</w:t>
            </w:r>
          </w:p>
        </w:tc>
        <w:tc>
          <w:tcPr>
            <w:tcW w:w="12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GAAP</w:t>
            </w:r>
          </w:p>
        </w:tc>
        <w:tc>
          <w:tcPr>
            <w:tcW w:w="340" w:type="dxa"/>
            <w:vAlign w:val="bottom"/>
          </w:tcPr>
          <w:p>
            <w:pPr>
              <w:spacing w:after="0"/>
              <w:rPr>
                <w:sz w:val="14"/>
                <w:szCs w:val="14"/>
                <w:color w:val="auto"/>
              </w:rPr>
            </w:pP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GAAP</w:t>
            </w:r>
          </w:p>
        </w:tc>
        <w:tc>
          <w:tcPr>
            <w:tcW w:w="560" w:type="dxa"/>
            <w:vAlign w:val="bottom"/>
          </w:tcPr>
          <w:p>
            <w:pPr>
              <w:spacing w:after="0"/>
              <w:rPr>
                <w:sz w:val="14"/>
                <w:szCs w:val="14"/>
                <w:color w:val="auto"/>
              </w:rPr>
            </w:pPr>
          </w:p>
        </w:tc>
        <w:tc>
          <w:tcPr>
            <w:tcW w:w="11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GAAP</w:t>
            </w:r>
          </w:p>
        </w:tc>
        <w:tc>
          <w:tcPr>
            <w:tcW w:w="220" w:type="dxa"/>
            <w:vAlign w:val="bottom"/>
          </w:tcPr>
          <w:p>
            <w:pPr>
              <w:spacing w:after="0"/>
              <w:rPr>
                <w:sz w:val="14"/>
                <w:szCs w:val="14"/>
                <w:color w:val="auto"/>
              </w:rPr>
            </w:pPr>
          </w:p>
        </w:tc>
        <w:tc>
          <w:tcPr>
            <w:tcW w:w="7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GAAP</w:t>
            </w: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$ 169,235</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$ 131,933</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70,928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56,569</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51,503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20,553</w:t>
            </w:r>
          </w:p>
        </w:tc>
        <w:tc>
          <w:tcPr>
            <w:tcW w:w="0" w:type="dxa"/>
            <w:vAlign w:val="bottom"/>
          </w:tcPr>
          <w:p>
            <w:pPr>
              <w:spacing w:after="0"/>
              <w:rPr>
                <w:sz w:val="1"/>
                <w:szCs w:val="1"/>
                <w:color w:val="auto"/>
              </w:rPr>
            </w:pPr>
          </w:p>
        </w:tc>
      </w:tr>
      <w:tr>
        <w:trPr>
          <w:trHeight w:val="262"/>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320" w:type="dxa"/>
            <w:vAlign w:val="bottom"/>
          </w:tcPr>
          <w:p>
            <w:pPr>
              <w:spacing w:after="0"/>
              <w:rPr>
                <w:sz w:val="22"/>
                <w:szCs w:val="22"/>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211,130</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194,666</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179,598</w:t>
            </w:r>
          </w:p>
        </w:tc>
        <w:tc>
          <w:tcPr>
            <w:tcW w:w="340" w:type="dxa"/>
            <w:vAlign w:val="bottom"/>
          </w:tcPr>
          <w:p>
            <w:pPr>
              <w:spacing w:after="0"/>
              <w:rPr>
                <w:sz w:val="22"/>
                <w:szCs w:val="22"/>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68,252</w:t>
            </w:r>
          </w:p>
        </w:tc>
        <w:tc>
          <w:tcPr>
            <w:tcW w:w="560" w:type="dxa"/>
            <w:vAlign w:val="bottom"/>
          </w:tcPr>
          <w:p>
            <w:pPr>
              <w:spacing w:after="0"/>
              <w:rPr>
                <w:sz w:val="22"/>
                <w:szCs w:val="22"/>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68,244</w:t>
            </w:r>
          </w:p>
        </w:tc>
        <w:tc>
          <w:tcPr>
            <w:tcW w:w="220" w:type="dxa"/>
            <w:vAlign w:val="bottom"/>
          </w:tcPr>
          <w:p>
            <w:pPr>
              <w:spacing w:after="0"/>
              <w:rPr>
                <w:sz w:val="22"/>
                <w:szCs w:val="22"/>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57,130</w:t>
            </w: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820" w:type="dxa"/>
            <w:vAlign w:val="bottom"/>
          </w:tcPr>
          <w:p>
            <w:pPr>
              <w:ind w:left="600"/>
              <w:spacing w:after="0"/>
              <w:rPr>
                <w:sz w:val="20"/>
                <w:szCs w:val="20"/>
                <w:color w:val="auto"/>
              </w:rPr>
            </w:pPr>
            <w:r>
              <w:rPr>
                <w:rFonts w:ascii="Courier New" w:cs="Courier New" w:eastAsia="Courier New" w:hAnsi="Courier New"/>
                <w:sz w:val="15"/>
                <w:szCs w:val="15"/>
                <w:color w:val="auto"/>
              </w:rPr>
              <w:t>GROSS PROFIT (LOSS)</w:t>
            </w:r>
          </w:p>
        </w:tc>
        <w:tc>
          <w:tcPr>
            <w:tcW w:w="3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(41,895)</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(62,733)</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(108,670)</w:t>
            </w:r>
          </w:p>
        </w:tc>
        <w:tc>
          <w:tcPr>
            <w:tcW w:w="3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(11,683)</w:t>
            </w:r>
          </w:p>
        </w:tc>
        <w:tc>
          <w:tcPr>
            <w:tcW w:w="560" w:type="dxa"/>
            <w:vAlign w:val="bottom"/>
          </w:tcPr>
          <w:p>
            <w:pPr>
              <w:spacing w:after="0"/>
              <w:rPr>
                <w:sz w:val="22"/>
                <w:szCs w:val="22"/>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(16,741)</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(36,577)</w:t>
            </w: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RESEARCH AND DEVELOPMENT</w:t>
            </w:r>
          </w:p>
        </w:tc>
        <w:tc>
          <w:tcPr>
            <w:tcW w:w="320" w:type="dxa"/>
            <w:vAlign w:val="bottom"/>
          </w:tcPr>
          <w:p>
            <w:pPr>
              <w:spacing w:after="0"/>
              <w:rPr>
                <w:sz w:val="22"/>
                <w:szCs w:val="22"/>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10,253</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11,107</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12,849</w:t>
            </w:r>
          </w:p>
        </w:tc>
        <w:tc>
          <w:tcPr>
            <w:tcW w:w="340" w:type="dxa"/>
            <w:vAlign w:val="bottom"/>
          </w:tcPr>
          <w:p>
            <w:pPr>
              <w:spacing w:after="0"/>
              <w:rPr>
                <w:sz w:val="22"/>
                <w:szCs w:val="22"/>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3,301</w:t>
            </w:r>
          </w:p>
        </w:tc>
        <w:tc>
          <w:tcPr>
            <w:tcW w:w="560" w:type="dxa"/>
            <w:vAlign w:val="bottom"/>
          </w:tcPr>
          <w:p>
            <w:pPr>
              <w:spacing w:after="0"/>
              <w:rPr>
                <w:sz w:val="22"/>
                <w:szCs w:val="22"/>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4,179</w:t>
            </w:r>
          </w:p>
        </w:tc>
        <w:tc>
          <w:tcPr>
            <w:tcW w:w="220" w:type="dxa"/>
            <w:vAlign w:val="bottom"/>
          </w:tcPr>
          <w:p>
            <w:pPr>
              <w:spacing w:after="0"/>
              <w:rPr>
                <w:sz w:val="22"/>
                <w:szCs w:val="22"/>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4,200</w:t>
            </w:r>
          </w:p>
        </w:tc>
        <w:tc>
          <w:tcPr>
            <w:tcW w:w="0" w:type="dxa"/>
            <w:vAlign w:val="bottom"/>
          </w:tcPr>
          <w:p>
            <w:pPr>
              <w:spacing w:after="0"/>
              <w:rPr>
                <w:sz w:val="1"/>
                <w:szCs w:val="1"/>
                <w:color w:val="auto"/>
              </w:rPr>
            </w:pPr>
          </w:p>
        </w:tc>
      </w:tr>
      <w:tr>
        <w:trPr>
          <w:trHeight w:val="170"/>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MARKETING, GENERAL AND ADMINISTRATIVE</w:t>
            </w:r>
          </w:p>
        </w:tc>
        <w:tc>
          <w:tcPr>
            <w:tcW w:w="3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22,929</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18,106</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13,481</w:t>
            </w:r>
          </w:p>
        </w:tc>
        <w:tc>
          <w:tcPr>
            <w:tcW w:w="340" w:type="dxa"/>
            <w:vAlign w:val="bottom"/>
          </w:tcPr>
          <w:p>
            <w:pPr>
              <w:spacing w:after="0"/>
              <w:rPr>
                <w:sz w:val="14"/>
                <w:szCs w:val="1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7,753</w:t>
            </w:r>
          </w:p>
        </w:tc>
        <w:tc>
          <w:tcPr>
            <w:tcW w:w="56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7,308</w:t>
            </w:r>
          </w:p>
        </w:tc>
        <w:tc>
          <w:tcPr>
            <w:tcW w:w="22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4,715</w:t>
            </w: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33,182</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29,213</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26,330</w:t>
            </w:r>
          </w:p>
        </w:tc>
        <w:tc>
          <w:tcPr>
            <w:tcW w:w="340" w:type="dxa"/>
            <w:vAlign w:val="bottom"/>
          </w:tcPr>
          <w:p>
            <w:pPr>
              <w:spacing w:after="0"/>
              <w:rPr>
                <w:sz w:val="22"/>
                <w:szCs w:val="22"/>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11,054</w:t>
            </w:r>
          </w:p>
        </w:tc>
        <w:tc>
          <w:tcPr>
            <w:tcW w:w="560" w:type="dxa"/>
            <w:vAlign w:val="bottom"/>
          </w:tcPr>
          <w:p>
            <w:pPr>
              <w:spacing w:after="0"/>
              <w:rPr>
                <w:sz w:val="22"/>
                <w:szCs w:val="22"/>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11,487</w:t>
            </w:r>
          </w:p>
        </w:tc>
        <w:tc>
          <w:tcPr>
            <w:tcW w:w="220" w:type="dxa"/>
            <w:vAlign w:val="bottom"/>
          </w:tcPr>
          <w:p>
            <w:pPr>
              <w:spacing w:after="0"/>
              <w:rPr>
                <w:sz w:val="22"/>
                <w:szCs w:val="22"/>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8,915</w:t>
            </w: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3820" w:type="dxa"/>
            <w:vAlign w:val="bottom"/>
          </w:tcPr>
          <w:p>
            <w:pPr>
              <w:ind w:left="600"/>
              <w:spacing w:after="0"/>
              <w:rPr>
                <w:sz w:val="20"/>
                <w:szCs w:val="20"/>
                <w:color w:val="auto"/>
              </w:rPr>
            </w:pPr>
            <w:r>
              <w:rPr>
                <w:rFonts w:ascii="Courier New" w:cs="Courier New" w:eastAsia="Courier New" w:hAnsi="Courier New"/>
                <w:sz w:val="15"/>
                <w:szCs w:val="15"/>
                <w:color w:val="auto"/>
              </w:rPr>
              <w:t>OPERATING PROFIT (LOSS)</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(75,077)</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(91,946)</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(135,000)</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(22,737)</w:t>
            </w:r>
          </w:p>
        </w:tc>
        <w:tc>
          <w:tcPr>
            <w:tcW w:w="560" w:type="dxa"/>
            <w:vAlign w:val="bottom"/>
          </w:tcPr>
          <w:p>
            <w:pPr>
              <w:spacing w:after="0"/>
              <w:rPr>
                <w:sz w:val="24"/>
                <w:szCs w:val="2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(28,228)</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(45,492)</w:t>
            </w: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FINANCING EXPENSE, NET</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(30,249)</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(37,957)</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(25,428)</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(10,695)</w:t>
            </w:r>
          </w:p>
        </w:tc>
        <w:tc>
          <w:tcPr>
            <w:tcW w:w="560" w:type="dxa"/>
            <w:vAlign w:val="bottom"/>
          </w:tcPr>
          <w:p>
            <w:pPr>
              <w:spacing w:after="0"/>
              <w:rPr>
                <w:sz w:val="24"/>
                <w:szCs w:val="2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(12,382)</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(9,900)</w:t>
            </w: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GAIN ON DEBT RESTRUCTURING</w:t>
            </w:r>
          </w:p>
        </w:tc>
        <w:tc>
          <w:tcPr>
            <w:tcW w:w="3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80,071</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80,071</w:t>
            </w:r>
          </w:p>
        </w:tc>
        <w:tc>
          <w:tcPr>
            <w:tcW w:w="22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82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320" w:type="dxa"/>
            <w:vAlign w:val="bottom"/>
          </w:tcPr>
          <w:p>
            <w:pPr>
              <w:spacing w:after="0"/>
              <w:rPr>
                <w:sz w:val="22"/>
                <w:szCs w:val="22"/>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597</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2,518</w:t>
            </w:r>
          </w:p>
        </w:tc>
        <w:tc>
          <w:tcPr>
            <w:tcW w:w="340" w:type="dxa"/>
            <w:vAlign w:val="bottom"/>
          </w:tcPr>
          <w:p>
            <w:pPr>
              <w:spacing w:after="0"/>
              <w:rPr>
                <w:sz w:val="22"/>
                <w:szCs w:val="22"/>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2"/>
                <w:szCs w:val="22"/>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22"/>
                <w:szCs w:val="22"/>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820" w:type="dxa"/>
            <w:vAlign w:val="bottom"/>
          </w:tcPr>
          <w:p>
            <w:pPr>
              <w:ind w:left="600"/>
              <w:spacing w:after="0"/>
              <w:rPr>
                <w:sz w:val="20"/>
                <w:szCs w:val="20"/>
                <w:color w:val="auto"/>
              </w:rPr>
            </w:pPr>
            <w:r>
              <w:rPr>
                <w:rFonts w:ascii="Courier New" w:cs="Courier New" w:eastAsia="Courier New" w:hAnsi="Courier New"/>
                <w:sz w:val="15"/>
                <w:szCs w:val="15"/>
                <w:color w:val="auto"/>
              </w:rPr>
              <w:t>NET PROFIT (LOSS) FOR THE PERIOD</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$(105,253)</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(49,235)</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$(157,910)</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(33,432)</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39,467</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(55,350)</w:t>
            </w: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BASIC EARNING (LOSS) PER ORDINARY SHARE</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 EARNING (LOSS) PER SHARE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(0.63)</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(0.27)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0.46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(0.83)</w:t>
            </w: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INCOME (LOSS) USED TO COMPUTE</w:t>
            </w:r>
          </w:p>
        </w:tc>
        <w:tc>
          <w:tcPr>
            <w:tcW w:w="320" w:type="dxa"/>
            <w:vAlign w:val="bottom"/>
          </w:tcPr>
          <w:p>
            <w:pPr>
              <w:spacing w:after="0"/>
              <w:rPr>
                <w:sz w:val="22"/>
                <w:szCs w:val="22"/>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3"/>
              </w:rPr>
              <w:t>(105,253)</w:t>
            </w:r>
          </w:p>
        </w:tc>
        <w:tc>
          <w:tcPr>
            <w:tcW w:w="16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(49,235)</w:t>
            </w:r>
          </w:p>
        </w:tc>
        <w:tc>
          <w:tcPr>
            <w:tcW w:w="12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(157,910)</w:t>
            </w:r>
          </w:p>
        </w:tc>
        <w:tc>
          <w:tcPr>
            <w:tcW w:w="340" w:type="dxa"/>
            <w:vAlign w:val="bottom"/>
          </w:tcPr>
          <w:p>
            <w:pPr>
              <w:spacing w:after="0"/>
              <w:rPr>
                <w:sz w:val="22"/>
                <w:szCs w:val="22"/>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(33,432)</w:t>
            </w:r>
          </w:p>
        </w:tc>
        <w:tc>
          <w:tcPr>
            <w:tcW w:w="560" w:type="dxa"/>
            <w:vAlign w:val="bottom"/>
          </w:tcPr>
          <w:p>
            <w:pPr>
              <w:spacing w:after="0"/>
              <w:rPr>
                <w:sz w:val="22"/>
                <w:szCs w:val="22"/>
                <w:color w:val="auto"/>
              </w:rPr>
            </w:pPr>
          </w:p>
        </w:tc>
        <w:tc>
          <w:tcPr>
            <w:tcW w:w="11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39,467</w:t>
            </w:r>
          </w:p>
        </w:tc>
        <w:tc>
          <w:tcPr>
            <w:tcW w:w="220" w:type="dxa"/>
            <w:vAlign w:val="bottom"/>
          </w:tcPr>
          <w:p>
            <w:pPr>
              <w:spacing w:after="0"/>
              <w:rPr>
                <w:sz w:val="22"/>
                <w:szCs w:val="22"/>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(55,350)</w:t>
            </w:r>
          </w:p>
        </w:tc>
        <w:tc>
          <w:tcPr>
            <w:tcW w:w="0" w:type="dxa"/>
            <w:vAlign w:val="bottom"/>
          </w:tcPr>
          <w:p>
            <w:pPr>
              <w:spacing w:after="0"/>
              <w:rPr>
                <w:sz w:val="1"/>
                <w:szCs w:val="1"/>
                <w:color w:val="auto"/>
              </w:rPr>
            </w:pPr>
          </w:p>
        </w:tc>
      </w:tr>
      <w:tr>
        <w:trPr>
          <w:trHeight w:val="170"/>
        </w:trPr>
        <w:tc>
          <w:tcPr>
            <w:tcW w:w="3820" w:type="dxa"/>
            <w:vAlign w:val="bottom"/>
          </w:tcPr>
          <w:p>
            <w:pPr>
              <w:ind w:left="600"/>
              <w:spacing w:after="0"/>
              <w:rPr>
                <w:sz w:val="20"/>
                <w:szCs w:val="20"/>
                <w:color w:val="auto"/>
              </w:rPr>
            </w:pPr>
            <w:r>
              <w:rPr>
                <w:rFonts w:ascii="Courier New" w:cs="Courier New" w:eastAsia="Courier New" w:hAnsi="Courier New"/>
                <w:sz w:val="15"/>
                <w:szCs w:val="15"/>
                <w:color w:val="auto"/>
              </w:rPr>
              <w:t>BASIC EARNING (LOSS) PER SHARE</w:t>
            </w: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WEIGHTED AVERAGE NUMBER OF ORDINARY</w:t>
            </w:r>
          </w:p>
        </w:tc>
        <w:tc>
          <w:tcPr>
            <w:tcW w:w="320" w:type="dxa"/>
            <w:vAlign w:val="bottom"/>
          </w:tcPr>
          <w:p>
            <w:pPr>
              <w:spacing w:after="0"/>
              <w:rPr>
                <w:sz w:val="22"/>
                <w:szCs w:val="22"/>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117,084</w:t>
            </w:r>
          </w:p>
        </w:tc>
        <w:tc>
          <w:tcPr>
            <w:tcW w:w="16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78,607</w:t>
            </w:r>
          </w:p>
        </w:tc>
        <w:tc>
          <w:tcPr>
            <w:tcW w:w="12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66,190</w:t>
            </w:r>
          </w:p>
        </w:tc>
        <w:tc>
          <w:tcPr>
            <w:tcW w:w="340" w:type="dxa"/>
            <w:vAlign w:val="bottom"/>
          </w:tcPr>
          <w:p>
            <w:pPr>
              <w:spacing w:after="0"/>
              <w:rPr>
                <w:sz w:val="22"/>
                <w:szCs w:val="22"/>
                <w:color w:val="auto"/>
              </w:rPr>
            </w:pPr>
          </w:p>
        </w:tc>
        <w:tc>
          <w:tcPr>
            <w:tcW w:w="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123,970</w:t>
            </w:r>
          </w:p>
        </w:tc>
        <w:tc>
          <w:tcPr>
            <w:tcW w:w="560" w:type="dxa"/>
            <w:vAlign w:val="bottom"/>
          </w:tcPr>
          <w:p>
            <w:pPr>
              <w:spacing w:after="0"/>
              <w:rPr>
                <w:sz w:val="22"/>
                <w:szCs w:val="22"/>
                <w:color w:val="auto"/>
              </w:rPr>
            </w:pPr>
          </w:p>
        </w:tc>
        <w:tc>
          <w:tcPr>
            <w:tcW w:w="11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85,087</w:t>
            </w:r>
          </w:p>
        </w:tc>
        <w:tc>
          <w:tcPr>
            <w:tcW w:w="220" w:type="dxa"/>
            <w:vAlign w:val="bottom"/>
          </w:tcPr>
          <w:p>
            <w:pPr>
              <w:spacing w:after="0"/>
              <w:rPr>
                <w:sz w:val="22"/>
                <w:szCs w:val="22"/>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66,671</w:t>
            </w:r>
          </w:p>
        </w:tc>
        <w:tc>
          <w:tcPr>
            <w:tcW w:w="0" w:type="dxa"/>
            <w:vAlign w:val="bottom"/>
          </w:tcPr>
          <w:p>
            <w:pPr>
              <w:spacing w:after="0"/>
              <w:rPr>
                <w:sz w:val="1"/>
                <w:szCs w:val="1"/>
                <w:color w:val="auto"/>
              </w:rPr>
            </w:pPr>
          </w:p>
        </w:tc>
      </w:tr>
      <w:tr>
        <w:trPr>
          <w:trHeight w:val="170"/>
        </w:trPr>
        <w:tc>
          <w:tcPr>
            <w:tcW w:w="3820" w:type="dxa"/>
            <w:vAlign w:val="bottom"/>
          </w:tcPr>
          <w:p>
            <w:pPr>
              <w:ind w:left="600"/>
              <w:spacing w:after="0"/>
              <w:rPr>
                <w:sz w:val="20"/>
                <w:szCs w:val="20"/>
                <w:color w:val="auto"/>
              </w:rPr>
            </w:pPr>
            <w:r>
              <w:rPr>
                <w:rFonts w:ascii="Courier New" w:cs="Courier New" w:eastAsia="Courier New" w:hAnsi="Courier New"/>
                <w:sz w:val="15"/>
                <w:szCs w:val="15"/>
                <w:color w:val="auto"/>
              </w:rPr>
              <w:t>SHARES OUTSTANDING - IN THOUSANDS</w:t>
            </w: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DILUTED EARNING (LOSS) PER ORDINARY SHARE</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 EARNING (LOSS) PER SHARE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(0.63)</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(0.27)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(0.83)</w:t>
            </w: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INCOME (LOSS) USED TO COMPUTE</w:t>
            </w:r>
          </w:p>
        </w:tc>
        <w:tc>
          <w:tcPr>
            <w:tcW w:w="320" w:type="dxa"/>
            <w:vAlign w:val="bottom"/>
          </w:tcPr>
          <w:p>
            <w:pPr>
              <w:spacing w:after="0"/>
              <w:rPr>
                <w:sz w:val="22"/>
                <w:szCs w:val="22"/>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3"/>
              </w:rPr>
              <w:t>(105,253)</w:t>
            </w:r>
          </w:p>
        </w:tc>
        <w:tc>
          <w:tcPr>
            <w:tcW w:w="16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(49,235)</w:t>
            </w:r>
          </w:p>
        </w:tc>
        <w:tc>
          <w:tcPr>
            <w:tcW w:w="12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(157,910)</w:t>
            </w:r>
          </w:p>
        </w:tc>
        <w:tc>
          <w:tcPr>
            <w:tcW w:w="340" w:type="dxa"/>
            <w:vAlign w:val="bottom"/>
          </w:tcPr>
          <w:p>
            <w:pPr>
              <w:spacing w:after="0"/>
              <w:rPr>
                <w:sz w:val="22"/>
                <w:szCs w:val="22"/>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(33,432)</w:t>
            </w:r>
          </w:p>
        </w:tc>
        <w:tc>
          <w:tcPr>
            <w:tcW w:w="560" w:type="dxa"/>
            <w:vAlign w:val="bottom"/>
          </w:tcPr>
          <w:p>
            <w:pPr>
              <w:spacing w:after="0"/>
              <w:rPr>
                <w:sz w:val="22"/>
                <w:szCs w:val="22"/>
                <w:color w:val="auto"/>
              </w:rPr>
            </w:pPr>
          </w:p>
        </w:tc>
        <w:tc>
          <w:tcPr>
            <w:tcW w:w="11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41,433</w:t>
            </w:r>
          </w:p>
        </w:tc>
        <w:tc>
          <w:tcPr>
            <w:tcW w:w="220" w:type="dxa"/>
            <w:vAlign w:val="bottom"/>
          </w:tcPr>
          <w:p>
            <w:pPr>
              <w:spacing w:after="0"/>
              <w:rPr>
                <w:sz w:val="22"/>
                <w:szCs w:val="22"/>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(55,350)</w:t>
            </w:r>
          </w:p>
        </w:tc>
        <w:tc>
          <w:tcPr>
            <w:tcW w:w="0" w:type="dxa"/>
            <w:vAlign w:val="bottom"/>
          </w:tcPr>
          <w:p>
            <w:pPr>
              <w:spacing w:after="0"/>
              <w:rPr>
                <w:sz w:val="1"/>
                <w:szCs w:val="1"/>
                <w:color w:val="auto"/>
              </w:rPr>
            </w:pPr>
          </w:p>
        </w:tc>
      </w:tr>
      <w:tr>
        <w:trPr>
          <w:trHeight w:val="170"/>
        </w:trPr>
        <w:tc>
          <w:tcPr>
            <w:tcW w:w="3820" w:type="dxa"/>
            <w:vAlign w:val="bottom"/>
          </w:tcPr>
          <w:p>
            <w:pPr>
              <w:ind w:left="600"/>
              <w:spacing w:after="0"/>
              <w:rPr>
                <w:sz w:val="20"/>
                <w:szCs w:val="20"/>
                <w:color w:val="auto"/>
              </w:rPr>
            </w:pPr>
            <w:r>
              <w:rPr>
                <w:rFonts w:ascii="Courier New" w:cs="Courier New" w:eastAsia="Courier New" w:hAnsi="Courier New"/>
                <w:sz w:val="15"/>
                <w:szCs w:val="15"/>
                <w:color w:val="auto"/>
              </w:rPr>
              <w:t>DILUTED EARNING (LOSS) PER SHARE</w:t>
            </w: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820" w:type="dxa"/>
            <w:vAlign w:val="bottom"/>
          </w:tcPr>
          <w:p>
            <w:pPr>
              <w:ind w:left="340"/>
              <w:spacing w:after="0"/>
              <w:rPr>
                <w:sz w:val="20"/>
                <w:szCs w:val="20"/>
                <w:color w:val="auto"/>
              </w:rPr>
            </w:pPr>
            <w:r>
              <w:rPr>
                <w:rFonts w:ascii="Courier New" w:cs="Courier New" w:eastAsia="Courier New" w:hAnsi="Courier New"/>
                <w:sz w:val="15"/>
                <w:szCs w:val="15"/>
                <w:color w:val="auto"/>
              </w:rPr>
              <w:t>WEIGHTED AVERAGE NUMBER OF ORDINARY</w:t>
            </w:r>
          </w:p>
        </w:tc>
        <w:tc>
          <w:tcPr>
            <w:tcW w:w="320" w:type="dxa"/>
            <w:vAlign w:val="bottom"/>
          </w:tcPr>
          <w:p>
            <w:pPr>
              <w:spacing w:after="0"/>
              <w:rPr>
                <w:sz w:val="22"/>
                <w:szCs w:val="22"/>
                <w:color w:val="auto"/>
              </w:rPr>
            </w:pPr>
          </w:p>
        </w:tc>
        <w:tc>
          <w:tcPr>
            <w:tcW w:w="8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117,084</w:t>
            </w:r>
          </w:p>
        </w:tc>
        <w:tc>
          <w:tcPr>
            <w:tcW w:w="16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78,607</w:t>
            </w:r>
          </w:p>
        </w:tc>
        <w:tc>
          <w:tcPr>
            <w:tcW w:w="12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66,190</w:t>
            </w:r>
          </w:p>
        </w:tc>
        <w:tc>
          <w:tcPr>
            <w:tcW w:w="340" w:type="dxa"/>
            <w:vAlign w:val="bottom"/>
          </w:tcPr>
          <w:p>
            <w:pPr>
              <w:spacing w:after="0"/>
              <w:rPr>
                <w:sz w:val="22"/>
                <w:szCs w:val="22"/>
                <w:color w:val="auto"/>
              </w:rPr>
            </w:pPr>
          </w:p>
        </w:tc>
        <w:tc>
          <w:tcPr>
            <w:tcW w:w="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123,970</w:t>
            </w:r>
          </w:p>
        </w:tc>
        <w:tc>
          <w:tcPr>
            <w:tcW w:w="560" w:type="dxa"/>
            <w:vAlign w:val="bottom"/>
          </w:tcPr>
          <w:p>
            <w:pPr>
              <w:spacing w:after="0"/>
              <w:rPr>
                <w:sz w:val="22"/>
                <w:szCs w:val="22"/>
                <w:color w:val="auto"/>
              </w:rPr>
            </w:pPr>
          </w:p>
        </w:tc>
        <w:tc>
          <w:tcPr>
            <w:tcW w:w="11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139,214</w:t>
            </w:r>
          </w:p>
        </w:tc>
        <w:tc>
          <w:tcPr>
            <w:tcW w:w="220" w:type="dxa"/>
            <w:vAlign w:val="bottom"/>
          </w:tcPr>
          <w:p>
            <w:pPr>
              <w:spacing w:after="0"/>
              <w:rPr>
                <w:sz w:val="22"/>
                <w:szCs w:val="22"/>
                <w:color w:val="auto"/>
              </w:rPr>
            </w:pPr>
          </w:p>
        </w:tc>
        <w:tc>
          <w:tcPr>
            <w:tcW w:w="7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66,671</w:t>
            </w:r>
          </w:p>
        </w:tc>
        <w:tc>
          <w:tcPr>
            <w:tcW w:w="0" w:type="dxa"/>
            <w:vAlign w:val="bottom"/>
          </w:tcPr>
          <w:p>
            <w:pPr>
              <w:spacing w:after="0"/>
              <w:rPr>
                <w:sz w:val="1"/>
                <w:szCs w:val="1"/>
                <w:color w:val="auto"/>
              </w:rPr>
            </w:pPr>
          </w:p>
        </w:tc>
      </w:tr>
      <w:tr>
        <w:trPr>
          <w:trHeight w:val="170"/>
        </w:trPr>
        <w:tc>
          <w:tcPr>
            <w:tcW w:w="3820" w:type="dxa"/>
            <w:vAlign w:val="bottom"/>
          </w:tcPr>
          <w:p>
            <w:pPr>
              <w:ind w:left="600"/>
              <w:spacing w:after="0"/>
              <w:rPr>
                <w:sz w:val="20"/>
                <w:szCs w:val="20"/>
                <w:color w:val="auto"/>
              </w:rPr>
            </w:pPr>
            <w:r>
              <w:rPr>
                <w:rFonts w:ascii="Courier New" w:cs="Courier New" w:eastAsia="Courier New" w:hAnsi="Courier New"/>
                <w:sz w:val="15"/>
                <w:szCs w:val="15"/>
                <w:color w:val="auto"/>
              </w:rPr>
              <w:t>SHARES OUTSTANDING - IN THOUSANDS</w:t>
            </w: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450" w:right="4560" w:hanging="450"/>
        <w:spacing w:after="0" w:line="289" w:lineRule="auto"/>
        <w:tabs>
          <w:tab w:leader="none" w:pos="45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Basic and diluted loss per share in accordance with U.S. GAAP for the nine and three months periods ended September 30, 2007 is $0.93 and $0.28, respectively, for the nine and three months periods ended September 30, 2006 is $1.67 and $0.52, respectively, and is the same as the Isr. GAAP data for the nine and three months periods ended September 30, 2005.</w:t>
      </w:r>
    </w:p>
    <w:p>
      <w:pPr>
        <w:sectPr>
          <w:pgSz w:w="11900" w:h="16838" w:orient="portrait"/>
          <w:cols w:equalWidth="0" w:num="1">
            <w:col w:w="11530"/>
          </w:cols>
          <w:pgMar w:left="230" w:top="601" w:right="139" w:bottom="1440" w:gutter="0" w:footer="0" w:header="0"/>
        </w:sectPr>
      </w:pPr>
    </w:p>
    <w:bookmarkStart w:id="7" w:name="page8"/>
    <w:bookmarkEnd w:id="7"/>
    <w:p>
      <w:pPr>
        <w:jc w:val="center"/>
        <w:ind w:right="421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5" w:lineRule="exact"/>
        <w:rPr>
          <w:sz w:val="20"/>
          <w:szCs w:val="20"/>
          <w:color w:val="auto"/>
        </w:rPr>
      </w:pPr>
    </w:p>
    <w:p>
      <w:pPr>
        <w:jc w:val="center"/>
        <w:ind w:right="4210"/>
        <w:spacing w:after="0"/>
        <w:rPr>
          <w:sz w:val="20"/>
          <w:szCs w:val="20"/>
          <w:color w:val="auto"/>
        </w:rPr>
      </w:pPr>
      <w:r>
        <w:rPr>
          <w:rFonts w:ascii="Courier New" w:cs="Courier New" w:eastAsia="Courier New" w:hAnsi="Courier New"/>
          <w:sz w:val="15"/>
          <w:szCs w:val="15"/>
          <w:color w:val="auto"/>
        </w:rPr>
        <w:t>RECONCILIATION OF REPORTED GAAP TO NON-GAAP</w:t>
      </w:r>
    </w:p>
    <w:p>
      <w:pPr>
        <w:jc w:val="center"/>
        <w:ind w:right="4230"/>
        <w:spacing w:after="0"/>
        <w:rPr>
          <w:sz w:val="20"/>
          <w:szCs w:val="20"/>
          <w:color w:val="auto"/>
        </w:rPr>
      </w:pPr>
      <w:r>
        <w:rPr>
          <w:rFonts w:ascii="Courier New" w:cs="Courier New" w:eastAsia="Courier New" w:hAnsi="Courier New"/>
          <w:sz w:val="15"/>
          <w:szCs w:val="15"/>
          <w:color w:val="auto"/>
        </w:rPr>
        <w:t>CONSOLIDATED STATEMENTS OF OPERATIONS (UNAUDITED)</w:t>
      </w:r>
    </w:p>
    <w:tbl>
      <w:tblPr>
        <w:tblLayout w:type="fixed"/>
        <w:tblInd w:w="10" w:type="dxa"/>
        <w:tblCellMar>
          <w:top w:w="0" w:type="dxa"/>
          <w:left w:w="0" w:type="dxa"/>
          <w:bottom w:w="0" w:type="dxa"/>
          <w:right w:w="0" w:type="dxa"/>
        </w:tblCellMar>
      </w:tblPr>
      <w:tr>
        <w:trPr>
          <w:trHeight w:val="246"/>
        </w:trPr>
        <w:tc>
          <w:tcPr>
            <w:tcW w:w="45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(DOLLARS IN THOUSANDS)</w:t>
            </w: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3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gridSpan w:val="3"/>
          </w:tcPr>
          <w:p>
            <w:pPr>
              <w:jc w:val="center"/>
              <w:ind w:right="27"/>
              <w:spacing w:after="0"/>
              <w:rPr>
                <w:sz w:val="20"/>
                <w:szCs w:val="20"/>
                <w:color w:val="auto"/>
              </w:rPr>
            </w:pPr>
            <w:r>
              <w:rPr>
                <w:rFonts w:ascii="Courier New" w:cs="Courier New" w:eastAsia="Courier New" w:hAnsi="Courier New"/>
                <w:sz w:val="15"/>
                <w:szCs w:val="15"/>
                <w:color w:val="auto"/>
                <w:w w:val="98"/>
              </w:rPr>
              <w:t>NINE MONTHS ENDED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THREE MONTHS ENDED</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SEPTEMBER 30, 2007</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SEPTEMBER 30, 2007</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4140" w:type="dxa"/>
            <w:vAlign w:val="bottom"/>
            <w:gridSpan w:val="6"/>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66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2"/>
          </w:tcPr>
          <w:p>
            <w:pPr>
              <w:jc w:val="center"/>
              <w:ind w:left="147"/>
              <w:spacing w:after="0"/>
              <w:rPr>
                <w:sz w:val="20"/>
                <w:szCs w:val="20"/>
                <w:color w:val="auto"/>
              </w:rPr>
            </w:pPr>
            <w:r>
              <w:rPr>
                <w:rFonts w:ascii="Courier New" w:cs="Courier New" w:eastAsia="Courier New" w:hAnsi="Courier New"/>
                <w:sz w:val="15"/>
                <w:szCs w:val="15"/>
                <w:color w:val="auto"/>
                <w:w w:val="97"/>
              </w:rPr>
              <w:t>DEPRECIATION,</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gridSpan w:val="2"/>
          </w:tcPr>
          <w:p>
            <w:pPr>
              <w:jc w:val="center"/>
              <w:ind w:left="127"/>
              <w:spacing w:after="0"/>
              <w:rPr>
                <w:sz w:val="20"/>
                <w:szCs w:val="20"/>
                <w:color w:val="auto"/>
              </w:rPr>
            </w:pPr>
            <w:r>
              <w:rPr>
                <w:rFonts w:ascii="Courier New" w:cs="Courier New" w:eastAsia="Courier New" w:hAnsi="Courier New"/>
                <w:sz w:val="15"/>
                <w:szCs w:val="15"/>
                <w:color w:val="auto"/>
                <w:w w:val="97"/>
              </w:rPr>
              <w:t>DEPRECIATION,</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2"/>
          </w:tcPr>
          <w:p>
            <w:pPr>
              <w:jc w:val="center"/>
              <w:ind w:left="227"/>
              <w:spacing w:after="0"/>
              <w:rPr>
                <w:sz w:val="20"/>
                <w:szCs w:val="20"/>
                <w:color w:val="auto"/>
              </w:rPr>
            </w:pPr>
            <w:r>
              <w:rPr>
                <w:rFonts w:ascii="Courier New" w:cs="Courier New" w:eastAsia="Courier New" w:hAnsi="Courier New"/>
                <w:sz w:val="15"/>
                <w:szCs w:val="15"/>
                <w:color w:val="auto"/>
                <w:w w:val="98"/>
              </w:rPr>
              <w:t>AMORTIZATION</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gridSpan w:val="2"/>
          </w:tcPr>
          <w:p>
            <w:pPr>
              <w:jc w:val="center"/>
              <w:ind w:left="207"/>
              <w:spacing w:after="0"/>
              <w:rPr>
                <w:sz w:val="20"/>
                <w:szCs w:val="20"/>
                <w:color w:val="auto"/>
              </w:rPr>
            </w:pPr>
            <w:r>
              <w:rPr>
                <w:rFonts w:ascii="Courier New" w:cs="Courier New" w:eastAsia="Courier New" w:hAnsi="Courier New"/>
                <w:sz w:val="15"/>
                <w:szCs w:val="15"/>
                <w:color w:val="auto"/>
                <w:w w:val="98"/>
              </w:rPr>
              <w:t>AMORTIZATION</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2"/>
          </w:tcPr>
          <w:p>
            <w:pPr>
              <w:jc w:val="center"/>
              <w:ind w:left="147"/>
              <w:spacing w:after="0"/>
              <w:rPr>
                <w:sz w:val="20"/>
                <w:szCs w:val="20"/>
                <w:color w:val="auto"/>
              </w:rPr>
            </w:pPr>
            <w:r>
              <w:rPr>
                <w:rFonts w:ascii="Courier New" w:cs="Courier New" w:eastAsia="Courier New" w:hAnsi="Courier New"/>
                <w:sz w:val="15"/>
                <w:szCs w:val="15"/>
                <w:color w:val="auto"/>
                <w:w w:val="96"/>
              </w:rPr>
              <w:t>AND STOCK</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gridSpan w:val="2"/>
          </w:tcPr>
          <w:p>
            <w:pPr>
              <w:jc w:val="center"/>
              <w:ind w:left="147"/>
              <w:spacing w:after="0"/>
              <w:rPr>
                <w:sz w:val="20"/>
                <w:szCs w:val="20"/>
                <w:color w:val="auto"/>
              </w:rPr>
            </w:pPr>
            <w:r>
              <w:rPr>
                <w:rFonts w:ascii="Courier New" w:cs="Courier New" w:eastAsia="Courier New" w:hAnsi="Courier New"/>
                <w:sz w:val="15"/>
                <w:szCs w:val="15"/>
                <w:color w:val="auto"/>
                <w:w w:val="98"/>
              </w:rPr>
              <w:t>AND STOCK</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BASED</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BASED</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2"/>
          </w:tcPr>
          <w:p>
            <w:pPr>
              <w:jc w:val="center"/>
              <w:ind w:left="227"/>
              <w:spacing w:after="0"/>
              <w:rPr>
                <w:sz w:val="20"/>
                <w:szCs w:val="20"/>
                <w:color w:val="auto"/>
              </w:rPr>
            </w:pPr>
            <w:r>
              <w:rPr>
                <w:rFonts w:ascii="Courier New" w:cs="Courier New" w:eastAsia="Courier New" w:hAnsi="Courier New"/>
                <w:sz w:val="15"/>
                <w:szCs w:val="15"/>
                <w:color w:val="auto"/>
                <w:w w:val="98"/>
              </w:rPr>
              <w:t>COMPENSATION</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gridSpan w:val="2"/>
          </w:tcPr>
          <w:p>
            <w:pPr>
              <w:jc w:val="center"/>
              <w:ind w:left="207"/>
              <w:spacing w:after="0"/>
              <w:rPr>
                <w:sz w:val="20"/>
                <w:szCs w:val="20"/>
                <w:color w:val="auto"/>
              </w:rPr>
            </w:pPr>
            <w:r>
              <w:rPr>
                <w:rFonts w:ascii="Courier New" w:cs="Courier New" w:eastAsia="Courier New" w:hAnsi="Courier New"/>
                <w:sz w:val="15"/>
                <w:szCs w:val="15"/>
                <w:color w:val="auto"/>
                <w:w w:val="98"/>
              </w:rPr>
              <w:t>COMPENSATION</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EXPENSES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EXPENSES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NON-GAAP</w:t>
            </w:r>
          </w:p>
        </w:tc>
        <w:tc>
          <w:tcPr>
            <w:tcW w:w="1440" w:type="dxa"/>
            <w:vAlign w:val="bottom"/>
            <w:gridSpan w:val="2"/>
          </w:tcPr>
          <w:p>
            <w:pPr>
              <w:jc w:val="center"/>
              <w:ind w:left="247"/>
              <w:spacing w:after="0"/>
              <w:rPr>
                <w:sz w:val="20"/>
                <w:szCs w:val="20"/>
                <w:color w:val="auto"/>
              </w:rPr>
            </w:pPr>
            <w:r>
              <w:rPr>
                <w:rFonts w:ascii="Courier New" w:cs="Courier New" w:eastAsia="Courier New" w:hAnsi="Courier New"/>
                <w:sz w:val="15"/>
                <w:szCs w:val="15"/>
                <w:color w:val="auto"/>
                <w:w w:val="97"/>
              </w:rPr>
              <w:t>(SEE A, B,</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GAAP</w:t>
            </w:r>
          </w:p>
        </w:tc>
        <w:tc>
          <w:tcPr>
            <w:tcW w:w="1020" w:type="dxa"/>
            <w:vAlign w:val="bottom"/>
            <w:gridSpan w:val="2"/>
            <w:vMerge w:val="restart"/>
          </w:tcPr>
          <w:p>
            <w:pPr>
              <w:ind w:left="220"/>
              <w:spacing w:after="0"/>
              <w:rPr>
                <w:sz w:val="20"/>
                <w:szCs w:val="20"/>
                <w:color w:val="auto"/>
              </w:rPr>
            </w:pPr>
            <w:r>
              <w:rPr>
                <w:rFonts w:ascii="Courier New" w:cs="Courier New" w:eastAsia="Courier New" w:hAnsi="Courier New"/>
                <w:sz w:val="15"/>
                <w:szCs w:val="15"/>
                <w:color w:val="auto"/>
              </w:rPr>
              <w:t>NON-GAAP</w:t>
            </w:r>
          </w:p>
        </w:tc>
        <w:tc>
          <w:tcPr>
            <w:tcW w:w="1460" w:type="dxa"/>
            <w:vAlign w:val="bottom"/>
            <w:gridSpan w:val="2"/>
          </w:tcPr>
          <w:p>
            <w:pPr>
              <w:jc w:val="center"/>
              <w:ind w:left="227"/>
              <w:spacing w:after="0"/>
              <w:rPr>
                <w:sz w:val="20"/>
                <w:szCs w:val="20"/>
                <w:color w:val="auto"/>
              </w:rPr>
            </w:pPr>
            <w:r>
              <w:rPr>
                <w:rFonts w:ascii="Courier New" w:cs="Courier New" w:eastAsia="Courier New" w:hAnsi="Courier New"/>
                <w:sz w:val="15"/>
                <w:szCs w:val="15"/>
                <w:color w:val="auto"/>
                <w:w w:val="97"/>
              </w:rPr>
              <w:t>(SEE A, B,</w:t>
            </w:r>
          </w:p>
        </w:tc>
        <w:tc>
          <w:tcPr>
            <w:tcW w:w="300" w:type="dxa"/>
            <w:vAlign w:val="bottom"/>
          </w:tcPr>
          <w:p>
            <w:pPr>
              <w:spacing w:after="0"/>
              <w:rPr>
                <w:sz w:val="14"/>
                <w:szCs w:val="14"/>
                <w:color w:val="auto"/>
              </w:rPr>
            </w:pP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GAAP</w:t>
            </w:r>
          </w:p>
        </w:tc>
        <w:tc>
          <w:tcPr>
            <w:tcW w:w="0" w:type="dxa"/>
            <w:vAlign w:val="bottom"/>
          </w:tcPr>
          <w:p>
            <w:pPr>
              <w:spacing w:after="0"/>
              <w:rPr>
                <w:sz w:val="1"/>
                <w:szCs w:val="1"/>
                <w:color w:val="auto"/>
              </w:rPr>
            </w:pPr>
          </w:p>
        </w:tc>
      </w:tr>
      <w:tr>
        <w:trPr>
          <w:trHeight w:val="170"/>
        </w:trPr>
        <w:tc>
          <w:tcPr>
            <w:tcW w:w="35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C BELOW)</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C BELOW)</w:t>
            </w:r>
          </w:p>
        </w:tc>
        <w:tc>
          <w:tcPr>
            <w:tcW w:w="3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1"/>
                <w:szCs w:val="21"/>
                <w:color w:val="auto"/>
              </w:rPr>
            </w:pP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$ 169,235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169,235</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56,569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  56,569</w:t>
            </w:r>
          </w:p>
        </w:tc>
        <w:tc>
          <w:tcPr>
            <w:tcW w:w="0" w:type="dxa"/>
            <w:vAlign w:val="bottom"/>
          </w:tcPr>
          <w:p>
            <w:pPr>
              <w:spacing w:after="0"/>
              <w:rPr>
                <w:sz w:val="1"/>
                <w:szCs w:val="1"/>
                <w:color w:val="auto"/>
              </w:rPr>
            </w:pPr>
          </w:p>
        </w:tc>
      </w:tr>
      <w:tr>
        <w:trPr>
          <w:trHeight w:val="262"/>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108,715</w:t>
            </w:r>
          </w:p>
        </w:tc>
        <w:tc>
          <w:tcPr>
            <w:tcW w:w="520" w:type="dxa"/>
            <w:vAlign w:val="bottom"/>
          </w:tcPr>
          <w:p>
            <w:pPr>
              <w:spacing w:after="0"/>
              <w:rPr>
                <w:sz w:val="22"/>
                <w:szCs w:val="22"/>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102,415</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w w:val="88"/>
              </w:rPr>
              <w:t>(a)</w:t>
            </w:r>
          </w:p>
        </w:tc>
        <w:tc>
          <w:tcPr>
            <w:tcW w:w="260" w:type="dxa"/>
            <w:vAlign w:val="bottom"/>
          </w:tcPr>
          <w:p>
            <w:pPr>
              <w:spacing w:after="0"/>
              <w:rPr>
                <w:sz w:val="22"/>
                <w:szCs w:val="22"/>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211,130</w:t>
            </w:r>
          </w:p>
        </w:tc>
        <w:tc>
          <w:tcPr>
            <w:tcW w:w="4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36,108</w:t>
            </w:r>
          </w:p>
        </w:tc>
        <w:tc>
          <w:tcPr>
            <w:tcW w:w="520" w:type="dxa"/>
            <w:vAlign w:val="bottom"/>
          </w:tcPr>
          <w:p>
            <w:pPr>
              <w:spacing w:after="0"/>
              <w:rPr>
                <w:sz w:val="22"/>
                <w:szCs w:val="22"/>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32,144</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(a)</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68,252</w:t>
            </w:r>
          </w:p>
        </w:tc>
        <w:tc>
          <w:tcPr>
            <w:tcW w:w="0" w:type="dxa"/>
            <w:vAlign w:val="bottom"/>
          </w:tcPr>
          <w:p>
            <w:pPr>
              <w:spacing w:after="0"/>
              <w:rPr>
                <w:sz w:val="1"/>
                <w:szCs w:val="1"/>
                <w:color w:val="auto"/>
              </w:rPr>
            </w:pPr>
          </w:p>
        </w:tc>
      </w:tr>
      <w:tr>
        <w:trPr>
          <w:trHeight w:val="246"/>
        </w:trPr>
        <w:tc>
          <w:tcPr>
            <w:tcW w:w="3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1"/>
                <w:szCs w:val="21"/>
                <w:color w:val="auto"/>
              </w:rPr>
            </w:pP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2"/>
        </w:trPr>
        <w:tc>
          <w:tcPr>
            <w:tcW w:w="3560" w:type="dxa"/>
            <w:vAlign w:val="bottom"/>
          </w:tcPr>
          <w:p>
            <w:pPr>
              <w:ind w:left="700"/>
              <w:spacing w:after="0"/>
              <w:rPr>
                <w:sz w:val="20"/>
                <w:szCs w:val="20"/>
                <w:color w:val="auto"/>
              </w:rPr>
            </w:pPr>
            <w:r>
              <w:rPr>
                <w:rFonts w:ascii="Courier New" w:cs="Courier New" w:eastAsia="Courier New" w:hAnsi="Courier New"/>
                <w:sz w:val="15"/>
                <w:szCs w:val="15"/>
                <w:color w:val="auto"/>
              </w:rPr>
              <w:t>GROSS PROFIT (LOSS)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60,520</w:t>
            </w:r>
          </w:p>
        </w:tc>
        <w:tc>
          <w:tcPr>
            <w:tcW w:w="520" w:type="dxa"/>
            <w:vAlign w:val="bottom"/>
          </w:tcPr>
          <w:p>
            <w:pPr>
              <w:spacing w:after="0"/>
              <w:rPr>
                <w:sz w:val="22"/>
                <w:szCs w:val="22"/>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(102,415)</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(41,895)</w:t>
            </w:r>
          </w:p>
        </w:tc>
        <w:tc>
          <w:tcPr>
            <w:tcW w:w="4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20,461</w:t>
            </w:r>
          </w:p>
        </w:tc>
        <w:tc>
          <w:tcPr>
            <w:tcW w:w="520" w:type="dxa"/>
            <w:vAlign w:val="bottom"/>
          </w:tcPr>
          <w:p>
            <w:pPr>
              <w:spacing w:after="0"/>
              <w:rPr>
                <w:sz w:val="22"/>
                <w:szCs w:val="22"/>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(32,144)</w:t>
            </w: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(11,683)</w:t>
            </w:r>
          </w:p>
        </w:tc>
        <w:tc>
          <w:tcPr>
            <w:tcW w:w="0" w:type="dxa"/>
            <w:vAlign w:val="bottom"/>
          </w:tcPr>
          <w:p>
            <w:pPr>
              <w:spacing w:after="0"/>
              <w:rPr>
                <w:sz w:val="1"/>
                <w:szCs w:val="1"/>
                <w:color w:val="auto"/>
              </w:rPr>
            </w:pPr>
          </w:p>
        </w:tc>
      </w:tr>
      <w:tr>
        <w:trPr>
          <w:trHeight w:val="246"/>
        </w:trPr>
        <w:tc>
          <w:tcPr>
            <w:tcW w:w="3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1"/>
                <w:szCs w:val="21"/>
                <w:color w:val="auto"/>
              </w:rPr>
            </w:pP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339"/>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7,721</w:t>
            </w:r>
          </w:p>
        </w:tc>
        <w:tc>
          <w:tcPr>
            <w:tcW w:w="520" w:type="dxa"/>
            <w:vAlign w:val="bottom"/>
          </w:tcPr>
          <w:p>
            <w:pPr>
              <w:spacing w:after="0"/>
              <w:rPr>
                <w:sz w:val="22"/>
                <w:szCs w:val="22"/>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2,532</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w w:val="88"/>
              </w:rPr>
              <w:t>(b)</w:t>
            </w:r>
          </w:p>
        </w:tc>
        <w:tc>
          <w:tcPr>
            <w:tcW w:w="260" w:type="dxa"/>
            <w:vAlign w:val="bottom"/>
          </w:tcPr>
          <w:p>
            <w:pPr>
              <w:spacing w:after="0"/>
              <w:rPr>
                <w:sz w:val="22"/>
                <w:szCs w:val="22"/>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10,253</w:t>
            </w:r>
          </w:p>
        </w:tc>
        <w:tc>
          <w:tcPr>
            <w:tcW w:w="4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2,494</w:t>
            </w:r>
          </w:p>
        </w:tc>
        <w:tc>
          <w:tcPr>
            <w:tcW w:w="520" w:type="dxa"/>
            <w:vAlign w:val="bottom"/>
          </w:tcPr>
          <w:p>
            <w:pPr>
              <w:spacing w:after="0"/>
              <w:rPr>
                <w:sz w:val="22"/>
                <w:szCs w:val="22"/>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807</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(b)</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3,301</w:t>
            </w:r>
          </w:p>
        </w:tc>
        <w:tc>
          <w:tcPr>
            <w:tcW w:w="0" w:type="dxa"/>
            <w:vAlign w:val="bottom"/>
          </w:tcPr>
          <w:p>
            <w:pPr>
              <w:spacing w:after="0"/>
              <w:rPr>
                <w:sz w:val="1"/>
                <w:szCs w:val="1"/>
                <w:color w:val="auto"/>
              </w:rPr>
            </w:pPr>
          </w:p>
        </w:tc>
      </w:tr>
      <w:tr>
        <w:trPr>
          <w:trHeight w:val="170"/>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MARKETING, GENERAL&amp;ADMINISTRATIVE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17,877</w:t>
            </w:r>
          </w:p>
        </w:tc>
        <w:tc>
          <w:tcPr>
            <w:tcW w:w="5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5,052</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w w:val="88"/>
              </w:rPr>
              <w:t>(c)</w:t>
            </w:r>
          </w:p>
        </w:tc>
        <w:tc>
          <w:tcPr>
            <w:tcW w:w="26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22,929</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6,409</w:t>
            </w:r>
          </w:p>
        </w:tc>
        <w:tc>
          <w:tcPr>
            <w:tcW w:w="5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1,344</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(c)</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7,753</w:t>
            </w:r>
          </w:p>
        </w:tc>
        <w:tc>
          <w:tcPr>
            <w:tcW w:w="0" w:type="dxa"/>
            <w:vAlign w:val="bottom"/>
          </w:tcPr>
          <w:p>
            <w:pPr>
              <w:spacing w:after="0"/>
              <w:rPr>
                <w:sz w:val="1"/>
                <w:szCs w:val="1"/>
                <w:color w:val="auto"/>
              </w:rPr>
            </w:pPr>
          </w:p>
        </w:tc>
      </w:tr>
      <w:tr>
        <w:trPr>
          <w:trHeight w:val="246"/>
        </w:trPr>
        <w:tc>
          <w:tcPr>
            <w:tcW w:w="3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1"/>
                <w:szCs w:val="21"/>
                <w:color w:val="auto"/>
              </w:rPr>
            </w:pP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2"/>
        </w:trPr>
        <w:tc>
          <w:tcPr>
            <w:tcW w:w="35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25,598</w:t>
            </w:r>
          </w:p>
        </w:tc>
        <w:tc>
          <w:tcPr>
            <w:tcW w:w="520" w:type="dxa"/>
            <w:vAlign w:val="bottom"/>
          </w:tcPr>
          <w:p>
            <w:pPr>
              <w:spacing w:after="0"/>
              <w:rPr>
                <w:sz w:val="22"/>
                <w:szCs w:val="22"/>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7,584</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33,182</w:t>
            </w:r>
          </w:p>
        </w:tc>
        <w:tc>
          <w:tcPr>
            <w:tcW w:w="4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8,903</w:t>
            </w:r>
          </w:p>
        </w:tc>
        <w:tc>
          <w:tcPr>
            <w:tcW w:w="520" w:type="dxa"/>
            <w:vAlign w:val="bottom"/>
          </w:tcPr>
          <w:p>
            <w:pPr>
              <w:spacing w:after="0"/>
              <w:rPr>
                <w:sz w:val="22"/>
                <w:szCs w:val="22"/>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2,151</w:t>
            </w:r>
          </w:p>
        </w:tc>
        <w:tc>
          <w:tcPr>
            <w:tcW w:w="300" w:type="dxa"/>
            <w:vAlign w:val="bottom"/>
          </w:tcPr>
          <w:p>
            <w:pPr>
              <w:spacing w:after="0"/>
              <w:rPr>
                <w:sz w:val="22"/>
                <w:szCs w:val="22"/>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11,054</w:t>
            </w:r>
          </w:p>
        </w:tc>
        <w:tc>
          <w:tcPr>
            <w:tcW w:w="0" w:type="dxa"/>
            <w:vAlign w:val="bottom"/>
          </w:tcPr>
          <w:p>
            <w:pPr>
              <w:spacing w:after="0"/>
              <w:rPr>
                <w:sz w:val="1"/>
                <w:szCs w:val="1"/>
                <w:color w:val="auto"/>
              </w:rPr>
            </w:pPr>
          </w:p>
        </w:tc>
      </w:tr>
      <w:tr>
        <w:trPr>
          <w:trHeight w:val="246"/>
        </w:trPr>
        <w:tc>
          <w:tcPr>
            <w:tcW w:w="3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1"/>
                <w:szCs w:val="21"/>
                <w:color w:val="auto"/>
              </w:rPr>
            </w:pP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2"/>
        </w:trPr>
        <w:tc>
          <w:tcPr>
            <w:tcW w:w="3560" w:type="dxa"/>
            <w:vAlign w:val="bottom"/>
          </w:tcPr>
          <w:p>
            <w:pPr>
              <w:ind w:left="700"/>
              <w:spacing w:after="0"/>
              <w:rPr>
                <w:sz w:val="20"/>
                <w:szCs w:val="20"/>
                <w:color w:val="auto"/>
              </w:rPr>
            </w:pPr>
            <w:r>
              <w:rPr>
                <w:rFonts w:ascii="Courier New" w:cs="Courier New" w:eastAsia="Courier New" w:hAnsi="Courier New"/>
                <w:sz w:val="15"/>
                <w:szCs w:val="15"/>
                <w:color w:val="auto"/>
              </w:rPr>
              <w:t>OPERATING PROFIT (LOSS)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34,922</w:t>
            </w:r>
          </w:p>
        </w:tc>
        <w:tc>
          <w:tcPr>
            <w:tcW w:w="14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$(109,999)</w:t>
            </w:r>
          </w:p>
        </w:tc>
        <w:tc>
          <w:tcPr>
            <w:tcW w:w="320" w:type="dxa"/>
            <w:vAlign w:val="bottom"/>
          </w:tcPr>
          <w:p>
            <w:pPr>
              <w:spacing w:after="0"/>
              <w:rPr>
                <w:sz w:val="22"/>
                <w:szCs w:val="22"/>
                <w:color w:val="auto"/>
              </w:rPr>
            </w:pP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(75,077)</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11,558</w:t>
            </w:r>
          </w:p>
        </w:tc>
        <w:tc>
          <w:tcPr>
            <w:tcW w:w="1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(34,295)</w:t>
            </w: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 (22,737)</w:t>
            </w:r>
          </w:p>
        </w:tc>
        <w:tc>
          <w:tcPr>
            <w:tcW w:w="0" w:type="dxa"/>
            <w:vAlign w:val="bottom"/>
          </w:tcPr>
          <w:p>
            <w:pPr>
              <w:spacing w:after="0"/>
              <w:rPr>
                <w:sz w:val="1"/>
                <w:szCs w:val="1"/>
                <w:color w:val="auto"/>
              </w:rPr>
            </w:pPr>
          </w:p>
        </w:tc>
      </w:tr>
      <w:tr>
        <w:trPr>
          <w:trHeight w:val="246"/>
        </w:trPr>
        <w:tc>
          <w:tcPr>
            <w:tcW w:w="3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1"/>
                <w:szCs w:val="21"/>
                <w:color w:val="auto"/>
              </w:rPr>
            </w:pPr>
          </w:p>
        </w:tc>
        <w:tc>
          <w:tcPr>
            <w:tcW w:w="13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450" w:right="4400" w:hanging="450"/>
        <w:spacing w:after="0" w:line="266"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depreciation and amortization expenses in the amounts of $101,883 and $31,967 for the nine and three months ended September 30, 2007, respectively and stock based compensation expenses in the amounts of $532 and $177 for the nine and three months ended September 30, 2007, respectively.</w:t>
      </w:r>
    </w:p>
    <w:p>
      <w:pPr>
        <w:spacing w:after="0" w:line="75" w:lineRule="exact"/>
        <w:rPr>
          <w:rFonts w:ascii="Courier New" w:cs="Courier New" w:eastAsia="Courier New" w:hAnsi="Courier New"/>
          <w:sz w:val="15"/>
          <w:szCs w:val="15"/>
          <w:color w:val="auto"/>
        </w:rPr>
      </w:pPr>
    </w:p>
    <w:p>
      <w:pPr>
        <w:ind w:left="450" w:right="4500" w:hanging="450"/>
        <w:spacing w:after="0" w:line="266"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depreciation and amortization expenses in the amounts of $2,105 and $678 for the nine and three months ended September 30, 2007, respectively and stock based compensation expenses in the amounts of $427 and $129 for the nine and three months ended September 30, 2007, respectively.</w:t>
      </w:r>
    </w:p>
    <w:p>
      <w:pPr>
        <w:spacing w:after="0" w:line="75" w:lineRule="exact"/>
        <w:rPr>
          <w:rFonts w:ascii="Courier New" w:cs="Courier New" w:eastAsia="Courier New" w:hAnsi="Courier New"/>
          <w:sz w:val="15"/>
          <w:szCs w:val="15"/>
          <w:color w:val="auto"/>
        </w:rPr>
      </w:pPr>
    </w:p>
    <w:p>
      <w:pPr>
        <w:ind w:left="450" w:right="4500" w:hanging="450"/>
        <w:spacing w:after="0" w:line="300" w:lineRule="auto"/>
        <w:tabs>
          <w:tab w:leader="none" w:pos="45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depreciation and amortization expenses in the amounts of $34 and $14 for the nine and three months ended September 30, 2007, respectively and stock based compensation expenses in the amounts of $5,018 and $1,330 for the nine and three months ended September 30, 2007, respectively.</w:t>
      </w:r>
    </w:p>
    <w:sectPr>
      <w:pgSz w:w="11900" w:h="16838" w:orient="portrait"/>
      <w:cols w:equalWidth="0" w:num="1">
        <w:col w:w="11370"/>
      </w:cols>
      <w:pgMar w:left="230" w:top="60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Roman"/>
      <w:start w:val="1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2019-12-14T04:16:05Z</dcterms:created>
  <dcterms:modified xsi:type="dcterms:W3CDTF">2019-12-14T04:16:05Z</dcterms:modified>
</cp:coreProperties>
</file>