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October 2025 No. 1</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ind w:left="340"/>
        <w:spacing w:after="0"/>
        <w:rPr>
          <w:sz w:val="20"/>
          <w:szCs w:val="20"/>
          <w:color w:val="auto"/>
        </w:rPr>
      </w:pPr>
      <w:r>
        <w:rPr>
          <w:rFonts w:ascii="Times New Roman" w:cs="Times New Roman" w:eastAsia="Times New Roman" w:hAnsi="Times New Roman"/>
          <w:sz w:val="17"/>
          <w:szCs w:val="17"/>
          <w:b w:val="1"/>
          <w:bCs w:val="1"/>
          <w:color w:val="auto"/>
        </w:rPr>
        <w:t>On October 15, 2025, the Registrant Announces Third Quarter 2025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15,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743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74395" cy="514350"/>
                    </a:xfrm>
                    <a:prstGeom prst="rect">
                      <a:avLst/>
                    </a:prstGeom>
                    <a:noFill/>
                  </pic:spPr>
                </pic:pic>
              </a:graphicData>
            </a:graphic>
          </wp:anchor>
        </w:drawing>
        <w:t>Tower Semiconductor Announces Third Quarter 2025 Financial</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Results and Conference Call</w:t>
      </w:r>
    </w:p>
    <w:p>
      <w:pPr>
        <w:spacing w:after="0" w:line="2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October 15,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will issue its third quarter 2025 earnings release on Monday, November 10, 2025. The Company will hold a conference call to discuss its third quarter 2025 financial results and fourth quarter 2025 guidance on Monday, November 10, 2025, at 10:00 a.m. Eastern Time (09:00 a.m. Central, 08:00 a.m. Mountain, 07:00 a.m. Pacific and 05:00 p.m. Israel time).</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w:t>
      </w:r>
      <w:r>
        <w:rPr>
          <w:rFonts w:ascii="Times New Roman" w:cs="Times New Roman" w:eastAsia="Times New Roman" w:hAnsi="Times New Roman"/>
          <w:sz w:val="18"/>
          <w:szCs w:val="18"/>
          <w:color w:val="auto"/>
        </w:rPr>
        <w:t xml:space="preserve"> | +972 4 650 6154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2025-10-15T05:38:09Z</dcterms:created>
  <dcterms:modified xsi:type="dcterms:W3CDTF">2025-10-15T05:38:09Z</dcterms:modified>
</cp:coreProperties>
</file>