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zk2534101.htm"/>
      <w:bookmarkStart w:id="1" w:name="kszk2534101"/>
      <w:bookmarkStart w:id="2" w:name="zk2534101.htm"/>
      <w:bookmarkStart w:id="3" w:name="kszk2534101"/>
      <w:bookmarkEnd w:id="2"/>
      <w:bookmarkEnd w:id="3"/>
    </w:p>
    <w:p>
      <w:pPr>
        <w:pStyle w:val="TextBody"/>
        <w:bidi w:val="0"/>
        <w:spacing w:before="0" w:after="0"/>
        <w:jc w:val="left"/>
        <w:rPr/>
      </w:pPr>
      <w:r>
        <w:rPr/>
      </w:r>
    </w:p>
    <w:p>
      <w:pPr>
        <w:pStyle w:val="TextBody"/>
        <w:bidi w:val="0"/>
        <w:spacing w:lineRule="auto" w:line="300" w:before="0" w:after="0"/>
        <w:jc w:val="center"/>
        <w:rPr>
          <w:rFonts w:ascii="Times New Roman;Times;serif" w:hAnsi="Times New Roman;Times;serif"/>
          <w:b/>
          <w:color w:val="000000"/>
          <w:sz w:val="28"/>
        </w:rPr>
      </w:pPr>
      <w:r>
        <w:rPr>
          <w:rFonts w:ascii="Times New Roman;Times;serif" w:hAnsi="Times New Roman;Times;serif"/>
          <w:b/>
          <w:color w:val="000000"/>
          <w:sz w:val="28"/>
        </w:rPr>
        <w:t>FORM 6-K</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smallCaps/>
          <w:color w:val="000000"/>
          <w:sz w:val="28"/>
        </w:rPr>
      </w:pPr>
      <w:r>
        <w:rPr>
          <w:rFonts w:ascii="Times New Roman;Times;serif" w:hAnsi="Times New Roman;Times;serif"/>
          <w:b/>
          <w:smallCaps/>
          <w:color w:val="000000"/>
          <w:sz w:val="28"/>
        </w:rPr>
        <w:t>SECURITIES AND EXCHANGE COMMISSION</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smallCaps/>
          <w:color w:val="000000"/>
          <w:sz w:val="20"/>
        </w:rPr>
        <w:t>W</w:t>
      </w:r>
      <w:r>
        <w:rPr>
          <w:rFonts w:ascii="Times New Roman;Times;serif" w:hAnsi="Times New Roman;Times;serif"/>
          <w:color w:val="000000"/>
          <w:sz w:val="20"/>
        </w:rPr>
        <w:t xml:space="preserve">ashington, D.C. </w:t>
      </w:r>
      <w:r>
        <w:rPr>
          <w:rFonts w:ascii="Times New Roman;Times;serif" w:hAnsi="Times New Roman;Times;serif"/>
          <w:smallCaps/>
          <w:color w:val="000000"/>
          <w:sz w:val="20"/>
        </w:rPr>
        <w:t>20549</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smallCaps/>
          <w:color w:val="000000"/>
          <w:sz w:val="20"/>
        </w:rPr>
        <w:t>F</w:t>
      </w:r>
      <w:r>
        <w:rPr>
          <w:rFonts w:ascii="Times New Roman;Times;serif" w:hAnsi="Times New Roman;Times;serif"/>
          <w:color w:val="000000"/>
          <w:sz w:val="20"/>
        </w:rPr>
        <w:t>or the month December 2025 No. 2</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32"/>
        </w:rPr>
      </w:pPr>
      <w:r>
        <w:rPr>
          <w:rFonts w:ascii="Times New Roman;Times;serif" w:hAnsi="Times New Roman;Times;serif"/>
          <w:b/>
          <w:color w:val="000000"/>
          <w:sz w:val="32"/>
        </w:rPr>
        <w:t>TOWER SEMICONDUCTOR LTD.</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(Translation of registrant's name into English)</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Ramat Gavriel Industrial Park</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P.O. Box 619, Migdal Haemek, Israel 2310502</w:t>
      </w:r>
    </w:p>
    <w:p>
      <w:pPr>
        <w:pStyle w:val="TextBody"/>
        <w:bidi w:val="0"/>
        <w:spacing w:lineRule="auto" w:line="300" w:before="0" w:after="0"/>
        <w:jc w:val="center"/>
        <w:rPr>
          <w:color w:val="000000"/>
        </w:rPr>
      </w:pPr>
      <w:r>
        <w:rPr>
          <w:color w:val="000000"/>
        </w:rPr>
        <w:t>  </w:t>
      </w:r>
      <w:r>
        <w:rPr>
          <w:rFonts w:ascii="Times New Roman;Times;serif" w:hAnsi="Times New Roman;Times;serif"/>
          <w:color w:val="000000"/>
          <w:sz w:val="20"/>
        </w:rPr>
        <w:t>(Address of principal executive offices)</w:t>
      </w:r>
    </w:p>
    <w:p>
      <w:pPr>
        <w:pStyle w:val="TextBody"/>
        <w:bidi w:val="0"/>
        <w:spacing w:lineRule="auto" w:line="300" w:before="0" w:after="0"/>
        <w:jc w:val="left"/>
        <w:rPr/>
      </w:pPr>
      <w:r>
        <w:rPr/>
      </w:r>
    </w:p>
    <w:p>
      <w:pPr>
        <w:pStyle w:val="TextBody"/>
        <w:bidi w:val="0"/>
        <w:spacing w:lineRule="auto" w:line="300"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Indicate by check mark whether the registrant files or will file annual reports under cover Form 20-F or Form 40-F.</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Form 20-F ☒           Form 40-F ☐</w:t>
      </w:r>
    </w:p>
    <w:p>
      <w:pPr>
        <w:pStyle w:val="TextBody"/>
        <w:bidi w:val="0"/>
        <w:spacing w:lineRule="auto" w:line="300" w:before="0" w:after="0"/>
        <w:jc w:val="center"/>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Indicate by check mark whether the registrant by furnishing the information contained in this Form is also thereby furnishing the information to the Commission pursuant to Rule 12g3-2(b) under the Securities Exchange Act of 1934.</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Yes ☐           No ☒</w:t>
      </w:r>
    </w:p>
    <w:p>
      <w:pPr>
        <w:pStyle w:val="TextBody"/>
        <w:bidi w:val="0"/>
        <w:spacing w:lineRule="auto" w:line="300" w:before="0" w:after="0"/>
        <w:ind w:left="0" w:right="0" w:firstLine="72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Times New Roman;Times;serif" w:hAnsi="Times New Roman;Times;serif"/>
          <w:b/>
          <w:color w:val="000000"/>
          <w:sz w:val="24"/>
        </w:rPr>
      </w:pPr>
      <w:r>
        <w:rPr>
          <w:rFonts w:ascii="Times New Roman;Times;serif" w:hAnsi="Times New Roman;Times;serif"/>
          <w:b/>
          <w:color w:val="000000"/>
          <w:sz w:val="24"/>
        </w:rPr>
        <w:t>On December 9, 2025, the Registrant to Attend the Nomura’s CES Technology Conference</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 w:name="z3de02528711f45aeb2af2a8dc9c75bd2"/>
      <w:bookmarkStart w:id="5" w:name="z3de02528711f45aeb2af2a8dc9c75bd2"/>
      <w:bookmarkEnd w:id="5"/>
    </w:p>
    <w:tbl>
      <w:tblPr>
        <w:tblW w:w="7314" w:type="dxa"/>
        <w:jc w:val="left"/>
        <w:tblInd w:w="0" w:type="dxa"/>
        <w:tblLayout w:type="fixed"/>
        <w:tblCellMar>
          <w:top w:w="0" w:type="dxa"/>
          <w:left w:w="0" w:type="dxa"/>
          <w:bottom w:w="0" w:type="dxa"/>
          <w:right w:w="0" w:type="dxa"/>
        </w:tblCellMar>
      </w:tblPr>
      <w:tblGrid>
        <w:gridCol w:w="3380"/>
        <w:gridCol w:w="497"/>
        <w:gridCol w:w="3362"/>
        <w:gridCol w:w="75"/>
      </w:tblGrid>
      <w:tr>
        <w:trPr/>
        <w:tc>
          <w:tcPr>
            <w:tcW w:w="3380" w:type="dxa"/>
            <w:tcBorders/>
            <w:vAlign w:val="center"/>
          </w:tcPr>
          <w:p>
            <w:pPr>
              <w:pStyle w:val="TableContents"/>
              <w:bidi w:val="0"/>
              <w:spacing w:lineRule="auto" w:line="300" w:before="0" w:after="0"/>
              <w:jc w:val="left"/>
              <w:rPr/>
            </w:pPr>
            <w:r>
              <w:rPr/>
              <w:t> </w:t>
            </w:r>
          </w:p>
        </w:tc>
        <w:tc>
          <w:tcPr>
            <w:tcW w:w="3859" w:type="dxa"/>
            <w:gridSpan w:val="2"/>
            <w:tcBorders/>
            <w:vAlign w:val="center"/>
          </w:tcPr>
          <w:p>
            <w:pPr>
              <w:pStyle w:val="TableContents"/>
              <w:bidi w:val="0"/>
              <w:spacing w:lineRule="auto" w:line="300" w:before="0" w:after="0"/>
              <w:jc w:val="left"/>
              <w:rPr>
                <w:b/>
              </w:rPr>
            </w:pPr>
            <w:r>
              <w:rPr>
                <w:b/>
              </w:rPr>
              <w:t>TOWER SEMICONDUCTOR LTD.</w:t>
            </w:r>
          </w:p>
        </w:tc>
        <w:tc>
          <w:tcPr>
            <w:tcW w:w="75" w:type="dxa"/>
            <w:tcBorders/>
            <w:vAlign w:val="center"/>
          </w:tcPr>
          <w:p>
            <w:pPr>
              <w:pStyle w:val="TableContents"/>
              <w:bidi w:val="0"/>
              <w:spacing w:lineRule="auto" w:line="300" w:before="0" w:after="0"/>
              <w:jc w:val="left"/>
              <w:rPr/>
            </w:pPr>
            <w:r>
              <w:rPr/>
              <w:t> </w:t>
            </w:r>
          </w:p>
        </w:tc>
      </w:tr>
      <w:tr>
        <w:trPr/>
        <w:tc>
          <w:tcPr>
            <w:tcW w:w="3380" w:type="dxa"/>
            <w:tcBorders/>
            <w:vAlign w:val="center"/>
          </w:tcPr>
          <w:p>
            <w:pPr>
              <w:pStyle w:val="TableContents"/>
              <w:bidi w:val="0"/>
              <w:spacing w:lineRule="auto" w:line="300" w:before="0" w:after="0"/>
              <w:jc w:val="left"/>
              <w:rPr/>
            </w:pPr>
            <w:r>
              <w:rPr/>
              <w:t> </w:t>
            </w:r>
          </w:p>
        </w:tc>
        <w:tc>
          <w:tcPr>
            <w:tcW w:w="497" w:type="dxa"/>
            <w:tcBorders/>
            <w:vAlign w:val="center"/>
          </w:tcPr>
          <w:p>
            <w:pPr>
              <w:pStyle w:val="TableContents"/>
              <w:bidi w:val="0"/>
              <w:spacing w:lineRule="auto" w:line="300" w:before="0" w:after="0"/>
              <w:jc w:val="left"/>
              <w:rPr/>
            </w:pPr>
            <w:r>
              <w:rPr/>
              <w:t> </w:t>
            </w:r>
          </w:p>
        </w:tc>
        <w:tc>
          <w:tcPr>
            <w:tcW w:w="3362" w:type="dxa"/>
            <w:tcBorders/>
            <w:vAlign w:val="center"/>
          </w:tcPr>
          <w:p>
            <w:pPr>
              <w:pStyle w:val="TableContents"/>
              <w:bidi w:val="0"/>
              <w:spacing w:lineRule="auto" w:line="300" w:before="0" w:after="0"/>
              <w:jc w:val="left"/>
              <w:rPr/>
            </w:pPr>
            <w:r>
              <w:rPr/>
              <w:t> </w:t>
            </w:r>
          </w:p>
        </w:tc>
        <w:tc>
          <w:tcPr>
            <w:tcW w:w="75" w:type="dxa"/>
            <w:tcBorders/>
            <w:vAlign w:val="center"/>
          </w:tcPr>
          <w:p>
            <w:pPr>
              <w:pStyle w:val="TableContents"/>
              <w:bidi w:val="0"/>
              <w:spacing w:lineRule="auto" w:line="300" w:before="0" w:after="0"/>
              <w:jc w:val="left"/>
              <w:rPr/>
            </w:pPr>
            <w:r>
              <w:rPr/>
              <w:t> </w:t>
            </w:r>
          </w:p>
        </w:tc>
      </w:tr>
      <w:tr>
        <w:trPr/>
        <w:tc>
          <w:tcPr>
            <w:tcW w:w="3380" w:type="dxa"/>
            <w:tcBorders/>
            <w:vAlign w:val="center"/>
          </w:tcPr>
          <w:p>
            <w:pPr>
              <w:pStyle w:val="TableContents"/>
              <w:bidi w:val="0"/>
              <w:spacing w:lineRule="auto" w:line="300" w:before="0" w:after="0"/>
              <w:jc w:val="left"/>
              <w:rPr/>
            </w:pPr>
            <w:r>
              <w:rPr/>
              <w:t xml:space="preserve">                 </w:t>
            </w:r>
            <w:r>
              <w:rPr/>
              <w:t>Date: December 9, 2025</w:t>
            </w:r>
          </w:p>
        </w:tc>
        <w:tc>
          <w:tcPr>
            <w:tcW w:w="497" w:type="dxa"/>
            <w:tcBorders/>
            <w:vAlign w:val="center"/>
          </w:tcPr>
          <w:p>
            <w:pPr>
              <w:pStyle w:val="TableContents"/>
              <w:bidi w:val="0"/>
              <w:spacing w:lineRule="auto" w:line="300" w:before="0" w:after="0"/>
              <w:jc w:val="left"/>
              <w:rPr/>
            </w:pPr>
            <w:r>
              <w:rPr/>
              <w:t>By:</w:t>
            </w:r>
          </w:p>
        </w:tc>
        <w:tc>
          <w:tcPr>
            <w:tcW w:w="3362" w:type="dxa"/>
            <w:tcBorders>
              <w:bottom w:val="single" w:sz="12" w:space="0" w:color="000000"/>
            </w:tcBorders>
            <w:tcMar>
              <w:bottom w:w="28" w:type="dxa"/>
            </w:tcMar>
            <w:vAlign w:val="center"/>
          </w:tcPr>
          <w:p>
            <w:pPr>
              <w:pStyle w:val="TableContents"/>
              <w:bidi w:val="0"/>
              <w:spacing w:lineRule="auto" w:line="300" w:before="0" w:after="0"/>
              <w:jc w:val="left"/>
              <w:rPr/>
            </w:pPr>
            <w:r>
              <w:rPr/>
              <w:t>/s/ Nati Somekh</w:t>
            </w:r>
          </w:p>
        </w:tc>
        <w:tc>
          <w:tcPr>
            <w:tcW w:w="75" w:type="dxa"/>
            <w:tcBorders/>
            <w:vAlign w:val="center"/>
          </w:tcPr>
          <w:p>
            <w:pPr>
              <w:pStyle w:val="TableContents"/>
              <w:bidi w:val="0"/>
              <w:spacing w:lineRule="auto" w:line="300" w:before="0" w:after="0"/>
              <w:jc w:val="left"/>
              <w:rPr/>
            </w:pPr>
            <w:r>
              <w:rPr/>
              <w:t> </w:t>
            </w:r>
          </w:p>
        </w:tc>
      </w:tr>
      <w:tr>
        <w:trPr/>
        <w:tc>
          <w:tcPr>
            <w:tcW w:w="3380" w:type="dxa"/>
            <w:tcBorders/>
            <w:vAlign w:val="center"/>
          </w:tcPr>
          <w:p>
            <w:pPr>
              <w:pStyle w:val="TableContents"/>
              <w:bidi w:val="0"/>
              <w:spacing w:lineRule="auto" w:line="300" w:before="0" w:after="0"/>
              <w:jc w:val="left"/>
              <w:rPr/>
            </w:pPr>
            <w:r>
              <w:rPr/>
              <w:t> </w:t>
            </w:r>
          </w:p>
        </w:tc>
        <w:tc>
          <w:tcPr>
            <w:tcW w:w="497" w:type="dxa"/>
            <w:tcBorders/>
            <w:vAlign w:val="center"/>
          </w:tcPr>
          <w:p>
            <w:pPr>
              <w:pStyle w:val="TableContents"/>
              <w:bidi w:val="0"/>
              <w:spacing w:lineRule="auto" w:line="300" w:before="0" w:after="0"/>
              <w:jc w:val="left"/>
              <w:rPr/>
            </w:pPr>
            <w:r>
              <w:rPr/>
              <w:t> </w:t>
            </w:r>
          </w:p>
        </w:tc>
        <w:tc>
          <w:tcPr>
            <w:tcW w:w="3362" w:type="dxa"/>
            <w:tcBorders/>
            <w:vAlign w:val="center"/>
          </w:tcPr>
          <w:p>
            <w:pPr>
              <w:pStyle w:val="TableContents"/>
              <w:bidi w:val="0"/>
              <w:spacing w:lineRule="auto" w:line="300" w:before="0" w:after="0"/>
              <w:jc w:val="left"/>
              <w:rPr/>
            </w:pPr>
            <w:r>
              <w:rPr/>
              <w:t>Name: Nati Somekh</w:t>
            </w:r>
          </w:p>
        </w:tc>
        <w:tc>
          <w:tcPr>
            <w:tcW w:w="75" w:type="dxa"/>
            <w:tcBorders/>
            <w:vAlign w:val="center"/>
          </w:tcPr>
          <w:p>
            <w:pPr>
              <w:pStyle w:val="TableContents"/>
              <w:bidi w:val="0"/>
              <w:spacing w:lineRule="auto" w:line="300" w:before="0" w:after="0"/>
              <w:jc w:val="left"/>
              <w:rPr/>
            </w:pPr>
            <w:r>
              <w:rPr/>
              <w:t> </w:t>
            </w:r>
          </w:p>
        </w:tc>
      </w:tr>
      <w:tr>
        <w:trPr/>
        <w:tc>
          <w:tcPr>
            <w:tcW w:w="3380" w:type="dxa"/>
            <w:tcBorders/>
            <w:vAlign w:val="center"/>
          </w:tcPr>
          <w:p>
            <w:pPr>
              <w:pStyle w:val="TableContents"/>
              <w:bidi w:val="0"/>
              <w:spacing w:lineRule="auto" w:line="300" w:before="0" w:after="0"/>
              <w:jc w:val="left"/>
              <w:rPr/>
            </w:pPr>
            <w:r>
              <w:rPr/>
              <w:t> </w:t>
            </w:r>
          </w:p>
        </w:tc>
        <w:tc>
          <w:tcPr>
            <w:tcW w:w="497" w:type="dxa"/>
            <w:tcBorders/>
            <w:vAlign w:val="center"/>
          </w:tcPr>
          <w:p>
            <w:pPr>
              <w:pStyle w:val="TableContents"/>
              <w:bidi w:val="0"/>
              <w:spacing w:lineRule="auto" w:line="300" w:before="0" w:after="0"/>
              <w:jc w:val="left"/>
              <w:rPr/>
            </w:pPr>
            <w:r>
              <w:rPr/>
              <w:t> </w:t>
            </w:r>
          </w:p>
        </w:tc>
        <w:tc>
          <w:tcPr>
            <w:tcW w:w="3362" w:type="dxa"/>
            <w:tcBorders/>
            <w:vAlign w:val="center"/>
          </w:tcPr>
          <w:p>
            <w:pPr>
              <w:pStyle w:val="TableContents"/>
              <w:bidi w:val="0"/>
              <w:spacing w:lineRule="auto" w:line="300" w:before="0" w:after="0"/>
              <w:jc w:val="left"/>
              <w:rPr/>
            </w:pPr>
            <w:r>
              <w:rPr/>
              <w:t>Title: Corporate Secretary</w:t>
            </w:r>
          </w:p>
        </w:tc>
        <w:tc>
          <w:tcPr>
            <w:tcW w:w="75" w:type="dxa"/>
            <w:tcBorders/>
            <w:vAlign w:val="center"/>
          </w:tcPr>
          <w:p>
            <w:pPr>
              <w:pStyle w:val="TableContents"/>
              <w:bidi w:val="0"/>
              <w:spacing w:lineRule="auto" w:line="300" w:before="0" w:after="0"/>
              <w:jc w:val="left"/>
              <w:rPr/>
            </w:pPr>
            <w:r>
              <w:rPr/>
              <w:t> </w:t>
            </w:r>
          </w:p>
        </w:tc>
      </w:tr>
    </w:tbl>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ind w:left="0" w:right="0" w:firstLine="720"/>
        <w:jc w:val="left"/>
        <w:rPr>
          <w:color w:val="000000"/>
        </w:rPr>
      </w:pPr>
      <w:r>
        <w:rPr>
          <w:color w:val="000000"/>
        </w:rPr>
        <w:drawing>
          <wp:inline distT="0" distB="0" distL="0" distR="0">
            <wp:extent cx="106680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66800" cy="619125"/>
                    </a:xfrm>
                    <a:prstGeom prst="rect">
                      <a:avLst/>
                    </a:prstGeom>
                  </pic:spPr>
                </pic:pic>
              </a:graphicData>
            </a:graphic>
          </wp:inline>
        </w:drawing>
      </w:r>
    </w:p>
    <w:p>
      <w:pPr>
        <w:pStyle w:val="TextBody"/>
        <w:bidi w:val="0"/>
        <w:spacing w:lineRule="auto" w:line="300" w:before="0" w:after="0"/>
        <w:jc w:val="left"/>
        <w:rPr>
          <w:color w:val="000000"/>
        </w:rPr>
      </w:pPr>
      <w:r>
        <w:rPr>
          <w:color w:val="000000"/>
        </w:rPr>
        <w:t xml:space="preserve">          </w:t>
      </w:r>
    </w:p>
    <w:p>
      <w:pPr>
        <w:pStyle w:val="TextBody"/>
        <w:bidi w:val="0"/>
        <w:spacing w:lineRule="auto" w:line="300"/>
        <w:jc w:val="center"/>
        <w:rPr>
          <w:rFonts w:ascii="Times New Roman;Times;serif" w:hAnsi="Times New Roman;Times;serif"/>
          <w:b/>
          <w:color w:val="000000"/>
          <w:sz w:val="24"/>
        </w:rPr>
      </w:pPr>
      <w:r>
        <w:rPr>
          <w:rFonts w:ascii="Times New Roman;Times;serif" w:hAnsi="Times New Roman;Times;serif"/>
          <w:b/>
          <w:color w:val="000000"/>
          <w:sz w:val="24"/>
        </w:rPr>
        <w:t>Tower Semiconductor to Attend the Nomura’s CES Technology Conference</w:t>
      </w:r>
    </w:p>
    <w:p>
      <w:pPr>
        <w:pStyle w:val="TextBody"/>
        <w:bidi w:val="0"/>
        <w:spacing w:lineRule="auto" w:line="240" w:before="0" w:after="0"/>
        <w:jc w:val="both"/>
        <w:rPr>
          <w:rFonts w:ascii="Times New Roman;Times;serif" w:hAnsi="Times New Roman;Times;serif"/>
          <w:color w:val="000000"/>
          <w:sz w:val="20"/>
        </w:rPr>
      </w:pPr>
      <w:r>
        <w:rPr>
          <w:rFonts w:ascii="Times New Roman;Times;serif" w:hAnsi="Times New Roman;Times;serif"/>
          <w:b/>
          <w:color w:val="000000"/>
          <w:sz w:val="20"/>
        </w:rPr>
        <w:t>MIGDAL HAEMEK, Israel, December 09, 2025</w:t>
      </w:r>
      <w:r>
        <w:rPr>
          <w:rFonts w:ascii="Times New Roman;Times;serif" w:hAnsi="Times New Roman;Times;serif"/>
          <w:color w:val="000000"/>
          <w:sz w:val="20"/>
        </w:rPr>
        <w:t> – Tower Semiconductor (NASDAQ/TASE: TSEM), the leading foundry of high value analog semiconductor solutions, today announced that its company representatives will participate in the Nomura’s CES Technology Conference on Monday, January 5th and Tuesday, January 6th.</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conference will take place at the Bellagio Hotel in Las Vegas. There will be an opportunity for investors to meet one-on-one with company representatives. Interested investors should contact the conference organizers or email the investor relations team at </w:t>
      </w:r>
      <w:r>
        <w:rPr>
          <w:rFonts w:ascii="Times New Roman;Times;serif" w:hAnsi="Times New Roman;Times;serif"/>
          <w:color w:val="000000"/>
          <w:sz w:val="20"/>
          <w:u w:val="single"/>
        </w:rPr>
        <w:t>towersemi@kcsa.com</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About Tower Semiconductor</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one operating facility in Israel (200mm), two in the U.S. (200mm), two in Japan (200mm and 300mm) which it owns through its 51% holdings in TPSCo, shares a 300mm facility in Agrate, Italy with STMicroelectronics as well as has access to a 300mm capacity corridor in Intel’s New Mexico factory. For more information, please visit: </w:t>
      </w:r>
      <w:r>
        <w:rPr>
          <w:rFonts w:ascii="Times New Roman;Times;serif" w:hAnsi="Times New Roman;Times;serif"/>
          <w:color w:val="000000"/>
          <w:sz w:val="20"/>
          <w:u w:val="single"/>
        </w:rPr>
        <w:t>www.towersemi.com</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Contact Information:</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Liat Avraham</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Investor Relations</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u w:val="single"/>
        </w:rPr>
        <w:t>liatavra@towersemi.com</w:t>
      </w:r>
      <w:r>
        <w:rPr>
          <w:rFonts w:ascii="Times New Roman;Times;serif" w:hAnsi="Times New Roman;Times;serif"/>
          <w:color w:val="000000"/>
          <w:sz w:val="20"/>
        </w:rPr>
        <w:t xml:space="preserve"> | +972 4 650 6154</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David Hanover</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KCSA Strategic Communications</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u w:val="single"/>
        </w:rPr>
        <w:t>towersemi@kcsa.com</w:t>
      </w:r>
      <w:r>
        <w:rPr>
          <w:rFonts w:ascii="Times New Roman;Times;serif" w:hAnsi="Times New Roman;Times;serif"/>
          <w:color w:val="000000"/>
          <w:sz w:val="20"/>
        </w:rPr>
        <w:t xml:space="preserve"> | 212-682-6300</w:t>
      </w:r>
    </w:p>
    <w:p>
      <w:pPr>
        <w:pStyle w:val="TextBody"/>
        <w:bidi w:val="0"/>
        <w:spacing w:lineRule="auto" w:line="300" w:before="0" w:after="0"/>
        <w:jc w:val="left"/>
        <w:rPr/>
      </w:pPr>
      <w:r>
        <w:rPr/>
      </w:r>
    </w:p>
    <w:p>
      <w:pPr>
        <w:pStyle w:val="HorizontalLine"/>
        <w:bidi w:val="0"/>
        <w:spacing w:lineRule="auto" w:line="300"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471</Words>
  <Characters>2824</Characters>
  <CharactersWithSpaces>3331</CharactersWithSpaces>
  <Paragraphs>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