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REPORT OF FOREIGN PRIVATE ISSUER PURSUANT TO RULE 13a-16 OR 15d-16 UNDER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 the month of November 2021 No.2</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Commission File Number 000-24790</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59" w:lineRule="exact"/>
        <w:rPr>
          <w:sz w:val="24"/>
          <w:szCs w:val="24"/>
          <w:color w:val="auto"/>
        </w:rPr>
      </w:pPr>
    </w:p>
    <w:p>
      <w:pPr>
        <w:jc w:val="center"/>
        <w:ind w:right="-19"/>
        <w:spacing w:after="0" w:line="253" w:lineRule="exact"/>
        <w:tabs>
          <w:tab w:leader="none" w:pos="4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____</w:t>
      </w:r>
    </w:p>
    <w:p>
      <w:pPr>
        <w:spacing w:after="0" w:line="32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0" w:right="359" w:bottom="1440" w:gutter="0" w:footer="0" w:header="0"/>
        </w:sectPr>
      </w:pPr>
    </w:p>
    <w:bookmarkStart w:id="1" w:name="page2"/>
    <w:bookmarkEnd w:id="1"/>
    <w:p>
      <w:pPr>
        <w:ind w:firstLine="639"/>
        <w:spacing w:after="0" w:line="276" w:lineRule="auto"/>
        <w:rPr>
          <w:sz w:val="20"/>
          <w:szCs w:val="20"/>
          <w:color w:val="auto"/>
        </w:rPr>
      </w:pPr>
      <w:r>
        <w:rPr>
          <w:rFonts w:ascii="Arial" w:cs="Arial" w:eastAsia="Arial" w:hAnsi="Arial"/>
          <w:sz w:val="22"/>
          <w:szCs w:val="22"/>
          <w:color w:val="auto"/>
        </w:rPr>
        <w:t>On November 8, 2021, the Registrant issued a press release announcing its financial results for the nine months and the three months ended September 30, 2021. The press release is attached hereto as Exhibit 99.1.</w:t>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99.1Press release dated November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660"/>
          </w:cols>
          <w:pgMar w:left="320" w:top="126"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Reports Record Revenues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Strong Margins Growth</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2021 with 25% total and 40% organic year over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year revenue growth</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Further Expansion Guided for Fourth Quarter Indicating over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$1.6 Billion Annual Revenue Run Rate</w:t>
      </w:r>
    </w:p>
    <w:p>
      <w:pPr>
        <w:spacing w:after="0" w:line="277" w:lineRule="exact"/>
        <w:rPr>
          <w:sz w:val="20"/>
          <w:szCs w:val="20"/>
          <w:color w:val="auto"/>
        </w:rPr>
      </w:pPr>
    </w:p>
    <w:p>
      <w:pPr>
        <w:spacing w:after="0" w:line="282" w:lineRule="auto"/>
        <w:rPr>
          <w:sz w:val="20"/>
          <w:szCs w:val="20"/>
          <w:color w:val="auto"/>
        </w:rPr>
      </w:pPr>
      <w:r>
        <w:rPr>
          <w:rFonts w:ascii="Arial" w:cs="Arial" w:eastAsia="Arial" w:hAnsi="Arial"/>
          <w:sz w:val="22"/>
          <w:szCs w:val="22"/>
          <w:b w:val="1"/>
          <w:bCs w:val="1"/>
          <w:color w:val="auto"/>
        </w:rPr>
        <w:t xml:space="preserve">MIGDAL HAEMEK, ISRAEL – November 8, 2021 – </w:t>
      </w:r>
      <w:r>
        <w:rPr>
          <w:rFonts w:ascii="Arial" w:cs="Arial" w:eastAsia="Arial" w:hAnsi="Arial"/>
          <w:sz w:val="22"/>
          <w:szCs w:val="22"/>
          <w:color w:val="auto"/>
        </w:rPr>
        <w:t>Tower Semiconductor (NASDAQ: TSEM &amp; TASE: TSEM) reports</w:t>
      </w:r>
      <w:r>
        <w:rPr>
          <w:rFonts w:ascii="Arial" w:cs="Arial" w:eastAsia="Arial" w:hAnsi="Arial"/>
          <w:sz w:val="22"/>
          <w:szCs w:val="22"/>
          <w:b w:val="1"/>
          <w:bCs w:val="1"/>
          <w:color w:val="auto"/>
        </w:rPr>
        <w:t xml:space="preserve"> </w:t>
      </w:r>
      <w:r>
        <w:rPr>
          <w:rFonts w:ascii="Arial" w:cs="Arial" w:eastAsia="Arial" w:hAnsi="Arial"/>
          <w:sz w:val="22"/>
          <w:szCs w:val="22"/>
          <w:color w:val="auto"/>
        </w:rPr>
        <w:t>today its results for the third quarter ended September 30, 2021.</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87" w:lineRule="exact"/>
        <w:rPr>
          <w:sz w:val="20"/>
          <w:szCs w:val="20"/>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quarter revenue of $387 million, reflecting another quarter of record revenue for the company, with year over year 40% organic growth and 25% total growth.</w:t>
      </w:r>
    </w:p>
    <w:p>
      <w:pPr>
        <w:spacing w:after="0" w:line="22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year over year (YoY) and quarter over quarter (QoQ) dollar increases in gross profit (60% YoY, 16% QoQ), operating profit (131% YoY, 30% QoQ), and net profit (157% YoY, 27% QoQ).</w:t>
      </w:r>
    </w:p>
    <w:p>
      <w:pPr>
        <w:spacing w:after="0" w:line="224"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cash from operations of $107 million for the third quarter, demonstrating significant year over year growth of 56% and 15% quarter over quarter, with record shareholders’ equity as of September 30, 2021.</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profit of $39 million for the third quarter, resulting in $0.36 basic and diluted earnings per share and adjusted net profit of $45 million, resulting in adjusted basic and diluted earnings per share of $0.42 and $0.41, respectively.</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Guides mid-range revenue for 2021 fourth quarter of $410 million, demonstrating fourth quarter year over year 19% total growth and 26% organic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4" w:name="page5"/>
    <w:bookmarkEnd w:id="4"/>
    <w:p>
      <w:pPr>
        <w:jc w:val="both"/>
        <w:spacing w:after="0" w:line="262" w:lineRule="auto"/>
        <w:rPr>
          <w:sz w:val="20"/>
          <w:szCs w:val="20"/>
          <w:color w:val="auto"/>
        </w:rPr>
      </w:pPr>
      <w:r>
        <w:rPr>
          <w:rFonts w:ascii="Arial" w:cs="Arial" w:eastAsia="Arial" w:hAnsi="Arial"/>
          <w:sz w:val="22"/>
          <w:szCs w:val="22"/>
          <w:b w:val="1"/>
          <w:bCs w:val="1"/>
          <w:color w:val="auto"/>
        </w:rPr>
        <w:t>Mr. Russell Ellwanger, Chief Executive Officer of Tower Semiconductor</w:t>
      </w:r>
      <w:r>
        <w:rPr>
          <w:rFonts w:ascii="Arial" w:cs="Arial" w:eastAsia="Arial" w:hAnsi="Arial"/>
          <w:sz w:val="22"/>
          <w:szCs w:val="22"/>
          <w:color w:val="auto"/>
        </w:rPr>
        <w:t>,</w:t>
      </w:r>
      <w:r>
        <w:rPr>
          <w:rFonts w:ascii="Arial" w:cs="Arial" w:eastAsia="Arial" w:hAnsi="Arial"/>
          <w:sz w:val="22"/>
          <w:szCs w:val="22"/>
          <w:b w:val="1"/>
          <w:bCs w:val="1"/>
          <w:color w:val="auto"/>
        </w:rPr>
        <w:t xml:space="preserve"> stated</w:t>
      </w:r>
      <w:r>
        <w:rPr>
          <w:rFonts w:ascii="Arial" w:cs="Arial" w:eastAsia="Arial" w:hAnsi="Arial"/>
          <w:sz w:val="22"/>
          <w:szCs w:val="22"/>
          <w:color w:val="auto"/>
        </w:rPr>
        <w:t>: “We are pleased that our strong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planning, followed by our operational execution on capacity expansion initiatives enable us to benefit from current market conditions and to have multiple corridors for revenue and margins increases for the next years. We have strong assurance of growth continuity due to the specific high value markets we chose to participate in, where we have strong customer relationships and mutual market positioning.”</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Ellwanger further commented: “We guided to end 2021 breaking $1.5 billion revenue with a fourth quarter annualized run rate greater than $1.6 billion, as compared to a $1.27 billion 2020 revenue. Our initiatives on capacity growth with a richer capability mix, combined with certain pricing initiatives, target more than 15% net profit margins in 2022. Our long-term forecast is very positive, indicating continuous growth for the foreseeable years.”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of 2021 Results Overview</w:t>
      </w:r>
    </w:p>
    <w:p>
      <w:pPr>
        <w:spacing w:after="0" w:line="28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for the third quarter of 2021 was $387 million, the highest quarterly revenue in the Company’s history, as compared to</w:t>
      </w:r>
      <w:r>
        <w:rPr>
          <w:rFonts w:ascii="Arial" w:cs="Arial" w:eastAsia="Arial" w:hAnsi="Arial"/>
          <w:sz w:val="22"/>
          <w:szCs w:val="22"/>
          <w:b w:val="1"/>
          <w:bCs w:val="1"/>
          <w:color w:val="auto"/>
        </w:rPr>
        <w:t xml:space="preserve"> </w:t>
      </w:r>
      <w:r>
        <w:rPr>
          <w:rFonts w:ascii="Arial" w:cs="Arial" w:eastAsia="Arial" w:hAnsi="Arial"/>
          <w:sz w:val="22"/>
          <w:szCs w:val="22"/>
          <w:color w:val="auto"/>
        </w:rPr>
        <w:t>$310 million in the third quarter of 2020, reflecting 25% year over year growth. Organic revenue for the third quarter of 2021, defined as total revenue excluding revenues from Nuvoton in the Japanese fabs and from Maxim in the San Antonio fab, grew by 40% year over year.</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Gross profit </w:t>
      </w:r>
      <w:r>
        <w:rPr>
          <w:rFonts w:ascii="Arial" w:cs="Arial" w:eastAsia="Arial" w:hAnsi="Arial"/>
          <w:sz w:val="22"/>
          <w:szCs w:val="22"/>
          <w:color w:val="auto"/>
        </w:rPr>
        <w:t>for the third quarter of 2021 was $85 million, 60% higher than $53 million recorded in the third quarter of 2020 and</w:t>
      </w:r>
      <w:r>
        <w:rPr>
          <w:rFonts w:ascii="Arial" w:cs="Arial" w:eastAsia="Arial" w:hAnsi="Arial"/>
          <w:sz w:val="22"/>
          <w:szCs w:val="22"/>
          <w:b w:val="1"/>
          <w:bCs w:val="1"/>
          <w:color w:val="auto"/>
        </w:rPr>
        <w:t xml:space="preserve"> </w:t>
      </w:r>
      <w:r>
        <w:rPr>
          <w:rFonts w:ascii="Arial" w:cs="Arial" w:eastAsia="Arial" w:hAnsi="Arial"/>
          <w:sz w:val="22"/>
          <w:szCs w:val="22"/>
          <w:color w:val="auto"/>
        </w:rPr>
        <w:t>16% higher than $74 million recorded in the second quarter of 2021.</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Operating profit </w:t>
      </w:r>
      <w:r>
        <w:rPr>
          <w:rFonts w:ascii="Arial" w:cs="Arial" w:eastAsia="Arial" w:hAnsi="Arial"/>
          <w:sz w:val="22"/>
          <w:szCs w:val="22"/>
          <w:color w:val="auto"/>
        </w:rPr>
        <w:t>for the third quarter of 2021 was $44 million, more than double the $19 million recorded in the third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2020 and 30% higher than $34 million recorded in the second quarter of 2021.</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Net profit </w:t>
      </w:r>
      <w:r>
        <w:rPr>
          <w:rFonts w:ascii="Arial" w:cs="Arial" w:eastAsia="Arial" w:hAnsi="Arial"/>
          <w:sz w:val="22"/>
          <w:szCs w:val="22"/>
          <w:color w:val="auto"/>
        </w:rPr>
        <w:t>for the third quarter of 2021 was $39 million, or $0.36 basic and diluted earnings per share, more than double the net</w:t>
      </w:r>
      <w:r>
        <w:rPr>
          <w:rFonts w:ascii="Arial" w:cs="Arial" w:eastAsia="Arial" w:hAnsi="Arial"/>
          <w:sz w:val="22"/>
          <w:szCs w:val="22"/>
          <w:b w:val="1"/>
          <w:bCs w:val="1"/>
          <w:color w:val="auto"/>
        </w:rPr>
        <w:t xml:space="preserve"> </w:t>
      </w:r>
      <w:r>
        <w:rPr>
          <w:rFonts w:ascii="Arial" w:cs="Arial" w:eastAsia="Arial" w:hAnsi="Arial"/>
          <w:sz w:val="22"/>
          <w:szCs w:val="22"/>
          <w:color w:val="auto"/>
        </w:rPr>
        <w:t>profit of $15 million or $0.14 basic and diluted earnings per share recorded in the third quarter of 2020. This net profit of $39 million is 27% higher than $31 million recorded in the second quarter of 2021, which represented $0.29 basic earnings per share and $0.28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22"/>
          <w:szCs w:val="22"/>
          <w:b w:val="1"/>
          <w:bCs w:val="1"/>
          <w:color w:val="auto"/>
        </w:rPr>
        <w:t xml:space="preserve">Adjusted Net profit </w:t>
      </w:r>
      <w:r>
        <w:rPr>
          <w:rFonts w:ascii="Arial" w:cs="Arial" w:eastAsia="Arial" w:hAnsi="Arial"/>
          <w:sz w:val="22"/>
          <w:szCs w:val="22"/>
          <w:color w:val="auto"/>
        </w:rPr>
        <w:t>for the third quarter of 2021 was $45 million (as reconciled in the tables below), resulting in adjusted basic</w:t>
      </w:r>
      <w:r>
        <w:rPr>
          <w:rFonts w:ascii="Arial" w:cs="Arial" w:eastAsia="Arial" w:hAnsi="Arial"/>
          <w:sz w:val="22"/>
          <w:szCs w:val="22"/>
          <w:b w:val="1"/>
          <w:bCs w:val="1"/>
          <w:color w:val="auto"/>
        </w:rPr>
        <w:t xml:space="preserve"> </w:t>
      </w:r>
      <w:r>
        <w:rPr>
          <w:rFonts w:ascii="Arial" w:cs="Arial" w:eastAsia="Arial" w:hAnsi="Arial"/>
          <w:sz w:val="22"/>
          <w:szCs w:val="22"/>
          <w:color w:val="auto"/>
        </w:rPr>
        <w:t>and diluted earnings per share of $0.42 and $0.41, respectively, as compared to adjusted basic and diluted earnings per share of $0.18 and $0.18, respectively for the third quarter of 2020, and as compared to adjusted basic and diluted earnings per share of $0.35 and $0.34, respectively for the second quarter of 2021.</w:t>
      </w:r>
    </w:p>
    <w:p>
      <w:pPr>
        <w:spacing w:after="0" w:line="237" w:lineRule="exact"/>
        <w:rPr>
          <w:sz w:val="20"/>
          <w:szCs w:val="20"/>
          <w:color w:val="auto"/>
        </w:rPr>
      </w:pPr>
    </w:p>
    <w:p>
      <w:pPr>
        <w:jc w:val="both"/>
        <w:ind w:right="20"/>
        <w:spacing w:after="0" w:line="282" w:lineRule="auto"/>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generated from operating activities in the third quarter of 2021 was $107 million with investment in fixed assets of</w:t>
      </w:r>
      <w:r>
        <w:rPr>
          <w:rFonts w:ascii="Arial" w:cs="Arial" w:eastAsia="Arial" w:hAnsi="Arial"/>
          <w:sz w:val="22"/>
          <w:szCs w:val="22"/>
          <w:b w:val="1"/>
          <w:bCs w:val="1"/>
          <w:color w:val="auto"/>
        </w:rPr>
        <w:t xml:space="preserve"> </w:t>
      </w:r>
      <w:r>
        <w:rPr>
          <w:rFonts w:ascii="Arial" w:cs="Arial" w:eastAsia="Arial" w:hAnsi="Arial"/>
          <w:sz w:val="22"/>
          <w:szCs w:val="22"/>
          <w:color w:val="auto"/>
        </w:rPr>
        <w:t>$88 million, net. In addition, in the third quarter of 2021, the company repaid $29 million of its debt.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7" w:lineRule="exact"/>
        <w:rPr>
          <w:sz w:val="20"/>
          <w:szCs w:val="20"/>
          <w:color w:val="auto"/>
        </w:rPr>
      </w:pPr>
    </w:p>
    <w:p>
      <w:pPr>
        <w:jc w:val="both"/>
        <w:spacing w:after="0" w:line="353" w:lineRule="auto"/>
        <w:rPr>
          <w:sz w:val="20"/>
          <w:szCs w:val="20"/>
          <w:color w:val="auto"/>
        </w:rPr>
      </w:pPr>
      <w:r>
        <w:rPr>
          <w:rFonts w:ascii="Arial" w:cs="Arial" w:eastAsia="Arial" w:hAnsi="Arial"/>
          <w:sz w:val="19"/>
          <w:szCs w:val="19"/>
          <w:color w:val="auto"/>
        </w:rPr>
        <w:t>Tower Semiconductor guides revenue for the fourth quarter of 2021 to be $410 million, with an upward or downward range of 5%. Mid-range revenue guidance represents fourth quarter year over year 19% total growth and 26% organic growth.</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Teleconference and Webcast</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Tower Semiconductor will host an investor conference call today, Monday, November 8, 2021, at 10:00 a.m. Eastern time (9:00 a.m. Central time, 8:00 a.m. Mountain time, 7:00 a.m. Pacific time and 5:00 p.m. Israel time) to discuss the company’s financial results for the third quarter of 2021 and its outlook.</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This call will be webcast and can be accessed via Tower Semiconductor’s website at </w:t>
      </w:r>
      <w:r>
        <w:rPr>
          <w:rFonts w:ascii="Arial" w:cs="Arial" w:eastAsia="Arial" w:hAnsi="Arial"/>
          <w:sz w:val="22"/>
          <w:szCs w:val="22"/>
          <w:u w:val="single" w:color="auto"/>
          <w:color w:val="auto"/>
        </w:rPr>
        <w:t>www.towersemi.com</w:t>
      </w:r>
      <w:r>
        <w:rPr>
          <w:rFonts w:ascii="Arial" w:cs="Arial" w:eastAsia="Arial" w:hAnsi="Arial"/>
          <w:sz w:val="22"/>
          <w:szCs w:val="22"/>
          <w:color w:val="auto"/>
        </w:rPr>
        <w:t xml:space="preserve"> or by calling 1-888-642-5032 (U.S. Toll-Free), 03-918-0610 (Israel), +972-3-918-0610 (International). For those who are not available to listen to the live broadcast, the call will be archived on Tower Semiconductor’s website for 90 days.</w:t>
      </w:r>
    </w:p>
    <w:p>
      <w:pPr>
        <w:spacing w:after="0" w:line="23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i w:val="1"/>
          <w:iCs w:val="1"/>
          <w:color w:val="auto"/>
        </w:rPr>
        <w:t>The Company presents its financial statements in accordance with U.S. GAAP. The financial information included in the tables below includes unaudited condensed financial data. Some of the financial information in this release and/ or in related public disclosures or filings with respect to the financial statements and/ or results of the Company, which we describe in this release as “adjusted” financial measures, are non-GAAP financial measures as defined in Regulation G and related reporting requirements promulgated by the Securities and Exchange Commission as they apply to our Company. These adjusted financial measures are calculated excluding one or both of the following: (1) amortization of acquired intangible assets and (2) 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in related public disclosures or filings with respect to the financial statements and/ or results of the Company, as well as calculated in the tables herein, the term Earnings Before Interest Tax Depreciation and Amortization (EBITDA) consists of net profit in accordance with GAAP, excluding financing and other income (expense),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used and/ or presented in this release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in related public disclosures or filings with respect to the financial statements and/ or results of the Company, is calculated to be net cash provided by operating activities (in the amounts of $107 million, $93 million and $69 million for the three months periods ended September 30, 2021, June 30, 2021 and September 30, 2020, respectively) less cash used for investments in property and equipment, net (in the amounts of $88 million, $56 million and $67 million for the three months periods ended September 30, 2021, June 30, 2021 and September 30, 2020,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three facilities in Japan (two 200mm and one 300mm) which it owns through its 51% holdings in TPSCo and is sharing a 300mm manufacturing facility being established in Italy by STMicroelectronics.</w:t>
      </w:r>
      <w:r>
        <w:rPr>
          <w:sz w:val="1"/>
          <w:szCs w:val="1"/>
          <w:color w:val="auto"/>
        </w:rPr>
        <w:drawing>
          <wp:inline distT="0" distB="0" distL="0" distR="0">
            <wp:extent cx="43180" cy="146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180" cy="146050"/>
                    </a:xfrm>
                    <a:prstGeom prst="rect">
                      <a:avLst/>
                    </a:prstGeom>
                    <a:noFill/>
                    <a:ln>
                      <a:noFill/>
                    </a:ln>
                  </pic:spPr>
                </pic:pic>
              </a:graphicData>
            </a:graphic>
          </wp:inline>
        </w:drawing>
      </w:r>
      <w:r>
        <w:rPr>
          <w:rFonts w:ascii="Arial" w:cs="Arial" w:eastAsia="Arial" w:hAnsi="Arial"/>
          <w:sz w:val="21"/>
          <w:szCs w:val="21"/>
          <w:color w:val="auto"/>
        </w:rPr>
        <w:t xml:space="preserve">For more information, please visit: </w:t>
      </w:r>
      <w:r>
        <w:rPr>
          <w:rFonts w:ascii="Arial" w:cs="Arial" w:eastAsia="Arial" w:hAnsi="Arial"/>
          <w:sz w:val="21"/>
          <w:szCs w:val="21"/>
          <w:u w:val="single" w:color="auto"/>
          <w:color w:val="auto"/>
        </w:rPr>
        <w:t>www.towersemi.com</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Noit Levy | Investor Relations | +972 74 737 7556 |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This press release, including our revenue guidance and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w:t>
      </w:r>
    </w:p>
    <w:p>
      <w:pPr>
        <w:spacing w:after="0" w:line="1" w:lineRule="exact"/>
        <w:rPr>
          <w:sz w:val="20"/>
          <w:szCs w:val="20"/>
          <w:color w:val="auto"/>
        </w:rPr>
      </w:pPr>
    </w:p>
    <w:p>
      <w:pPr>
        <w:jc w:val="both"/>
        <w:ind w:firstLine="8"/>
        <w:spacing w:after="0" w:line="298" w:lineRule="auto"/>
        <w:tabs>
          <w:tab w:leader="none" w:pos="505"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cash flow, (ix) our ability to satisfy the covenants stipulated in our agreements with our lender banks and bondholders (as of September 30, 2021 we are in compliance with all such covenants included in our banks’ agreements, bond G indenture and others), (x) pending litigation, (xi) new customer engagements, qualification and production ramp-up at our facilities,(xii)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other fundraising activities to enable the service of our debt and/or other liabilities and/or for strategic opportunities, including to fund Agrate fab’s significant 300mm capacity investments, in addition to other previously announced capacity expansion plans , and the possible unavailability of such financing and/ or the availability of such financing on unfavorable terms,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w:t>
      </w:r>
    </w:p>
    <w:p>
      <w:pPr>
        <w:sectPr>
          <w:pgSz w:w="11900" w:h="16838" w:orient="portrait"/>
          <w:cols w:equalWidth="0" w:num="1">
            <w:col w:w="11240"/>
          </w:cols>
          <w:pgMar w:left="320" w:top="666" w:right="339" w:bottom="0" w:gutter="0" w:footer="0" w:header="0"/>
        </w:sectPr>
      </w:pPr>
    </w:p>
    <w:bookmarkStart w:id="7" w:name="page8"/>
    <w:bookmarkEnd w:id="7"/>
    <w:p>
      <w:pPr>
        <w:jc w:val="both"/>
        <w:spacing w:after="0" w:line="304" w:lineRule="auto"/>
        <w:rPr>
          <w:sz w:val="20"/>
          <w:szCs w:val="20"/>
          <w:color w:val="auto"/>
        </w:rPr>
      </w:pPr>
      <w:r>
        <w:rPr>
          <w:rFonts w:ascii="Arial" w:cs="Arial" w:eastAsia="Arial" w:hAnsi="Arial"/>
          <w:sz w:val="19"/>
          <w:szCs w:val="19"/>
          <w:color w:val="auto"/>
        </w:rPr>
        <w:t>potential engagement for fab establishment, joint venture and/or capital lease transactions for capacity enhancement in advanced technologies, including risks and uncertainties associated with Agrate fab establishment project, its qualification schedule, technology, equipment and process qualification and production facility ramp-up, customer engagements, cost structure and investment amounts and other terms, , which may require additional funding to cover its significant capacity investment needs and other payments, the availability of which funding cannot be assured on favorable terms, if at all; (xxxvi) potential impact on TPSCo and the Company due to the purchase of 49% of TPSCo by NTCJ (previously named PSCS) from Panasonic, (xxxvii) industry and market impact due to the coronavirus and its potential impact on our business, operational continuity, supply chain, revenue and profitability; (xxxviii) potential security, cyber and privacy breaches, and (xxxix) business interruption due to fire and other natural disasters, the security situation in Israel and other events beyond our control such as power interruptions.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311" w:lineRule="auto"/>
        <w:rPr>
          <w:sz w:val="20"/>
          <w:szCs w:val="20"/>
          <w:color w:val="auto"/>
        </w:rPr>
      </w:pPr>
      <w:r>
        <w:rPr>
          <w:rFonts w:ascii="Arial" w:cs="Arial" w:eastAsia="Arial" w:hAnsi="Arial"/>
          <w:sz w:val="19"/>
          <w:szCs w:val="19"/>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  #  #</w:t>
      </w: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22"/>
          <w:szCs w:val="22"/>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211,503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215,755</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211,683</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Short-term deposits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315,964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323,713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310,230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Marketable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190,523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189,489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188,967</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144,878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144,868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162,100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220,668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209,306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199,126</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 current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39,929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30,810</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1,127,189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1,123,060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1,102,916</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LONG-TERM INVESTMENTS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39,157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41,453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40,699</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879,323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859,589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839,171</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GOODWILL AND INTANGIBLE ASSETS,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17,581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16,978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17,962</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DEFERRED TAX AND OTHER LONG-TERM ASSETS,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91,786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91,312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93,401</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2,155,036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2,132,392</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2,094,149</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Short-term debt</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105,414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104,062</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106,513</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92,989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100,426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96,940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Deferred revenue and customers' advances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31,866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19,608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10,027</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69,796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78,411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59,432</w:t>
            </w:r>
          </w:p>
        </w:tc>
      </w:tr>
      <w:tr>
        <w:trPr>
          <w:trHeight w:val="216"/>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300,065</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302,507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272,912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212,271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234,500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283,765</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CUSTOMERS' ADVANCES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39,074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32,047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25,451</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EMPLOYEE RELATED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15,959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15,958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15,833</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DEFERRED TAX AND OTHER LONG-TERM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28,211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29,771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41,286</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595,580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614,783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639,247</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1,559,456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1,517,609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1,454,902</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2,155,036</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2,132,392</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2,094,149</w:t>
            </w:r>
          </w:p>
        </w:tc>
      </w:tr>
      <w:tr>
        <w:trPr>
          <w:trHeight w:val="419"/>
        </w:trPr>
        <w:tc>
          <w:tcPr>
            <w:tcW w:w="73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7320" w:type="dxa"/>
            <w:vAlign w:val="bottom"/>
          </w:tcPr>
          <w:p>
            <w:pPr>
              <w:spacing w:after="0"/>
              <w:rPr>
                <w:sz w:val="19"/>
                <w:szCs w:val="19"/>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386,706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362,138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310,212</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301,330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288,383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256,751</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85,376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73,755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53,461</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19,569</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19,620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18,671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14,803</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41,211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39,752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34,372</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44,165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34,003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19,089</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FINANCING AND OTHER EXPENSE,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(2,714)</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(565)</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41,451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33,519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18,524</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TAX EXPENSE,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(1,084)</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(2,202)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(2,798)</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40,367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31,317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15,726</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(1,282)</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(528)</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39,085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30,866</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15,198</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0.36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0.29</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0.14</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108,354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108,043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107,475</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0.36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0.28</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0.14</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109,825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109,629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108,500</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GAAP NET PROFIT</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39,085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30,866</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15,198</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3,460</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490</w:t>
            </w:r>
          </w:p>
        </w:tc>
      </w:tr>
      <w:tr>
        <w:trPr>
          <w:trHeight w:val="256"/>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PROFIT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45,041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37,329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EARNINGS PER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0.35</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0.18</w:t>
            </w:r>
          </w:p>
        </w:tc>
      </w:tr>
      <w:tr>
        <w:trPr>
          <w:trHeight w:val="210"/>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0.41</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0.34</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0.18</w:t>
            </w:r>
          </w:p>
        </w:tc>
      </w:tr>
      <w:tr>
        <w:trPr>
          <w:trHeight w:val="419"/>
        </w:trPr>
        <w:tc>
          <w:tcPr>
            <w:tcW w:w="73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7"/>
              </w:rPr>
              <w:t>N i n e   m o n t h s   e n d e d</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1,096,058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920,473</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867,113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756,764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228,945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163,709</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58,407</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55,282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47,648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118,297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106,055</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110,648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57,654</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FINANCING AND OTHER EXPENSE,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(11,040)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(847)</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99,608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56,807</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(3,576)</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102,198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53,231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(3,925)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(1,961)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98,273</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51,270</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0.48</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108,114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107,083</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0.47</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109,640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108,311</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GAAP NET PROFIT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98,273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51,270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11,798</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1,293</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PROFIT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116,089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64,361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EARNINGS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0.59</w:t>
            </w:r>
          </w:p>
        </w:tc>
      </w:tr>
      <w:tr>
        <w:trPr>
          <w:trHeight w:val="419"/>
        </w:trPr>
        <w:tc>
          <w:tcPr>
            <w:tcW w:w="86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1" w:name="page12"/>
    <w:bookmarkEnd w:id="11"/>
    <w:p>
      <w:pPr>
        <w:jc w:val="center"/>
        <w:ind w:left="340" w:right="2160"/>
        <w:spacing w:after="0" w:line="275" w:lineRule="auto"/>
        <w:rPr>
          <w:sz w:val="20"/>
          <w:szCs w:val="20"/>
          <w:color w:val="auto"/>
        </w:rPr>
      </w:pPr>
      <w:r>
        <w:rPr>
          <w:rFonts w:ascii="Arial" w:cs="Arial" w:eastAsia="Arial" w:hAnsi="Arial"/>
          <w:sz w:val="18"/>
          <w:szCs w:val="18"/>
          <w:b w:val="1"/>
          <w:bCs w:val="1"/>
          <w:color w:val="auto"/>
        </w:rPr>
        <w:t>TOWER SEMICONDUCTOR LTD. AND SUBSIDIARIES RECONCILIATION FROM GAAP OPERATING PROFIT TO EBITDA (UNAUDITED) (dollars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7320" w:type="dxa"/>
            <w:vAlign w:val="bottom"/>
          </w:tcPr>
          <w:p>
            <w:pPr>
              <w:spacing w:after="0"/>
              <w:rPr>
                <w:sz w:val="19"/>
                <w:szCs w:val="19"/>
                <w:color w:val="auto"/>
              </w:rPr>
            </w:pPr>
          </w:p>
        </w:tc>
        <w:tc>
          <w:tcPr>
            <w:tcW w:w="13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OPERATING PROFIT</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44,165</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34,003</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19,089</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Depreciation of fixed assets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58,474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56,131</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3,460</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492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490</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113,142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98,940</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79,170</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7"/>
          </w:tcPr>
          <w:p>
            <w:pPr>
              <w:ind w:left="20"/>
              <w:spacing w:after="0"/>
              <w:rPr>
                <w:sz w:val="20"/>
                <w:szCs w:val="20"/>
                <w:color w:val="auto"/>
              </w:rPr>
            </w:pPr>
            <w:r>
              <w:rPr>
                <w:rFonts w:ascii="Arial" w:cs="Arial" w:eastAsia="Arial" w:hAnsi="Arial"/>
                <w:sz w:val="18"/>
                <w:szCs w:val="18"/>
                <w:b w:val="1"/>
                <w:bCs w:val="1"/>
                <w:color w:val="auto"/>
              </w:rPr>
              <w:t>N i n e   m o n t h s   e n d e d</w:t>
            </w: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OPERATING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110,648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57,654</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Depreciation of fixed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178,119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162,790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11,798</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1,487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1,293</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306,583</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233,535</w:t>
            </w:r>
          </w:p>
        </w:tc>
      </w:tr>
      <w:tr>
        <w:trPr>
          <w:trHeight w:val="20"/>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7320" w:type="dxa"/>
            <w:vAlign w:val="bottom"/>
          </w:tcPr>
          <w:p>
            <w:pPr>
              <w:spacing w:after="0"/>
              <w:rPr>
                <w:sz w:val="19"/>
                <w:szCs w:val="19"/>
                <w:color w:val="auto"/>
              </w:rPr>
            </w:pPr>
          </w:p>
        </w:tc>
        <w:tc>
          <w:tcPr>
            <w:tcW w:w="13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215,755</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215,581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258,793</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106,974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93,250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68,612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(87,714)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(56,184)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(66,862)</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(29,211)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(19,769)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(26,355)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2,227</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6,250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(17,055)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(28,983)</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211,503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215,755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207,704</w:t>
            </w:r>
          </w:p>
        </w:tc>
        <w:tc>
          <w:tcPr>
            <w:tcW w:w="100" w:type="dxa"/>
            <w:vAlign w:val="bottom"/>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9"/>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6"/>
              </w:rPr>
              <w:t>N i n e   m o n t h s   e n d e d</w:t>
            </w: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211,683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355,561</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287,637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203,551</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(193,313)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(192,306)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1,486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(78,355)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(55,552)</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2,733</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(12,416)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(107,769)</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211,503</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207,704</w:t>
            </w:r>
          </w:p>
        </w:tc>
      </w:tr>
      <w:tr>
        <w:trPr>
          <w:trHeight w:val="21"/>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3" w:name="page14"/>
    <w:bookmarkEnd w:id="13"/>
    <w:p>
      <w:pPr>
        <w:jc w:val="center"/>
        <w:ind w:left="340" w:right="22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7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8"/>
              </w:rPr>
              <w:t>N i n e   m o n t h s   e n d e d</w:t>
            </w:r>
          </w:p>
        </w:tc>
        <w:tc>
          <w:tcPr>
            <w:tcW w:w="240" w:type="dxa"/>
            <w:vAlign w:val="bottom"/>
          </w:tcPr>
          <w:p>
            <w:pPr>
              <w:spacing w:after="0"/>
              <w:rPr>
                <w:sz w:val="20"/>
                <w:szCs w:val="20"/>
                <w:color w:val="auto"/>
              </w:rPr>
            </w:pPr>
          </w:p>
        </w:tc>
        <w:tc>
          <w:tcPr>
            <w:tcW w:w="362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9"/>
                <w:szCs w:val="19"/>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r>
      <w:tr>
        <w:trPr>
          <w:trHeight w:val="223"/>
        </w:trPr>
        <w:tc>
          <w:tcPr>
            <w:tcW w:w="4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 for the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102,198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53,231</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40,367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31,317</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15,726</w:t>
            </w: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 net cash provided by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500"/>
              <w:spacing w:after="0"/>
              <w:rPr>
                <w:sz w:val="20"/>
                <w:szCs w:val="20"/>
                <w:color w:val="auto"/>
              </w:rPr>
            </w:pPr>
            <w:r>
              <w:rPr>
                <w:rFonts w:ascii="Arial" w:cs="Arial" w:eastAsia="Arial" w:hAnsi="Arial"/>
                <w:sz w:val="18"/>
                <w:szCs w:val="18"/>
                <w:b w:val="1"/>
                <w:bCs w:val="1"/>
                <w:color w:val="auto"/>
                <w:w w:val="91"/>
              </w:rPr>
              <w:t>Income and expense items not involving cash flows: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197,017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177,576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69,482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65,482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60,277</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w w:val="92"/>
              </w:rPr>
              <w:t>Effect of exchange rate differences on debentures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(1,215)</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828</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expense (income),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(1,286)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558</w:t>
            </w:r>
          </w:p>
        </w:tc>
      </w:tr>
      <w:tr>
        <w:trPr>
          <w:trHeight w:val="216"/>
        </w:trPr>
        <w:tc>
          <w:tcPr>
            <w:tcW w:w="4620" w:type="dxa"/>
            <w:vAlign w:val="bottom"/>
          </w:tcPr>
          <w:p>
            <w:pPr>
              <w:ind w:left="500"/>
              <w:spacing w:after="0"/>
              <w:rPr>
                <w:sz w:val="20"/>
                <w:szCs w:val="20"/>
                <w:color w:val="auto"/>
              </w:rPr>
            </w:pPr>
            <w:r>
              <w:rPr>
                <w:rFonts w:ascii="Arial" w:cs="Arial" w:eastAsia="Arial" w:hAnsi="Arial"/>
                <w:sz w:val="18"/>
                <w:szCs w:val="18"/>
                <w:b w:val="1"/>
                <w:bCs w:val="1"/>
                <w:color w:val="auto"/>
              </w:rPr>
              <w:t>Changes in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12,044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10,260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18,996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11,556</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(13,169)</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(2,508)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(4,186)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(16,065)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(7,630)</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Inventories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(28,037)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(10,691)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(12,553)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(12,077)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6,689</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(16,668)</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(23,249)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(5,302)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(10,299)</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Deferred revenue and customers' advances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35,495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19,288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(596)</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11,609</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(8,087)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12,612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(10,832)</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Long-term employee related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3,847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1,793</w:t>
            </w:r>
          </w:p>
        </w:tc>
      </w:tr>
      <w:tr>
        <w:trPr>
          <w:trHeight w:val="223"/>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w w:val="98"/>
              </w:rPr>
              <w:t>Deferred tax, net and other long-term liabilities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(10,448 )</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(1,304)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2,764</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(2,383)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542</w:t>
            </w:r>
          </w:p>
        </w:tc>
      </w:tr>
      <w:tr>
        <w:trPr>
          <w:trHeight w:val="223"/>
        </w:trPr>
        <w:tc>
          <w:tcPr>
            <w:tcW w:w="4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287,637</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203,551</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106,974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93,250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(193,313)</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(192,306)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(87,714)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(56,184)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(66,862)</w:t>
            </w:r>
          </w:p>
        </w:tc>
      </w:tr>
      <w:tr>
        <w:trPr>
          <w:trHeight w:val="198"/>
        </w:trPr>
        <w:tc>
          <w:tcPr>
            <w:tcW w:w="462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7"/>
              </w:rPr>
              <w:t>Investments in deposits, marketable securities and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 assets,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(12,416 )</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(107,769)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6,250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(17,055)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(28,983)</w:t>
            </w: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82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(205,729)</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(300,075)</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(81,464)</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(73,239)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(95,845)</w:t>
            </w:r>
          </w:p>
        </w:tc>
      </w:tr>
      <w:tr>
        <w:trPr>
          <w:trHeight w:val="216"/>
        </w:trPr>
        <w:tc>
          <w:tcPr>
            <w:tcW w:w="4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(78,355)</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(55,552)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(29,211)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(19,769)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(26,355)</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272</w:t>
            </w: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82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(77,945)</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(54,066)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(29,165)</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(19,769)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(26,083)</w:t>
            </w:r>
          </w:p>
        </w:tc>
      </w:tr>
      <w:tr>
        <w:trPr>
          <w:trHeight w:val="216"/>
        </w:trPr>
        <w:tc>
          <w:tcPr>
            <w:tcW w:w="4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20" w:type="dxa"/>
            <w:vAlign w:val="bottom"/>
          </w:tcPr>
          <w:p>
            <w:pPr>
              <w:spacing w:after="0" w:line="198" w:lineRule="exact"/>
              <w:rPr>
                <w:sz w:val="20"/>
                <w:szCs w:val="20"/>
                <w:color w:val="auto"/>
              </w:rPr>
            </w:pPr>
            <w:r>
              <w:rPr>
                <w:rFonts w:ascii="Arial" w:cs="Arial" w:eastAsia="Arial" w:hAnsi="Arial"/>
                <w:sz w:val="18"/>
                <w:szCs w:val="18"/>
                <w:b w:val="1"/>
                <w:bCs w:val="1"/>
                <w:color w:val="auto"/>
              </w:rPr>
              <w:t>EFFECT OF FOREIGN CURRENCY EXCHANGE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RATE CHANGE</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(4,143 )</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2,733</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(597 )</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2,227</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20" w:type="dxa"/>
            <w:vAlign w:val="bottom"/>
          </w:tcPr>
          <w:p>
            <w:pPr>
              <w:spacing w:after="0" w:line="198" w:lineRule="exact"/>
              <w:rPr>
                <w:sz w:val="20"/>
                <w:szCs w:val="20"/>
                <w:color w:val="auto"/>
              </w:rPr>
            </w:pPr>
            <w:r>
              <w:rPr>
                <w:rFonts w:ascii="Arial" w:cs="Arial" w:eastAsia="Arial" w:hAnsi="Arial"/>
                <w:sz w:val="18"/>
                <w:szCs w:val="18"/>
                <w:b w:val="1"/>
                <w:bCs w:val="1"/>
                <w:color w:val="auto"/>
              </w:rPr>
              <w:t>INCREASE (DECREASE) IN CASH AND CASH</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EQUIVALENTS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(180 )</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(147,857)</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(4,252)</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(51,089)</w:t>
            </w:r>
          </w:p>
        </w:tc>
      </w:tr>
      <w:tr>
        <w:trPr>
          <w:trHeight w:val="198"/>
        </w:trPr>
        <w:tc>
          <w:tcPr>
            <w:tcW w:w="4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CASH AND CASH EQUIVALENTS - BEGINNING OF</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PERIOD</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211,683</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355,561</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215,755</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215,581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258,793</w:t>
            </w:r>
          </w:p>
        </w:tc>
      </w:tr>
      <w:tr>
        <w:trPr>
          <w:trHeight w:val="216"/>
        </w:trPr>
        <w:tc>
          <w:tcPr>
            <w:tcW w:w="4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211,503</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207,704</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211,503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215,755</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207,704</w:t>
            </w:r>
          </w:p>
        </w:tc>
      </w:tr>
      <w:tr>
        <w:trPr>
          <w:trHeight w:val="344"/>
        </w:trPr>
        <w:tc>
          <w:tcPr>
            <w:tcW w:w="46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4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2021-11-08T06:03:02Z</dcterms:created>
  <dcterms:modified xsi:type="dcterms:W3CDTF">2021-11-08T06:03:02Z</dcterms:modified>
</cp:coreProperties>
</file>