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3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69"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6-K</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REPORT OF FOREIGN PRIVATE ISSUER PURSUANT TO RULE 13a-16 OR 15d-16</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July 2023 No.3</w:t>
      </w:r>
    </w:p>
    <w:p>
      <w:pPr>
        <w:spacing w:after="0" w:line="285"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Commission File Number 000-24790</w:t>
      </w:r>
    </w:p>
    <w:p>
      <w:pPr>
        <w:spacing w:after="0" w:line="276"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TOWER SEMICONDUCTOR LTD.</w:t>
      </w:r>
    </w:p>
    <w:p>
      <w:pPr>
        <w:spacing w:after="0" w:line="42"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Ramat Gavriel Industrial Park</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(Address of principal executive office)</w:t>
      </w:r>
    </w:p>
    <w:p>
      <w:pPr>
        <w:spacing w:after="0" w:line="283"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33" w:lineRule="exact"/>
        <w:rPr>
          <w:sz w:val="24"/>
          <w:szCs w:val="24"/>
          <w:color w:val="auto"/>
        </w:rPr>
      </w:pPr>
    </w:p>
    <w:p>
      <w:pPr>
        <w:jc w:val="center"/>
        <w:ind w:right="-39"/>
        <w:spacing w:after="0" w:line="253" w:lineRule="exact"/>
        <w:tabs>
          <w:tab w:leader="none" w:pos="36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322"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14" w:right="359" w:bottom="1440" w:gutter="0" w:footer="0" w:header="0"/>
        </w:sectPr>
      </w:pPr>
    </w:p>
    <w:bookmarkStart w:id="1" w:name="page2"/>
    <w:bookmarkEnd w:id="1"/>
    <w:p>
      <w:pPr>
        <w:ind w:left="640"/>
        <w:spacing w:after="0"/>
        <w:rPr>
          <w:sz w:val="20"/>
          <w:szCs w:val="20"/>
          <w:color w:val="auto"/>
        </w:rPr>
      </w:pPr>
      <w:r>
        <w:rPr>
          <w:rFonts w:ascii="Arial" w:cs="Arial" w:eastAsia="Arial" w:hAnsi="Arial"/>
          <w:sz w:val="19"/>
          <w:szCs w:val="19"/>
          <w:color w:val="auto"/>
        </w:rPr>
        <w:t>On July 26, 2023, the Registrant announced its financial results for the six and three months ended June 30, 2023.</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Attached hereto is the following exhibit.</w:t>
      </w:r>
    </w:p>
    <w:p>
      <w:pPr>
        <w:spacing w:after="0" w:line="27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5"/>
          <w:szCs w:val="15"/>
          <w:u w:val="single" w:color="auto"/>
          <w:color w:val="0000EE"/>
        </w:rPr>
        <w:t>Press release dated July 26,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02"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right="600"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720" w:type="dxa"/>
            <w:vAlign w:val="bottom"/>
            <w:gridSpan w:val="3"/>
          </w:tcPr>
          <w:p>
            <w:pPr>
              <w:ind w:left="2100"/>
              <w:spacing w:after="0"/>
              <w:rPr>
                <w:sz w:val="20"/>
                <w:szCs w:val="20"/>
                <w:color w:val="auto"/>
              </w:rPr>
            </w:pPr>
            <w:r>
              <w:rPr>
                <w:rFonts w:ascii="Arial" w:cs="Arial" w:eastAsia="Arial" w:hAnsi="Arial"/>
                <w:sz w:val="18"/>
                <w:szCs w:val="18"/>
                <w:b w:val="1"/>
                <w:bCs w:val="1"/>
                <w:color w:val="auto"/>
              </w:rPr>
              <w:t>TOWER SEMICONDUCTOR LTD.</w:t>
            </w:r>
          </w:p>
        </w:tc>
      </w:tr>
      <w:tr>
        <w:trPr>
          <w:trHeight w:val="405"/>
        </w:trPr>
        <w:tc>
          <w:tcPr>
            <w:tcW w:w="3520" w:type="dxa"/>
            <w:vAlign w:val="bottom"/>
          </w:tcPr>
          <w:p>
            <w:pPr>
              <w:spacing w:after="0"/>
              <w:rPr>
                <w:sz w:val="20"/>
                <w:szCs w:val="20"/>
                <w:color w:val="auto"/>
              </w:rPr>
            </w:pPr>
            <w:r>
              <w:rPr>
                <w:rFonts w:ascii="Arial" w:cs="Arial" w:eastAsia="Arial" w:hAnsi="Arial"/>
                <w:sz w:val="18"/>
                <w:szCs w:val="18"/>
                <w:color w:val="auto"/>
              </w:rPr>
              <w:t>Date: July 26, 2023</w:t>
            </w:r>
          </w:p>
        </w:tc>
        <w:tc>
          <w:tcPr>
            <w:tcW w:w="7720" w:type="dxa"/>
            <w:vAlign w:val="bottom"/>
            <w:gridSpan w:val="3"/>
          </w:tcPr>
          <w:p>
            <w:pPr>
              <w:ind w:left="2100"/>
              <w:spacing w:after="0"/>
              <w:rPr>
                <w:sz w:val="20"/>
                <w:szCs w:val="20"/>
                <w:color w:val="auto"/>
              </w:rPr>
            </w:pPr>
            <w:r>
              <w:rPr>
                <w:rFonts w:ascii="Arial" w:cs="Arial" w:eastAsia="Arial" w:hAnsi="Arial"/>
                <w:sz w:val="18"/>
                <w:szCs w:val="18"/>
                <w:color w:val="auto"/>
              </w:rPr>
              <w:t>By: /s/ Nati Somekh</w:t>
            </w:r>
          </w:p>
        </w:tc>
      </w:tr>
      <w:tr>
        <w:trPr>
          <w:trHeight w:val="20"/>
        </w:trPr>
        <w:tc>
          <w:tcPr>
            <w:tcW w:w="35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49"/>
        </w:trPr>
        <w:tc>
          <w:tcPr>
            <w:tcW w:w="35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Name: Nati Somekh</w:t>
            </w:r>
          </w:p>
        </w:tc>
      </w:tr>
      <w:tr>
        <w:trPr>
          <w:trHeight w:val="230"/>
        </w:trPr>
        <w:tc>
          <w:tcPr>
            <w:tcW w:w="35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320" w:type="dxa"/>
            <w:vAlign w:val="bottom"/>
            <w:gridSpan w:val="2"/>
          </w:tcPr>
          <w:p>
            <w:pPr>
              <w:ind w:left="20"/>
              <w:spacing w:after="0"/>
              <w:rPr>
                <w:sz w:val="20"/>
                <w:szCs w:val="20"/>
                <w:color w:val="auto"/>
              </w:rPr>
            </w:pPr>
            <w:r>
              <w:rPr>
                <w:rFonts w:ascii="Arial" w:cs="Arial" w:eastAsia="Arial" w:hAnsi="Arial"/>
                <w:sz w:val="18"/>
                <w:szCs w:val="18"/>
                <w:color w:val="auto"/>
              </w:rPr>
              <w:t>Title: Corporate Secretary</w:t>
            </w:r>
          </w:p>
        </w:tc>
      </w:tr>
      <w:tr>
        <w:trPr>
          <w:trHeight w:val="378"/>
        </w:trPr>
        <w:tc>
          <w:tcPr>
            <w:tcW w:w="35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r>
        <w:trPr>
          <w:trHeight w:val="163"/>
        </w:trPr>
        <w:tc>
          <w:tcPr>
            <w:tcW w:w="35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 Semiconductor Reports 2023 Second Quarter Financial Results</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MIGDAL HAEMEK, ISRAEL – July 26, 2023 – </w:t>
      </w:r>
      <w:r>
        <w:rPr>
          <w:rFonts w:ascii="Arial" w:cs="Arial" w:eastAsia="Arial" w:hAnsi="Arial"/>
          <w:sz w:val="18"/>
          <w:szCs w:val="18"/>
          <w:color w:val="auto"/>
        </w:rPr>
        <w:t>Tower Semiconductor (NASDAQ: TSEM &amp; TASE: TSEM) reports today its results for the second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ended June 30, 2023.</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of 2023 Results Overview</w:t>
      </w:r>
    </w:p>
    <w:p>
      <w:pPr>
        <w:spacing w:after="0" w:line="283" w:lineRule="exact"/>
        <w:rPr>
          <w:sz w:val="20"/>
          <w:szCs w:val="20"/>
          <w:color w:val="auto"/>
        </w:rPr>
      </w:pPr>
    </w:p>
    <w:p>
      <w:pPr>
        <w:jc w:val="both"/>
        <w:spacing w:after="0" w:line="297" w:lineRule="auto"/>
        <w:rPr>
          <w:sz w:val="20"/>
          <w:szCs w:val="20"/>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for the second quarter of 2023 was $357 million as compared with $356 million for the first quarter of 2023. Revenue for the second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2022 was $426 million.</w:t>
      </w:r>
    </w:p>
    <w:p>
      <w:pPr>
        <w:spacing w:after="0" w:line="2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second quarter of 2023 was $87 million as compared with $96 million for the first quarter of 2023. Gross profit for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2022 was $112 million.</w:t>
      </w:r>
    </w:p>
    <w:p>
      <w:pPr>
        <w:spacing w:after="0" w:line="229"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Operating profit </w:t>
      </w:r>
      <w:r>
        <w:rPr>
          <w:rFonts w:ascii="Arial" w:cs="Arial" w:eastAsia="Arial" w:hAnsi="Arial"/>
          <w:sz w:val="18"/>
          <w:szCs w:val="18"/>
          <w:color w:val="auto"/>
        </w:rPr>
        <w:t>for the second quarter of 2023 was $51 million, as compared with $89 million in the first quarter of 2023 that included $32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restructuring income, net from the previously disclosed reorganization and restructure of our Japan operations during 2022. Operating profit for the second quarter of 2022 was $71 million.</w:t>
      </w:r>
    </w:p>
    <w:p>
      <w:pPr>
        <w:spacing w:after="0" w:line="236" w:lineRule="exact"/>
        <w:rPr>
          <w:sz w:val="20"/>
          <w:szCs w:val="20"/>
          <w:color w:val="auto"/>
        </w:rPr>
      </w:pPr>
    </w:p>
    <w:p>
      <w:pPr>
        <w:jc w:val="both"/>
        <w:spacing w:after="0" w:line="323" w:lineRule="auto"/>
        <w:rPr>
          <w:sz w:val="20"/>
          <w:szCs w:val="20"/>
          <w:color w:val="auto"/>
        </w:rPr>
      </w:pPr>
      <w:r>
        <w:rPr>
          <w:rFonts w:ascii="Arial" w:cs="Arial" w:eastAsia="Arial" w:hAnsi="Arial"/>
          <w:sz w:val="16"/>
          <w:szCs w:val="16"/>
          <w:b w:val="1"/>
          <w:bCs w:val="1"/>
          <w:color w:val="auto"/>
        </w:rPr>
        <w:t xml:space="preserve">Net profit </w:t>
      </w:r>
      <w:r>
        <w:rPr>
          <w:rFonts w:ascii="Arial" w:cs="Arial" w:eastAsia="Arial" w:hAnsi="Arial"/>
          <w:sz w:val="16"/>
          <w:szCs w:val="16"/>
          <w:color w:val="auto"/>
        </w:rPr>
        <w:t>for the second quarter of 2023 was $51 million, or $0.46 basic and diluted earnings per share. Net profit for the first quarter of 2023 was $71</w:t>
      </w:r>
      <w:r>
        <w:rPr>
          <w:rFonts w:ascii="Arial" w:cs="Arial" w:eastAsia="Arial" w:hAnsi="Arial"/>
          <w:sz w:val="16"/>
          <w:szCs w:val="16"/>
          <w:b w:val="1"/>
          <w:bCs w:val="1"/>
          <w:color w:val="auto"/>
        </w:rPr>
        <w:t xml:space="preserve"> </w:t>
      </w:r>
      <w:r>
        <w:rPr>
          <w:rFonts w:ascii="Arial" w:cs="Arial" w:eastAsia="Arial" w:hAnsi="Arial"/>
          <w:sz w:val="16"/>
          <w:szCs w:val="16"/>
          <w:color w:val="auto"/>
        </w:rPr>
        <w:t>million, or $0.65 basic and $0.64 diluted earnings per share and included the restructuring income, net from the previously disclosed reorganization and restructure of our Japan operations during 2022. Net profit in the second quarter of 2022 was $58 million, or $0.53 basic and diluted earnings per share.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Cash flow </w:t>
      </w:r>
      <w:r>
        <w:rPr>
          <w:rFonts w:ascii="Arial" w:cs="Arial" w:eastAsia="Arial" w:hAnsi="Arial"/>
          <w:sz w:val="17"/>
          <w:szCs w:val="17"/>
          <w:color w:val="auto"/>
        </w:rPr>
        <w:t>generated from operating activities in the second quarter of 2023 was $75 million as compared with $73 million in the first quarter of 2023.</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Investments in fixed assets were $89 million, net, for the second quarter of 2023 as compared with $105 million in the first quarter of 2023.</w:t>
      </w:r>
    </w:p>
    <w:p>
      <w:pPr>
        <w:spacing w:after="0" w:line="285" w:lineRule="exact"/>
        <w:rPr>
          <w:sz w:val="20"/>
          <w:szCs w:val="20"/>
          <w:color w:val="auto"/>
        </w:rPr>
      </w:pPr>
    </w:p>
    <w:p>
      <w:pPr>
        <w:spacing w:after="0" w:line="276" w:lineRule="auto"/>
        <w:rPr>
          <w:sz w:val="20"/>
          <w:szCs w:val="20"/>
          <w:color w:val="auto"/>
        </w:rPr>
      </w:pPr>
      <w:r>
        <w:rPr>
          <w:rFonts w:ascii="Arial" w:cs="Arial" w:eastAsia="Arial" w:hAnsi="Arial"/>
          <w:sz w:val="22"/>
          <w:szCs w:val="22"/>
          <w:color w:val="auto"/>
        </w:rPr>
        <w:t>During the second quarter of 2023, the Company repaid $10 million of its debt, as compared with $27 million in the first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Guidance and Conference Call</w:t>
      </w:r>
    </w:p>
    <w:p>
      <w:pPr>
        <w:spacing w:after="0" w:line="27" w:lineRule="exact"/>
        <w:rPr>
          <w:sz w:val="20"/>
          <w:szCs w:val="20"/>
          <w:color w:val="auto"/>
        </w:rPr>
      </w:pPr>
    </w:p>
    <w:p>
      <w:pPr>
        <w:jc w:val="both"/>
        <w:spacing w:after="0" w:line="296" w:lineRule="auto"/>
        <w:rPr>
          <w:sz w:val="20"/>
          <w:szCs w:val="20"/>
          <w:color w:val="auto"/>
        </w:rPr>
      </w:pPr>
      <w:r>
        <w:rPr>
          <w:rFonts w:ascii="Arial" w:cs="Arial" w:eastAsia="Arial" w:hAnsi="Arial"/>
          <w:sz w:val="21"/>
          <w:szCs w:val="21"/>
          <w:color w:val="auto"/>
        </w:rPr>
        <w:t>In light of the Company’s definitive agreement with Intel Corporation, as announced on February 15, 2022, the Company is not providing revenue guidance for the third quarter of 2023 and will not host an earnings conference call.</w:t>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The Company presents its financial statements in accordance with U.S. GAAP. The financial information included in the tables below includes unaudited condensed financial data. Some of the financial information, which may be used and/ or presented in this release and/ or prior earnings related filings and/ or in related public disclosures or filings with respect to the financial statements and/ or results of the Company, which we may describe as adjusted financial measures and/ or reconciled financial measures, are non-GAAP financial measures as defined in Regulation G and related reporting requirements promulgated by the Securities and Exchange Commission as they apply to our Company. These adjusted financial measures are calculated excluding the following: (1) amortization of acquired intangible assets, (2) compensation expenses in respect of equity grants to directors, officers, and employees and</w:t>
      </w:r>
    </w:p>
    <w:p>
      <w:pPr>
        <w:spacing w:after="0" w:line="3" w:lineRule="exact"/>
        <w:rPr>
          <w:sz w:val="20"/>
          <w:szCs w:val="20"/>
          <w:color w:val="auto"/>
        </w:rPr>
      </w:pPr>
    </w:p>
    <w:p>
      <w:pPr>
        <w:jc w:val="both"/>
        <w:ind w:firstLine="8"/>
        <w:spacing w:after="0" w:line="295" w:lineRule="auto"/>
        <w:tabs>
          <w:tab w:leader="none" w:pos="269" w:val="left"/>
        </w:tabs>
        <w:numPr>
          <w:ilvl w:val="0"/>
          <w:numId w:val="1"/>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restructuring income, net, which includes income, net of cost associated with the cessation of operations of the Arai manufacturing factory in Japan which occurred during </w:t>
      </w:r>
      <w:r>
        <w:rPr>
          <w:rFonts w:ascii="Arial" w:cs="Arial" w:eastAsia="Arial" w:hAnsi="Arial"/>
          <w:sz w:val="16"/>
          <w:szCs w:val="16"/>
          <w:color w:val="auto"/>
        </w:rPr>
        <w:t>2022</w:t>
      </w:r>
      <w:r>
        <w:rPr>
          <w:rFonts w:ascii="Arial" w:cs="Arial" w:eastAsia="Arial" w:hAnsi="Arial"/>
          <w:sz w:val="16"/>
          <w:szCs w:val="16"/>
          <w:i w:val="1"/>
          <w:iCs w:val="1"/>
          <w:color w:val="auto"/>
        </w:rPr>
        <w:t>. These adjusted financial measures should be evaluated in conjunction with, and are not a substitute for, GAAP financial measures. The tables may also present the GAAP financial measures, which are most comparable to the adjusted financial measures, as well as a reconciliation between the adjusted financial measures and the comparable GAAP financial measures. As used and/ or presented in this release and/ or prior earnings related filings and/ or in related public disclosures or filings with respect to the financial statements and/ or results of the Company, as well as may be included and calculated in the tables herein, the term Earnings Before Interest Tax Depreciation and Amortization which we define as EBITDA consists of operating profit in accordance with GAAP, excluding (i) depreciation expenses, which include depreciation recorded in cost of revenues and in operating cost and expenses lines (e.g, research and development related equipment and/ or fixed other assets depreciation), (ii) stock-based compensation expense, (iii) amortization of acquired intangible assets and (iv) restructuring income, net in relation to the Arai manufacturing factory in Japan, as described in (3) above. EBITDA is reconciled in the tables below and/or in prior earnings-related filings and/ or in related public disclosures or filings with respect to the financial statements and/ or results of the Company from GAAP operating profit. EBITDA is not a required GAAP financial measure and may not be comparable to a similarly titled measure employed by other companies. EBITDA and the adjusted financial information presented herein and/ or prior earnings-related filings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may be used and/ or presented in this release and/ or prior earnings-related filings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prior earnings related filings and/ or in related public disclosures or filings with respect to the financial statements and/ or results of the Company, is calculated to be net cash provided by operating activities (in the amounts of $75 million, $73 million and $138 million for the three months periods ended June 30, 2023, March 31, 2023 and June 30, 2022, respectively</w:t>
      </w:r>
      <w:r>
        <w:rPr>
          <w:rFonts w:ascii="Arial" w:cs="Arial" w:eastAsia="Arial" w:hAnsi="Arial"/>
          <w:sz w:val="16"/>
          <w:szCs w:val="16"/>
          <w:color w:val="auto"/>
        </w:rPr>
        <w:t>(</w:t>
      </w:r>
      <w:r>
        <w:rPr>
          <w:rFonts w:ascii="Arial" w:cs="Arial" w:eastAsia="Arial" w:hAnsi="Arial"/>
          <w:sz w:val="16"/>
          <w:szCs w:val="16"/>
          <w:i w:val="1"/>
          <w:iCs w:val="1"/>
          <w:color w:val="auto"/>
        </w:rPr>
        <w:t xml:space="preserve"> less cash used for investments in property and equipment, net (in the amounts of $89 million, $105 million and $49 million for the three months periods ended June 30, 2023, March 31, 2023 and June 30, 2022,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Tower Semiconductor</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21"/>
          <w:szCs w:val="21"/>
          <w:color w:val="auto"/>
        </w:rPr>
        <w:t>Tower Semiconductor Ltd. (NASDAQ: TSEM, TASE: TSEM), the leading foundry of high 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facilities in Japan (200mm and 300mm) which it owns through its 51% holdings in TPSCo and is sharing a 300mm manufacturing facility being established in Italy by STMicroelectronics.</w:t>
      </w:r>
      <w:r>
        <w:rPr>
          <w:sz w:val="1"/>
          <w:szCs w:val="1"/>
          <w:color w:val="auto"/>
        </w:rPr>
        <w:drawing>
          <wp:inline distT="0" distB="0" distL="0" distR="0">
            <wp:extent cx="76835" cy="14541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6835" cy="145415"/>
                    </a:xfrm>
                    <a:prstGeom prst="rect">
                      <a:avLst/>
                    </a:prstGeom>
                    <a:noFill/>
                    <a:ln>
                      <a:noFill/>
                    </a:ln>
                  </pic:spPr>
                </pic:pic>
              </a:graphicData>
            </a:graphic>
          </wp:inline>
        </w:drawing>
      </w:r>
      <w:r>
        <w:rPr>
          <w:rFonts w:ascii="Arial" w:cs="Arial" w:eastAsia="Arial" w:hAnsi="Arial"/>
          <w:sz w:val="21"/>
          <w:szCs w:val="21"/>
          <w:color w:val="auto"/>
        </w:rPr>
        <w:t xml:space="preserve">For more information, please visit: </w:t>
      </w:r>
      <w:r>
        <w:rPr>
          <w:rFonts w:ascii="Arial" w:cs="Arial" w:eastAsia="Arial" w:hAnsi="Arial"/>
          <w:sz w:val="21"/>
          <w:szCs w:val="21"/>
          <w:u w:val="single" w:color="auto"/>
          <w:color w:val="auto"/>
        </w:rPr>
        <w:t>www.towersemi.com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9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Investor Relations | +972 74 737 7556 | </w:t>
      </w:r>
      <w:r>
        <w:rPr>
          <w:rFonts w:ascii="Arial" w:cs="Arial" w:eastAsia="Arial" w:hAnsi="Arial"/>
          <w:sz w:val="22"/>
          <w:szCs w:val="22"/>
          <w:u w:val="single" w:color="auto"/>
          <w:color w:val="auto"/>
        </w:rPr>
        <w:t>noitle@towersemi.com</w:t>
      </w:r>
    </w:p>
    <w:p>
      <w:pPr>
        <w:spacing w:after="0" w:line="279" w:lineRule="exact"/>
        <w:rPr>
          <w:sz w:val="20"/>
          <w:szCs w:val="20"/>
          <w:color w:val="auto"/>
        </w:rPr>
      </w:pPr>
    </w:p>
    <w:p>
      <w:pPr>
        <w:jc w:val="both"/>
        <w:spacing w:after="0" w:line="296" w:lineRule="auto"/>
        <w:rPr>
          <w:sz w:val="20"/>
          <w:szCs w:val="20"/>
          <w:color w:val="auto"/>
        </w:rPr>
      </w:pPr>
      <w:r>
        <w:rPr>
          <w:rFonts w:ascii="Arial" w:cs="Arial" w:eastAsia="Arial" w:hAnsi="Arial"/>
          <w:sz w:val="19"/>
          <w:szCs w:val="19"/>
          <w:color w:val="auto"/>
        </w:rPr>
        <w:t>This press release, including other projections with respect to our business and activities,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(x) pending litigation, (xi) new customer engagements, qualification and production ramp-up at our facilities,(xii) meeting the conditions set in the approval certificates received from the Israeli Investment Center under which we received a significant amount of grants in past years,</w:t>
      </w:r>
    </w:p>
    <w:p>
      <w:pPr>
        <w:spacing w:after="0" w:line="11"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receipt of orders that are lower than the customer purchase commitments, (xiv) failure to receive orders currently expected,</w:t>
      </w:r>
    </w:p>
    <w:p>
      <w:pPr>
        <w:spacing w:after="0" w:line="51" w:lineRule="exact"/>
        <w:rPr>
          <w:rFonts w:ascii="Arial" w:cs="Arial" w:eastAsia="Arial" w:hAnsi="Arial"/>
          <w:sz w:val="19"/>
          <w:szCs w:val="19"/>
          <w:color w:val="auto"/>
        </w:rPr>
      </w:pPr>
    </w:p>
    <w:p>
      <w:pPr>
        <w:jc w:val="both"/>
        <w:ind w:firstLine="8"/>
        <w:spacing w:after="0" w:line="296" w:lineRule="auto"/>
        <w:tabs>
          <w:tab w:leader="none" w:pos="448" w:val="left"/>
        </w:tabs>
        <w:numPr>
          <w:ilvl w:val="0"/>
          <w:numId w:val="3"/>
        </w:numPr>
        <w:rPr>
          <w:rFonts w:ascii="Arial" w:cs="Arial" w:eastAsia="Arial" w:hAnsi="Arial"/>
          <w:sz w:val="19"/>
          <w:szCs w:val="19"/>
          <w:color w:val="auto"/>
        </w:rPr>
      </w:pPr>
      <w:r>
        <w:rPr>
          <w:rFonts w:ascii="Arial" w:cs="Arial" w:eastAsia="Arial" w:hAnsi="Arial"/>
          <w:sz w:val="19"/>
          <w:szCs w:val="19"/>
          <w:color w:val="auto"/>
        </w:rPr>
        <w:t>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other fundraising activities to enable the service of our debt and/or other liabilities and/or for strategic opportunities, including to fund Agrate fab’s significant 300mm capacity investments, in addition to other previously announced capacity expansion plans , and the possible unavailability of such financing and/ or the availability of such financing on unfavorable terms, (xxi) operating our facilities at high utilization rates which is critical in order to cover a portion or all of the high level of fixed costs associated with operating a foundry in order to enable us to maintain our profitability ,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w:t>
      </w:r>
    </w:p>
    <w:p>
      <w:pPr>
        <w:spacing w:after="0" w:line="7" w:lineRule="exact"/>
        <w:rPr>
          <w:rFonts w:ascii="Arial" w:cs="Arial" w:eastAsia="Arial" w:hAnsi="Arial"/>
          <w:sz w:val="19"/>
          <w:szCs w:val="19"/>
          <w:color w:val="auto"/>
        </w:rPr>
      </w:pPr>
    </w:p>
    <w:p>
      <w:pPr>
        <w:ind w:left="700" w:hanging="692"/>
        <w:spacing w:after="0"/>
        <w:tabs>
          <w:tab w:leader="none" w:pos="700" w:val="left"/>
        </w:tabs>
        <w:numPr>
          <w:ilvl w:val="0"/>
          <w:numId w:val="4"/>
        </w:numPr>
        <w:rPr>
          <w:rFonts w:ascii="Arial" w:cs="Arial" w:eastAsia="Arial" w:hAnsi="Arial"/>
          <w:sz w:val="19"/>
          <w:szCs w:val="19"/>
          <w:color w:val="auto"/>
        </w:rPr>
      </w:pPr>
      <w:r>
        <w:rPr>
          <w:rFonts w:ascii="Arial" w:cs="Arial" w:eastAsia="Arial" w:hAnsi="Arial"/>
          <w:sz w:val="19"/>
          <w:szCs w:val="19"/>
          <w:color w:val="auto"/>
        </w:rPr>
        <w:t>use of outsourced foundry services by both fabless semiconductor companies and integrated device manufacturers,</w:t>
      </w:r>
    </w:p>
    <w:p>
      <w:pPr>
        <w:spacing w:after="0" w:line="51" w:lineRule="exact"/>
        <w:rPr>
          <w:rFonts w:ascii="Arial" w:cs="Arial" w:eastAsia="Arial" w:hAnsi="Arial"/>
          <w:sz w:val="19"/>
          <w:szCs w:val="19"/>
          <w:color w:val="auto"/>
        </w:rPr>
      </w:pPr>
    </w:p>
    <w:p>
      <w:pPr>
        <w:jc w:val="both"/>
        <w:ind w:firstLine="8"/>
        <w:spacing w:after="0" w:line="298" w:lineRule="auto"/>
        <w:tabs>
          <w:tab w:leader="none" w:pos="748" w:val="left"/>
        </w:tabs>
        <w:numPr>
          <w:ilvl w:val="0"/>
          <w:numId w:val="4"/>
        </w:numPr>
        <w:rPr>
          <w:rFonts w:ascii="Arial" w:cs="Arial" w:eastAsia="Arial" w:hAnsi="Arial"/>
          <w:sz w:val="19"/>
          <w:szCs w:val="19"/>
          <w:color w:val="auto"/>
        </w:rPr>
      </w:pPr>
      <w:r>
        <w:rPr>
          <w:rFonts w:ascii="Arial" w:cs="Arial" w:eastAsia="Arial" w:hAnsi="Arial"/>
          <w:sz w:val="19"/>
          <w:szCs w:val="19"/>
          <w:color w:val="auto"/>
        </w:rPr>
        <w:t>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that caused him to request a judicial declaration that there was a material non-curable breach of the lease and that he would be entitled to terminate the lease (we do not agree and are disputing these claims),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potential engagement for fab establishment, joint venture and/or capital lease transactions for capacity enhancement in advanced technologies, including risks and uncertainties associated with Agrate fab establishment project, its qualification schedule, technology, equipment and process qualification and production facility ramp-up, customer engagements, cost structure and investment amounts and other terms, which may require additional funding to cover its significant capacity investment needs and other payments, the availability of which funding cannot be assured on favorable terms, if at all, (xxxvi) potential impact, in addition to the aforementioned restructuring costs and future additional such costs, incurred by TPSCo and the Company due to the purchase in 2020 of 49% of TPSCo by NTCJ (previously named PSCS) from Panasonic and due to the cessation of operations of Arai manufacturing factory in Japan, which manufactured products solely for NTCJ through June 2022 and did not serve Tower’s or TPSCo’s foundry customers, (xxxvii) industry and market impact due to pandemics and potential impact on our business, operational continuity, supply chain, revenue and profitability, (xxxviii) potential security, cyber and privacy breaches, (xxxix) risks associated with the transaction announced on February 15, 2022 under which Intel Corporation is to acquire the Company, including the timely receipt of certain governmental and other regulatory approvals, the potential for regulatory authorities to require divestitures, behavioral remedies or other concessions in order to obtain their approval of the proposed transaction, the occurrence of any event, change or other circumstance that could give rise to a termination of the merger agreement, the effect of the announcement or pendency of the transaction on business relationships, operating results and business generally, delays, disruptions or increased costs due to the integration process with the acquirer, litigation related to or resulting from the transaction, difficulties to retain key personnel and</w:t>
      </w:r>
    </w:p>
    <w:p>
      <w:pPr>
        <w:sectPr>
          <w:pgSz w:w="11900" w:h="16838" w:orient="portrait"/>
          <w:cols w:equalWidth="0" w:num="1">
            <w:col w:w="11240"/>
          </w:cols>
          <w:pgMar w:left="320" w:top="351" w:right="339" w:bottom="0" w:gutter="0" w:footer="0" w:header="0"/>
        </w:sectPr>
      </w:pPr>
    </w:p>
    <w:bookmarkStart w:id="6" w:name="page7"/>
    <w:bookmarkEnd w:id="6"/>
    <w:p>
      <w:pPr>
        <w:jc w:val="both"/>
        <w:spacing w:after="0" w:line="317" w:lineRule="auto"/>
        <w:rPr>
          <w:sz w:val="20"/>
          <w:szCs w:val="20"/>
          <w:color w:val="auto"/>
        </w:rPr>
      </w:pPr>
      <w:r>
        <w:rPr>
          <w:rFonts w:ascii="Arial" w:cs="Arial" w:eastAsia="Arial" w:hAnsi="Arial"/>
          <w:sz w:val="19"/>
          <w:szCs w:val="19"/>
          <w:color w:val="auto"/>
        </w:rPr>
        <w:t>customers, diverting management’s attention from the ongoing business operations, potential negative reactions or changes to business relationships resulting from the announcement or completion of the transaction, and (xxxx) business interruption due to fire, earthquake and other natural disasters, the security situation in Israel, global trade “war”, pandemics , including impact on global supply chain to the fabs and from the fabs, power interruptions and other events beyond our control.</w:t>
      </w:r>
    </w:p>
    <w:p>
      <w:pPr>
        <w:spacing w:after="0" w:line="196" w:lineRule="exact"/>
        <w:rPr>
          <w:sz w:val="20"/>
          <w:szCs w:val="20"/>
          <w:color w:val="auto"/>
        </w:rPr>
      </w:pPr>
    </w:p>
    <w:p>
      <w:pPr>
        <w:jc w:val="both"/>
        <w:spacing w:after="0" w:line="311" w:lineRule="auto"/>
        <w:rPr>
          <w:sz w:val="20"/>
          <w:szCs w:val="20"/>
          <w:color w:val="auto"/>
        </w:rPr>
      </w:pPr>
      <w:r>
        <w:rPr>
          <w:rFonts w:ascii="Arial" w:cs="Arial" w:eastAsia="Arial" w:hAnsi="Arial"/>
          <w:sz w:val="19"/>
          <w:szCs w:val="19"/>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198"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 w:name="page8"/>
    <w:bookmarkEnd w:id="7"/>
    <w:p>
      <w:pPr>
        <w:ind w:left="33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June 30,</w:t>
            </w:r>
          </w:p>
        </w:tc>
        <w:tc>
          <w:tcPr>
            <w:tcW w:w="2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March 31,</w:t>
            </w:r>
          </w:p>
        </w:tc>
        <w:tc>
          <w:tcPr>
            <w:tcW w:w="220" w:type="dxa"/>
            <w:vAlign w:val="bottom"/>
          </w:tcPr>
          <w:p>
            <w:pPr>
              <w:spacing w:after="0"/>
              <w:rPr>
                <w:sz w:val="22"/>
                <w:szCs w:val="22"/>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22"/>
                <w:szCs w:val="22"/>
                <w:color w:val="auto"/>
              </w:rPr>
            </w:pPr>
          </w:p>
        </w:tc>
      </w:tr>
      <w:tr>
        <w:trPr>
          <w:trHeight w:val="223"/>
        </w:trPr>
        <w:tc>
          <w:tcPr>
            <w:tcW w:w="7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Cash and cash equivalents</w:t>
            </w: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318,195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304,934</w:t>
            </w:r>
          </w:p>
        </w:tc>
        <w:tc>
          <w:tcPr>
            <w:tcW w:w="4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340,759</w:t>
            </w:r>
          </w:p>
        </w:tc>
        <w:tc>
          <w:tcPr>
            <w:tcW w:w="100" w:type="dxa"/>
            <w:vAlign w:val="bottom"/>
            <w:shd w:val="clear" w:color="auto" w:fill="CCEEFF"/>
          </w:tcPr>
          <w:p>
            <w:pPr>
              <w:spacing w:after="0"/>
              <w:rPr>
                <w:sz w:val="18"/>
                <w:szCs w:val="18"/>
                <w:color w:val="auto"/>
              </w:rPr>
            </w:pPr>
          </w:p>
        </w:tc>
      </w:tr>
      <w:tr>
        <w:trPr>
          <w:trHeight w:val="229"/>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Short-term deposits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419,528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469,284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495,359</w:t>
            </w:r>
          </w:p>
        </w:tc>
        <w:tc>
          <w:tcPr>
            <w:tcW w:w="100" w:type="dxa"/>
            <w:vAlign w:val="bottom"/>
          </w:tcPr>
          <w:p>
            <w:pPr>
              <w:spacing w:after="0"/>
              <w:rPr>
                <w:sz w:val="19"/>
                <w:szCs w:val="19"/>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Marketable securities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175,872</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171,747</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169,694</w:t>
            </w:r>
          </w:p>
        </w:tc>
        <w:tc>
          <w:tcPr>
            <w:tcW w:w="100" w:type="dxa"/>
            <w:vAlign w:val="bottom"/>
            <w:shd w:val="clear" w:color="auto" w:fill="CCEEFF"/>
          </w:tcPr>
          <w:p>
            <w:pPr>
              <w:spacing w:after="0"/>
              <w:rPr>
                <w:sz w:val="19"/>
                <w:szCs w:val="19"/>
                <w:color w:val="auto"/>
              </w:rPr>
            </w:pPr>
          </w:p>
        </w:tc>
      </w:tr>
      <w:tr>
        <w:trPr>
          <w:trHeight w:val="216"/>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Trade accounts receivable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163,293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144,195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152,935</w:t>
            </w:r>
          </w:p>
        </w:tc>
        <w:tc>
          <w:tcPr>
            <w:tcW w:w="100" w:type="dxa"/>
            <w:vAlign w:val="bottom"/>
          </w:tcPr>
          <w:p>
            <w:pPr>
              <w:spacing w:after="0"/>
              <w:rPr>
                <w:sz w:val="18"/>
                <w:szCs w:val="18"/>
                <w:color w:val="auto"/>
              </w:rPr>
            </w:pPr>
          </w:p>
        </w:tc>
      </w:tr>
      <w:tr>
        <w:trPr>
          <w:trHeight w:val="229"/>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Inventories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330,819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358,715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302,108</w:t>
            </w:r>
          </w:p>
        </w:tc>
        <w:tc>
          <w:tcPr>
            <w:tcW w:w="100" w:type="dxa"/>
            <w:vAlign w:val="bottom"/>
            <w:shd w:val="clear" w:color="auto" w:fill="CCEEFF"/>
          </w:tcPr>
          <w:p>
            <w:pPr>
              <w:spacing w:after="0"/>
              <w:rPr>
                <w:sz w:val="19"/>
                <w:szCs w:val="19"/>
                <w:color w:val="auto"/>
              </w:rPr>
            </w:pPr>
          </w:p>
        </w:tc>
      </w:tr>
      <w:tr>
        <w:trPr>
          <w:trHeight w:val="237"/>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Other current assets</w:t>
            </w: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32,396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35,416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34,319</w:t>
            </w:r>
          </w:p>
        </w:tc>
        <w:tc>
          <w:tcPr>
            <w:tcW w:w="100" w:type="dxa"/>
            <w:vAlign w:val="bottom"/>
          </w:tcPr>
          <w:p>
            <w:pPr>
              <w:spacing w:after="0"/>
              <w:rPr>
                <w:sz w:val="20"/>
                <w:szCs w:val="20"/>
                <w:color w:val="auto"/>
              </w:rPr>
            </w:pPr>
          </w:p>
        </w:tc>
      </w:tr>
      <w:tr>
        <w:trPr>
          <w:trHeight w:val="216"/>
        </w:trPr>
        <w:tc>
          <w:tcPr>
            <w:tcW w:w="73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1,440,103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1,484,291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1,495,174</w:t>
            </w:r>
          </w:p>
        </w:tc>
        <w:tc>
          <w:tcPr>
            <w:tcW w:w="100" w:type="dxa"/>
            <w:vAlign w:val="bottom"/>
            <w:shd w:val="clear" w:color="auto" w:fill="CCEEFF"/>
          </w:tcPr>
          <w:p>
            <w:pPr>
              <w:spacing w:after="0"/>
              <w:rPr>
                <w:sz w:val="18"/>
                <w:szCs w:val="18"/>
                <w:color w:val="auto"/>
              </w:rPr>
            </w:pPr>
          </w:p>
        </w:tc>
      </w:tr>
      <w:tr>
        <w:trPr>
          <w:trHeight w:val="229"/>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1,018,636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1,009,632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962,258</w:t>
            </w:r>
          </w:p>
        </w:tc>
        <w:tc>
          <w:tcPr>
            <w:tcW w:w="100" w:type="dxa"/>
            <w:vAlign w:val="bottom"/>
          </w:tcPr>
          <w:p>
            <w:pPr>
              <w:spacing w:after="0"/>
              <w:rPr>
                <w:sz w:val="19"/>
                <w:szCs w:val="19"/>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GOODWILL AND OTHER INTANGIBLE ASSETS, NET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13,049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14,031</w:t>
            </w:r>
          </w:p>
        </w:tc>
        <w:tc>
          <w:tcPr>
            <w:tcW w:w="100" w:type="dxa"/>
            <w:vAlign w:val="bottom"/>
            <w:shd w:val="clear" w:color="auto" w:fill="CCEEFF"/>
          </w:tcPr>
          <w:p>
            <w:pPr>
              <w:spacing w:after="0"/>
              <w:rPr>
                <w:sz w:val="19"/>
                <w:szCs w:val="19"/>
                <w:color w:val="auto"/>
              </w:rPr>
            </w:pPr>
          </w:p>
        </w:tc>
      </w:tr>
      <w:tr>
        <w:trPr>
          <w:trHeight w:val="223"/>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DEFERRED TAX AND OTHER LONG-TERM ASSETS, NET</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62,288</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69,623</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76,145</w:t>
            </w:r>
          </w:p>
        </w:tc>
        <w:tc>
          <w:tcPr>
            <w:tcW w:w="100" w:type="dxa"/>
            <w:vAlign w:val="bottom"/>
          </w:tcPr>
          <w:p>
            <w:pPr>
              <w:spacing w:after="0"/>
              <w:rPr>
                <w:sz w:val="19"/>
                <w:szCs w:val="19"/>
                <w:color w:val="auto"/>
              </w:rPr>
            </w:pPr>
          </w:p>
        </w:tc>
      </w:tr>
      <w:tr>
        <w:trPr>
          <w:trHeight w:val="270"/>
        </w:trPr>
        <w:tc>
          <w:tcPr>
            <w:tcW w:w="73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2,534,076</w:t>
            </w:r>
          </w:p>
        </w:tc>
        <w:tc>
          <w:tcPr>
            <w:tcW w:w="2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2,577,086</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2,547,608</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73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Short-term debt</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41,300</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42,224</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62,275</w:t>
            </w:r>
          </w:p>
        </w:tc>
        <w:tc>
          <w:tcPr>
            <w:tcW w:w="100" w:type="dxa"/>
            <w:vAlign w:val="bottom"/>
          </w:tcPr>
          <w:p>
            <w:pPr>
              <w:spacing w:after="0"/>
              <w:rPr>
                <w:sz w:val="19"/>
                <w:szCs w:val="19"/>
                <w:color w:val="auto"/>
              </w:rPr>
            </w:pPr>
          </w:p>
        </w:tc>
      </w:tr>
      <w:tr>
        <w:trPr>
          <w:trHeight w:val="216"/>
        </w:trPr>
        <w:tc>
          <w:tcPr>
            <w:tcW w:w="73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Trade 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154,507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191,006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150,930</w:t>
            </w:r>
          </w:p>
        </w:tc>
        <w:tc>
          <w:tcPr>
            <w:tcW w:w="100" w:type="dxa"/>
            <w:vAlign w:val="bottom"/>
            <w:shd w:val="clear" w:color="auto" w:fill="CCEEFF"/>
          </w:tcPr>
          <w:p>
            <w:pPr>
              <w:spacing w:after="0"/>
              <w:rPr>
                <w:sz w:val="18"/>
                <w:szCs w:val="18"/>
                <w:color w:val="auto"/>
              </w:rPr>
            </w:pPr>
          </w:p>
        </w:tc>
      </w:tr>
      <w:tr>
        <w:trPr>
          <w:trHeight w:val="229"/>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Deferred revenue and customers' advances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22,402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30,268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38,911</w:t>
            </w:r>
          </w:p>
        </w:tc>
        <w:tc>
          <w:tcPr>
            <w:tcW w:w="100" w:type="dxa"/>
            <w:vAlign w:val="bottom"/>
          </w:tcPr>
          <w:p>
            <w:pPr>
              <w:spacing w:after="0"/>
              <w:rPr>
                <w:sz w:val="19"/>
                <w:szCs w:val="19"/>
                <w:color w:val="auto"/>
              </w:rPr>
            </w:pPr>
          </w:p>
        </w:tc>
      </w:tr>
      <w:tr>
        <w:trPr>
          <w:trHeight w:val="237"/>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Other current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83,631</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90,637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135,272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301,840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354,135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387,388</w:t>
            </w:r>
          </w:p>
        </w:tc>
        <w:tc>
          <w:tcPr>
            <w:tcW w:w="100" w:type="dxa"/>
            <w:vAlign w:val="bottom"/>
          </w:tcPr>
          <w:p>
            <w:pPr>
              <w:spacing w:after="0"/>
              <w:rPr>
                <w:sz w:val="18"/>
                <w:szCs w:val="18"/>
                <w:color w:val="auto"/>
              </w:rPr>
            </w:pPr>
          </w:p>
        </w:tc>
      </w:tr>
      <w:tr>
        <w:trPr>
          <w:trHeight w:val="230"/>
        </w:trPr>
        <w:tc>
          <w:tcPr>
            <w:tcW w:w="73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LONG-TERM DEBT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178,865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201,445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210,069</w:t>
            </w:r>
          </w:p>
        </w:tc>
        <w:tc>
          <w:tcPr>
            <w:tcW w:w="100" w:type="dxa"/>
            <w:vAlign w:val="bottom"/>
            <w:shd w:val="clear" w:color="auto" w:fill="CCEEFF"/>
          </w:tcPr>
          <w:p>
            <w:pPr>
              <w:spacing w:after="0"/>
              <w:rPr>
                <w:sz w:val="19"/>
                <w:szCs w:val="19"/>
                <w:color w:val="auto"/>
              </w:rPr>
            </w:pPr>
          </w:p>
        </w:tc>
      </w:tr>
      <w:tr>
        <w:trPr>
          <w:trHeight w:val="230"/>
        </w:trPr>
        <w:tc>
          <w:tcPr>
            <w:tcW w:w="7300" w:type="dxa"/>
            <w:vAlign w:val="bottom"/>
          </w:tcPr>
          <w:p>
            <w:pPr>
              <w:ind w:left="180"/>
              <w:spacing w:after="0"/>
              <w:rPr>
                <w:sz w:val="20"/>
                <w:szCs w:val="20"/>
                <w:color w:val="auto"/>
              </w:rPr>
            </w:pPr>
            <w:r>
              <w:rPr>
                <w:rFonts w:ascii="Arial" w:cs="Arial" w:eastAsia="Arial" w:hAnsi="Arial"/>
                <w:sz w:val="18"/>
                <w:szCs w:val="18"/>
                <w:b w:val="1"/>
                <w:bCs w:val="1"/>
                <w:color w:val="auto"/>
              </w:rPr>
              <w:t>LONG-TERM CUSTOMERS' ADVANCES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31,209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34,066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40,893</w:t>
            </w:r>
          </w:p>
        </w:tc>
        <w:tc>
          <w:tcPr>
            <w:tcW w:w="100" w:type="dxa"/>
            <w:vAlign w:val="bottom"/>
          </w:tcPr>
          <w:p>
            <w:pPr>
              <w:spacing w:after="0"/>
              <w:rPr>
                <w:sz w:val="19"/>
                <w:szCs w:val="19"/>
                <w:color w:val="auto"/>
              </w:rPr>
            </w:pPr>
          </w:p>
        </w:tc>
      </w:tr>
      <w:tr>
        <w:trPr>
          <w:trHeight w:val="223"/>
        </w:trPr>
        <w:tc>
          <w:tcPr>
            <w:tcW w:w="7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DEFERRED TAX AND OTHER LONG-TERM LIABILITIES</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11,188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7300" w:type="dxa"/>
            <w:vAlign w:val="bottom"/>
          </w:tcPr>
          <w:p>
            <w:pPr>
              <w:ind w:left="340"/>
              <w:spacing w:after="0"/>
              <w:rPr>
                <w:sz w:val="20"/>
                <w:szCs w:val="20"/>
                <w:color w:val="auto"/>
              </w:rPr>
            </w:pPr>
            <w:r>
              <w:rPr>
                <w:rFonts w:ascii="Arial" w:cs="Arial" w:eastAsia="Arial" w:hAnsi="Arial"/>
                <w:sz w:val="18"/>
                <w:szCs w:val="18"/>
                <w:b w:val="1"/>
                <w:bCs w:val="1"/>
                <w:color w:val="auto"/>
              </w:rPr>
              <w:t>TOTAL LIABILITIES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522,971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600,834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659,067</w:t>
            </w:r>
          </w:p>
        </w:tc>
        <w:tc>
          <w:tcPr>
            <w:tcW w:w="100" w:type="dxa"/>
            <w:vAlign w:val="bottom"/>
          </w:tcPr>
          <w:p>
            <w:pPr>
              <w:spacing w:after="0"/>
              <w:rPr>
                <w:sz w:val="19"/>
                <w:szCs w:val="19"/>
                <w:color w:val="auto"/>
              </w:rPr>
            </w:pPr>
          </w:p>
        </w:tc>
      </w:tr>
      <w:tr>
        <w:trPr>
          <w:trHeight w:val="236"/>
        </w:trPr>
        <w:tc>
          <w:tcPr>
            <w:tcW w:w="7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SHAREHOLDERS' EQUITY</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2,011,105</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1,976,252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1,888,541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300" w:type="dxa"/>
            <w:vAlign w:val="bottom"/>
          </w:tcPr>
          <w:p>
            <w:pPr>
              <w:ind w:left="500"/>
              <w:spacing w:after="0"/>
              <w:rPr>
                <w:sz w:val="20"/>
                <w:szCs w:val="20"/>
                <w:color w:val="auto"/>
              </w:rPr>
            </w:pPr>
            <w:r>
              <w:rPr>
                <w:rFonts w:ascii="Arial" w:cs="Arial" w:eastAsia="Arial" w:hAnsi="Arial"/>
                <w:sz w:val="18"/>
                <w:szCs w:val="18"/>
                <w:b w:val="1"/>
                <w:bCs w:val="1"/>
                <w:color w:val="auto"/>
              </w:rPr>
              <w:t>TOTAL LIABILITIES AND SHAREHOLDERS' EQUITY</w:t>
            </w:r>
          </w:p>
        </w:tc>
        <w:tc>
          <w:tcPr>
            <w:tcW w:w="180" w:type="dxa"/>
            <w:vAlign w:val="bottom"/>
            <w:gridSpan w:val="2"/>
          </w:tcPr>
          <w:p>
            <w:pPr>
              <w:jc w:val="right"/>
              <w:ind w:right="7"/>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2,534,076</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2,577,086</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2,547,608</w:t>
            </w:r>
          </w:p>
        </w:tc>
        <w:tc>
          <w:tcPr>
            <w:tcW w:w="100" w:type="dxa"/>
            <w:vAlign w:val="bottom"/>
          </w:tcPr>
          <w:p>
            <w:pPr>
              <w:spacing w:after="0"/>
              <w:rPr>
                <w:sz w:val="18"/>
                <w:szCs w:val="18"/>
                <w:color w:val="auto"/>
              </w:rPr>
            </w:pPr>
          </w:p>
        </w:tc>
      </w:tr>
      <w:tr>
        <w:trPr>
          <w:trHeight w:val="20"/>
        </w:trPr>
        <w:tc>
          <w:tcPr>
            <w:tcW w:w="7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7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8" w:name="page9"/>
    <w:bookmarkEnd w:id="8"/>
    <w:p>
      <w:pPr>
        <w:ind w:left="33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7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36"/>
        </w:trPr>
        <w:tc>
          <w:tcPr>
            <w:tcW w:w="7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357,191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355,611</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426,168</w:t>
            </w:r>
          </w:p>
        </w:tc>
        <w:tc>
          <w:tcPr>
            <w:tcW w:w="100" w:type="dxa"/>
            <w:vAlign w:val="bottom"/>
            <w:shd w:val="clear" w:color="auto" w:fill="CCEEFF"/>
          </w:tcPr>
          <w:p>
            <w:pPr>
              <w:spacing w:after="0"/>
              <w:rPr>
                <w:sz w:val="19"/>
                <w:szCs w:val="19"/>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270,674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259,894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313,728</w:t>
            </w:r>
          </w:p>
        </w:tc>
        <w:tc>
          <w:tcPr>
            <w:tcW w:w="100" w:type="dxa"/>
            <w:vAlign w:val="bottom"/>
          </w:tcPr>
          <w:p>
            <w:pPr>
              <w:spacing w:after="0"/>
              <w:rPr>
                <w:sz w:val="19"/>
                <w:szCs w:val="19"/>
                <w:color w:val="auto"/>
              </w:rPr>
            </w:pPr>
          </w:p>
        </w:tc>
      </w:tr>
      <w:tr>
        <w:trPr>
          <w:trHeight w:val="237"/>
        </w:trPr>
        <w:tc>
          <w:tcPr>
            <w:tcW w:w="7320" w:type="dxa"/>
            <w:vAlign w:val="bottom"/>
            <w:tcBorders>
              <w:bottom w:val="single" w:sz="8" w:color="CCEEFF"/>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86,517</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95,717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112,440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32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19,452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20,481</w:t>
            </w: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17,387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18,629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21,285</w:t>
            </w:r>
          </w:p>
        </w:tc>
        <w:tc>
          <w:tcPr>
            <w:tcW w:w="100" w:type="dxa"/>
            <w:vAlign w:val="bottom"/>
          </w:tcPr>
          <w:p>
            <w:pPr>
              <w:spacing w:after="0"/>
              <w:rPr>
                <w:sz w:val="19"/>
                <w:szCs w:val="19"/>
                <w:color w:val="auto"/>
              </w:rPr>
            </w:pPr>
          </w:p>
        </w:tc>
      </w:tr>
      <w:tr>
        <w:trPr>
          <w:trHeight w:val="237"/>
        </w:trPr>
        <w:tc>
          <w:tcPr>
            <w:tcW w:w="7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Restructuring income, net *</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(851)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(31,655)</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35,988</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6,305</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41,766</w:t>
            </w:r>
          </w:p>
        </w:tc>
        <w:tc>
          <w:tcPr>
            <w:tcW w:w="100" w:type="dxa"/>
            <w:vAlign w:val="bottom"/>
            <w:tcBorders>
              <w:top w:val="single" w:sz="8" w:color="CCEEFF"/>
            </w:tcBorders>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3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OPERATING PROFIT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50,529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89,412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70,674</w:t>
            </w:r>
          </w:p>
        </w:tc>
        <w:tc>
          <w:tcPr>
            <w:tcW w:w="100" w:type="dxa"/>
            <w:vAlign w:val="bottom"/>
          </w:tcPr>
          <w:p>
            <w:pPr>
              <w:spacing w:after="0"/>
              <w:rPr>
                <w:sz w:val="19"/>
                <w:szCs w:val="19"/>
                <w:color w:val="auto"/>
              </w:rPr>
            </w:pPr>
          </w:p>
        </w:tc>
      </w:tr>
      <w:tr>
        <w:trPr>
          <w:trHeight w:val="237"/>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160" w:type="dxa"/>
            <w:vAlign w:val="bottom"/>
            <w:shd w:val="clear" w:color="auto" w:fill="CCEEFF"/>
          </w:tcPr>
          <w:p>
            <w:pPr>
              <w:spacing w:after="0"/>
              <w:rPr>
                <w:sz w:val="20"/>
                <w:szCs w:val="20"/>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3,924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(8,162)</w:t>
            </w:r>
          </w:p>
        </w:tc>
      </w:tr>
      <w:tr>
        <w:trPr>
          <w:trHeight w:val="216"/>
        </w:trPr>
        <w:tc>
          <w:tcPr>
            <w:tcW w:w="732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54,453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96,409</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62,512</w:t>
            </w:r>
          </w:p>
        </w:tc>
        <w:tc>
          <w:tcPr>
            <w:tcW w:w="100" w:type="dxa"/>
            <w:vAlign w:val="bottom"/>
            <w:tcBorders>
              <w:top w:val="single" w:sz="8" w:color="CCEEFF"/>
            </w:tcBorders>
          </w:tcPr>
          <w:p>
            <w:pPr>
              <w:spacing w:after="0"/>
              <w:rPr>
                <w:sz w:val="18"/>
                <w:szCs w:val="18"/>
                <w:color w:val="auto"/>
              </w:rPr>
            </w:pPr>
          </w:p>
        </w:tc>
      </w:tr>
      <w:tr>
        <w:trPr>
          <w:trHeight w:val="237"/>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TAX EXPENSE, NET</w:t>
            </w:r>
          </w:p>
        </w:tc>
        <w:tc>
          <w:tcPr>
            <w:tcW w:w="1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(5,747)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(15,041)</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(4,339)</w:t>
            </w:r>
          </w:p>
        </w:tc>
      </w:tr>
      <w:tr>
        <w:trPr>
          <w:trHeight w:val="216"/>
        </w:trPr>
        <w:tc>
          <w:tcPr>
            <w:tcW w:w="7320" w:type="dxa"/>
            <w:vAlign w:val="bottom"/>
            <w:tcBorders>
              <w:top w:val="single" w:sz="8" w:color="CCEEFF"/>
            </w:tcBorders>
          </w:tcPr>
          <w:p>
            <w:pPr>
              <w:ind w:left="340"/>
              <w:spacing w:after="0"/>
              <w:rPr>
                <w:sz w:val="20"/>
                <w:szCs w:val="20"/>
                <w:color w:val="auto"/>
              </w:rPr>
            </w:pPr>
            <w:r>
              <w:rPr>
                <w:rFonts w:ascii="Arial" w:cs="Arial" w:eastAsia="Arial" w:hAnsi="Arial"/>
                <w:sz w:val="18"/>
                <w:szCs w:val="18"/>
                <w:b w:val="1"/>
                <w:bCs w:val="1"/>
                <w:color w:val="auto"/>
              </w:rPr>
              <w:t>NET PROFIT</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48,706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81,368</w:t>
            </w: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58,173</w:t>
            </w:r>
          </w:p>
        </w:tc>
        <w:tc>
          <w:tcPr>
            <w:tcW w:w="100" w:type="dxa"/>
            <w:vAlign w:val="bottom"/>
            <w:tcBorders>
              <w:top w:val="single" w:sz="8" w:color="CCEEFF"/>
            </w:tcBorders>
          </w:tcPr>
          <w:p>
            <w:pPr>
              <w:spacing w:after="0"/>
              <w:rPr>
                <w:sz w:val="18"/>
                <w:szCs w:val="18"/>
                <w:color w:val="auto"/>
              </w:rPr>
            </w:pPr>
          </w:p>
        </w:tc>
      </w:tr>
      <w:tr>
        <w:trPr>
          <w:trHeight w:val="230"/>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(income) attributable to non-controlling interest</w:t>
            </w:r>
          </w:p>
        </w:tc>
        <w:tc>
          <w:tcPr>
            <w:tcW w:w="160" w:type="dxa"/>
            <w:vAlign w:val="bottom"/>
            <w:shd w:val="clear" w:color="auto" w:fill="CCEEFF"/>
          </w:tcPr>
          <w:p>
            <w:pPr>
              <w:spacing w:after="0"/>
              <w:rPr>
                <w:sz w:val="19"/>
                <w:szCs w:val="19"/>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2,484</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(9,966)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(96)</w:t>
            </w:r>
          </w:p>
        </w:tc>
      </w:tr>
      <w:tr>
        <w:trPr>
          <w:trHeight w:val="27"/>
        </w:trPr>
        <w:tc>
          <w:tcPr>
            <w:tcW w:w="7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0"/>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51,190</w:t>
            </w:r>
          </w:p>
        </w:tc>
        <w:tc>
          <w:tcPr>
            <w:tcW w:w="1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71,402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58,077</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23"/>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110,088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109,961</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109,138</w:t>
            </w:r>
          </w:p>
        </w:tc>
        <w:tc>
          <w:tcPr>
            <w:tcW w:w="100" w:type="dxa"/>
            <w:vAlign w:val="bottom"/>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73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0.46</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0.64</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111,234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111,071</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110,561</w:t>
            </w:r>
          </w:p>
        </w:tc>
        <w:tc>
          <w:tcPr>
            <w:tcW w:w="10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Restructuring income, net resulted from the previously disclosed reorganization and restructure of our Japan operations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 w:name="page10"/>
    <w:bookmarkEnd w:id="9"/>
    <w:p>
      <w:pPr>
        <w:ind w:left="33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66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34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Six months ended</w:t>
            </w:r>
          </w:p>
        </w:tc>
      </w:tr>
      <w:tr>
        <w:trPr>
          <w:trHeight w:val="223"/>
        </w:trPr>
        <w:tc>
          <w:tcPr>
            <w:tcW w:w="66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66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712,802</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847,300</w:t>
            </w:r>
          </w:p>
        </w:tc>
        <w:tc>
          <w:tcPr>
            <w:tcW w:w="100" w:type="dxa"/>
            <w:vAlign w:val="bottom"/>
            <w:shd w:val="clear" w:color="auto" w:fill="CCEEFF"/>
          </w:tcPr>
          <w:p>
            <w:pPr>
              <w:spacing w:after="0"/>
              <w:rPr>
                <w:sz w:val="19"/>
                <w:szCs w:val="19"/>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COST OF REVENUES</w:t>
            </w:r>
          </w:p>
        </w:tc>
        <w:tc>
          <w:tcPr>
            <w:tcW w:w="2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530,568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630,229</w:t>
            </w:r>
          </w:p>
        </w:tc>
        <w:tc>
          <w:tcPr>
            <w:tcW w:w="100" w:type="dxa"/>
            <w:vAlign w:val="bottom"/>
          </w:tcPr>
          <w:p>
            <w:pPr>
              <w:spacing w:after="0"/>
              <w:rPr>
                <w:sz w:val="19"/>
                <w:szCs w:val="19"/>
                <w:color w:val="auto"/>
              </w:rPr>
            </w:pPr>
          </w:p>
        </w:tc>
      </w:tr>
      <w:tr>
        <w:trPr>
          <w:trHeight w:val="237"/>
        </w:trPr>
        <w:tc>
          <w:tcPr>
            <w:tcW w:w="6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GROSS PROFIT</w:t>
            </w:r>
          </w:p>
        </w:tc>
        <w:tc>
          <w:tcPr>
            <w:tcW w:w="20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182,234</w:t>
            </w:r>
          </w:p>
        </w:tc>
        <w:tc>
          <w:tcPr>
            <w:tcW w:w="2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217,071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660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Research and development</w:t>
            </w:r>
          </w:p>
        </w:tc>
        <w:tc>
          <w:tcPr>
            <w:tcW w:w="2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38,783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40,799</w:t>
            </w:r>
          </w:p>
        </w:tc>
        <w:tc>
          <w:tcPr>
            <w:tcW w:w="100" w:type="dxa"/>
            <w:vAlign w:val="bottom"/>
            <w:shd w:val="clear" w:color="auto" w:fill="CCEEFF"/>
          </w:tcPr>
          <w:p>
            <w:pPr>
              <w:spacing w:after="0"/>
              <w:rPr>
                <w:sz w:val="18"/>
                <w:szCs w:val="18"/>
                <w:color w:val="auto"/>
              </w:rPr>
            </w:pPr>
          </w:p>
        </w:tc>
      </w:tr>
      <w:tr>
        <w:trPr>
          <w:trHeight w:val="229"/>
        </w:trPr>
        <w:tc>
          <w:tcPr>
            <w:tcW w:w="6600" w:type="dxa"/>
            <w:vAlign w:val="bottom"/>
          </w:tcPr>
          <w:p>
            <w:pPr>
              <w:ind w:left="180"/>
              <w:spacing w:after="0"/>
              <w:rPr>
                <w:sz w:val="20"/>
                <w:szCs w:val="20"/>
                <w:color w:val="auto"/>
              </w:rPr>
            </w:pPr>
            <w:r>
              <w:rPr>
                <w:rFonts w:ascii="Arial" w:cs="Arial" w:eastAsia="Arial" w:hAnsi="Arial"/>
                <w:sz w:val="18"/>
                <w:szCs w:val="18"/>
                <w:b w:val="1"/>
                <w:bCs w:val="1"/>
                <w:color w:val="auto"/>
              </w:rPr>
              <w:t>Marketing, general and administrative</w:t>
            </w:r>
          </w:p>
        </w:tc>
        <w:tc>
          <w:tcPr>
            <w:tcW w:w="2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36,016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42,538</w:t>
            </w:r>
          </w:p>
        </w:tc>
        <w:tc>
          <w:tcPr>
            <w:tcW w:w="100" w:type="dxa"/>
            <w:vAlign w:val="bottom"/>
          </w:tcPr>
          <w:p>
            <w:pPr>
              <w:spacing w:after="0"/>
              <w:rPr>
                <w:sz w:val="19"/>
                <w:szCs w:val="19"/>
                <w:color w:val="auto"/>
              </w:rPr>
            </w:pPr>
          </w:p>
        </w:tc>
      </w:tr>
      <w:tr>
        <w:trPr>
          <w:trHeight w:val="237"/>
        </w:trPr>
        <w:tc>
          <w:tcPr>
            <w:tcW w:w="66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Restructuring income, net *</w:t>
            </w:r>
          </w:p>
        </w:tc>
        <w:tc>
          <w:tcPr>
            <w:tcW w:w="20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(32,506)</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20"/>
                <w:szCs w:val="20"/>
                <w:color w:val="auto"/>
              </w:rPr>
            </w:pPr>
          </w:p>
        </w:tc>
      </w:tr>
      <w:tr>
        <w:trPr>
          <w:trHeight w:val="216"/>
        </w:trPr>
        <w:tc>
          <w:tcPr>
            <w:tcW w:w="6600" w:type="dxa"/>
            <w:vAlign w:val="bottom"/>
            <w:tcBorders>
              <w:top w:val="single" w:sz="8" w:color="CCEEFF"/>
            </w:tcBorders>
          </w:tcPr>
          <w:p>
            <w:pPr>
              <w:spacing w:after="0"/>
              <w:rPr>
                <w:sz w:val="18"/>
                <w:szCs w:val="18"/>
                <w:color w:val="auto"/>
              </w:rPr>
            </w:pPr>
          </w:p>
        </w:tc>
        <w:tc>
          <w:tcPr>
            <w:tcW w:w="2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66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42,293</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83,337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66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OPERATING PROFIT</w:t>
            </w:r>
          </w:p>
        </w:tc>
        <w:tc>
          <w:tcPr>
            <w:tcW w:w="2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139,941</w:t>
            </w: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133,734</w:t>
            </w:r>
          </w:p>
        </w:tc>
        <w:tc>
          <w:tcPr>
            <w:tcW w:w="100" w:type="dxa"/>
            <w:vAlign w:val="bottom"/>
            <w:shd w:val="clear" w:color="auto" w:fill="CCEEFF"/>
          </w:tcPr>
          <w:p>
            <w:pPr>
              <w:spacing w:after="0"/>
              <w:rPr>
                <w:sz w:val="19"/>
                <w:szCs w:val="19"/>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18"/>
                <w:szCs w:val="18"/>
                <w:b w:val="1"/>
                <w:bCs w:val="1"/>
                <w:color w:val="auto"/>
              </w:rPr>
              <w:t>FINANCING AND OTHER INCOME (EXPENSE), NET</w:t>
            </w: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10,921</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(10,295)</w:t>
            </w:r>
          </w:p>
        </w:tc>
      </w:tr>
      <w:tr>
        <w:trPr>
          <w:trHeight w:val="216"/>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PROFIT BEFORE INCOME TAX</w:t>
            </w:r>
          </w:p>
        </w:tc>
        <w:tc>
          <w:tcPr>
            <w:tcW w:w="2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150,862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123,439</w:t>
            </w:r>
          </w:p>
        </w:tc>
        <w:tc>
          <w:tcPr>
            <w:tcW w:w="100" w:type="dxa"/>
            <w:vAlign w:val="bottom"/>
            <w:shd w:val="clear" w:color="auto" w:fill="CCEEFF"/>
          </w:tcPr>
          <w:p>
            <w:pPr>
              <w:spacing w:after="0"/>
              <w:rPr>
                <w:sz w:val="18"/>
                <w:szCs w:val="18"/>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18"/>
                <w:szCs w:val="18"/>
                <w:b w:val="1"/>
                <w:bCs w:val="1"/>
                <w:color w:val="auto"/>
              </w:rPr>
              <w:t>INCOME TAX EXPENSE, NET</w:t>
            </w: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(20,788)</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(9,492)</w:t>
            </w:r>
          </w:p>
        </w:tc>
      </w:tr>
      <w:tr>
        <w:trPr>
          <w:trHeight w:val="216"/>
        </w:trPr>
        <w:tc>
          <w:tcPr>
            <w:tcW w:w="66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w:t>
            </w:r>
          </w:p>
        </w:tc>
        <w:tc>
          <w:tcPr>
            <w:tcW w:w="20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130,074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113,947</w:t>
            </w:r>
          </w:p>
        </w:tc>
        <w:tc>
          <w:tcPr>
            <w:tcW w:w="100" w:type="dxa"/>
            <w:vAlign w:val="bottom"/>
            <w:shd w:val="clear" w:color="auto" w:fill="CCEEFF"/>
          </w:tcPr>
          <w:p>
            <w:pPr>
              <w:spacing w:after="0"/>
              <w:rPr>
                <w:sz w:val="18"/>
                <w:szCs w:val="18"/>
                <w:color w:val="auto"/>
              </w:rPr>
            </w:pPr>
          </w:p>
        </w:tc>
      </w:tr>
      <w:tr>
        <w:trPr>
          <w:trHeight w:val="236"/>
        </w:trPr>
        <w:tc>
          <w:tcPr>
            <w:tcW w:w="6600" w:type="dxa"/>
            <w:vAlign w:val="bottom"/>
          </w:tcPr>
          <w:p>
            <w:pPr>
              <w:spacing w:after="0"/>
              <w:rPr>
                <w:sz w:val="20"/>
                <w:szCs w:val="20"/>
                <w:color w:val="auto"/>
              </w:rPr>
            </w:pPr>
            <w:r>
              <w:rPr>
                <w:rFonts w:ascii="Arial" w:cs="Arial" w:eastAsia="Arial" w:hAnsi="Arial"/>
                <w:sz w:val="18"/>
                <w:szCs w:val="18"/>
                <w:b w:val="1"/>
                <w:bCs w:val="1"/>
                <w:color w:val="auto"/>
              </w:rPr>
              <w:t>Net income attributable to non-controlling interest</w:t>
            </w:r>
          </w:p>
        </w:tc>
        <w:tc>
          <w:tcPr>
            <w:tcW w:w="2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(7,482)</w:t>
            </w:r>
          </w:p>
        </w:tc>
        <w:tc>
          <w:tcPr>
            <w:tcW w:w="3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(1,837)</w:t>
            </w:r>
          </w:p>
        </w:tc>
      </w:tr>
      <w:tr>
        <w:trPr>
          <w:trHeight w:val="270"/>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PROFIT ATTRIBUTABLE TO THE COMPANY</w:t>
            </w:r>
          </w:p>
        </w:tc>
        <w:tc>
          <w:tcPr>
            <w:tcW w:w="20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122,592</w:t>
            </w:r>
          </w:p>
        </w:tc>
        <w:tc>
          <w:tcPr>
            <w:tcW w:w="2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112,110</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BASIC EARNINGS PER SHARE</w:t>
            </w:r>
          </w:p>
        </w:tc>
        <w:tc>
          <w:tcPr>
            <w:tcW w:w="2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2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06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110,025</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109,037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DILUTED EARNINGS PER SHARE</w:t>
            </w:r>
          </w:p>
        </w:tc>
        <w:tc>
          <w:tcPr>
            <w:tcW w:w="2300" w:type="dxa"/>
            <w:vAlign w:val="bottom"/>
            <w:gridSpan w:val="2"/>
          </w:tcPr>
          <w:p>
            <w:pPr>
              <w:jc w:val="right"/>
              <w:ind w:right="87"/>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19"/>
                <w:szCs w:val="19"/>
                <w:color w:val="auto"/>
              </w:rPr>
            </w:pPr>
          </w:p>
        </w:tc>
      </w:tr>
      <w:tr>
        <w:trPr>
          <w:trHeight w:val="21"/>
        </w:trPr>
        <w:tc>
          <w:tcPr>
            <w:tcW w:w="66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shares</w:t>
            </w:r>
          </w:p>
        </w:tc>
        <w:tc>
          <w:tcPr>
            <w:tcW w:w="20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111,153</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110,561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Restructuring income, net resulted from the previously disclosed reorganization and restructure of our Japan operations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left="33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6"/>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7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37"/>
        </w:trPr>
        <w:tc>
          <w:tcPr>
            <w:tcW w:w="7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30"/>
        </w:trPr>
        <w:tc>
          <w:tcPr>
            <w:tcW w:w="7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304,934</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340,759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203,484</w:t>
            </w:r>
          </w:p>
        </w:tc>
        <w:tc>
          <w:tcPr>
            <w:tcW w:w="100" w:type="dxa"/>
            <w:vAlign w:val="bottom"/>
            <w:shd w:val="clear" w:color="auto" w:fill="CCEEFF"/>
          </w:tcPr>
          <w:p>
            <w:pPr>
              <w:spacing w:after="0"/>
              <w:rPr>
                <w:sz w:val="19"/>
                <w:szCs w:val="19"/>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cash provided by operating activities</w:t>
            </w:r>
          </w:p>
        </w:tc>
        <w:tc>
          <w:tcPr>
            <w:tcW w:w="1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75,494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72,727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138,097</w:t>
            </w:r>
          </w:p>
        </w:tc>
        <w:tc>
          <w:tcPr>
            <w:tcW w:w="100" w:type="dxa"/>
            <w:vAlign w:val="bottom"/>
          </w:tcPr>
          <w:p>
            <w:pPr>
              <w:spacing w:after="0"/>
              <w:rPr>
                <w:sz w:val="18"/>
                <w:szCs w:val="18"/>
                <w:color w:val="auto"/>
              </w:rPr>
            </w:pPr>
          </w:p>
        </w:tc>
      </w:tr>
      <w:tr>
        <w:trPr>
          <w:trHeight w:val="229"/>
        </w:trPr>
        <w:tc>
          <w:tcPr>
            <w:tcW w:w="7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(89,433)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(105,245)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(49,377)</w:t>
            </w:r>
          </w:p>
        </w:tc>
      </w:tr>
      <w:tr>
        <w:trPr>
          <w:trHeight w:val="230"/>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Debt repaid and others, net</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(10,093)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(28,796)</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(8,211)</w:t>
            </w:r>
          </w:p>
        </w:tc>
      </w:tr>
      <w:tr>
        <w:trPr>
          <w:trHeight w:val="216"/>
        </w:trPr>
        <w:tc>
          <w:tcPr>
            <w:tcW w:w="7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29"/>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(637)</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(7,682)</w:t>
            </w:r>
          </w:p>
        </w:tc>
      </w:tr>
      <w:tr>
        <w:trPr>
          <w:trHeight w:val="230"/>
        </w:trPr>
        <w:tc>
          <w:tcPr>
            <w:tcW w:w="73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42,615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24,194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(65,134)</w:t>
            </w:r>
          </w:p>
        </w:tc>
      </w:tr>
      <w:tr>
        <w:trPr>
          <w:trHeight w:val="27"/>
        </w:trPr>
        <w:tc>
          <w:tcPr>
            <w:tcW w:w="732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318,195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304,934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211,177</w:t>
            </w: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9"/>
        </w:trPr>
        <w:tc>
          <w:tcPr>
            <w:tcW w:w="7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ind w:left="33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left="850"/>
              <w:spacing w:after="0"/>
              <w:rPr>
                <w:sz w:val="20"/>
                <w:szCs w:val="20"/>
                <w:color w:val="auto"/>
              </w:rPr>
            </w:pPr>
            <w:r>
              <w:rPr>
                <w:rFonts w:ascii="Arial" w:cs="Arial" w:eastAsia="Arial" w:hAnsi="Arial"/>
                <w:sz w:val="18"/>
                <w:szCs w:val="18"/>
                <w:b w:val="1"/>
                <w:bCs w:val="1"/>
                <w:color w:val="auto"/>
                <w:w w:val="89"/>
              </w:rPr>
              <w:t>Three months ended</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23"/>
        </w:trPr>
        <w:tc>
          <w:tcPr>
            <w:tcW w:w="7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9"/>
                <w:szCs w:val="19"/>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9"/>
                <w:szCs w:val="19"/>
                <w:color w:val="auto"/>
              </w:rPr>
            </w:pPr>
          </w:p>
        </w:tc>
      </w:tr>
      <w:tr>
        <w:trPr>
          <w:trHeight w:val="237"/>
        </w:trPr>
        <w:tc>
          <w:tcPr>
            <w:tcW w:w="7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2023</w:t>
            </w: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29"/>
        </w:trPr>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Net profit for the period</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48,706</w:t>
            </w:r>
          </w:p>
        </w:tc>
        <w:tc>
          <w:tcPr>
            <w:tcW w:w="12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81,368</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58,173</w:t>
            </w:r>
          </w:p>
        </w:tc>
        <w:tc>
          <w:tcPr>
            <w:tcW w:w="100" w:type="dxa"/>
            <w:vAlign w:val="bottom"/>
          </w:tcPr>
          <w:p>
            <w:pPr>
              <w:spacing w:after="0"/>
              <w:rPr>
                <w:sz w:val="18"/>
                <w:szCs w:val="18"/>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29"/>
        </w:trPr>
        <w:tc>
          <w:tcPr>
            <w:tcW w:w="720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Depreciation and amortization</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63,579</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62,387</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67,007</w:t>
            </w:r>
          </w:p>
        </w:tc>
        <w:tc>
          <w:tcPr>
            <w:tcW w:w="100" w:type="dxa"/>
            <w:vAlign w:val="bottom"/>
            <w:shd w:val="clear" w:color="auto" w:fill="CCEEFF"/>
          </w:tcPr>
          <w:p>
            <w:pPr>
              <w:spacing w:after="0"/>
              <w:rPr>
                <w:sz w:val="19"/>
                <w:szCs w:val="19"/>
                <w:color w:val="auto"/>
              </w:rPr>
            </w:pPr>
          </w:p>
        </w:tc>
      </w:tr>
      <w:tr>
        <w:trPr>
          <w:trHeight w:val="229"/>
        </w:trPr>
        <w:tc>
          <w:tcPr>
            <w:tcW w:w="7200" w:type="dxa"/>
            <w:vAlign w:val="bottom"/>
          </w:tcPr>
          <w:p>
            <w:pPr>
              <w:ind w:left="660"/>
              <w:spacing w:after="0"/>
              <w:rPr>
                <w:sz w:val="20"/>
                <w:szCs w:val="20"/>
                <w:color w:val="auto"/>
              </w:rPr>
            </w:pPr>
            <w:r>
              <w:rPr>
                <w:rFonts w:ascii="Arial" w:cs="Arial" w:eastAsia="Arial" w:hAnsi="Arial"/>
                <w:sz w:val="18"/>
                <w:szCs w:val="18"/>
                <w:b w:val="1"/>
                <w:bCs w:val="1"/>
                <w:color w:val="auto"/>
              </w:rPr>
              <w:t>Effect of exchange rate differences and fair value adjustment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3,102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(926)</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2,276</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Other expense (income), net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w:t>
            </w:r>
          </w:p>
        </w:tc>
        <w:tc>
          <w:tcPr>
            <w:tcW w:w="100" w:type="dxa"/>
            <w:vAlign w:val="bottom"/>
            <w:shd w:val="clear" w:color="auto" w:fill="CCEEFF"/>
          </w:tcPr>
          <w:p>
            <w:pPr>
              <w:spacing w:after="0"/>
              <w:rPr>
                <w:sz w:val="18"/>
                <w:szCs w:val="18"/>
                <w:color w:val="auto"/>
              </w:rPr>
            </w:pPr>
          </w:p>
        </w:tc>
      </w:tr>
      <w:tr>
        <w:trPr>
          <w:trHeight w:val="230"/>
        </w:trPr>
        <w:tc>
          <w:tcPr>
            <w:tcW w:w="7200" w:type="dxa"/>
            <w:vAlign w:val="bottom"/>
          </w:tcPr>
          <w:p>
            <w:pPr>
              <w:ind w:left="500"/>
              <w:spacing w:after="0"/>
              <w:rPr>
                <w:sz w:val="20"/>
                <w:szCs w:val="20"/>
                <w:color w:val="auto"/>
              </w:rPr>
            </w:pPr>
            <w:r>
              <w:rPr>
                <w:rFonts w:ascii="Arial" w:cs="Arial" w:eastAsia="Arial" w:hAnsi="Arial"/>
                <w:sz w:val="18"/>
                <w:szCs w:val="18"/>
                <w:b w:val="1"/>
                <w:bCs w:val="1"/>
                <w:color w:val="auto"/>
              </w:rPr>
              <w:t>Changes in assets and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(21,241)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7,413</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3,578</w:t>
            </w:r>
          </w:p>
        </w:tc>
        <w:tc>
          <w:tcPr>
            <w:tcW w:w="100" w:type="dxa"/>
            <w:vAlign w:val="bottom"/>
            <w:shd w:val="clear" w:color="auto" w:fill="CCEEFF"/>
          </w:tcPr>
          <w:p>
            <w:pPr>
              <w:spacing w:after="0"/>
              <w:rPr>
                <w:sz w:val="19"/>
                <w:szCs w:val="19"/>
                <w:color w:val="auto"/>
              </w:rPr>
            </w:pPr>
          </w:p>
        </w:tc>
      </w:tr>
      <w:tr>
        <w:trPr>
          <w:trHeight w:val="216"/>
        </w:trPr>
        <w:tc>
          <w:tcPr>
            <w:tcW w:w="7200" w:type="dxa"/>
            <w:vAlign w:val="bottom"/>
          </w:tcPr>
          <w:p>
            <w:pPr>
              <w:ind w:left="660"/>
              <w:spacing w:after="0"/>
              <w:rPr>
                <w:sz w:val="20"/>
                <w:szCs w:val="20"/>
                <w:color w:val="auto"/>
              </w:rPr>
            </w:pPr>
            <w:r>
              <w:rPr>
                <w:rFonts w:ascii="Arial" w:cs="Arial" w:eastAsia="Arial" w:hAnsi="Arial"/>
                <w:sz w:val="18"/>
                <w:szCs w:val="18"/>
                <w:b w:val="1"/>
                <w:bCs w:val="1"/>
                <w:color w:val="auto"/>
              </w:rPr>
              <w:t>Other assets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(1,138)</w:t>
            </w:r>
          </w:p>
        </w:tc>
        <w:tc>
          <w:tcPr>
            <w:tcW w:w="16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(3,355)</w:t>
            </w:r>
          </w:p>
        </w:tc>
      </w:tr>
      <w:tr>
        <w:trPr>
          <w:trHeight w:val="230"/>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Inventories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16,315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(57,420)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(10,630)</w:t>
            </w:r>
          </w:p>
        </w:tc>
      </w:tr>
      <w:tr>
        <w:trPr>
          <w:trHeight w:val="216"/>
        </w:trPr>
        <w:tc>
          <w:tcPr>
            <w:tcW w:w="7200" w:type="dxa"/>
            <w:vAlign w:val="bottom"/>
          </w:tcPr>
          <w:p>
            <w:pPr>
              <w:ind w:left="66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(24,712)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22,415</w:t>
            </w:r>
          </w:p>
        </w:tc>
        <w:tc>
          <w:tcPr>
            <w:tcW w:w="100" w:type="dxa"/>
            <w:vAlign w:val="bottom"/>
          </w:tcPr>
          <w:p>
            <w:pPr>
              <w:spacing w:after="0"/>
              <w:rPr>
                <w:sz w:val="18"/>
                <w:szCs w:val="18"/>
                <w:color w:val="auto"/>
              </w:rPr>
            </w:pPr>
          </w:p>
        </w:tc>
      </w:tr>
      <w:tr>
        <w:trPr>
          <w:trHeight w:val="229"/>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(10,723)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(15,470)</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(14,031)</w:t>
            </w:r>
          </w:p>
        </w:tc>
      </w:tr>
      <w:tr>
        <w:trPr>
          <w:trHeight w:val="230"/>
        </w:trPr>
        <w:tc>
          <w:tcPr>
            <w:tcW w:w="7200" w:type="dxa"/>
            <w:vAlign w:val="bottom"/>
          </w:tcPr>
          <w:p>
            <w:pPr>
              <w:ind w:left="66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(5,479)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(45,053)</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10,974</w:t>
            </w:r>
          </w:p>
        </w:tc>
        <w:tc>
          <w:tcPr>
            <w:tcW w:w="100" w:type="dxa"/>
            <w:vAlign w:val="bottom"/>
          </w:tcPr>
          <w:p>
            <w:pPr>
              <w:spacing w:after="0"/>
              <w:rPr>
                <w:sz w:val="19"/>
                <w:szCs w:val="19"/>
                <w:color w:val="auto"/>
              </w:rPr>
            </w:pPr>
          </w:p>
        </w:tc>
      </w:tr>
      <w:tr>
        <w:trPr>
          <w:trHeight w:val="216"/>
        </w:trPr>
        <w:tc>
          <w:tcPr>
            <w:tcW w:w="720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8"/>
                <w:szCs w:val="18"/>
                <w:color w:val="auto"/>
              </w:rPr>
            </w:pPr>
          </w:p>
        </w:tc>
      </w:tr>
      <w:tr>
        <w:trPr>
          <w:trHeight w:val="236"/>
        </w:trPr>
        <w:tc>
          <w:tcPr>
            <w:tcW w:w="7200" w:type="dxa"/>
            <w:vAlign w:val="bottom"/>
          </w:tcPr>
          <w:p>
            <w:pPr>
              <w:ind w:left="66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3,715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(4,162)</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1,104</w:t>
            </w:r>
          </w:p>
        </w:tc>
        <w:tc>
          <w:tcPr>
            <w:tcW w:w="100" w:type="dxa"/>
            <w:vAlign w:val="bottom"/>
          </w:tcPr>
          <w:p>
            <w:pPr>
              <w:spacing w:after="0"/>
              <w:rPr>
                <w:sz w:val="20"/>
                <w:szCs w:val="20"/>
                <w:color w:val="auto"/>
              </w:rPr>
            </w:pPr>
          </w:p>
        </w:tc>
      </w:tr>
      <w:tr>
        <w:trPr>
          <w:trHeight w:val="237"/>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75,494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72,727</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138,097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Investments in property and equipment, net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(89,433)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(105,245)</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(49,377)</w:t>
            </w:r>
          </w:p>
        </w:tc>
      </w:tr>
      <w:tr>
        <w:trPr>
          <w:trHeight w:val="237"/>
        </w:trPr>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42,615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24,194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(65,134)</w:t>
            </w:r>
          </w:p>
        </w:tc>
      </w:tr>
      <w:tr>
        <w:trPr>
          <w:trHeight w:val="223"/>
        </w:trPr>
        <w:tc>
          <w:tcPr>
            <w:tcW w:w="7200" w:type="dxa"/>
            <w:vAlign w:val="bottom"/>
            <w:shd w:val="clear" w:color="auto" w:fill="CCEEFF"/>
          </w:tcPr>
          <w:p>
            <w:pPr>
              <w:ind w:left="82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(46,818)</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(81,051)</w:t>
            </w:r>
          </w:p>
        </w:tc>
        <w:tc>
          <w:tcPr>
            <w:tcW w:w="220" w:type="dxa"/>
            <w:vAlign w:val="bottom"/>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(114,511)</w:t>
            </w:r>
          </w:p>
        </w:tc>
        <w:tc>
          <w:tcPr>
            <w:tcW w:w="100" w:type="dxa"/>
            <w:vAlign w:val="bottom"/>
            <w:shd w:val="clear" w:color="auto" w:fill="CCEEFF"/>
          </w:tcPr>
          <w:p>
            <w:pPr>
              <w:spacing w:after="0"/>
              <w:rPr>
                <w:sz w:val="19"/>
                <w:szCs w:val="19"/>
                <w:color w:val="auto"/>
              </w:rPr>
            </w:pPr>
          </w:p>
        </w:tc>
      </w:tr>
      <w:tr>
        <w:trPr>
          <w:trHeight w:val="229"/>
        </w:trPr>
        <w:tc>
          <w:tcPr>
            <w:tcW w:w="720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30"/>
        </w:trPr>
        <w:tc>
          <w:tcPr>
            <w:tcW w:w="720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Debt repaid and others, net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(28,796)</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(8,211)</w:t>
            </w:r>
          </w:p>
        </w:tc>
      </w:tr>
      <w:tr>
        <w:trPr>
          <w:trHeight w:val="223"/>
        </w:trPr>
        <w:tc>
          <w:tcPr>
            <w:tcW w:w="7200" w:type="dxa"/>
            <w:vAlign w:val="bottom"/>
          </w:tcPr>
          <w:p>
            <w:pPr>
              <w:ind w:left="180"/>
              <w:spacing w:after="0"/>
              <w:rPr>
                <w:sz w:val="20"/>
                <w:szCs w:val="20"/>
                <w:color w:val="auto"/>
              </w:rPr>
            </w:pPr>
            <w:r>
              <w:rPr>
                <w:rFonts w:ascii="Arial" w:cs="Arial" w:eastAsia="Arial" w:hAnsi="Arial"/>
                <w:sz w:val="18"/>
                <w:szCs w:val="18"/>
                <w:b w:val="1"/>
                <w:bCs w:val="1"/>
                <w:color w:val="auto"/>
              </w:rPr>
              <w:t>Proceeds from an investment in a subsidiary</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37"/>
        </w:trPr>
        <w:tc>
          <w:tcPr>
            <w:tcW w:w="72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(10,093)</w:t>
            </w:r>
          </w:p>
        </w:tc>
        <w:tc>
          <w:tcPr>
            <w:tcW w:w="140" w:type="dxa"/>
            <w:vAlign w:val="bottom"/>
            <w:tcBorders>
              <w:bottom w:val="single" w:sz="8" w:color="CCEEFF"/>
            </w:tcBorders>
            <w:gridSpan w:val="2"/>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(26,864)</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(8,211)</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30"/>
        </w:trPr>
        <w:tc>
          <w:tcPr>
            <w:tcW w:w="720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(5,322)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(637)</w:t>
            </w:r>
          </w:p>
        </w:tc>
        <w:tc>
          <w:tcPr>
            <w:tcW w:w="16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(7,682)</w:t>
            </w:r>
          </w:p>
        </w:tc>
      </w:tr>
      <w:tr>
        <w:trPr>
          <w:trHeight w:val="20"/>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13,261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(35,825)</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7,693</w:t>
            </w:r>
          </w:p>
        </w:tc>
        <w:tc>
          <w:tcPr>
            <w:tcW w:w="100" w:type="dxa"/>
            <w:vAlign w:val="bottom"/>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304,934</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340,759</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203,484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29"/>
        </w:trPr>
        <w:tc>
          <w:tcPr>
            <w:tcW w:w="720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318,195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304,934</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211,177</w:t>
            </w:r>
          </w:p>
        </w:tc>
        <w:tc>
          <w:tcPr>
            <w:tcW w:w="100" w:type="dxa"/>
            <w:vAlign w:val="bottom"/>
          </w:tcPr>
          <w:p>
            <w:pPr>
              <w:spacing w:after="0"/>
              <w:rPr>
                <w:sz w:val="19"/>
                <w:szCs w:val="19"/>
                <w:color w:val="auto"/>
              </w:rPr>
            </w:pPr>
          </w:p>
        </w:tc>
      </w:tr>
      <w:tr>
        <w:trPr>
          <w:trHeight w:val="21"/>
        </w:trPr>
        <w:tc>
          <w:tcPr>
            <w:tcW w:w="7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1"/>
        </w:trPr>
        <w:tc>
          <w:tcPr>
            <w:tcW w:w="7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7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3"/>
    </w:lvl>
  </w:abstractNum>
  <w:abstractNum w:abstractNumId="1">
    <w:nsid w:val="19495CFF"/>
    <w:multiLevelType w:val="hybridMultilevel"/>
    <w:lvl w:ilvl="0">
      <w:lvlJc w:val="left"/>
      <w:lvlText w:val="(%1)"/>
      <w:numFmt w:val="lowerRoman"/>
      <w:start w:val="13"/>
    </w:lvl>
  </w:abstractNum>
  <w:abstractNum w:abstractNumId="2">
    <w:nsid w:val="2AE8944A"/>
    <w:multiLevelType w:val="hybridMultilevel"/>
    <w:lvl w:ilvl="0">
      <w:lvlJc w:val="left"/>
      <w:lvlText w:val="(%1)"/>
      <w:numFmt w:val="lowerRoman"/>
      <w:start w:val="15"/>
    </w:lvl>
  </w:abstractNum>
  <w:abstractNum w:abstractNumId="3">
    <w:nsid w:val="625558EC"/>
    <w:multiLevelType w:val="hybridMultilevel"/>
    <w:lvl w:ilvl="0">
      <w:lvlJc w:val="left"/>
      <w:lvlText w:val="(%1)"/>
      <w:numFmt w:val="lowerRoman"/>
      <w:start w:val="27"/>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2023-07-26T06:05:50Z</dcterms:created>
  <dcterms:modified xsi:type="dcterms:W3CDTF">2023-07-26T06:05:50Z</dcterms:modified>
</cp:coreProperties>
</file>