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July 2005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On July 24, 2005, the Registrant announced that it signed a definitive agreement for up to $60 million in funding.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24,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980" w:space="720"/>
            <w:col w:w="4519"/>
          </w:cols>
          <w:pgMar w:left="240" w:top="717" w:right="1440" w:bottom="1440" w:gutter="0" w:footer="0" w:header="0"/>
          <w:type w:val="continuous"/>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TOWER SEMICONDUCTOR SIGNS DEFINITIVE AGREEMENT FOR UP TO $60 MILLION IN</w:t>
      </w:r>
    </w:p>
    <w:p>
      <w:pPr>
        <w:jc w:val="center"/>
        <w:ind w:right="1879"/>
        <w:spacing w:after="0" w:line="238" w:lineRule="auto"/>
        <w:rPr>
          <w:sz w:val="20"/>
          <w:szCs w:val="20"/>
          <w:color w:val="auto"/>
        </w:rPr>
      </w:pPr>
      <w:r>
        <w:rPr>
          <w:rFonts w:ascii="Courier New" w:cs="Courier New" w:eastAsia="Courier New" w:hAnsi="Courier New"/>
          <w:sz w:val="18"/>
          <w:szCs w:val="18"/>
          <w:color w:val="auto"/>
        </w:rPr>
        <w:t>FUNDING</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July 24, 2005 -- Tower Semiconductor Ltd. (NASDAQ: TSEM; TASE: TSEM), a pure-play independent specialty foundry, today announced it has signed a definitive amendment agreement with its banks, following the previously announced Letter of Intent, signed on May 25th.</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Under this agreement, Tower's banks will provide the company with up to approximately $30 million of additional funding, with Tower agreeing to raise a matching amount. To date, certain shareholders of Tower have agreed to match $23.5 million toward this funding. The closing of the agreement is subject to the receipt of investment undertakings in the amount of $23.5 million to invest in the context of a rights offering. The agreement announced today also updated certain financial ratios and covenants of the company for the coming quarters, in order to adjust them to the company's recent working plan.</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agreements with our banks and shareholders enable us to focus on bringing our line of new customers, products and value-added technology projects into the production phase," said Russell Ellwanger, chief executive officer, Tower Semiconductor.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 micron and below standard and specialized process technologies and has a current capacity of up to 15,000 200mm wafers per month. Tower's website is located at www.towersemi.com.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COMPLETION OF THE EQUIPMENT INSTALLATION, TECHNOLOGY TRANSFER AND RAMP-UP OF PRODUCTION IN FAB 2, (II) HAVING SUFFICIENT FUNDS TO OPERATE THE COMPANY AND TO COMPLETE THE FAB 2 PROJECT, (III) THE CYCLICAL NATURE OF THE SEMICONDUCTOR INDUSTRY AND THE RESULTING PERIODIC OVERCAPACITY, FLUCTUATIONS IN OPERATING RESULTS, FUTURE AVERAGE SELLING PRICE EROSION THAT MAY BE MORE SEVERE THAN OUR EXPECTATIONS, (IV) OPERATING OUR FACILITIES AT SATISFACTORY UTILIZATION RATES WHICH IS CRITICAL IN ORDER TO COVER THE HIGH LEVEL OF FIXED COSTS ASSOCIATED WITH OPERATING A FOUNDRY, (V) OUR ABILITY TO MEET CERTAIN OF THE COVENANTS STIPULATED IN OUR AMENDED FACILITY AGREEMENT, (VI) THE CLOSING OF THE DEFINITIVE AMENDMENT TO THE FACILITY AGREEMENT AND THE RECEIPT AND CONSUMMATION OF THE INVESTORS' COMMITMENTS TO INVEST AT LEAST $23.5 MILLION, (VII) OUR ABILITY TO CAPITALIZE ON INCREASES IN DEMAND FOR FOUNDRY SERVICES, (VIII) MEETING THE CONDITIONS TO RECEIVE ISRAELI GOVERNMENT GRANTS AND TAX BENEFITS APPROVED FOR FAB 2 AND OBTAINING THE APPROVAL OF THE ISRAELI INVESTMENT CENTER TO EXTEND OR TO EXPAND THE FIVE-YEAR INVESTMENT PERIOD UNDER OUR FAB 2 APPROVED ENTERPRISE PROGRAM, (IX) ATTRACTING ADDITIONAL CUSTOMERS, IX) NOT RECEIVING ORDERS FROM OUR WAFER PARTNERS AND TECHNOLOGY PROVIDERS, (XI) FAILING TO MAINTAIN AND DEVELOP OUR TECHNOLOGY PROCESSES AND SERVICES, (XII) COMPETING EFFECTIVELY, (XIII) OUR LARGE AMOUNT OF DEBT, (XIV) ACHIEVING ACCEPTABLE DEVICE YIELDS, PRODUCT PERFORMANCE AND DELIVERY TIMES, (XV) THE TIMELY DEVELOPMENT, INTERNAL QUALIFICATION AND CUSTOMER ACCEPTANCE OF NEW PROCESSES AND PRODUCTS, AND (XVI) BUSINESS INTERRUPTION DUE TO TERROR ATTACKS, EARTHQUAKES, AND OTHER ACTS OF GOD.</w:t>
      </w:r>
    </w:p>
    <w:p>
      <w:pPr>
        <w:sectPr>
          <w:pgSz w:w="11900" w:h="16838" w:orient="portrait"/>
          <w:cols w:equalWidth="0" w:num="1">
            <w:col w:w="10219"/>
          </w:cols>
          <w:pgMar w:left="240" w:top="919" w:right="1440" w:bottom="1440" w:gutter="0" w:footer="0" w:header="0"/>
        </w:sectPr>
      </w:pPr>
    </w:p>
    <w:bookmarkStart w:id="3" w:name="page4"/>
    <w:bookmarkEnd w:id="3"/>
    <w:p>
      <w:pPr>
        <w:ind w:right="1999"/>
        <w:spacing w:after="0" w:line="271" w:lineRule="auto"/>
        <w:rPr>
          <w:sz w:val="20"/>
          <w:szCs w:val="20"/>
          <w:color w:val="auto"/>
        </w:rPr>
      </w:pPr>
      <w:r>
        <w:rPr>
          <w:rFonts w:ascii="Courier New" w:cs="Courier New" w:eastAsia="Courier New" w:hAnsi="Courier New"/>
          <w:sz w:val="16"/>
          <w:szCs w:val="16"/>
          <w:color w:val="auto"/>
        </w:rPr>
        <w:t>A MORE COMPLETE DISCUSSION OF RISKS AND UNCERTAINTIES THAT MAY AFFECT THE ACCURACY OF FORWARD-LOOKING STATEMENTS INCLUDED IN THIS PRESS RELEASE OR WHICH MAY OTHERWISE AFFECT OUR BUSINESS IS INCLUDED UNDER THE HEADING "RISK FACTORS" IN OUR MOST RECENT ANNUAL REPORT ON FORMS 20-F AND 6-K, AS WERE FILED WITH THE SECURITIES AND EXCHANGE COMMISSION AND THE ISRAEL SECURITIES AUTHORITY. FUTURE RESULTS MAY DIFFER MATERIALLY FROM THOSE PREVIOUSLY REPORTED. WE DO NOT INTEND TO UPDATE THE INFORMATION CONTAINED IN THIS RELEASE.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ind w:left="540"/>
        <w:spacing w:after="0" w:line="238" w:lineRule="auto"/>
        <w:rPr>
          <w:sz w:val="20"/>
          <w:szCs w:val="20"/>
          <w:color w:val="auto"/>
        </w:rPr>
      </w:pPr>
      <w:r>
        <w:rPr>
          <w:rFonts w:ascii="Courier New" w:cs="Courier New" w:eastAsia="Courier New" w:hAnsi="Courier New"/>
          <w:sz w:val="18"/>
          <w:szCs w:val="18"/>
          <w:color w:val="auto"/>
        </w:rPr>
        <w:t>Ilanit Vudinsky, +972 4 650 6434</w:t>
      </w:r>
    </w:p>
    <w:p>
      <w:pPr>
        <w:ind w:left="540"/>
        <w:spacing w:after="0"/>
        <w:rPr>
          <w:sz w:val="20"/>
          <w:szCs w:val="20"/>
          <w:color w:val="auto"/>
        </w:rPr>
      </w:pPr>
      <w:r>
        <w:rPr>
          <w:rFonts w:ascii="Courier New" w:cs="Courier New" w:eastAsia="Courier New" w:hAnsi="Courier New"/>
          <w:sz w:val="18"/>
          <w:szCs w:val="18"/>
          <w:color w:val="auto"/>
        </w:rPr>
        <w:t>ilanitvu@towersemi.com</w:t>
      </w:r>
    </w:p>
    <w:p>
      <w:pPr>
        <w:spacing w:after="0" w:line="200" w:lineRule="exact"/>
        <w:rPr>
          <w:sz w:val="20"/>
          <w:szCs w:val="20"/>
          <w:color w:val="auto"/>
        </w:rPr>
      </w:pP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Pacifico Inc.</w:t>
      </w:r>
    </w:p>
    <w:p>
      <w:pPr>
        <w:ind w:left="540"/>
        <w:spacing w:after="0" w:line="238" w:lineRule="auto"/>
        <w:rPr>
          <w:sz w:val="20"/>
          <w:szCs w:val="20"/>
          <w:color w:val="auto"/>
        </w:rPr>
      </w:pPr>
      <w:r>
        <w:rPr>
          <w:rFonts w:ascii="Courier New" w:cs="Courier New" w:eastAsia="Courier New" w:hAnsi="Courier New"/>
          <w:sz w:val="18"/>
          <w:szCs w:val="18"/>
          <w:color w:val="auto"/>
        </w:rPr>
        <w:t>PR Agency Contact</w:t>
      </w:r>
    </w:p>
    <w:p>
      <w:pPr>
        <w:ind w:left="540"/>
        <w:spacing w:after="0"/>
        <w:rPr>
          <w:sz w:val="20"/>
          <w:szCs w:val="20"/>
          <w:color w:val="auto"/>
        </w:rPr>
      </w:pPr>
      <w:r>
        <w:rPr>
          <w:rFonts w:ascii="Courier New" w:cs="Courier New" w:eastAsia="Courier New" w:hAnsi="Courier New"/>
          <w:sz w:val="18"/>
          <w:szCs w:val="18"/>
          <w:color w:val="auto"/>
        </w:rPr>
        <w:t>Mary Curtis, +1 408 293 8600</w:t>
      </w:r>
    </w:p>
    <w:p>
      <w:pPr>
        <w:ind w:left="540"/>
        <w:spacing w:after="0" w:line="237" w:lineRule="auto"/>
        <w:rPr>
          <w:sz w:val="20"/>
          <w:szCs w:val="20"/>
          <w:color w:val="auto"/>
        </w:rPr>
      </w:pPr>
      <w:r>
        <w:rPr>
          <w:rFonts w:ascii="Courier New" w:cs="Courier New" w:eastAsia="Courier New" w:hAnsi="Courier New"/>
          <w:sz w:val="18"/>
          <w:szCs w:val="18"/>
          <w:color w:val="auto"/>
        </w:rPr>
        <w:t>mcurtis@pacifico.com</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Fusion IR &amp; Communications</w:t>
      </w:r>
    </w:p>
    <w:p>
      <w:pPr>
        <w:ind w:left="540"/>
        <w:spacing w:after="0" w:line="238" w:lineRule="auto"/>
        <w:rPr>
          <w:sz w:val="20"/>
          <w:szCs w:val="20"/>
          <w:color w:val="auto"/>
        </w:rPr>
      </w:pPr>
      <w:r>
        <w:rPr>
          <w:rFonts w:ascii="Courier New" w:cs="Courier New" w:eastAsia="Courier New" w:hAnsi="Courier New"/>
          <w:sz w:val="18"/>
          <w:szCs w:val="18"/>
          <w:color w:val="auto"/>
        </w:rPr>
        <w:t>Investor Relations Contact</w:t>
      </w:r>
    </w:p>
    <w:p>
      <w:pPr>
        <w:ind w:left="540"/>
        <w:spacing w:after="0"/>
        <w:rPr>
          <w:sz w:val="20"/>
          <w:szCs w:val="20"/>
          <w:color w:val="auto"/>
        </w:rPr>
      </w:pPr>
      <w:r>
        <w:rPr>
          <w:rFonts w:ascii="Courier New" w:cs="Courier New" w:eastAsia="Courier New" w:hAnsi="Courier New"/>
          <w:sz w:val="18"/>
          <w:szCs w:val="18"/>
          <w:color w:val="auto"/>
        </w:rPr>
        <w:t>Sheldon Lutch, +1 212 268 1816</w:t>
      </w:r>
    </w:p>
    <w:p>
      <w:pPr>
        <w:ind w:left="540"/>
        <w:spacing w:after="0" w:line="237" w:lineRule="auto"/>
        <w:rPr>
          <w:sz w:val="20"/>
          <w:szCs w:val="20"/>
          <w:color w:val="auto"/>
        </w:rPr>
      </w:pPr>
      <w:r>
        <w:rPr>
          <w:rFonts w:ascii="Courier New" w:cs="Courier New" w:eastAsia="Courier New" w:hAnsi="Courier New"/>
          <w:sz w:val="18"/>
          <w:szCs w:val="18"/>
          <w:color w:val="auto"/>
        </w:rPr>
        <w:t>sheldon@fusionir.com</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2019-12-14T03:39:46Z</dcterms:created>
  <dcterms:modified xsi:type="dcterms:W3CDTF">2019-12-14T03:39:46Z</dcterms:modified>
</cp:coreProperties>
</file>