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Filed by Tower Semiconductor Ltd.</w:t>
      </w:r>
    </w:p>
    <w:p>
      <w:pPr>
        <w:spacing w:after="0" w:line="1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 xml:space="preserve">Filer's Commission File No. </w:t>
      </w:r>
      <w:r>
        <w:rPr>
          <w:rFonts w:ascii="Arial" w:cs="Arial" w:eastAsia="Arial" w:hAnsi="Arial"/>
          <w:sz w:val="18"/>
          <w:szCs w:val="18"/>
          <w:u w:val="single" w:color="auto"/>
          <w:color w:val="auto"/>
        </w:rPr>
        <w:t>000-24790</w:t>
      </w:r>
    </w:p>
    <w:p>
      <w:pPr>
        <w:spacing w:after="0" w:line="21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Subject Company: Jazz Technologies,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001-32832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56908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9085"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Tower Semiconductor Frequently Asked Questions (FAQs)</w:t>
      </w:r>
    </w:p>
    <w:p>
      <w:pPr>
        <w:spacing w:after="0" w:line="30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Jazz Technologies?</w:t>
      </w:r>
    </w:p>
    <w:p>
      <w:pPr>
        <w:spacing w:after="0" w:line="246" w:lineRule="exact"/>
        <w:rPr>
          <w:sz w:val="24"/>
          <w:szCs w:val="24"/>
          <w:color w:val="auto"/>
        </w:rPr>
      </w:pPr>
    </w:p>
    <w:p>
      <w:pPr>
        <w:ind w:left="580" w:right="80" w:hanging="572"/>
        <w:spacing w:after="0" w:line="290"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Jazz Technologies (AMEX:JAZ – News) is the parent company of Jazz Semiconductor, Inc., a leading independent wafer foundry focused on </w:t>
      </w:r>
      <w:r>
        <w:rPr>
          <w:rFonts w:ascii="Arial" w:cs="Arial" w:eastAsia="Arial" w:hAnsi="Arial"/>
          <w:sz w:val="16"/>
          <w:szCs w:val="16"/>
          <w:b w:val="1"/>
          <w:bCs w:val="1"/>
          <w:color w:val="auto"/>
        </w:rPr>
        <w:t xml:space="preserve">Analog-Intensive Mixed-Signal </w:t>
      </w:r>
      <w:r>
        <w:rPr>
          <w:rFonts w:ascii="Arial" w:cs="Arial" w:eastAsia="Arial" w:hAnsi="Arial"/>
          <w:sz w:val="16"/>
          <w:szCs w:val="16"/>
          <w:color w:val="auto"/>
        </w:rPr>
        <w:t>(AIMS) process technologies. The company’s broad product portfolio includes digital CMOS and specialty technologies,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RF CMOS, Analog CMOS, Silicon Germanium (</w:t>
      </w:r>
      <w:r>
        <w:rPr>
          <w:rFonts w:ascii="Arial" w:cs="Arial" w:eastAsia="Arial" w:hAnsi="Arial"/>
          <w:sz w:val="16"/>
          <w:szCs w:val="16"/>
          <w:b w:val="1"/>
          <w:bCs w:val="1"/>
          <w:color w:val="auto"/>
        </w:rPr>
        <w:t>SiGe), BiCMOS</w:t>
      </w:r>
      <w:r>
        <w:rPr>
          <w:rFonts w:ascii="Arial" w:cs="Arial" w:eastAsia="Arial" w:hAnsi="Arial"/>
          <w:sz w:val="16"/>
          <w:szCs w:val="16"/>
          <w:color w:val="auto"/>
        </w:rPr>
        <w:t xml:space="preserve">, Power CMOS and </w:t>
      </w:r>
      <w:r>
        <w:rPr>
          <w:rFonts w:ascii="Arial" w:cs="Arial" w:eastAsia="Arial" w:hAnsi="Arial"/>
          <w:sz w:val="16"/>
          <w:szCs w:val="16"/>
          <w:b w:val="1"/>
          <w:bCs w:val="1"/>
          <w:color w:val="auto"/>
        </w:rPr>
        <w:t>High Voltage CMOS</w:t>
      </w:r>
      <w:r>
        <w:rPr>
          <w:rFonts w:ascii="Arial" w:cs="Arial" w:eastAsia="Arial" w:hAnsi="Arial"/>
          <w:sz w:val="16"/>
          <w:szCs w:val="16"/>
          <w:color w:val="auto"/>
        </w:rPr>
        <w:t xml:space="preserve">.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t>
      </w:r>
      <w:r>
        <w:rPr>
          <w:rFonts w:ascii="Arial" w:cs="Arial" w:eastAsia="Arial" w:hAnsi="Arial"/>
          <w:sz w:val="16"/>
          <w:szCs w:val="16"/>
          <w:b w:val="1"/>
          <w:bCs w:val="1"/>
          <w:color w:val="auto"/>
        </w:rPr>
        <w:t>wireless</w:t>
      </w:r>
      <w:r>
        <w:rPr>
          <w:rFonts w:ascii="Arial" w:cs="Arial" w:eastAsia="Arial" w:hAnsi="Arial"/>
          <w:sz w:val="16"/>
          <w:szCs w:val="16"/>
          <w:color w:val="auto"/>
        </w:rPr>
        <w:t xml:space="preserve"> and </w:t>
      </w:r>
      <w:r>
        <w:rPr>
          <w:rFonts w:ascii="Arial" w:cs="Arial" w:eastAsia="Arial" w:hAnsi="Arial"/>
          <w:sz w:val="16"/>
          <w:szCs w:val="16"/>
          <w:b w:val="1"/>
          <w:bCs w:val="1"/>
          <w:color w:val="auto"/>
        </w:rPr>
        <w:t>high-speed wire line</w:t>
      </w:r>
      <w:r>
        <w:rPr>
          <w:rFonts w:ascii="Arial" w:cs="Arial" w:eastAsia="Arial" w:hAnsi="Arial"/>
          <w:sz w:val="16"/>
          <w:szCs w:val="16"/>
          <w:color w:val="auto"/>
        </w:rPr>
        <w:t xml:space="preserve"> communications, consumer electronics, automotive and industrial end markets, including defense and aerospace. Jazz’s executive offices and its U.S. </w:t>
      </w:r>
      <w:r>
        <w:rPr>
          <w:rFonts w:ascii="Arial" w:cs="Arial" w:eastAsia="Arial" w:hAnsi="Arial"/>
          <w:sz w:val="16"/>
          <w:szCs w:val="16"/>
          <w:b w:val="1"/>
          <w:bCs w:val="1"/>
          <w:color w:val="auto"/>
        </w:rPr>
        <w:t>wafer fabrication facilities are located in Newport Beach</w:t>
      </w:r>
      <w:r>
        <w:rPr>
          <w:rFonts w:ascii="Arial" w:cs="Arial" w:eastAsia="Arial" w:hAnsi="Arial"/>
          <w:sz w:val="16"/>
          <w:szCs w:val="16"/>
          <w:color w:val="auto"/>
        </w:rPr>
        <w:t>, CA. Jazz Semiconductor also has engineering and manufacturing support in China. For</w:t>
      </w:r>
      <w:r>
        <w:rPr>
          <w:rFonts w:ascii="Arial" w:cs="Arial" w:eastAsia="Arial" w:hAnsi="Arial"/>
          <w:sz w:val="16"/>
          <w:szCs w:val="16"/>
          <w:b w:val="1"/>
          <w:bCs w:val="1"/>
          <w:color w:val="auto"/>
        </w:rPr>
        <w:t xml:space="preserve"> </w:t>
      </w:r>
      <w:r>
        <w:rPr>
          <w:rFonts w:ascii="Arial" w:cs="Arial" w:eastAsia="Arial" w:hAnsi="Arial"/>
          <w:sz w:val="16"/>
          <w:szCs w:val="16"/>
          <w:color w:val="auto"/>
        </w:rPr>
        <w:t>more information, please visit http://www.jazztechnologies.com and http://www.jazzsemi.com.</w:t>
      </w:r>
    </w:p>
    <w:p>
      <w:pPr>
        <w:spacing w:after="0" w:line="199"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Why is Tower interested in acquiring Jazz?</w:t>
      </w:r>
    </w:p>
    <w:p>
      <w:pPr>
        <w:spacing w:after="0" w:line="246" w:lineRule="exact"/>
        <w:rPr>
          <w:sz w:val="24"/>
          <w:szCs w:val="24"/>
          <w:color w:val="auto"/>
        </w:rPr>
      </w:pPr>
    </w:p>
    <w:p>
      <w:pPr>
        <w:ind w:left="580" w:right="20" w:hanging="572"/>
        <w:spacing w:after="0" w:line="258"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expect the acquisition to make Tower the </w:t>
      </w:r>
      <w:r>
        <w:rPr>
          <w:rFonts w:ascii="Arial" w:cs="Arial" w:eastAsia="Arial" w:hAnsi="Arial"/>
          <w:sz w:val="18"/>
          <w:szCs w:val="18"/>
          <w:b w:val="1"/>
          <w:bCs w:val="1"/>
          <w:color w:val="auto"/>
        </w:rPr>
        <w:t>leading specialty pure-play foundry</w:t>
      </w:r>
      <w:r>
        <w:rPr>
          <w:rFonts w:ascii="Arial" w:cs="Arial" w:eastAsia="Arial" w:hAnsi="Arial"/>
          <w:sz w:val="18"/>
          <w:szCs w:val="18"/>
          <w:color w:val="auto"/>
        </w:rPr>
        <w:t xml:space="preserve"> and the seventh largest pure-play foundry in the world. </w:t>
      </w:r>
      <w:r>
        <w:rPr>
          <w:rFonts w:ascii="Arial" w:cs="Arial" w:eastAsia="Arial" w:hAnsi="Arial"/>
          <w:sz w:val="18"/>
          <w:szCs w:val="18"/>
          <w:b w:val="1"/>
          <w:bCs w:val="1"/>
          <w:color w:val="auto"/>
        </w:rPr>
        <w:t>Jazz process</w:t>
      </w:r>
      <w:r>
        <w:rPr>
          <w:rFonts w:ascii="Arial" w:cs="Arial" w:eastAsia="Arial" w:hAnsi="Arial"/>
          <w:sz w:val="18"/>
          <w:szCs w:val="18"/>
          <w:color w:val="auto"/>
        </w:rPr>
        <w:t xml:space="preserve"> </w:t>
      </w:r>
      <w:r>
        <w:rPr>
          <w:rFonts w:ascii="Arial" w:cs="Arial" w:eastAsia="Arial" w:hAnsi="Arial"/>
          <w:sz w:val="18"/>
          <w:szCs w:val="18"/>
          <w:b w:val="1"/>
          <w:bCs w:val="1"/>
          <w:color w:val="auto"/>
        </w:rPr>
        <w:t>technologies and customer base are highly complementary to Tower with little overlap, thereby allowing us to diversify our process technology portfolio</w:t>
      </w:r>
      <w:r>
        <w:rPr>
          <w:rFonts w:ascii="Arial" w:cs="Arial" w:eastAsia="Arial" w:hAnsi="Arial"/>
          <w:sz w:val="18"/>
          <w:szCs w:val="18"/>
          <w:color w:val="auto"/>
        </w:rPr>
        <w:t>. In particular, we believe our embedded non-volatile memory (NVM) and copper 130 nm technologies will be attractive to Jazz’s customer base</w:t>
      </w:r>
      <w:r>
        <w:rPr>
          <w:rFonts w:ascii="Arial" w:cs="Arial" w:eastAsia="Arial" w:hAnsi="Arial"/>
          <w:sz w:val="18"/>
          <w:szCs w:val="18"/>
          <w:b w:val="1"/>
          <w:bCs w:val="1"/>
          <w:color w:val="auto"/>
        </w:rPr>
        <w:t xml:space="preserve"> </w:t>
      </w:r>
      <w:r>
        <w:rPr>
          <w:rFonts w:ascii="Arial" w:cs="Arial" w:eastAsia="Arial" w:hAnsi="Arial"/>
          <w:sz w:val="18"/>
          <w:szCs w:val="18"/>
          <w:color w:val="auto"/>
        </w:rPr>
        <w:t>when integrated with Jazz’s BCD and SiGe process technologies.</w:t>
      </w:r>
    </w:p>
    <w:p>
      <w:pPr>
        <w:spacing w:after="0" w:line="223" w:lineRule="exact"/>
        <w:rPr>
          <w:rFonts w:ascii="Arial" w:cs="Arial" w:eastAsia="Arial" w:hAnsi="Arial"/>
          <w:sz w:val="18"/>
          <w:szCs w:val="18"/>
          <w:color w:val="auto"/>
        </w:rPr>
      </w:pPr>
    </w:p>
    <w:p>
      <w:pPr>
        <w:ind w:left="580" w:right="380"/>
        <w:spacing w:after="0" w:line="256" w:lineRule="auto"/>
        <w:rPr>
          <w:rFonts w:ascii="Arial" w:cs="Arial" w:eastAsia="Arial" w:hAnsi="Arial"/>
          <w:sz w:val="18"/>
          <w:szCs w:val="18"/>
          <w:color w:val="auto"/>
        </w:rPr>
      </w:pPr>
      <w:r>
        <w:rPr>
          <w:rFonts w:ascii="Arial" w:cs="Arial" w:eastAsia="Arial" w:hAnsi="Arial"/>
          <w:sz w:val="18"/>
          <w:szCs w:val="18"/>
          <w:color w:val="auto"/>
        </w:rPr>
        <w:t>We expect that together we will better serve customer demand for increased analog integration and manufacturing capacity. This presents an exciting opportunity for Tower to address market and technology shifts more competitively in the coming years. We anticipate that this acquisition will also enhance Tower’s ability to access capital to fund its strategic initiatives, including potential expansions into new applications, and to execute a more ambitious product roadmap.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257175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left="580" w:hanging="572"/>
        <w:spacing w:after="0"/>
        <w:tabs>
          <w:tab w:leader="none" w:pos="58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be the business strategy for the combined entity?</w:t>
      </w:r>
    </w:p>
    <w:p>
      <w:pPr>
        <w:spacing w:after="0" w:line="252" w:lineRule="exact"/>
        <w:rPr>
          <w:sz w:val="24"/>
          <w:szCs w:val="24"/>
          <w:color w:val="auto"/>
        </w:rPr>
      </w:pPr>
    </w:p>
    <w:p>
      <w:pPr>
        <w:ind w:left="580" w:right="6020" w:hanging="572"/>
        <w:spacing w:after="0" w:line="5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believe Tower and Jazz have complementary business strategies. Tower has two distinct customer engagement strategies:</w:t>
      </w:r>
    </w:p>
    <w:p>
      <w:pPr>
        <w:ind w:left="580" w:right="200"/>
        <w:spacing w:after="0" w:line="268" w:lineRule="auto"/>
        <w:rPr>
          <w:rFonts w:ascii="Arial" w:cs="Arial" w:eastAsia="Arial" w:hAnsi="Arial"/>
          <w:sz w:val="16"/>
          <w:szCs w:val="16"/>
          <w:color w:val="auto"/>
        </w:rPr>
      </w:pPr>
      <w:r>
        <w:rPr>
          <w:rFonts w:ascii="Arial" w:cs="Arial" w:eastAsia="Arial" w:hAnsi="Arial"/>
          <w:sz w:val="18"/>
          <w:szCs w:val="18"/>
          <w:color w:val="auto"/>
        </w:rPr>
        <w:t>The first is a Process Transfer strategy. We have multiple customers that have transferred their customer-owned process technologies into Tower’s fabs. This provides a high volume IDM order rate for business stability.</w:t>
      </w:r>
    </w:p>
    <w:p>
      <w:pPr>
        <w:spacing w:after="0" w:line="212" w:lineRule="exact"/>
        <w:rPr>
          <w:rFonts w:ascii="Arial" w:cs="Arial" w:eastAsia="Arial" w:hAnsi="Arial"/>
          <w:sz w:val="16"/>
          <w:szCs w:val="16"/>
          <w:color w:val="auto"/>
        </w:rPr>
      </w:pPr>
    </w:p>
    <w:p>
      <w:pPr>
        <w:ind w:left="580" w:right="120"/>
        <w:spacing w:after="0" w:line="291" w:lineRule="auto"/>
        <w:rPr>
          <w:rFonts w:ascii="Arial" w:cs="Arial" w:eastAsia="Arial" w:hAnsi="Arial"/>
          <w:sz w:val="16"/>
          <w:szCs w:val="16"/>
          <w:color w:val="auto"/>
        </w:rPr>
      </w:pPr>
      <w:r>
        <w:rPr>
          <w:rFonts w:ascii="Arial" w:cs="Arial" w:eastAsia="Arial" w:hAnsi="Arial"/>
          <w:sz w:val="16"/>
          <w:szCs w:val="16"/>
          <w:color w:val="auto"/>
        </w:rPr>
        <w:t>The second is the Specialty Segment strategy which focuses on Tower developed specialty processes, including high end CMOS Image Sensor studio camera and medical X-ray, mixed-signal for high fidelity audio systems, RFID unique solutions, very high ESD rating for high speed interfaces (e.g. analog switches, USB switches), advanced power management for lighting, DC to DC converters, gas gauges, high precision analog targeted at aerospace/defense and other high reliability markets (e.g. medical, automotive, industrial). We will strengthen this strategy by expanding our process technology offering with Jazz’s AIMS (Analog Intensive Mixed Signal) technology, SiGe leadership for wireless and wire line applications, unique ability to enable complete radio-on-a-chip, best in class Power Management &amp; BCD technology as well as their superior design enablement capabilities.</w:t>
      </w:r>
    </w:p>
    <w:p>
      <w:pPr>
        <w:spacing w:after="0" w:line="201" w:lineRule="exact"/>
        <w:rPr>
          <w:sz w:val="24"/>
          <w:szCs w:val="24"/>
          <w:color w:val="auto"/>
        </w:rPr>
      </w:pPr>
    </w:p>
    <w:p>
      <w:pPr>
        <w:ind w:left="580" w:hanging="572"/>
        <w:spacing w:after="0"/>
        <w:tabs>
          <w:tab w:leader="none" w:pos="5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combined entity be managed?</w:t>
      </w:r>
    </w:p>
    <w:p>
      <w:pPr>
        <w:spacing w:after="0" w:line="252" w:lineRule="exact"/>
        <w:rPr>
          <w:sz w:val="24"/>
          <w:szCs w:val="24"/>
          <w:color w:val="auto"/>
        </w:rPr>
      </w:pPr>
    </w:p>
    <w:p>
      <w:pPr>
        <w:ind w:left="580" w:right="240" w:hanging="572"/>
        <w:spacing w:after="0" w:line="26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Jazz is expected to operate as a standalone separate subsidiary of Tower. Final details of organization integration are expected to be developed over the next several months.</w:t>
      </w:r>
    </w:p>
    <w:p>
      <w:pPr>
        <w:spacing w:after="0" w:line="213" w:lineRule="exact"/>
        <w:rPr>
          <w:sz w:val="24"/>
          <w:szCs w:val="24"/>
          <w:color w:val="auto"/>
        </w:rPr>
      </w:pPr>
    </w:p>
    <w:p>
      <w:pPr>
        <w:ind w:left="580" w:hanging="572"/>
        <w:spacing w:after="0"/>
        <w:tabs>
          <w:tab w:leader="none" w:pos="58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the acquisition affect our customers?</w:t>
      </w:r>
    </w:p>
    <w:p>
      <w:pPr>
        <w:spacing w:after="0" w:line="246" w:lineRule="exact"/>
        <w:rPr>
          <w:sz w:val="24"/>
          <w:szCs w:val="24"/>
          <w:color w:val="auto"/>
        </w:rPr>
      </w:pPr>
    </w:p>
    <w:p>
      <w:pPr>
        <w:jc w:val="both"/>
        <w:ind w:left="580" w:right="40" w:hanging="572"/>
        <w:spacing w:after="0" w:line="262"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We intend to maintain the existing sales and support structure for customer interface. </w:t>
      </w:r>
      <w:r>
        <w:rPr>
          <w:rFonts w:ascii="Arial" w:cs="Arial" w:eastAsia="Arial" w:hAnsi="Arial"/>
          <w:sz w:val="18"/>
          <w:szCs w:val="18"/>
          <w:b w:val="1"/>
          <w:bCs w:val="1"/>
          <w:color w:val="auto"/>
        </w:rPr>
        <w:t>Our customers will receive the same level of service, quality and</w:t>
      </w:r>
      <w:r>
        <w:rPr>
          <w:rFonts w:ascii="Arial" w:cs="Arial" w:eastAsia="Arial" w:hAnsi="Arial"/>
          <w:sz w:val="18"/>
          <w:szCs w:val="18"/>
          <w:color w:val="auto"/>
        </w:rPr>
        <w:t xml:space="preserve"> </w:t>
      </w:r>
      <w:r>
        <w:rPr>
          <w:rFonts w:ascii="Arial" w:cs="Arial" w:eastAsia="Arial" w:hAnsi="Arial"/>
          <w:sz w:val="18"/>
          <w:szCs w:val="18"/>
          <w:b w:val="1"/>
          <w:bCs w:val="1"/>
          <w:color w:val="auto"/>
        </w:rPr>
        <w:t>support they have received from us in the past</w:t>
      </w:r>
      <w:r>
        <w:rPr>
          <w:rFonts w:ascii="Arial" w:cs="Arial" w:eastAsia="Arial" w:hAnsi="Arial"/>
          <w:sz w:val="18"/>
          <w:szCs w:val="18"/>
          <w:color w:val="auto"/>
        </w:rPr>
        <w:t>. We expect our customers to benefit from the increased manufacturing capacity and broader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w:t>
      </w:r>
    </w:p>
    <w:p>
      <w:pPr>
        <w:spacing w:after="0" w:line="219" w:lineRule="exact"/>
        <w:rPr>
          <w:sz w:val="24"/>
          <w:szCs w:val="24"/>
          <w:color w:val="auto"/>
        </w:rPr>
      </w:pPr>
    </w:p>
    <w:p>
      <w:pPr>
        <w:ind w:left="580" w:hanging="572"/>
        <w:spacing w:after="0"/>
        <w:tabs>
          <w:tab w:leader="none" w:pos="58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be the total number of employees for the combined entity?</w:t>
      </w:r>
    </w:p>
    <w:p>
      <w:pPr>
        <w:spacing w:after="0" w:line="252" w:lineRule="exact"/>
        <w:rPr>
          <w:sz w:val="24"/>
          <w:szCs w:val="24"/>
          <w:color w:val="auto"/>
        </w:rPr>
      </w:pPr>
    </w:p>
    <w:p>
      <w:pPr>
        <w:ind w:left="580" w:right="120" w:hanging="572"/>
        <w:spacing w:after="0" w:line="268"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Tower has about 1400 employees and Jazz has about 700 employees. Final details of organization integration are expected to be developed over the next several months.</w:t>
      </w:r>
    </w:p>
    <w:p>
      <w:pPr>
        <w:sectPr>
          <w:pgSz w:w="11900" w:h="16838" w:orient="portrait"/>
          <w:cols w:equalWidth="0" w:num="1">
            <w:col w:w="11420"/>
          </w:cols>
          <w:pgMar w:left="240" w:top="428" w:right="239" w:bottom="0" w:gutter="0" w:footer="0" w:header="0"/>
        </w:sectPr>
      </w:pPr>
    </w:p>
    <w:bookmarkStart w:id="1" w:name="page2"/>
    <w:bookmarkEnd w:id="1"/>
    <w:p>
      <w:pPr>
        <w:ind w:left="580" w:hanging="572"/>
        <w:spacing w:after="0"/>
        <w:tabs>
          <w:tab w:leader="none" w:pos="58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will be the total capacity for the combined entity?</w:t>
      </w:r>
    </w:p>
    <w:p>
      <w:pPr>
        <w:spacing w:after="0" w:line="252" w:lineRule="exact"/>
        <w:rPr>
          <w:sz w:val="20"/>
          <w:szCs w:val="20"/>
          <w:color w:val="auto"/>
        </w:rPr>
      </w:pPr>
    </w:p>
    <w:p>
      <w:pPr>
        <w:jc w:val="both"/>
        <w:ind w:left="580" w:right="40" w:hanging="572"/>
        <w:spacing w:after="0" w:line="37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combined entity is expected to have a capacity of ~750,000 eight inch equivalent wafers a year, including Jazz’s ownership interest in a Fab in China that provides capacity of about 70,000 wafers a year. We believe that our combined internal capacity can be further expanded to 950,000 wafers annually.</w:t>
      </w:r>
    </w:p>
    <w:p>
      <w:pPr>
        <w:spacing w:after="0" w:line="14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financial details of the acquisition?</w:t>
      </w:r>
    </w:p>
    <w:p>
      <w:pPr>
        <w:spacing w:after="0" w:line="252" w:lineRule="exact"/>
        <w:rPr>
          <w:sz w:val="20"/>
          <w:szCs w:val="20"/>
          <w:color w:val="auto"/>
        </w:rPr>
      </w:pPr>
    </w:p>
    <w:p>
      <w:pPr>
        <w:ind w:left="580" w:right="40" w:hanging="572"/>
        <w:spacing w:after="0" w:line="268"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deal is a stock-for-stock transaction. Under the terms of the agreement, Jazz stockholders will receive 1.8 ordinary shares of Tower for every share of Jazz common stock.</w:t>
      </w:r>
    </w:p>
    <w:p>
      <w:pPr>
        <w:spacing w:after="0" w:line="213"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own the combined entity after the acquisition?</w:t>
      </w:r>
    </w:p>
    <w:p>
      <w:pPr>
        <w:spacing w:after="0" w:line="252" w:lineRule="exact"/>
        <w:rPr>
          <w:sz w:val="20"/>
          <w:szCs w:val="20"/>
          <w:color w:val="auto"/>
        </w:rPr>
      </w:pPr>
    </w:p>
    <w:p>
      <w:pPr>
        <w:ind w:left="580" w:right="20" w:hanging="572"/>
        <w:spacing w:after="0" w:line="268" w:lineRule="auto"/>
        <w:tabs>
          <w:tab w:leader="none" w:pos="5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combined company will be owned by the stockholders of both companies. Upon closing of the transaction, Jazz stockholders will own approximately 10% percent of the combined company on a pro forma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80" w:hanging="572"/>
        <w:spacing w:after="0"/>
        <w:tabs>
          <w:tab w:leader="none" w:pos="58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will manage the combined entity?</w:t>
      </w:r>
    </w:p>
    <w:p>
      <w:pPr>
        <w:spacing w:after="0" w:line="252" w:lineRule="exact"/>
        <w:rPr>
          <w:sz w:val="20"/>
          <w:szCs w:val="20"/>
          <w:color w:val="auto"/>
        </w:rPr>
      </w:pPr>
    </w:p>
    <w:p>
      <w:pPr>
        <w:ind w:left="580" w:right="220" w:hanging="57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Russell Ellwanger, Tower’s CEO, will spend time at both the company headquarters in Israel as well as our subsidiary headquarters in Newport Beach. The executive team of the combined company has not yet been determined.</w:t>
      </w:r>
    </w:p>
    <w:p>
      <w:pPr>
        <w:spacing w:after="0" w:line="213"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financial profile for the combined entity?</w:t>
      </w:r>
    </w:p>
    <w:p>
      <w:pPr>
        <w:spacing w:after="0" w:line="252" w:lineRule="exact"/>
        <w:rPr>
          <w:sz w:val="20"/>
          <w:szCs w:val="20"/>
          <w:color w:val="auto"/>
        </w:rPr>
      </w:pPr>
    </w:p>
    <w:p>
      <w:pPr>
        <w:ind w:left="580" w:right="360" w:hanging="572"/>
        <w:spacing w:after="0" w:line="26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 pro forma basis, assuming the merger had occurred on January 1, 2007, the combined entity would have had $440 million in annual revenues in 2007, and $79 million in EBITDA.</w:t>
      </w:r>
    </w:p>
    <w:p>
      <w:pPr>
        <w:spacing w:after="0" w:line="213"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does this transaction affect the cost structure?</w:t>
      </w:r>
    </w:p>
    <w:p>
      <w:pPr>
        <w:spacing w:after="0" w:line="252" w:lineRule="exact"/>
        <w:rPr>
          <w:rFonts w:ascii="Arial" w:cs="Arial" w:eastAsia="Arial" w:hAnsi="Arial"/>
          <w:sz w:val="18"/>
          <w:szCs w:val="18"/>
          <w:b w:val="1"/>
          <w:bCs w:val="1"/>
          <w:i w:val="1"/>
          <w:iCs w:val="1"/>
          <w:color w:val="auto"/>
        </w:rPr>
      </w:pPr>
    </w:p>
    <w:p>
      <w:pPr>
        <w:ind w:left="580" w:hanging="572"/>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Excluding implementation costs, Tower and Jazz believe this acquisition could generate as much as $40 million in annual revenue and cost synergies.</w:t>
      </w:r>
    </w:p>
    <w:p>
      <w:pPr>
        <w:spacing w:after="0" w:line="275"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Jazz continue to be public?</w:t>
      </w:r>
    </w:p>
    <w:p>
      <w:pPr>
        <w:spacing w:after="0" w:line="252" w:lineRule="exact"/>
        <w:rPr>
          <w:sz w:val="20"/>
          <w:szCs w:val="20"/>
          <w:color w:val="auto"/>
        </w:rPr>
      </w:pPr>
    </w:p>
    <w:p>
      <w:pPr>
        <w:ind w:left="580" w:right="220" w:hanging="572"/>
        <w:spacing w:after="0" w:line="33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Jazz shares will continue to trade on AMEX until the closing of the transaction at which point they will be exchanged for Tower shares. Tower’s shares are publicly traded on the NASDAQ Global Market and the Tel Aviv Stock Exchange under the symbol “TSEM”.</w:t>
      </w:r>
    </w:p>
    <w:p>
      <w:pPr>
        <w:spacing w:after="0" w:line="166"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the acquisition be completed?</w:t>
      </w:r>
    </w:p>
    <w:p>
      <w:pPr>
        <w:spacing w:after="0" w:line="252"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transaction is expected to close in the second half of 2008. Until that time, both companies will continue to operate independently.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3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These FAQs contain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press release and neither Tower nor Jazz undertakes any obligation to update any forward-looking statements contained in this document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31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connection with the proposed merger, Tower intends to file a registration statement on Form F-4 and related materials with the SEC and Jazz expects to mail a Proxy Statement/Prospectus to the stockholders of Jazz containing information about Tower, Jazz and the proposed merger. INVESTORS AND SECURITY HOLDERS ARE URGED TO READ THE PROXY STATEMENT/PROSPECTUS AND THE OTHER RELEVANT MATERIALS WHEN THEY BECOME AVAILABLE BECAUSE THEY WILL CONTAIN IMPORTANT INFORMATION ABOUT TOWER, JAZZ AND THE PROPOSED MERGER. The materials to be filed by Tower and Jazz with the SEC may be obtained free of charge at the SEC’s web site at http://www.sec.gov. In addition, investors and security holders may obtain free copies of the documents filed with the SEC by Tower by directing a written request to: Tower Semiconductor Ltd, P.O. BOX 619, Migdal Haemek, Israel 23105, Attn: Investor Relations. Investors and security holders may obtain free copies of the documents filed with the SEC by Jazz by directing a written request to: Jazz Technologies, Inc., 4321 Jamboree Road, Newport Beach, California 92660, Attn: Investor Relations.</w:t>
      </w:r>
    </w:p>
    <w:p>
      <w:pPr>
        <w:sectPr>
          <w:pgSz w:w="11900" w:h="16838" w:orient="portrait"/>
          <w:cols w:equalWidth="0" w:num="1">
            <w:col w:w="11420"/>
          </w:cols>
          <w:pgMar w:left="240" w:top="374" w:right="239" w:bottom="81" w:gutter="0" w:footer="0" w:header="0"/>
        </w:sectPr>
      </w:pPr>
    </w:p>
    <w:bookmarkStart w:id="2" w:name="page3"/>
    <w:bookmarkEnd w:id="2"/>
    <w:p>
      <w:pPr>
        <w:ind w:right="80"/>
        <w:spacing w:after="0" w:line="289" w:lineRule="auto"/>
        <w:rPr>
          <w:sz w:val="20"/>
          <w:szCs w:val="20"/>
          <w:color w:val="auto"/>
        </w:rPr>
      </w:pPr>
      <w:r>
        <w:rPr>
          <w:rFonts w:ascii="Arial" w:cs="Arial" w:eastAsia="Arial" w:hAnsi="Arial"/>
          <w:sz w:val="16"/>
          <w:szCs w:val="16"/>
          <w:color w:val="auto"/>
        </w:rPr>
        <w:t>Tower, Jazz and their respective directors, executive officers and other employees, under SEC rules, may be deemed to be participants in the solicitation of proxies of Jazz stockholders in connection with the proposed merger. Investors and security holders may obtain more detailed information regarding the names, affiliations and special interests of certain of these executive officers and directors in the proposed merger by reading the proxy statement/prospectus and other relevant materials filed with the SEC when they become available. Information about the executive officers and directors of Jazz and their ownership of Jazz common stock is set forth in the proxy statement for Jazz’s 2008 Annual Meeting of Stockholders, which was filed with the SEC on April 7, 2008. Information about the executive officers and directors of Tower is set forth in Tower’s annual report on Form 20-F for its fiscal year ended December 31, 2006, which was filed with the SEC on June 25, 2007. These documents are available free of charge at the SEC’s website at www.sec.gov or from the appropriate Investor Relations contacts at Jazz and Tower as described above.</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Information about the executive officers and directors of Jazz and their ownership of Jazz common stock is set forth in the proxy statement for Jazz’s 2008 Annual Meeting of Stockholders, which was filed with the SEC on April 7, 2008. Investors and security holders may obtain more detailed information regarding the direct and indirect interests of Tower, Jazz and their respective executive officers and directors in the merger by reading the proxy statement/prospectus regarding the merger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00"/>
      </w:cols>
      <w:pgMar w:left="240" w:top="13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17"/>
    </w:lvl>
  </w:abstractNum>
  <w:abstractNum w:abstractNumId="1">
    <w:nsid w:val="1BEFD79F"/>
    <w:multiLevelType w:val="hybridMultilevel"/>
    <w:lvl w:ilvl="0">
      <w:lvlJc w:val="left"/>
      <w:lvlText w:val="%1:"/>
      <w:numFmt w:val="upperLetter"/>
      <w:start w:val="1"/>
    </w:lvl>
  </w:abstractNum>
  <w:abstractNum w:abstractNumId="2">
    <w:nsid w:val="41A7C4C9"/>
    <w:multiLevelType w:val="hybridMultilevel"/>
    <w:lvl w:ilvl="0">
      <w:lvlJc w:val="left"/>
      <w:lvlText w:val="Q"/>
      <w:numFmt w:val="bullet"/>
      <w:start w:val="1"/>
    </w:lvl>
  </w:abstractNum>
  <w:abstractNum w:abstractNumId="3">
    <w:nsid w:val="6B68079A"/>
    <w:multiLevelType w:val="hybridMultilevel"/>
    <w:lvl w:ilvl="0">
      <w:lvlJc w:val="left"/>
      <w:lvlText w:val="%1:"/>
      <w:numFmt w:val="upperLetter"/>
      <w:start w:val="1"/>
    </w:lvl>
  </w:abstractNum>
  <w:abstractNum w:abstractNumId="4">
    <w:nsid w:val="4E6AFB66"/>
    <w:multiLevelType w:val="hybridMultilevel"/>
    <w:lvl w:ilvl="0">
      <w:lvlJc w:val="left"/>
      <w:lvlText w:val="Q"/>
      <w:numFmt w:val="bullet"/>
      <w:start w:val="1"/>
    </w:lvl>
  </w:abstractNum>
  <w:abstractNum w:abstractNumId="5">
    <w:nsid w:val="25E45D32"/>
    <w:multiLevelType w:val="hybridMultilevel"/>
    <w:lvl w:ilvl="0">
      <w:lvlJc w:val="left"/>
      <w:lvlText w:val="%1:"/>
      <w:numFmt w:val="upperLetter"/>
      <w:start w:val="1"/>
    </w:lvl>
  </w:abstractNum>
  <w:abstractNum w:abstractNumId="6">
    <w:nsid w:val="519B500D"/>
    <w:multiLevelType w:val="hybridMultilevel"/>
    <w:lvl w:ilvl="0">
      <w:lvlJc w:val="left"/>
      <w:lvlText w:val="Q"/>
      <w:numFmt w:val="bullet"/>
      <w:start w:val="1"/>
    </w:lvl>
  </w:abstractNum>
  <w:abstractNum w:abstractNumId="7">
    <w:nsid w:val="431BD7B7"/>
    <w:multiLevelType w:val="hybridMultilevel"/>
    <w:lvl w:ilvl="0">
      <w:lvlJc w:val="left"/>
      <w:lvlText w:val="%1:"/>
      <w:numFmt w:val="upperLetter"/>
      <w:start w:val="1"/>
    </w:lvl>
  </w:abstractNum>
  <w:abstractNum w:abstractNumId="8">
    <w:nsid w:val="3F2DBA31"/>
    <w:multiLevelType w:val="hybridMultilevel"/>
    <w:lvl w:ilvl="0">
      <w:lvlJc w:val="left"/>
      <w:lvlText w:val="%1:"/>
      <w:numFmt w:val="upperLetter"/>
      <w:start w:val="17"/>
    </w:lvl>
  </w:abstractNum>
  <w:abstractNum w:abstractNumId="9">
    <w:nsid w:val="7C83E458"/>
    <w:multiLevelType w:val="hybridMultilevel"/>
    <w:lvl w:ilvl="0">
      <w:lvlJc w:val="left"/>
      <w:lvlText w:val="%1:"/>
      <w:numFmt w:val="upperLetter"/>
      <w:start w:val="1"/>
    </w:lvl>
  </w:abstractNum>
  <w:abstractNum w:abstractNumId="10">
    <w:nsid w:val="257130A3"/>
    <w:multiLevelType w:val="hybridMultilevel"/>
    <w:lvl w:ilvl="0">
      <w:lvlJc w:val="left"/>
      <w:lvlText w:val="%1:"/>
      <w:numFmt w:val="upperLetter"/>
      <w:start w:val="17"/>
    </w:lvl>
  </w:abstractNum>
  <w:abstractNum w:abstractNumId="11">
    <w:nsid w:val="62BBD95A"/>
    <w:multiLevelType w:val="hybridMultilevel"/>
    <w:lvl w:ilvl="0">
      <w:lvlJc w:val="left"/>
      <w:lvlText w:val="%1:"/>
      <w:numFmt w:val="upperLetter"/>
      <w:start w:val="1"/>
    </w:lvl>
  </w:abstractNum>
  <w:abstractNum w:abstractNumId="12">
    <w:nsid w:val="436C6125"/>
    <w:multiLevelType w:val="hybridMultilevel"/>
    <w:lvl w:ilvl="0">
      <w:lvlJc w:val="left"/>
      <w:lvlText w:val="%1:"/>
      <w:numFmt w:val="upperLetter"/>
      <w:start w:val="17"/>
    </w:lvl>
  </w:abstractNum>
  <w:abstractNum w:abstractNumId="13">
    <w:nsid w:val="628C895D"/>
    <w:multiLevelType w:val="hybridMultilevel"/>
    <w:lvl w:ilvl="0">
      <w:lvlJc w:val="left"/>
      <w:lvlText w:val="%1:"/>
      <w:numFmt w:val="upperLetter"/>
      <w:start w:val="1"/>
    </w:lvl>
  </w:abstractNum>
  <w:abstractNum w:abstractNumId="14">
    <w:nsid w:val="333AB105"/>
    <w:multiLevelType w:val="hybridMultilevel"/>
    <w:lvl w:ilvl="0">
      <w:lvlJc w:val="left"/>
      <w:lvlText w:val="%1:"/>
      <w:numFmt w:val="upperLetter"/>
      <w:start w:val="17"/>
    </w:lvl>
  </w:abstractNum>
  <w:abstractNum w:abstractNumId="15">
    <w:nsid w:val="721DA317"/>
    <w:multiLevelType w:val="hybridMultilevel"/>
    <w:lvl w:ilvl="0">
      <w:lvlJc w:val="left"/>
      <w:lvlText w:val="%1:"/>
      <w:numFmt w:val="upperLetter"/>
      <w:start w:val="1"/>
    </w:lvl>
  </w:abstractNum>
  <w:abstractNum w:abstractNumId="16">
    <w:nsid w:val="2443A858"/>
    <w:multiLevelType w:val="hybridMultilevel"/>
    <w:lvl w:ilvl="0">
      <w:lvlJc w:val="left"/>
      <w:lvlText w:val="%1:"/>
      <w:numFmt w:val="upperLetter"/>
      <w:start w:val="17"/>
    </w:lvl>
  </w:abstractNum>
  <w:abstractNum w:abstractNumId="17">
    <w:nsid w:val="2D1D5AE9"/>
    <w:multiLevelType w:val="hybridMultilevel"/>
    <w:lvl w:ilvl="0">
      <w:lvlJc w:val="left"/>
      <w:lvlText w:val="%1:"/>
      <w:numFmt w:val="upperLetter"/>
      <w:start w:val="1"/>
    </w:lvl>
  </w:abstractNum>
  <w:abstractNum w:abstractNumId="18">
    <w:nsid w:val="6763845E"/>
    <w:multiLevelType w:val="hybridMultilevel"/>
    <w:lvl w:ilvl="0">
      <w:lvlJc w:val="left"/>
      <w:lvlText w:val="%1:"/>
      <w:numFmt w:val="upperLetter"/>
      <w:start w:val="17"/>
    </w:lvl>
  </w:abstractNum>
  <w:abstractNum w:abstractNumId="19">
    <w:nsid w:val="75A2A8D4"/>
    <w:multiLevelType w:val="hybridMultilevel"/>
    <w:lvl w:ilvl="0">
      <w:lvlJc w:val="left"/>
      <w:lvlText w:val="%1:"/>
      <w:numFmt w:val="upperLetter"/>
      <w:start w:val="1"/>
    </w:lvl>
  </w:abstractNum>
  <w:abstractNum w:abstractNumId="20">
    <w:nsid w:val="8EDBDAB"/>
    <w:multiLevelType w:val="hybridMultilevel"/>
    <w:lvl w:ilvl="0">
      <w:lvlJc w:val="left"/>
      <w:lvlText w:val="%1:"/>
      <w:numFmt w:val="upperLetter"/>
      <w:start w:val="17"/>
    </w:lvl>
  </w:abstractNum>
  <w:abstractNum w:abstractNumId="21">
    <w:nsid w:val="79838CB2"/>
    <w:multiLevelType w:val="hybridMultilevel"/>
    <w:lvl w:ilvl="0">
      <w:lvlJc w:val="left"/>
      <w:lvlText w:val="%1:"/>
      <w:numFmt w:val="upperLetter"/>
      <w:start w:val="1"/>
    </w:lvl>
  </w:abstractNum>
  <w:abstractNum w:abstractNumId="22">
    <w:nsid w:val="4353D0CD"/>
    <w:multiLevelType w:val="hybridMultilevel"/>
    <w:lvl w:ilvl="0">
      <w:lvlJc w:val="left"/>
      <w:lvlText w:val="%1."/>
      <w:numFmt w:val="upperLetter"/>
      <w:start w:val="17"/>
    </w:lvl>
  </w:abstractNum>
  <w:abstractNum w:abstractNumId="23">
    <w:nsid w:val="B03E0C6"/>
    <w:multiLevelType w:val="hybridMultilevel"/>
    <w:lvl w:ilvl="0">
      <w:lvlJc w:val="left"/>
      <w:lvlText w:val="%1."/>
      <w:numFmt w:val="upperLetter"/>
      <w:start w:val="1"/>
    </w:lvl>
  </w:abstractNum>
  <w:abstractNum w:abstractNumId="24">
    <w:nsid w:val="189A769B"/>
    <w:multiLevelType w:val="hybridMultilevel"/>
    <w:lvl w:ilvl="0">
      <w:lvlJc w:val="left"/>
      <w:lvlText w:val="%1:"/>
      <w:numFmt w:val="upperLetter"/>
      <w:start w:val="17"/>
    </w:lvl>
  </w:abstractNum>
  <w:abstractNum w:abstractNumId="25">
    <w:nsid w:val="54E49EB4"/>
    <w:multiLevelType w:val="hybridMultilevel"/>
    <w:lvl w:ilvl="0">
      <w:lvlJc w:val="left"/>
      <w:lvlText w:val="%1:"/>
      <w:numFmt w:val="upperLetter"/>
      <w:start w:val="1"/>
    </w:lvl>
  </w:abstractNum>
  <w:abstractNum w:abstractNumId="26">
    <w:nsid w:val="71F32454"/>
    <w:multiLevelType w:val="hybridMultilevel"/>
    <w:lvl w:ilvl="0">
      <w:lvlJc w:val="left"/>
      <w:lvlText w:val="%1:"/>
      <w:numFmt w:val="upperLetter"/>
      <w:start w:val="17"/>
    </w:lvl>
  </w:abstractNum>
  <w:abstractNum w:abstractNumId="27">
    <w:nsid w:val="2CA88611"/>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2019-12-17T08:05:41Z</dcterms:created>
  <dcterms:modified xsi:type="dcterms:W3CDTF">2019-12-17T08:05:41Z</dcterms:modified>
</cp:coreProperties>
</file>