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5"/>
          <w:szCs w:val="15"/>
          <w:color w:val="auto"/>
        </w:rPr>
        <w:t>FORM 6-K</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month of November 2003 (2)</w:t>
      </w:r>
    </w:p>
    <w:p>
      <w:pPr>
        <w:spacing w:after="0" w:line="200" w:lineRule="exact"/>
        <w:rPr>
          <w:sz w:val="24"/>
          <w:szCs w:val="24"/>
          <w:color w:val="auto"/>
        </w:rPr>
      </w:pPr>
    </w:p>
    <w:p>
      <w:pPr>
        <w:spacing w:after="0" w:line="30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TOWER SEMICONDUCTOR LTD.</w:t>
      </w:r>
    </w:p>
    <w:p>
      <w:pPr>
        <w:spacing w:after="0" w:line="24"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(Translation of registrant's name into English)</w:t>
      </w:r>
    </w:p>
    <w:p>
      <w:pPr>
        <w:spacing w:after="0" w:line="200" w:lineRule="exact"/>
        <w:rPr>
          <w:sz w:val="24"/>
          <w:szCs w:val="24"/>
          <w:color w:val="auto"/>
        </w:rPr>
      </w:pPr>
    </w:p>
    <w:p>
      <w:pPr>
        <w:spacing w:after="0" w:line="277"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P.O. BOX 619, MIGDAL HAEMEK, ISRAEL 10556</w:t>
      </w:r>
    </w:p>
    <w:p>
      <w:pPr>
        <w:spacing w:after="0" w:line="24"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right="3239" w:firstLine="787"/>
        <w:spacing w:after="0" w:line="344"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pacing w:after="0" w:line="354" w:lineRule="exact"/>
        <w:rPr>
          <w:sz w:val="24"/>
          <w:szCs w:val="24"/>
          <w:color w:val="auto"/>
        </w:rPr>
      </w:pPr>
    </w:p>
    <w:p>
      <w:pPr>
        <w:ind w:left="2200"/>
        <w:spacing w:after="0"/>
        <w:tabs>
          <w:tab w:leader="none" w:pos="3220" w:val="left"/>
          <w:tab w:leader="none" w:pos="3580" w:val="left"/>
        </w:tabs>
        <w:rPr>
          <w:sz w:val="20"/>
          <w:szCs w:val="20"/>
          <w:color w:val="auto"/>
        </w:rPr>
      </w:pPr>
      <w:r>
        <w:rPr>
          <w:rFonts w:ascii="Courier New" w:cs="Courier New" w:eastAsia="Courier New" w:hAnsi="Courier New"/>
          <w:sz w:val="15"/>
          <w:szCs w:val="15"/>
          <w:color w:val="auto"/>
        </w:rPr>
        <w:t>Form 20-F</w:t>
        <w:tab/>
        <w:t>x</w:t>
      </w:r>
      <w:r>
        <w:rPr>
          <w:sz w:val="20"/>
          <w:szCs w:val="20"/>
          <w:color w:val="auto"/>
        </w:rPr>
        <w:tab/>
      </w:r>
      <w:r>
        <w:rPr>
          <w:rFonts w:ascii="Courier New" w:cs="Courier New" w:eastAsia="Courier New" w:hAnsi="Courier New"/>
          <w:sz w:val="14"/>
          <w:szCs w:val="14"/>
          <w:color w:val="auto"/>
        </w:rPr>
        <w:t>Form 40-F</w:t>
      </w:r>
    </w:p>
    <w:p>
      <w:pPr>
        <w:spacing w:after="0" w:line="24" w:lineRule="exact"/>
        <w:rPr>
          <w:sz w:val="24"/>
          <w:szCs w:val="24"/>
          <w:color w:val="auto"/>
        </w:rPr>
      </w:pPr>
    </w:p>
    <w:p>
      <w:pPr>
        <w:ind w:left="4380" w:hanging="1309"/>
        <w:spacing w:after="0"/>
        <w:tabs>
          <w:tab w:leader="none" w:pos="43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77" w:lineRule="exact"/>
        <w:rPr>
          <w:sz w:val="24"/>
          <w:szCs w:val="24"/>
          <w:color w:val="auto"/>
        </w:rPr>
      </w:pPr>
    </w:p>
    <w:p>
      <w:pPr>
        <w:ind w:right="3239" w:firstLine="787"/>
        <w:spacing w:after="0" w:line="273" w:lineRule="auto"/>
        <w:rPr>
          <w:sz w:val="20"/>
          <w:szCs w:val="20"/>
          <w:color w:val="auto"/>
        </w:rPr>
      </w:pPr>
      <w:r>
        <w:rPr>
          <w:rFonts w:ascii="Courier New" w:cs="Courier New" w:eastAsia="Courier New" w:hAnsi="Courier New"/>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39"/>
          </w:cols>
          <w:pgMar w:left="220" w:top="878" w:right="1440" w:bottom="1440" w:gutter="0" w:footer="0" w:header="0"/>
        </w:sectPr>
      </w:pPr>
    </w:p>
    <w:p>
      <w:pPr>
        <w:spacing w:after="0" w:line="200" w:lineRule="exact"/>
        <w:rPr>
          <w:sz w:val="24"/>
          <w:szCs w:val="24"/>
          <w:color w:val="auto"/>
        </w:rPr>
      </w:pPr>
    </w:p>
    <w:p>
      <w:pPr>
        <w:spacing w:after="0" w:line="372"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jc w:val="center"/>
        <w:ind w:right="6039"/>
        <w:spacing w:after="0"/>
        <w:rPr>
          <w:sz w:val="20"/>
          <w:szCs w:val="20"/>
          <w:color w:val="auto"/>
        </w:rPr>
      </w:pPr>
      <w:r>
        <w:rPr>
          <w:rFonts w:ascii="Courier New" w:cs="Courier New" w:eastAsia="Courier New" w:hAnsi="Courier New"/>
          <w:sz w:val="15"/>
          <w:szCs w:val="15"/>
          <w:color w:val="auto"/>
        </w:rPr>
        <w:t>x</w:t>
      </w:r>
    </w:p>
    <w:p>
      <w:pPr>
        <w:spacing w:after="0" w:line="24" w:lineRule="exact"/>
        <w:rPr>
          <w:sz w:val="24"/>
          <w:szCs w:val="24"/>
          <w:color w:val="auto"/>
        </w:rPr>
      </w:pPr>
    </w:p>
    <w:p>
      <w:pPr>
        <w:jc w:val="center"/>
        <w:ind w:right="6039"/>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4">
            <w:col w:w="3080" w:space="0"/>
            <w:col w:w="520" w:space="80"/>
            <w:col w:w="180" w:space="80"/>
            <w:col w:w="6299"/>
          </w:cols>
          <w:pgMar w:left="220" w:top="878" w:right="1440" w:bottom="1440" w:gutter="0" w:footer="0" w:header="0"/>
          <w:type w:val="continuous"/>
        </w:sectPr>
      </w:pPr>
    </w:p>
    <w:bookmarkStart w:id="1" w:name="page2"/>
    <w:bookmarkEnd w:id="1"/>
    <w:p>
      <w:pPr>
        <w:ind w:right="3239" w:firstLine="787"/>
        <w:spacing w:after="0" w:line="276" w:lineRule="auto"/>
        <w:rPr>
          <w:sz w:val="20"/>
          <w:szCs w:val="20"/>
          <w:color w:val="auto"/>
        </w:rPr>
      </w:pPr>
      <w:r>
        <w:rPr>
          <w:rFonts w:ascii="Courier New" w:cs="Courier New" w:eastAsia="Courier New" w:hAnsi="Courier New"/>
          <w:sz w:val="14"/>
          <w:szCs w:val="14"/>
          <w:color w:val="auto"/>
        </w:rPr>
        <w:t>On November 13, 2003, the Registrant announced its financial statements for the three months and nine months ended September 30, 2003 and on November 12, 2003 the Registrant announced its Fab 2 financing package with Banks and Major Investors. Attached hereto are (1) the Registrant's unaudited condensed interim consolidated financial statements as of September 30, 2003 and for the three month and nine month periods then ended, and (2) the Registrant's press release announcing its Fab 2 financing package with Banks and Major Investors.</w:t>
      </w:r>
    </w:p>
    <w:p>
      <w:pPr>
        <w:spacing w:after="0" w:line="69" w:lineRule="exact"/>
        <w:rPr>
          <w:sz w:val="20"/>
          <w:szCs w:val="20"/>
          <w:color w:val="auto"/>
        </w:rPr>
      </w:pPr>
    </w:p>
    <w:p>
      <w:pPr>
        <w:ind w:right="3319" w:firstLine="787"/>
        <w:spacing w:after="0" w:line="385" w:lineRule="auto"/>
        <w:rPr>
          <w:sz w:val="20"/>
          <w:szCs w:val="20"/>
          <w:color w:val="auto"/>
        </w:rPr>
      </w:pPr>
      <w:r>
        <w:rPr>
          <w:rFonts w:ascii="Courier New" w:cs="Courier New" w:eastAsia="Courier New" w:hAnsi="Courier New"/>
          <w:sz w:val="14"/>
          <w:szCs w:val="14"/>
          <w:color w:val="auto"/>
        </w:rPr>
        <w:t>This Form 6-K is being incorporated by reference in all currently effective registration statements filed by us under the Securities Act of 1933.</w:t>
      </w:r>
    </w:p>
    <w:p>
      <w:pPr>
        <w:sectPr>
          <w:pgSz w:w="11900" w:h="16838" w:orient="portrait"/>
          <w:cols w:equalWidth="0" w:num="1">
            <w:col w:w="10239"/>
          </w:cols>
          <w:pgMar w:left="220" w:top="766" w:right="1440" w:bottom="1440" w:gutter="0" w:footer="0" w:header="0"/>
        </w:sectPr>
      </w:pPr>
    </w:p>
    <w:bookmarkStart w:id="2" w:name="page3"/>
    <w:bookmarkEnd w:id="2"/>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66" w:lineRule="exact"/>
        <w:rPr>
          <w:sz w:val="20"/>
          <w:szCs w:val="20"/>
          <w:color w:val="auto"/>
        </w:rPr>
      </w:pPr>
    </w:p>
    <w:p>
      <w:pPr>
        <w:ind w:right="3499" w:firstLine="787"/>
        <w:spacing w:after="0" w:line="290"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TOWER SEMICONDUCTOR LTD.</w:t>
      </w:r>
    </w:p>
    <w:p>
      <w:pPr>
        <w:sectPr>
          <w:pgSz w:w="11900" w:h="16838" w:orient="portrait"/>
          <w:cols w:equalWidth="0" w:num="1">
            <w:col w:w="10239"/>
          </w:cols>
          <w:pgMar w:left="220" w:top="934"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November 13,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 Tamar Cohen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Tamar Cohen</w:t>
      </w:r>
    </w:p>
    <w:p>
      <w:pPr>
        <w:ind w:left="160"/>
        <w:spacing w:after="0"/>
        <w:rPr>
          <w:sz w:val="20"/>
          <w:szCs w:val="20"/>
          <w:color w:val="auto"/>
        </w:rPr>
      </w:pPr>
      <w:r>
        <w:rPr>
          <w:rFonts w:ascii="Courier New" w:cs="Courier New" w:eastAsia="Courier New" w:hAnsi="Courier New"/>
          <w:sz w:val="15"/>
          <w:szCs w:val="15"/>
          <w:color w:val="auto"/>
        </w:rPr>
        <w:t>Corporate Secretary</w:t>
      </w:r>
    </w:p>
    <w:p>
      <w:pPr>
        <w:sectPr>
          <w:pgSz w:w="11900" w:h="16838" w:orient="portrait"/>
          <w:cols w:equalWidth="0" w:num="3">
            <w:col w:w="2960" w:space="720"/>
            <w:col w:w="260" w:space="100"/>
            <w:col w:w="6199"/>
          </w:cols>
          <w:pgMar w:left="220" w:top="934" w:right="1440" w:bottom="1440" w:gutter="0" w:footer="0" w:header="0"/>
          <w:type w:val="continuous"/>
        </w:sectPr>
      </w:pPr>
    </w:p>
    <w:bookmarkStart w:id="3" w:name="page4"/>
    <w:bookmarkEnd w:id="3"/>
    <w:p>
      <w:pPr>
        <w:ind w:left="620"/>
        <w:spacing w:after="0"/>
        <w:rPr>
          <w:sz w:val="20"/>
          <w:szCs w:val="20"/>
          <w:color w:val="auto"/>
        </w:rPr>
      </w:pPr>
      <w:r>
        <w:rPr>
          <w:rFonts w:ascii="Courier New" w:cs="Courier New" w:eastAsia="Courier New" w:hAnsi="Courier New"/>
          <w:sz w:val="14"/>
          <w:szCs w:val="14"/>
          <w:color w:val="auto"/>
        </w:rPr>
        <w:t>TOWER SEMICONDUCTOR LTD. AND SUBSIDIARY</w:t>
      </w:r>
    </w:p>
    <w:p>
      <w:pPr>
        <w:spacing w:after="0" w:line="3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UNAUDITED CONDENSED INTERIM</w:t>
      </w:r>
    </w:p>
    <w:p>
      <w:pPr>
        <w:ind w:left="880"/>
        <w:spacing w:after="0" w:line="237" w:lineRule="auto"/>
        <w:rPr>
          <w:sz w:val="20"/>
          <w:szCs w:val="20"/>
          <w:color w:val="auto"/>
        </w:rPr>
      </w:pPr>
      <w:r>
        <w:rPr>
          <w:rFonts w:ascii="Courier New" w:cs="Courier New" w:eastAsia="Courier New" w:hAnsi="Courier New"/>
          <w:sz w:val="15"/>
          <w:szCs w:val="15"/>
          <w:color w:val="auto"/>
        </w:rPr>
        <w:t>CONSOLIDATED FINANCIAL STATEMENTS</w:t>
      </w:r>
    </w:p>
    <w:p>
      <w:pPr>
        <w:ind w:left="1240"/>
        <w:spacing w:after="0"/>
        <w:rPr>
          <w:sz w:val="20"/>
          <w:szCs w:val="20"/>
          <w:color w:val="auto"/>
        </w:rPr>
      </w:pPr>
      <w:r>
        <w:rPr>
          <w:rFonts w:ascii="Courier New" w:cs="Courier New" w:eastAsia="Courier New" w:hAnsi="Courier New"/>
          <w:sz w:val="15"/>
          <w:szCs w:val="15"/>
          <w:color w:val="auto"/>
        </w:rPr>
        <w:t>AS OF SEPTEMBER 30, 2003</w:t>
      </w:r>
    </w:p>
    <w:p>
      <w:pPr>
        <w:sectPr>
          <w:pgSz w:w="11900" w:h="16838" w:orient="portrait"/>
          <w:cols w:equalWidth="0" w:num="1">
            <w:col w:w="9019"/>
          </w:cols>
          <w:pgMar w:left="1440" w:top="620" w:right="1440" w:bottom="1440" w:gutter="0" w:footer="0" w:header="0"/>
        </w:sectPr>
      </w:pPr>
    </w:p>
    <w:bookmarkStart w:id="4" w:name="page5"/>
    <w:bookmarkEnd w:id="4"/>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INDEX TO UNAUDITED CONDENSED INTERIM</w:t>
      </w:r>
    </w:p>
    <w:p>
      <w:pPr>
        <w:spacing w:after="0" w:line="2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CONSOLIDATED FINANCIAL STATEMENTS</w:t>
      </w:r>
    </w:p>
    <w:p>
      <w:pPr>
        <w:ind w:left="2460"/>
        <w:spacing w:after="0"/>
        <w:rPr>
          <w:sz w:val="20"/>
          <w:szCs w:val="20"/>
          <w:color w:val="auto"/>
        </w:rPr>
      </w:pPr>
      <w:r>
        <w:rPr>
          <w:rFonts w:ascii="Courier New" w:cs="Courier New" w:eastAsia="Courier New" w:hAnsi="Courier New"/>
          <w:sz w:val="15"/>
          <w:szCs w:val="15"/>
          <w:color w:val="auto"/>
        </w:rPr>
        <w:t>AS OF SEPTEMBER 30,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168"/>
        </w:trPr>
        <w:tc>
          <w:tcPr>
            <w:tcW w:w="4860" w:type="dxa"/>
            <w:vAlign w:val="bottom"/>
            <w:vMerge w:val="restart"/>
          </w:tcPr>
          <w:p>
            <w:pPr>
              <w:spacing w:after="0"/>
              <w:rPr>
                <w:sz w:val="20"/>
                <w:szCs w:val="20"/>
                <w:color w:val="auto"/>
              </w:rPr>
            </w:pPr>
            <w:r>
              <w:rPr>
                <w:rFonts w:ascii="Courier New" w:cs="Courier New" w:eastAsia="Courier New" w:hAnsi="Courier New"/>
                <w:sz w:val="15"/>
                <w:szCs w:val="15"/>
                <w:color w:val="auto"/>
              </w:rPr>
              <w:t>ACCOUNTANTS' REVIEW REPORT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860" w:type="dxa"/>
            <w:vAlign w:val="bottom"/>
            <w:vMerge w:val="continue"/>
          </w:tcPr>
          <w:p>
            <w:pPr>
              <w:spacing w:after="0"/>
              <w:rPr>
                <w:sz w:val="21"/>
                <w:szCs w:val="21"/>
                <w:color w:val="auto"/>
              </w:rPr>
            </w:pP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BALANCE SHEETS</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STATEMENTS OF OPERATIONS</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STATEMENT OF CHANGES IN SHAREHOLDERS' EQUITY</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STATEMENTS OF CASH FLOWS</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NOTES TO FINANCIAL STATEMENTS</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6-20</w:t>
            </w:r>
          </w:p>
        </w:tc>
        <w:tc>
          <w:tcPr>
            <w:tcW w:w="0" w:type="dxa"/>
            <w:vAlign w:val="bottom"/>
          </w:tcPr>
          <w:p>
            <w:pPr>
              <w:spacing w:after="0"/>
              <w:rPr>
                <w:sz w:val="1"/>
                <w:szCs w:val="1"/>
                <w:color w:val="auto"/>
              </w:rPr>
            </w:pPr>
          </w:p>
        </w:tc>
      </w:tr>
    </w:tbl>
    <w:p>
      <w:pPr>
        <w:sectPr>
          <w:pgSz w:w="11900" w:h="16838" w:orient="portrait"/>
          <w:cols w:equalWidth="0" w:num="1">
            <w:col w:w="10239"/>
          </w:cols>
          <w:pgMar w:left="220" w:top="766"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The Board of Directors</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Tower Semiconductor Ltd.</w:t>
      </w:r>
    </w:p>
    <w:p>
      <w:pPr>
        <w:spacing w:after="0"/>
        <w:rPr>
          <w:sz w:val="20"/>
          <w:szCs w:val="20"/>
          <w:color w:val="auto"/>
        </w:rPr>
      </w:pPr>
      <w:r>
        <w:rPr>
          <w:rFonts w:ascii="Courier New" w:cs="Courier New" w:eastAsia="Courier New" w:hAnsi="Courier New"/>
          <w:sz w:val="15"/>
          <w:szCs w:val="15"/>
          <w:color w:val="auto"/>
        </w:rPr>
        <w:t>Migdal Ha'emek</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23" w:lineRule="exact"/>
        <w:rPr>
          <w:sz w:val="20"/>
          <w:szCs w:val="20"/>
          <w:color w:val="auto"/>
        </w:rPr>
      </w:pPr>
    </w:p>
    <w:p>
      <w:pPr>
        <w:ind w:left="1500"/>
        <w:spacing w:after="0"/>
        <w:tabs>
          <w:tab w:leader="none" w:pos="1920"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4"/>
          <w:szCs w:val="14"/>
          <w:color w:val="auto"/>
        </w:rPr>
        <w:t>REVIEW OF UNAUDITED CONDENSED INTERIM</w:t>
      </w:r>
    </w:p>
    <w:p>
      <w:pPr>
        <w:ind w:left="1940"/>
        <w:spacing w:after="0"/>
        <w:rPr>
          <w:sz w:val="20"/>
          <w:szCs w:val="20"/>
          <w:color w:val="auto"/>
        </w:rPr>
      </w:pPr>
      <w:r>
        <w:rPr>
          <w:rFonts w:ascii="Courier New" w:cs="Courier New" w:eastAsia="Courier New" w:hAnsi="Courier New"/>
          <w:sz w:val="14"/>
          <w:szCs w:val="14"/>
          <w:color w:val="auto"/>
        </w:rPr>
        <w:t>CONSOLIDATED FINANCIAL STATEMENTS AS OF SEPTEMBER 30, 2003</w:t>
      </w:r>
    </w:p>
    <w:p>
      <w:pPr>
        <w:spacing w:after="0" w:line="152" w:lineRule="exact"/>
        <w:rPr>
          <w:sz w:val="20"/>
          <w:szCs w:val="20"/>
          <w:color w:val="auto"/>
        </w:rPr>
      </w:pPr>
    </w:p>
    <w:p>
      <w:pPr>
        <w:jc w:val="both"/>
        <w:ind w:right="3399"/>
        <w:spacing w:after="0" w:line="290" w:lineRule="auto"/>
        <w:rPr>
          <w:sz w:val="20"/>
          <w:szCs w:val="20"/>
          <w:color w:val="auto"/>
        </w:rPr>
      </w:pPr>
      <w:r>
        <w:rPr>
          <w:rFonts w:ascii="Courier New" w:cs="Courier New" w:eastAsia="Courier New" w:hAnsi="Courier New"/>
          <w:sz w:val="15"/>
          <w:szCs w:val="15"/>
          <w:color w:val="auto"/>
        </w:rPr>
        <w:t>At your request, we have reviewed the condensed interim consolidated financial statements ("interim financial statements") of Tower Semiconductor Ltd. ("the Company") and its subsidiary, as follows:</w:t>
      </w:r>
    </w:p>
    <w:p>
      <w:pPr>
        <w:spacing w:after="0" w:line="57" w:lineRule="exact"/>
        <w:rPr>
          <w:sz w:val="20"/>
          <w:szCs w:val="20"/>
          <w:color w:val="auto"/>
        </w:rPr>
      </w:pPr>
    </w:p>
    <w:p>
      <w:pPr>
        <w:ind w:left="180" w:hanging="170"/>
        <w:spacing w:after="0"/>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Balance sheet as of September 30, 2003.</w:t>
      </w:r>
    </w:p>
    <w:p>
      <w:pPr>
        <w:spacing w:after="0" w:line="166" w:lineRule="exact"/>
        <w:rPr>
          <w:rFonts w:ascii="Courier New" w:cs="Courier New" w:eastAsia="Courier New" w:hAnsi="Courier New"/>
          <w:sz w:val="15"/>
          <w:szCs w:val="15"/>
          <w:color w:val="auto"/>
        </w:rPr>
      </w:pPr>
    </w:p>
    <w:p>
      <w:pPr>
        <w:ind w:left="180" w:right="3139" w:hanging="170"/>
        <w:spacing w:after="0" w:line="344" w:lineRule="auto"/>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Statements of operations for the nine months and three months ended September 30, 2003.</w:t>
      </w:r>
    </w:p>
    <w:p>
      <w:pPr>
        <w:spacing w:after="0" w:line="17" w:lineRule="exact"/>
        <w:rPr>
          <w:rFonts w:ascii="Courier New" w:cs="Courier New" w:eastAsia="Courier New" w:hAnsi="Courier New"/>
          <w:sz w:val="15"/>
          <w:szCs w:val="15"/>
          <w:color w:val="auto"/>
        </w:rPr>
      </w:pPr>
    </w:p>
    <w:p>
      <w:pPr>
        <w:ind w:left="180" w:right="3399" w:hanging="170"/>
        <w:spacing w:after="0" w:line="344" w:lineRule="auto"/>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Statement of changes in shareholders' equity for the nine months and three months ended September 30, 2003.</w:t>
      </w:r>
    </w:p>
    <w:p>
      <w:pPr>
        <w:spacing w:after="0" w:line="17" w:lineRule="exact"/>
        <w:rPr>
          <w:rFonts w:ascii="Courier New" w:cs="Courier New" w:eastAsia="Courier New" w:hAnsi="Courier New"/>
          <w:sz w:val="15"/>
          <w:szCs w:val="15"/>
          <w:color w:val="auto"/>
        </w:rPr>
      </w:pPr>
    </w:p>
    <w:p>
      <w:pPr>
        <w:ind w:left="180" w:right="3139" w:hanging="170"/>
        <w:spacing w:after="0" w:line="344" w:lineRule="auto"/>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Statements of cash flows for the nine months and three months ended September 30, 2003.</w:t>
      </w:r>
    </w:p>
    <w:p>
      <w:pPr>
        <w:spacing w:after="0" w:line="17"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Our review was conducted in accordance with procedures prescribed by the Institute of Certified Public Accountants in Israel. The procedures included, inter alia, reading the aforementioned interim financial statements, reading the minutes of the shareholders' meetings and meetings of the board of directors and its committees, and making inquiries with the persons responsible for financial and accounting affairs.</w:t>
      </w:r>
    </w:p>
    <w:p>
      <w:pPr>
        <w:spacing w:after="0" w:line="81" w:lineRule="exact"/>
        <w:rPr>
          <w:sz w:val="20"/>
          <w:szCs w:val="20"/>
          <w:color w:val="auto"/>
        </w:rPr>
      </w:pPr>
    </w:p>
    <w:p>
      <w:pPr>
        <w:ind w:right="3319"/>
        <w:spacing w:after="0" w:line="320" w:lineRule="auto"/>
        <w:rPr>
          <w:sz w:val="20"/>
          <w:szCs w:val="20"/>
          <w:color w:val="auto"/>
        </w:rPr>
      </w:pPr>
      <w:r>
        <w:rPr>
          <w:rFonts w:ascii="Courier New" w:cs="Courier New" w:eastAsia="Courier New" w:hAnsi="Courier New"/>
          <w:sz w:val="14"/>
          <w:szCs w:val="14"/>
          <w:color w:val="auto"/>
        </w:rPr>
        <w:t>Since the review that was performed is limited in scope and does not constitute an audit in accordance with generally accepted auditing standards, we do not express an opinion on the aforementioned interim financial statements.</w:t>
      </w:r>
    </w:p>
    <w:p>
      <w:pPr>
        <w:spacing w:after="0" w:line="38" w:lineRule="exact"/>
        <w:rPr>
          <w:sz w:val="20"/>
          <w:szCs w:val="20"/>
          <w:color w:val="auto"/>
        </w:rPr>
      </w:pPr>
    </w:p>
    <w:p>
      <w:pPr>
        <w:ind w:right="3399"/>
        <w:spacing w:after="0" w:line="273" w:lineRule="auto"/>
        <w:rPr>
          <w:sz w:val="20"/>
          <w:szCs w:val="20"/>
          <w:color w:val="auto"/>
        </w:rPr>
      </w:pPr>
      <w:r>
        <w:rPr>
          <w:rFonts w:ascii="Courier New" w:cs="Courier New" w:eastAsia="Courier New" w:hAnsi="Courier New"/>
          <w:sz w:val="15"/>
          <w:szCs w:val="15"/>
          <w:color w:val="auto"/>
        </w:rPr>
        <w:t>In performing our review, nothing came to our attention which indicates that material adjustments are required to the interim financial statements for them to be deemed financial statements prepared in conformity with accounting principles generally accepted in Israel.</w:t>
      </w:r>
    </w:p>
    <w:p>
      <w:pPr>
        <w:spacing w:after="0" w:line="68" w:lineRule="exact"/>
        <w:rPr>
          <w:sz w:val="20"/>
          <w:szCs w:val="20"/>
          <w:color w:val="auto"/>
        </w:rPr>
      </w:pPr>
    </w:p>
    <w:p>
      <w:pPr>
        <w:ind w:right="3399"/>
        <w:spacing w:after="0" w:line="264" w:lineRule="auto"/>
        <w:rPr>
          <w:sz w:val="20"/>
          <w:szCs w:val="20"/>
          <w:color w:val="auto"/>
        </w:rPr>
      </w:pPr>
      <w:r>
        <w:rPr>
          <w:rFonts w:ascii="Courier New" w:cs="Courier New" w:eastAsia="Courier New" w:hAnsi="Courier New"/>
          <w:sz w:val="15"/>
          <w:szCs w:val="15"/>
          <w:color w:val="auto"/>
        </w:rPr>
        <w:t>Accounting principles generally accepted in Israel vary in certain significant respects from accounting principles generally accepted in the United States of America. The effect of the application of the latter on the financial position and results of operations as of the date and for the periods presented is summarized in Note 5.</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Respectfully submitted,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Brightman Almagor &amp; Co.</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Certified Public Accountants</w:t>
      </w:r>
    </w:p>
    <w:p>
      <w:pPr>
        <w:spacing w:after="0"/>
        <w:rPr>
          <w:sz w:val="20"/>
          <w:szCs w:val="20"/>
          <w:color w:val="auto"/>
        </w:rPr>
      </w:pPr>
      <w:r>
        <w:rPr>
          <w:rFonts w:ascii="Courier New" w:cs="Courier New" w:eastAsia="Courier New" w:hAnsi="Courier New"/>
          <w:sz w:val="15"/>
          <w:szCs w:val="15"/>
          <w:color w:val="auto"/>
        </w:rPr>
        <w:t>A member of Deloitte Touche Tohmatsu</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 Aviv, Israel</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30, 2003</w:t>
      </w: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766" w:right="1440" w:bottom="1440" w:gutter="0" w:footer="0" w:header="0"/>
        </w:sectPr>
      </w:pPr>
    </w:p>
    <w:bookmarkStart w:id="6" w:name="page7"/>
    <w:bookmarkEnd w:id="6"/>
    <w:p>
      <w:pPr>
        <w:jc w:val="center"/>
        <w:ind w:right="428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3" w:lineRule="exact"/>
        <w:rPr>
          <w:sz w:val="20"/>
          <w:szCs w:val="20"/>
          <w:color w:val="auto"/>
        </w:rPr>
      </w:pPr>
    </w:p>
    <w:p>
      <w:pPr>
        <w:jc w:val="center"/>
        <w:ind w:right="4280"/>
        <w:spacing w:after="0"/>
        <w:rPr>
          <w:sz w:val="20"/>
          <w:szCs w:val="20"/>
          <w:color w:val="auto"/>
        </w:rPr>
      </w:pPr>
      <w:r>
        <w:rPr>
          <w:rFonts w:ascii="Courier New" w:cs="Courier New" w:eastAsia="Courier New" w:hAnsi="Courier New"/>
          <w:sz w:val="15"/>
          <w:szCs w:val="15"/>
          <w:color w:val="auto"/>
        </w:rPr>
        <w:t>CONSOLIDATED BALANCE SHEETS</w:t>
      </w:r>
    </w:p>
    <w:tbl>
      <w:tblPr>
        <w:tblLayout w:type="fixed"/>
        <w:tblInd w:w="0" w:type="dxa"/>
        <w:tblCellMar>
          <w:top w:w="0" w:type="dxa"/>
          <w:left w:w="0" w:type="dxa"/>
          <w:bottom w:w="0" w:type="dxa"/>
          <w:right w:w="0" w:type="dxa"/>
        </w:tblCellMar>
      </w:tblPr>
      <w:tr>
        <w:trPr>
          <w:trHeight w:val="245"/>
        </w:trPr>
        <w:tc>
          <w:tcPr>
            <w:tcW w:w="6840" w:type="dxa"/>
            <w:vAlign w:val="bottom"/>
          </w:tcPr>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0"/>
        </w:trPr>
        <w:tc>
          <w:tcPr>
            <w:tcW w:w="6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gridSpan w:val="3"/>
          </w:tcPr>
          <w:p>
            <w:pPr>
              <w:jc w:val="right"/>
              <w:ind w:right="667"/>
              <w:spacing w:after="0"/>
              <w:rPr>
                <w:sz w:val="20"/>
                <w:szCs w:val="20"/>
                <w:color w:val="auto"/>
              </w:rPr>
            </w:pPr>
            <w:r>
              <w:rPr>
                <w:rFonts w:ascii="Courier New" w:cs="Courier New" w:eastAsia="Courier New" w:hAnsi="Courier New"/>
                <w:sz w:val="15"/>
                <w:szCs w:val="15"/>
                <w:color w:val="auto"/>
              </w:rPr>
              <w:t>AS OF SEPTEMBER 30,</w:t>
            </w:r>
          </w:p>
        </w:tc>
        <w:tc>
          <w:tcPr>
            <w:tcW w:w="3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68"/>
        </w:trPr>
        <w:tc>
          <w:tcPr>
            <w:tcW w:w="6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2003</w:t>
            </w:r>
          </w:p>
        </w:tc>
        <w:tc>
          <w:tcPr>
            <w:tcW w:w="3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2002</w:t>
            </w:r>
          </w:p>
        </w:tc>
        <w:tc>
          <w:tcPr>
            <w:tcW w:w="30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2002</w:t>
            </w:r>
          </w:p>
        </w:tc>
        <w:tc>
          <w:tcPr>
            <w:tcW w:w="0" w:type="dxa"/>
            <w:vAlign w:val="bottom"/>
          </w:tcPr>
          <w:p>
            <w:pPr>
              <w:spacing w:after="0"/>
              <w:rPr>
                <w:sz w:val="1"/>
                <w:szCs w:val="1"/>
                <w:color w:val="auto"/>
              </w:rPr>
            </w:pPr>
          </w:p>
        </w:tc>
      </w:tr>
      <w:tr>
        <w:trPr>
          <w:trHeight w:val="168"/>
        </w:trPr>
        <w:tc>
          <w:tcPr>
            <w:tcW w:w="6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6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3"/>
          </w:tcPr>
          <w:p>
            <w:pPr>
              <w:jc w:val="right"/>
              <w:ind w:right="927"/>
              <w:spacing w:after="0" w:line="168" w:lineRule="exact"/>
              <w:rPr>
                <w:sz w:val="20"/>
                <w:szCs w:val="20"/>
                <w:color w:val="auto"/>
              </w:rPr>
            </w:pPr>
            <w:r>
              <w:rPr>
                <w:rFonts w:ascii="Courier New" w:cs="Courier New" w:eastAsia="Courier New" w:hAnsi="Courier New"/>
                <w:sz w:val="15"/>
                <w:szCs w:val="15"/>
                <w:color w:val="auto"/>
              </w:rPr>
              <w:t>(UNAUDITED)</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6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6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w w:val="96"/>
              </w:rPr>
              <w:t>-----------------------------</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684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840" w:type="dxa"/>
            <w:vAlign w:val="bottom"/>
          </w:tcPr>
          <w:p>
            <w:pPr>
              <w:ind w:left="280"/>
              <w:spacing w:after="0"/>
              <w:rPr>
                <w:sz w:val="20"/>
                <w:szCs w:val="20"/>
                <w:color w:val="auto"/>
              </w:rPr>
            </w:pPr>
            <w:r>
              <w:rPr>
                <w:rFonts w:ascii="Courier New" w:cs="Courier New" w:eastAsia="Courier New" w:hAnsi="Courier New"/>
                <w:sz w:val="15"/>
                <w:szCs w:val="15"/>
                <w:color w:val="auto"/>
              </w:rPr>
              <w:t>CURRENT ASSETS</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4,218</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7,046</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7,857</w:t>
            </w:r>
          </w:p>
        </w:tc>
        <w:tc>
          <w:tcPr>
            <w:tcW w:w="0" w:type="dxa"/>
            <w:vAlign w:val="bottom"/>
          </w:tcPr>
          <w:p>
            <w:pPr>
              <w:spacing w:after="0"/>
              <w:rPr>
                <w:sz w:val="1"/>
                <w:szCs w:val="1"/>
                <w:color w:val="auto"/>
              </w:rPr>
            </w:pP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3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SHORT-TERM INTEREST-BEARING DEPOSITS</w:t>
            </w: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2,500</w:t>
            </w:r>
          </w:p>
        </w:tc>
        <w:tc>
          <w:tcPr>
            <w:tcW w:w="3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11,500</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10,500</w:t>
            </w:r>
          </w:p>
        </w:tc>
        <w:tc>
          <w:tcPr>
            <w:tcW w:w="0" w:type="dxa"/>
            <w:vAlign w:val="bottom"/>
          </w:tcPr>
          <w:p>
            <w:pPr>
              <w:spacing w:after="0"/>
              <w:rPr>
                <w:sz w:val="1"/>
                <w:szCs w:val="1"/>
                <w:color w:val="auto"/>
              </w:rPr>
            </w:pP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CASH AND SHORT-TERM INTEREST-BEARING DEPOSITS</w:t>
            </w:r>
          </w:p>
        </w:tc>
        <w:tc>
          <w:tcPr>
            <w:tcW w:w="340" w:type="dxa"/>
            <w:vAlign w:val="bottom"/>
          </w:tcPr>
          <w:p>
            <w:pPr>
              <w:spacing w:after="0"/>
              <w:rPr>
                <w:sz w:val="14"/>
                <w:szCs w:val="14"/>
                <w:color w:val="auto"/>
              </w:rPr>
            </w:pPr>
          </w:p>
        </w:tc>
        <w:tc>
          <w:tcPr>
            <w:tcW w:w="12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1,659</w:t>
            </w:r>
          </w:p>
        </w:tc>
        <w:tc>
          <w:tcPr>
            <w:tcW w:w="360" w:type="dxa"/>
            <w:vAlign w:val="bottom"/>
          </w:tcPr>
          <w:p>
            <w:pPr>
              <w:spacing w:after="0"/>
              <w:rPr>
                <w:sz w:val="14"/>
                <w:szCs w:val="14"/>
                <w:color w:val="auto"/>
              </w:rPr>
            </w:pPr>
          </w:p>
        </w:tc>
        <w:tc>
          <w:tcPr>
            <w:tcW w:w="11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34,743</w:t>
            </w:r>
          </w:p>
        </w:tc>
        <w:tc>
          <w:tcPr>
            <w:tcW w:w="300" w:type="dxa"/>
            <w:vAlign w:val="bottom"/>
          </w:tcPr>
          <w:p>
            <w:pPr>
              <w:spacing w:after="0"/>
              <w:rPr>
                <w:sz w:val="14"/>
                <w:szCs w:val="14"/>
                <w:color w:val="auto"/>
              </w:rPr>
            </w:pPr>
          </w:p>
        </w:tc>
        <w:tc>
          <w:tcPr>
            <w:tcW w:w="11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51,338</w:t>
            </w:r>
          </w:p>
        </w:tc>
        <w:tc>
          <w:tcPr>
            <w:tcW w:w="0" w:type="dxa"/>
            <w:vAlign w:val="bottom"/>
          </w:tcPr>
          <w:p>
            <w:pPr>
              <w:spacing w:after="0"/>
              <w:rPr>
                <w:sz w:val="1"/>
                <w:szCs w:val="1"/>
                <w:color w:val="auto"/>
              </w:rPr>
            </w:pPr>
          </w:p>
        </w:tc>
      </w:tr>
      <w:tr>
        <w:trPr>
          <w:trHeight w:val="168"/>
        </w:trPr>
        <w:tc>
          <w:tcPr>
            <w:tcW w:w="68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DESIGNATED FOR INVESTMENTS RELATING TO FAB 2</w:t>
            </w:r>
          </w:p>
        </w:tc>
        <w:tc>
          <w:tcPr>
            <w:tcW w:w="3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TRADE ACCOUNTS RECEIVABLE (NET OF ALLOWANCE FOR</w:t>
            </w:r>
          </w:p>
        </w:tc>
        <w:tc>
          <w:tcPr>
            <w:tcW w:w="340" w:type="dxa"/>
            <w:vAlign w:val="bottom"/>
          </w:tcPr>
          <w:p>
            <w:pPr>
              <w:spacing w:after="0"/>
              <w:rPr>
                <w:sz w:val="14"/>
                <w:szCs w:val="14"/>
                <w:color w:val="auto"/>
              </w:rPr>
            </w:pPr>
          </w:p>
        </w:tc>
        <w:tc>
          <w:tcPr>
            <w:tcW w:w="12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9,302</w:t>
            </w:r>
          </w:p>
        </w:tc>
        <w:tc>
          <w:tcPr>
            <w:tcW w:w="360" w:type="dxa"/>
            <w:vAlign w:val="bottom"/>
          </w:tcPr>
          <w:p>
            <w:pPr>
              <w:spacing w:after="0"/>
              <w:rPr>
                <w:sz w:val="14"/>
                <w:szCs w:val="14"/>
                <w:color w:val="auto"/>
              </w:rPr>
            </w:pPr>
          </w:p>
        </w:tc>
        <w:tc>
          <w:tcPr>
            <w:tcW w:w="11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5,082</w:t>
            </w:r>
          </w:p>
        </w:tc>
        <w:tc>
          <w:tcPr>
            <w:tcW w:w="300" w:type="dxa"/>
            <w:vAlign w:val="bottom"/>
          </w:tcPr>
          <w:p>
            <w:pPr>
              <w:spacing w:after="0"/>
              <w:rPr>
                <w:sz w:val="14"/>
                <w:szCs w:val="14"/>
                <w:color w:val="auto"/>
              </w:rPr>
            </w:pPr>
          </w:p>
        </w:tc>
        <w:tc>
          <w:tcPr>
            <w:tcW w:w="11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7,456</w:t>
            </w:r>
          </w:p>
        </w:tc>
        <w:tc>
          <w:tcPr>
            <w:tcW w:w="0" w:type="dxa"/>
            <w:vAlign w:val="bottom"/>
          </w:tcPr>
          <w:p>
            <w:pPr>
              <w:spacing w:after="0"/>
              <w:rPr>
                <w:sz w:val="1"/>
                <w:szCs w:val="1"/>
                <w:color w:val="auto"/>
              </w:rPr>
            </w:pPr>
          </w:p>
        </w:tc>
      </w:tr>
      <w:tr>
        <w:trPr>
          <w:trHeight w:val="168"/>
        </w:trPr>
        <w:tc>
          <w:tcPr>
            <w:tcW w:w="68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DOUBTFUL ACCOUNTS OF $110, $250 AND $155, RESPECTIVELY)</w:t>
            </w:r>
          </w:p>
        </w:tc>
        <w:tc>
          <w:tcPr>
            <w:tcW w:w="3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14,564</w:t>
            </w:r>
          </w:p>
        </w:tc>
        <w:tc>
          <w:tcPr>
            <w:tcW w:w="3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21,338</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21,322</w:t>
            </w:r>
          </w:p>
        </w:tc>
        <w:tc>
          <w:tcPr>
            <w:tcW w:w="0" w:type="dxa"/>
            <w:vAlign w:val="bottom"/>
          </w:tcPr>
          <w:p>
            <w:pPr>
              <w:spacing w:after="0"/>
              <w:rPr>
                <w:sz w:val="1"/>
                <w:szCs w:val="1"/>
                <w:color w:val="auto"/>
              </w:rPr>
            </w:pP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INVENTORIES</w:t>
            </w: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17,058</w:t>
            </w:r>
          </w:p>
        </w:tc>
        <w:tc>
          <w:tcPr>
            <w:tcW w:w="3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10,085</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10,201</w:t>
            </w:r>
          </w:p>
        </w:tc>
        <w:tc>
          <w:tcPr>
            <w:tcW w:w="0" w:type="dxa"/>
            <w:vAlign w:val="bottom"/>
          </w:tcPr>
          <w:p>
            <w:pPr>
              <w:spacing w:after="0"/>
              <w:rPr>
                <w:sz w:val="1"/>
                <w:szCs w:val="1"/>
                <w:color w:val="auto"/>
              </w:rPr>
            </w:pP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1,681</w:t>
            </w:r>
          </w:p>
        </w:tc>
        <w:tc>
          <w:tcPr>
            <w:tcW w:w="3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2,030</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1,407</w:t>
            </w:r>
          </w:p>
        </w:tc>
        <w:tc>
          <w:tcPr>
            <w:tcW w:w="0" w:type="dxa"/>
            <w:vAlign w:val="bottom"/>
          </w:tcPr>
          <w:p>
            <w:pPr>
              <w:spacing w:after="0"/>
              <w:rPr>
                <w:sz w:val="1"/>
                <w:szCs w:val="1"/>
                <w:color w:val="auto"/>
              </w:rPr>
            </w:pPr>
          </w:p>
        </w:tc>
      </w:tr>
      <w:tr>
        <w:trPr>
          <w:trHeight w:val="168"/>
        </w:trPr>
        <w:tc>
          <w:tcPr>
            <w:tcW w:w="684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TOTAL CURRENT ASSETS</w:t>
            </w:r>
          </w:p>
        </w:tc>
        <w:tc>
          <w:tcPr>
            <w:tcW w:w="3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30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68"/>
        </w:trPr>
        <w:tc>
          <w:tcPr>
            <w:tcW w:w="68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50,982</w:t>
            </w:r>
          </w:p>
        </w:tc>
        <w:tc>
          <w:tcPr>
            <w:tcW w:w="3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91,824</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110,081</w:t>
            </w:r>
          </w:p>
        </w:tc>
        <w:tc>
          <w:tcPr>
            <w:tcW w:w="0" w:type="dxa"/>
            <w:vAlign w:val="bottom"/>
          </w:tcPr>
          <w:p>
            <w:pPr>
              <w:spacing w:after="0"/>
              <w:rPr>
                <w:sz w:val="1"/>
                <w:szCs w:val="1"/>
                <w:color w:val="auto"/>
              </w:rPr>
            </w:pPr>
          </w:p>
        </w:tc>
      </w:tr>
      <w:tr>
        <w:trPr>
          <w:trHeight w:val="245"/>
        </w:trPr>
        <w:tc>
          <w:tcPr>
            <w:tcW w:w="68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LONG-TERM INVESTMENTS</w:t>
            </w:r>
          </w:p>
        </w:tc>
        <w:tc>
          <w:tcPr>
            <w:tcW w:w="340" w:type="dxa"/>
            <w:vAlign w:val="bottom"/>
          </w:tcPr>
          <w:p>
            <w:pPr>
              <w:spacing w:after="0"/>
              <w:rPr>
                <w:sz w:val="21"/>
                <w:szCs w:val="21"/>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21"/>
                <w:szCs w:val="21"/>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w:t>
            </w:r>
          </w:p>
        </w:tc>
        <w:tc>
          <w:tcPr>
            <w:tcW w:w="30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91"/>
        </w:trPr>
        <w:tc>
          <w:tcPr>
            <w:tcW w:w="68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340" w:type="dxa"/>
            <w:vAlign w:val="bottom"/>
          </w:tcPr>
          <w:p>
            <w:pPr>
              <w:spacing w:after="0"/>
              <w:rPr>
                <w:sz w:val="14"/>
                <w:szCs w:val="14"/>
                <w:color w:val="auto"/>
              </w:rPr>
            </w:pPr>
          </w:p>
        </w:tc>
        <w:tc>
          <w:tcPr>
            <w:tcW w:w="12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11,945</w:t>
            </w:r>
          </w:p>
        </w:tc>
        <w:tc>
          <w:tcPr>
            <w:tcW w:w="360" w:type="dxa"/>
            <w:vAlign w:val="bottom"/>
          </w:tcPr>
          <w:p>
            <w:pPr>
              <w:spacing w:after="0"/>
              <w:rPr>
                <w:sz w:val="14"/>
                <w:szCs w:val="14"/>
                <w:color w:val="auto"/>
              </w:rPr>
            </w:pPr>
          </w:p>
        </w:tc>
        <w:tc>
          <w:tcPr>
            <w:tcW w:w="11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11,544</w:t>
            </w:r>
          </w:p>
        </w:tc>
        <w:tc>
          <w:tcPr>
            <w:tcW w:w="300" w:type="dxa"/>
            <w:vAlign w:val="bottom"/>
          </w:tcPr>
          <w:p>
            <w:pPr>
              <w:spacing w:after="0"/>
              <w:rPr>
                <w:sz w:val="14"/>
                <w:szCs w:val="14"/>
                <w:color w:val="auto"/>
              </w:rPr>
            </w:pPr>
          </w:p>
        </w:tc>
        <w:tc>
          <w:tcPr>
            <w:tcW w:w="11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11,893</w:t>
            </w:r>
          </w:p>
        </w:tc>
        <w:tc>
          <w:tcPr>
            <w:tcW w:w="0" w:type="dxa"/>
            <w:vAlign w:val="bottom"/>
          </w:tcPr>
          <w:p>
            <w:pPr>
              <w:spacing w:after="0"/>
              <w:rPr>
                <w:sz w:val="1"/>
                <w:szCs w:val="1"/>
                <w:color w:val="auto"/>
              </w:rPr>
            </w:pPr>
          </w:p>
        </w:tc>
      </w:tr>
      <w:tr>
        <w:trPr>
          <w:trHeight w:val="168"/>
        </w:trPr>
        <w:tc>
          <w:tcPr>
            <w:tcW w:w="68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DESIGNATED FOR INVESTMENTS RELATING TO FAB 2</w:t>
            </w:r>
          </w:p>
        </w:tc>
        <w:tc>
          <w:tcPr>
            <w:tcW w:w="3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LONG-TERM INVESTMENTS</w:t>
            </w: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6,000</w:t>
            </w:r>
          </w:p>
        </w:tc>
        <w:tc>
          <w:tcPr>
            <w:tcW w:w="3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6,000</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6,000</w:t>
            </w:r>
          </w:p>
        </w:tc>
        <w:tc>
          <w:tcPr>
            <w:tcW w:w="0" w:type="dxa"/>
            <w:vAlign w:val="bottom"/>
          </w:tcPr>
          <w:p>
            <w:pPr>
              <w:spacing w:after="0"/>
              <w:rPr>
                <w:sz w:val="1"/>
                <w:szCs w:val="1"/>
                <w:color w:val="auto"/>
              </w:rPr>
            </w:pPr>
          </w:p>
        </w:tc>
      </w:tr>
      <w:tr>
        <w:trPr>
          <w:trHeight w:val="168"/>
        </w:trPr>
        <w:tc>
          <w:tcPr>
            <w:tcW w:w="6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30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68"/>
        </w:trPr>
        <w:tc>
          <w:tcPr>
            <w:tcW w:w="6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17,945</w:t>
            </w:r>
          </w:p>
        </w:tc>
        <w:tc>
          <w:tcPr>
            <w:tcW w:w="3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17,544</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17,893</w:t>
            </w:r>
          </w:p>
        </w:tc>
        <w:tc>
          <w:tcPr>
            <w:tcW w:w="0" w:type="dxa"/>
            <w:vAlign w:val="bottom"/>
          </w:tcPr>
          <w:p>
            <w:pPr>
              <w:spacing w:after="0"/>
              <w:rPr>
                <w:sz w:val="1"/>
                <w:szCs w:val="1"/>
                <w:color w:val="auto"/>
              </w:rPr>
            </w:pPr>
          </w:p>
        </w:tc>
      </w:tr>
      <w:tr>
        <w:trPr>
          <w:trHeight w:val="168"/>
        </w:trPr>
        <w:tc>
          <w:tcPr>
            <w:tcW w:w="68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PROPERTY AND EQUIPMENT, NET</w:t>
            </w:r>
          </w:p>
        </w:tc>
        <w:tc>
          <w:tcPr>
            <w:tcW w:w="3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30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68"/>
        </w:trPr>
        <w:tc>
          <w:tcPr>
            <w:tcW w:w="68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576,425</w:t>
            </w:r>
          </w:p>
        </w:tc>
        <w:tc>
          <w:tcPr>
            <w:tcW w:w="3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435,485</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493,074</w:t>
            </w:r>
          </w:p>
        </w:tc>
        <w:tc>
          <w:tcPr>
            <w:tcW w:w="0" w:type="dxa"/>
            <w:vAlign w:val="bottom"/>
          </w:tcPr>
          <w:p>
            <w:pPr>
              <w:spacing w:after="0"/>
              <w:rPr>
                <w:sz w:val="1"/>
                <w:szCs w:val="1"/>
                <w:color w:val="auto"/>
              </w:rPr>
            </w:pPr>
          </w:p>
        </w:tc>
      </w:tr>
      <w:tr>
        <w:trPr>
          <w:trHeight w:val="168"/>
        </w:trPr>
        <w:tc>
          <w:tcPr>
            <w:tcW w:w="68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OTHER ASSETS</w:t>
            </w:r>
          </w:p>
        </w:tc>
        <w:tc>
          <w:tcPr>
            <w:tcW w:w="3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30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68"/>
        </w:trPr>
        <w:tc>
          <w:tcPr>
            <w:tcW w:w="68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105,260</w:t>
            </w:r>
          </w:p>
        </w:tc>
        <w:tc>
          <w:tcPr>
            <w:tcW w:w="3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84,913</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95,213</w:t>
            </w:r>
          </w:p>
        </w:tc>
        <w:tc>
          <w:tcPr>
            <w:tcW w:w="0" w:type="dxa"/>
            <w:vAlign w:val="bottom"/>
          </w:tcPr>
          <w:p>
            <w:pPr>
              <w:spacing w:after="0"/>
              <w:rPr>
                <w:sz w:val="1"/>
                <w:szCs w:val="1"/>
                <w:color w:val="auto"/>
              </w:rPr>
            </w:pPr>
          </w:p>
        </w:tc>
      </w:tr>
      <w:tr>
        <w:trPr>
          <w:trHeight w:val="168"/>
        </w:trPr>
        <w:tc>
          <w:tcPr>
            <w:tcW w:w="684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TOTAL ASSETS</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68"/>
        </w:trPr>
        <w:tc>
          <w:tcPr>
            <w:tcW w:w="68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750,612</w:t>
            </w:r>
          </w:p>
        </w:tc>
        <w:tc>
          <w:tcPr>
            <w:tcW w:w="360" w:type="dxa"/>
            <w:vAlign w:val="bottom"/>
            <w:vMerge w:val="continue"/>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629,766</w:t>
            </w:r>
          </w:p>
        </w:tc>
        <w:tc>
          <w:tcPr>
            <w:tcW w:w="300" w:type="dxa"/>
            <w:vAlign w:val="bottom"/>
            <w:vMerge w:val="continue"/>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716,261</w:t>
            </w:r>
          </w:p>
        </w:tc>
        <w:tc>
          <w:tcPr>
            <w:tcW w:w="0" w:type="dxa"/>
            <w:vAlign w:val="bottom"/>
          </w:tcPr>
          <w:p>
            <w:pPr>
              <w:spacing w:after="0"/>
              <w:rPr>
                <w:sz w:val="1"/>
                <w:szCs w:val="1"/>
                <w:color w:val="auto"/>
              </w:rPr>
            </w:pPr>
          </w:p>
        </w:tc>
      </w:tr>
      <w:tr>
        <w:trPr>
          <w:trHeight w:val="245"/>
        </w:trPr>
        <w:tc>
          <w:tcPr>
            <w:tcW w:w="6840" w:type="dxa"/>
            <w:vAlign w:val="bottom"/>
            <w:vMerge w:val="restart"/>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340" w:type="dxa"/>
            <w:vAlign w:val="bottom"/>
          </w:tcPr>
          <w:p>
            <w:pPr>
              <w:spacing w:after="0"/>
              <w:rPr>
                <w:sz w:val="21"/>
                <w:szCs w:val="21"/>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21"/>
                <w:szCs w:val="21"/>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w:t>
            </w:r>
          </w:p>
        </w:tc>
        <w:tc>
          <w:tcPr>
            <w:tcW w:w="30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68"/>
        </w:trPr>
        <w:tc>
          <w:tcPr>
            <w:tcW w:w="68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6840" w:type="dxa"/>
            <w:vAlign w:val="bottom"/>
          </w:tcPr>
          <w:p>
            <w:pPr>
              <w:ind w:left="280"/>
              <w:spacing w:after="0"/>
              <w:rPr>
                <w:sz w:val="20"/>
                <w:szCs w:val="20"/>
                <w:color w:val="auto"/>
              </w:rPr>
            </w:pPr>
            <w:r>
              <w:rPr>
                <w:rFonts w:ascii="Courier New" w:cs="Courier New" w:eastAsia="Courier New" w:hAnsi="Courier New"/>
                <w:sz w:val="15"/>
                <w:szCs w:val="15"/>
                <w:color w:val="auto"/>
              </w:rPr>
              <w:t>CURRENT LIABILITIES</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4,000</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4,000</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4,000</w:t>
            </w:r>
          </w:p>
        </w:tc>
        <w:tc>
          <w:tcPr>
            <w:tcW w:w="0" w:type="dxa"/>
            <w:vAlign w:val="bottom"/>
          </w:tcPr>
          <w:p>
            <w:pPr>
              <w:spacing w:after="0"/>
              <w:rPr>
                <w:sz w:val="1"/>
                <w:szCs w:val="1"/>
                <w:color w:val="auto"/>
              </w:rPr>
            </w:pP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SHORT-TERM DEBT</w:t>
            </w:r>
          </w:p>
        </w:tc>
        <w:tc>
          <w:tcPr>
            <w:tcW w:w="3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65,772</w:t>
            </w:r>
          </w:p>
        </w:tc>
        <w:tc>
          <w:tcPr>
            <w:tcW w:w="3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54,559</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76,083</w:t>
            </w:r>
          </w:p>
        </w:tc>
        <w:tc>
          <w:tcPr>
            <w:tcW w:w="0" w:type="dxa"/>
            <w:vAlign w:val="bottom"/>
          </w:tcPr>
          <w:p>
            <w:pPr>
              <w:spacing w:after="0"/>
              <w:rPr>
                <w:sz w:val="1"/>
                <w:szCs w:val="1"/>
                <w:color w:val="auto"/>
              </w:rPr>
            </w:pP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9,382</w:t>
            </w:r>
          </w:p>
        </w:tc>
        <w:tc>
          <w:tcPr>
            <w:tcW w:w="3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8,819</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8,071</w:t>
            </w:r>
          </w:p>
        </w:tc>
        <w:tc>
          <w:tcPr>
            <w:tcW w:w="0" w:type="dxa"/>
            <w:vAlign w:val="bottom"/>
          </w:tcPr>
          <w:p>
            <w:pPr>
              <w:spacing w:after="0"/>
              <w:rPr>
                <w:sz w:val="1"/>
                <w:szCs w:val="1"/>
                <w:color w:val="auto"/>
              </w:rPr>
            </w:pPr>
          </w:p>
        </w:tc>
      </w:tr>
      <w:tr>
        <w:trPr>
          <w:trHeight w:val="168"/>
        </w:trPr>
        <w:tc>
          <w:tcPr>
            <w:tcW w:w="684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TOTAL CURRENT LIABILITIES</w:t>
            </w:r>
          </w:p>
        </w:tc>
        <w:tc>
          <w:tcPr>
            <w:tcW w:w="3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30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68"/>
        </w:trPr>
        <w:tc>
          <w:tcPr>
            <w:tcW w:w="68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79,154</w:t>
            </w:r>
          </w:p>
        </w:tc>
        <w:tc>
          <w:tcPr>
            <w:tcW w:w="3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67,378</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88,154</w:t>
            </w:r>
          </w:p>
        </w:tc>
        <w:tc>
          <w:tcPr>
            <w:tcW w:w="0" w:type="dxa"/>
            <w:vAlign w:val="bottom"/>
          </w:tcPr>
          <w:p>
            <w:pPr>
              <w:spacing w:after="0"/>
              <w:rPr>
                <w:sz w:val="1"/>
                <w:szCs w:val="1"/>
                <w:color w:val="auto"/>
              </w:rPr>
            </w:pP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LONG-TERM DEBT</w:t>
            </w: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347,000</w:t>
            </w:r>
          </w:p>
        </w:tc>
        <w:tc>
          <w:tcPr>
            <w:tcW w:w="3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254,000</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253,000</w:t>
            </w:r>
          </w:p>
        </w:tc>
        <w:tc>
          <w:tcPr>
            <w:tcW w:w="0" w:type="dxa"/>
            <w:vAlign w:val="bottom"/>
          </w:tcPr>
          <w:p>
            <w:pPr>
              <w:spacing w:after="0"/>
              <w:rPr>
                <w:sz w:val="1"/>
                <w:szCs w:val="1"/>
                <w:color w:val="auto"/>
              </w:rPr>
            </w:pP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CONVERTIBLE DEBENTURES</w:t>
            </w: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25,552</w:t>
            </w:r>
          </w:p>
        </w:tc>
        <w:tc>
          <w:tcPr>
            <w:tcW w:w="3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23,369</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24,121</w:t>
            </w:r>
          </w:p>
        </w:tc>
        <w:tc>
          <w:tcPr>
            <w:tcW w:w="0" w:type="dxa"/>
            <w:vAlign w:val="bottom"/>
          </w:tcPr>
          <w:p>
            <w:pPr>
              <w:spacing w:after="0"/>
              <w:rPr>
                <w:sz w:val="1"/>
                <w:szCs w:val="1"/>
                <w:color w:val="auto"/>
              </w:rPr>
            </w:pP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LONG-TERM LIABILITY IN RESPECT</w:t>
            </w:r>
          </w:p>
        </w:tc>
        <w:tc>
          <w:tcPr>
            <w:tcW w:w="340" w:type="dxa"/>
            <w:vAlign w:val="bottom"/>
          </w:tcPr>
          <w:p>
            <w:pPr>
              <w:spacing w:after="0"/>
              <w:rPr>
                <w:sz w:val="14"/>
                <w:szCs w:val="14"/>
                <w:color w:val="auto"/>
              </w:rPr>
            </w:pPr>
          </w:p>
        </w:tc>
        <w:tc>
          <w:tcPr>
            <w:tcW w:w="12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46,920</w:t>
            </w:r>
          </w:p>
        </w:tc>
        <w:tc>
          <w:tcPr>
            <w:tcW w:w="360" w:type="dxa"/>
            <w:vAlign w:val="bottom"/>
          </w:tcPr>
          <w:p>
            <w:pPr>
              <w:spacing w:after="0"/>
              <w:rPr>
                <w:sz w:val="14"/>
                <w:szCs w:val="14"/>
                <w:color w:val="auto"/>
              </w:rPr>
            </w:pPr>
          </w:p>
        </w:tc>
        <w:tc>
          <w:tcPr>
            <w:tcW w:w="11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32,578</w:t>
            </w:r>
          </w:p>
        </w:tc>
        <w:tc>
          <w:tcPr>
            <w:tcW w:w="300" w:type="dxa"/>
            <w:vAlign w:val="bottom"/>
          </w:tcPr>
          <w:p>
            <w:pPr>
              <w:spacing w:after="0"/>
              <w:rPr>
                <w:sz w:val="14"/>
                <w:szCs w:val="14"/>
                <w:color w:val="auto"/>
              </w:rPr>
            </w:pPr>
          </w:p>
        </w:tc>
        <w:tc>
          <w:tcPr>
            <w:tcW w:w="11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47,246</w:t>
            </w:r>
          </w:p>
        </w:tc>
        <w:tc>
          <w:tcPr>
            <w:tcW w:w="0" w:type="dxa"/>
            <w:vAlign w:val="bottom"/>
          </w:tcPr>
          <w:p>
            <w:pPr>
              <w:spacing w:after="0"/>
              <w:rPr>
                <w:sz w:val="1"/>
                <w:szCs w:val="1"/>
                <w:color w:val="auto"/>
              </w:rPr>
            </w:pPr>
          </w:p>
        </w:tc>
      </w:tr>
      <w:tr>
        <w:trPr>
          <w:trHeight w:val="168"/>
        </w:trPr>
        <w:tc>
          <w:tcPr>
            <w:tcW w:w="68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OF CUSTOMERS' ADVANCES</w:t>
            </w:r>
          </w:p>
        </w:tc>
        <w:tc>
          <w:tcPr>
            <w:tcW w:w="3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LONG-TERM LIABILITIES</w:t>
            </w: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5,869</w:t>
            </w:r>
          </w:p>
        </w:tc>
        <w:tc>
          <w:tcPr>
            <w:tcW w:w="3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5,332</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5,406</w:t>
            </w:r>
          </w:p>
        </w:tc>
        <w:tc>
          <w:tcPr>
            <w:tcW w:w="0" w:type="dxa"/>
            <w:vAlign w:val="bottom"/>
          </w:tcPr>
          <w:p>
            <w:pPr>
              <w:spacing w:after="0"/>
              <w:rPr>
                <w:sz w:val="1"/>
                <w:szCs w:val="1"/>
                <w:color w:val="auto"/>
              </w:rPr>
            </w:pPr>
          </w:p>
        </w:tc>
      </w:tr>
      <w:tr>
        <w:trPr>
          <w:trHeight w:val="168"/>
        </w:trPr>
        <w:tc>
          <w:tcPr>
            <w:tcW w:w="684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TOTAL LIABILITIES</w:t>
            </w:r>
          </w:p>
        </w:tc>
        <w:tc>
          <w:tcPr>
            <w:tcW w:w="3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30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68"/>
        </w:trPr>
        <w:tc>
          <w:tcPr>
            <w:tcW w:w="68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504,495</w:t>
            </w:r>
          </w:p>
        </w:tc>
        <w:tc>
          <w:tcPr>
            <w:tcW w:w="3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382,657</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417,927</w:t>
            </w:r>
          </w:p>
        </w:tc>
        <w:tc>
          <w:tcPr>
            <w:tcW w:w="0" w:type="dxa"/>
            <w:vAlign w:val="bottom"/>
          </w:tcPr>
          <w:p>
            <w:pPr>
              <w:spacing w:after="0"/>
              <w:rPr>
                <w:sz w:val="1"/>
                <w:szCs w:val="1"/>
                <w:color w:val="auto"/>
              </w:rPr>
            </w:pPr>
          </w:p>
        </w:tc>
      </w:tr>
      <w:tr>
        <w:trPr>
          <w:trHeight w:val="245"/>
        </w:trPr>
        <w:tc>
          <w:tcPr>
            <w:tcW w:w="6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21"/>
                <w:szCs w:val="21"/>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w:t>
            </w:r>
          </w:p>
        </w:tc>
        <w:tc>
          <w:tcPr>
            <w:tcW w:w="30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59"/>
        </w:trPr>
        <w:tc>
          <w:tcPr>
            <w:tcW w:w="6840" w:type="dxa"/>
            <w:vAlign w:val="bottom"/>
          </w:tcPr>
          <w:p>
            <w:pPr>
              <w:ind w:left="280"/>
              <w:spacing w:after="0"/>
              <w:rPr>
                <w:sz w:val="20"/>
                <w:szCs w:val="20"/>
                <w:color w:val="auto"/>
              </w:rPr>
            </w:pPr>
            <w:r>
              <w:rPr>
                <w:rFonts w:ascii="Courier New" w:cs="Courier New" w:eastAsia="Courier New" w:hAnsi="Courier New"/>
                <w:sz w:val="15"/>
                <w:szCs w:val="15"/>
                <w:color w:val="auto"/>
              </w:rPr>
              <w:t>SHAREHOLDERS' EQUITY</w:t>
            </w: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ORDINARY SHARES, NIS 1 PAR VALUE - AUTHORIZED 100,000,000 SHARES;</w:t>
            </w:r>
          </w:p>
        </w:tc>
        <w:tc>
          <w:tcPr>
            <w:tcW w:w="340" w:type="dxa"/>
            <w:vAlign w:val="bottom"/>
          </w:tcPr>
          <w:p>
            <w:pPr>
              <w:spacing w:after="0"/>
              <w:rPr>
                <w:sz w:val="14"/>
                <w:szCs w:val="14"/>
                <w:color w:val="auto"/>
              </w:rPr>
            </w:pPr>
          </w:p>
        </w:tc>
        <w:tc>
          <w:tcPr>
            <w:tcW w:w="122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12,479</w:t>
            </w:r>
          </w:p>
        </w:tc>
        <w:tc>
          <w:tcPr>
            <w:tcW w:w="360" w:type="dxa"/>
            <w:vAlign w:val="bottom"/>
          </w:tcPr>
          <w:p>
            <w:pPr>
              <w:spacing w:after="0"/>
              <w:rPr>
                <w:sz w:val="14"/>
                <w:szCs w:val="14"/>
                <w:color w:val="auto"/>
              </w:rPr>
            </w:pPr>
          </w:p>
        </w:tc>
        <w:tc>
          <w:tcPr>
            <w:tcW w:w="118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8,537</w:t>
            </w:r>
          </w:p>
        </w:tc>
        <w:tc>
          <w:tcPr>
            <w:tcW w:w="300" w:type="dxa"/>
            <w:vAlign w:val="bottom"/>
          </w:tcPr>
          <w:p>
            <w:pPr>
              <w:spacing w:after="0"/>
              <w:rPr>
                <w:sz w:val="14"/>
                <w:szCs w:val="14"/>
                <w:color w:val="auto"/>
              </w:rPr>
            </w:pPr>
          </w:p>
        </w:tc>
        <w:tc>
          <w:tcPr>
            <w:tcW w:w="11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11,294</w:t>
            </w:r>
          </w:p>
        </w:tc>
        <w:tc>
          <w:tcPr>
            <w:tcW w:w="0" w:type="dxa"/>
            <w:vAlign w:val="bottom"/>
          </w:tcPr>
          <w:p>
            <w:pPr>
              <w:spacing w:after="0"/>
              <w:rPr>
                <w:sz w:val="1"/>
                <w:szCs w:val="1"/>
                <w:color w:val="auto"/>
              </w:rPr>
            </w:pPr>
          </w:p>
        </w:tc>
      </w:tr>
      <w:tr>
        <w:trPr>
          <w:trHeight w:val="168"/>
        </w:trPr>
        <w:tc>
          <w:tcPr>
            <w:tcW w:w="68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ISSUED 50,079,146, 31,511,228 AND 44,735,532 SHARES, RESPECTIVELY</w:t>
            </w:r>
          </w:p>
        </w:tc>
        <w:tc>
          <w:tcPr>
            <w:tcW w:w="3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415,645</w:t>
            </w:r>
          </w:p>
        </w:tc>
        <w:tc>
          <w:tcPr>
            <w:tcW w:w="3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338,777</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400,808</w:t>
            </w:r>
          </w:p>
        </w:tc>
        <w:tc>
          <w:tcPr>
            <w:tcW w:w="0" w:type="dxa"/>
            <w:vAlign w:val="bottom"/>
          </w:tcPr>
          <w:p>
            <w:pPr>
              <w:spacing w:after="0"/>
              <w:rPr>
                <w:sz w:val="1"/>
                <w:szCs w:val="1"/>
                <w:color w:val="auto"/>
              </w:rPr>
            </w:pP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SHAREHOLDER RECEIVABLES AND UNEARNED COMPENSATION</w:t>
            </w:r>
          </w:p>
        </w:tc>
        <w:tc>
          <w:tcPr>
            <w:tcW w:w="3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c>
          <w:tcPr>
            <w:tcW w:w="3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w:t>
            </w:r>
          </w:p>
        </w:tc>
        <w:tc>
          <w:tcPr>
            <w:tcW w:w="3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c>
          <w:tcPr>
            <w:tcW w:w="0" w:type="dxa"/>
            <w:vAlign w:val="bottom"/>
          </w:tcPr>
          <w:p>
            <w:pPr>
              <w:spacing w:after="0"/>
              <w:rPr>
                <w:sz w:val="1"/>
                <w:szCs w:val="1"/>
                <w:color w:val="auto"/>
              </w:rPr>
            </w:pPr>
          </w:p>
        </w:tc>
      </w:tr>
      <w:tr>
        <w:trPr>
          <w:trHeight w:val="168"/>
        </w:trPr>
        <w:tc>
          <w:tcPr>
            <w:tcW w:w="68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3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(172,909)</w:t>
            </w:r>
          </w:p>
        </w:tc>
        <w:tc>
          <w:tcPr>
            <w:tcW w:w="3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(91,059)</w:t>
            </w:r>
          </w:p>
        </w:tc>
        <w:tc>
          <w:tcPr>
            <w:tcW w:w="3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(104,643)</w:t>
            </w:r>
          </w:p>
        </w:tc>
        <w:tc>
          <w:tcPr>
            <w:tcW w:w="0" w:type="dxa"/>
            <w:vAlign w:val="bottom"/>
          </w:tcPr>
          <w:p>
            <w:pPr>
              <w:spacing w:after="0"/>
              <w:rPr>
                <w:sz w:val="1"/>
                <w:szCs w:val="1"/>
                <w:color w:val="auto"/>
              </w:rPr>
            </w:pPr>
          </w:p>
        </w:tc>
      </w:tr>
      <w:tr>
        <w:trPr>
          <w:trHeight w:val="168"/>
        </w:trPr>
        <w:tc>
          <w:tcPr>
            <w:tcW w:w="6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30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68"/>
        </w:trPr>
        <w:tc>
          <w:tcPr>
            <w:tcW w:w="684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TREASURY STOCK, AT COST - 1,300,000 SHARES</w:t>
            </w: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255,189</w:t>
            </w:r>
          </w:p>
        </w:tc>
        <w:tc>
          <w:tcPr>
            <w:tcW w:w="3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256,181</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307,406</w:t>
            </w:r>
          </w:p>
        </w:tc>
        <w:tc>
          <w:tcPr>
            <w:tcW w:w="0" w:type="dxa"/>
            <w:vAlign w:val="bottom"/>
          </w:tcPr>
          <w:p>
            <w:pPr>
              <w:spacing w:after="0"/>
              <w:rPr>
                <w:sz w:val="1"/>
                <w:szCs w:val="1"/>
                <w:color w:val="auto"/>
              </w:rPr>
            </w:pPr>
          </w:p>
        </w:tc>
      </w:tr>
      <w:tr>
        <w:trPr>
          <w:trHeight w:val="168"/>
        </w:trPr>
        <w:tc>
          <w:tcPr>
            <w:tcW w:w="68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(9,072)</w:t>
            </w:r>
          </w:p>
        </w:tc>
        <w:tc>
          <w:tcPr>
            <w:tcW w:w="3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(9,072)</w:t>
            </w:r>
          </w:p>
        </w:tc>
        <w:tc>
          <w:tcPr>
            <w:tcW w:w="3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(9,072)</w:t>
            </w:r>
          </w:p>
        </w:tc>
        <w:tc>
          <w:tcPr>
            <w:tcW w:w="0" w:type="dxa"/>
            <w:vAlign w:val="bottom"/>
          </w:tcPr>
          <w:p>
            <w:pPr>
              <w:spacing w:after="0"/>
              <w:rPr>
                <w:sz w:val="1"/>
                <w:szCs w:val="1"/>
                <w:color w:val="auto"/>
              </w:rPr>
            </w:pPr>
          </w:p>
        </w:tc>
      </w:tr>
      <w:tr>
        <w:trPr>
          <w:trHeight w:val="168"/>
        </w:trPr>
        <w:tc>
          <w:tcPr>
            <w:tcW w:w="684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TOTAL SHAREHOLDERS' EQUITY</w:t>
            </w:r>
          </w:p>
        </w:tc>
        <w:tc>
          <w:tcPr>
            <w:tcW w:w="3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14"/>
                <w:szCs w:val="14"/>
                <w:color w:val="auto"/>
              </w:rPr>
            </w:pP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30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68"/>
        </w:trPr>
        <w:tc>
          <w:tcPr>
            <w:tcW w:w="68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246,117</w:t>
            </w:r>
          </w:p>
        </w:tc>
        <w:tc>
          <w:tcPr>
            <w:tcW w:w="36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247,109</w:t>
            </w:r>
          </w:p>
        </w:tc>
        <w:tc>
          <w:tcPr>
            <w:tcW w:w="30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298,334</w:t>
            </w:r>
          </w:p>
        </w:tc>
        <w:tc>
          <w:tcPr>
            <w:tcW w:w="0" w:type="dxa"/>
            <w:vAlign w:val="bottom"/>
          </w:tcPr>
          <w:p>
            <w:pPr>
              <w:spacing w:after="0"/>
              <w:rPr>
                <w:sz w:val="1"/>
                <w:szCs w:val="1"/>
                <w:color w:val="auto"/>
              </w:rPr>
            </w:pPr>
          </w:p>
        </w:tc>
      </w:tr>
      <w:tr>
        <w:trPr>
          <w:trHeight w:val="168"/>
        </w:trPr>
        <w:tc>
          <w:tcPr>
            <w:tcW w:w="6840" w:type="dxa"/>
            <w:vAlign w:val="bottom"/>
            <w:vMerge w:val="restart"/>
          </w:tcPr>
          <w:p>
            <w:pPr>
              <w:ind w:left="124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168"/>
        </w:trPr>
        <w:tc>
          <w:tcPr>
            <w:tcW w:w="68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750,612</w:t>
            </w:r>
          </w:p>
        </w:tc>
        <w:tc>
          <w:tcPr>
            <w:tcW w:w="360" w:type="dxa"/>
            <w:vAlign w:val="bottom"/>
            <w:vMerge w:val="continue"/>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629,766</w:t>
            </w:r>
          </w:p>
        </w:tc>
        <w:tc>
          <w:tcPr>
            <w:tcW w:w="300" w:type="dxa"/>
            <w:vAlign w:val="bottom"/>
            <w:vMerge w:val="continue"/>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716,261</w:t>
            </w:r>
          </w:p>
        </w:tc>
        <w:tc>
          <w:tcPr>
            <w:tcW w:w="0" w:type="dxa"/>
            <w:vAlign w:val="bottom"/>
          </w:tcPr>
          <w:p>
            <w:pPr>
              <w:spacing w:after="0"/>
              <w:rPr>
                <w:sz w:val="1"/>
                <w:szCs w:val="1"/>
                <w:color w:val="auto"/>
              </w:rPr>
            </w:pPr>
          </w:p>
        </w:tc>
      </w:tr>
      <w:tr>
        <w:trPr>
          <w:trHeight w:val="245"/>
        </w:trPr>
        <w:tc>
          <w:tcPr>
            <w:tcW w:w="6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w:t>
            </w:r>
          </w:p>
        </w:tc>
        <w:tc>
          <w:tcPr>
            <w:tcW w:w="360" w:type="dxa"/>
            <w:vAlign w:val="bottom"/>
          </w:tcPr>
          <w:p>
            <w:pPr>
              <w:spacing w:after="0"/>
              <w:rPr>
                <w:sz w:val="21"/>
                <w:szCs w:val="21"/>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w:t>
            </w:r>
          </w:p>
        </w:tc>
        <w:tc>
          <w:tcPr>
            <w:tcW w:w="30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1380"/>
          </w:cols>
          <w:pgMar w:left="220" w:top="598" w:right="299" w:bottom="1440" w:gutter="0" w:footer="0" w:header="0"/>
        </w:sectPr>
      </w:pPr>
    </w:p>
    <w:bookmarkStart w:id="7" w:name="page8"/>
    <w:bookmarkEnd w:id="7"/>
    <w:p>
      <w:pPr>
        <w:jc w:val="center"/>
        <w:ind w:right="436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3"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5"/>
          <w:szCs w:val="15"/>
          <w:color w:val="auto"/>
        </w:rPr>
        <w:t>CONDENSED CONSOLIDATED STATEMENTS OF OPERATIONS (dollars in</w:t>
      </w:r>
    </w:p>
    <w:tbl>
      <w:tblPr>
        <w:tblLayout w:type="fixed"/>
        <w:tblInd w:w="0" w:type="dxa"/>
        <w:tblCellMar>
          <w:top w:w="0" w:type="dxa"/>
          <w:left w:w="0" w:type="dxa"/>
          <w:bottom w:w="0" w:type="dxa"/>
          <w:right w:w="0" w:type="dxa"/>
        </w:tblCellMar>
      </w:tblPr>
      <w:tr>
        <w:trPr>
          <w:trHeight w:val="245"/>
        </w:trPr>
        <w:tc>
          <w:tcPr>
            <w:tcW w:w="6880" w:type="dxa"/>
            <w:vAlign w:val="bottom"/>
            <w:gridSpan w:val="5"/>
          </w:tcPr>
          <w:p>
            <w:pPr>
              <w:ind w:left="1400"/>
              <w:spacing w:after="0"/>
              <w:rPr>
                <w:sz w:val="20"/>
                <w:szCs w:val="20"/>
                <w:color w:val="auto"/>
              </w:rPr>
            </w:pPr>
            <w:r>
              <w:rPr>
                <w:rFonts w:ascii="Courier New" w:cs="Courier New" w:eastAsia="Courier New" w:hAnsi="Courier New"/>
                <w:sz w:val="15"/>
                <w:szCs w:val="15"/>
                <w:color w:val="auto"/>
              </w:rPr>
              <w:t>THOUSANDS, EXCEPT SHARE DATA AND PER SHARE DATA)</w:t>
            </w: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0"/>
        </w:trPr>
        <w:tc>
          <w:tcPr>
            <w:tcW w:w="3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3"/>
          </w:tcPr>
          <w:p>
            <w:pPr>
              <w:jc w:val="right"/>
              <w:ind w:right="767"/>
              <w:spacing w:after="0"/>
              <w:rPr>
                <w:sz w:val="20"/>
                <w:szCs w:val="20"/>
                <w:color w:val="auto"/>
              </w:rPr>
            </w:pPr>
            <w:r>
              <w:rPr>
                <w:rFonts w:ascii="Courier New" w:cs="Courier New" w:eastAsia="Courier New" w:hAnsi="Courier New"/>
                <w:sz w:val="15"/>
                <w:szCs w:val="15"/>
                <w:color w:val="auto"/>
              </w:rPr>
              <w:t>NINE MONTHS ENDED</w:t>
            </w:r>
          </w:p>
        </w:tc>
        <w:tc>
          <w:tcPr>
            <w:tcW w:w="380" w:type="dxa"/>
            <w:vAlign w:val="bottom"/>
          </w:tcPr>
          <w:p>
            <w:pPr>
              <w:spacing w:after="0"/>
              <w:rPr>
                <w:sz w:val="24"/>
                <w:szCs w:val="24"/>
                <w:color w:val="auto"/>
              </w:rPr>
            </w:pPr>
          </w:p>
        </w:tc>
        <w:tc>
          <w:tcPr>
            <w:tcW w:w="258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THREE MONTHS ENDED</w:t>
            </w:r>
          </w:p>
        </w:tc>
        <w:tc>
          <w:tcPr>
            <w:tcW w:w="4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7"/>
              </w:rPr>
              <w:t>YEAR ENDED</w:t>
            </w:r>
          </w:p>
        </w:tc>
        <w:tc>
          <w:tcPr>
            <w:tcW w:w="0" w:type="dxa"/>
            <w:vAlign w:val="bottom"/>
          </w:tcPr>
          <w:p>
            <w:pPr>
              <w:spacing w:after="0"/>
              <w:rPr>
                <w:sz w:val="1"/>
                <w:szCs w:val="1"/>
                <w:color w:val="auto"/>
              </w:rPr>
            </w:pPr>
          </w:p>
        </w:tc>
      </w:tr>
      <w:tr>
        <w:trPr>
          <w:trHeight w:val="168"/>
        </w:trPr>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0" w:type="dxa"/>
            <w:vAlign w:val="bottom"/>
            <w:gridSpan w:val="3"/>
          </w:tcPr>
          <w:p>
            <w:pPr>
              <w:jc w:val="right"/>
              <w:ind w:right="947"/>
              <w:spacing w:after="0" w:line="168" w:lineRule="exact"/>
              <w:rPr>
                <w:sz w:val="20"/>
                <w:szCs w:val="20"/>
                <w:color w:val="auto"/>
              </w:rPr>
            </w:pPr>
            <w:r>
              <w:rPr>
                <w:rFonts w:ascii="Courier New" w:cs="Courier New" w:eastAsia="Courier New" w:hAnsi="Courier New"/>
                <w:sz w:val="15"/>
                <w:szCs w:val="15"/>
                <w:color w:val="auto"/>
              </w:rPr>
              <w:t>SEPTEMBER 30,</w:t>
            </w:r>
          </w:p>
        </w:tc>
        <w:tc>
          <w:tcPr>
            <w:tcW w:w="380" w:type="dxa"/>
            <w:vAlign w:val="bottom"/>
          </w:tcPr>
          <w:p>
            <w:pPr>
              <w:spacing w:after="0"/>
              <w:rPr>
                <w:sz w:val="14"/>
                <w:szCs w:val="14"/>
                <w:color w:val="auto"/>
              </w:rPr>
            </w:pPr>
          </w:p>
        </w:tc>
        <w:tc>
          <w:tcPr>
            <w:tcW w:w="2580" w:type="dxa"/>
            <w:vAlign w:val="bottom"/>
            <w:gridSpan w:val="3"/>
          </w:tcPr>
          <w:p>
            <w:pPr>
              <w:ind w:left="620"/>
              <w:spacing w:after="0" w:line="168" w:lineRule="exact"/>
              <w:rPr>
                <w:sz w:val="20"/>
                <w:szCs w:val="20"/>
                <w:color w:val="auto"/>
              </w:rPr>
            </w:pPr>
            <w:r>
              <w:rPr>
                <w:rFonts w:ascii="Courier New" w:cs="Courier New" w:eastAsia="Courier New" w:hAnsi="Courier New"/>
                <w:sz w:val="15"/>
                <w:szCs w:val="15"/>
                <w:color w:val="auto"/>
              </w:rPr>
              <w:t>SEPTEMBER 30,</w:t>
            </w:r>
          </w:p>
        </w:tc>
        <w:tc>
          <w:tcPr>
            <w:tcW w:w="400" w:type="dxa"/>
            <w:vAlign w:val="bottom"/>
          </w:tcPr>
          <w:p>
            <w:pPr>
              <w:spacing w:after="0"/>
              <w:rPr>
                <w:sz w:val="14"/>
                <w:szCs w:val="14"/>
                <w:color w:val="auto"/>
              </w:rPr>
            </w:pP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0" w:type="dxa"/>
            <w:vAlign w:val="bottom"/>
          </w:tcPr>
          <w:p>
            <w:pPr>
              <w:spacing w:after="0"/>
              <w:rPr>
                <w:sz w:val="1"/>
                <w:szCs w:val="1"/>
                <w:color w:val="auto"/>
              </w:rPr>
            </w:pPr>
          </w:p>
        </w:tc>
      </w:tr>
      <w:tr>
        <w:trPr>
          <w:trHeight w:val="245"/>
        </w:trPr>
        <w:tc>
          <w:tcPr>
            <w:tcW w:w="3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w:t>
            </w:r>
          </w:p>
        </w:tc>
        <w:tc>
          <w:tcPr>
            <w:tcW w:w="1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580" w:type="dxa"/>
            <w:vAlign w:val="bottom"/>
            <w:gridSpan w:val="3"/>
          </w:tcPr>
          <w:p>
            <w:pPr>
              <w:jc w:val="right"/>
              <w:ind w:right="227"/>
              <w:spacing w:after="0"/>
              <w:rPr>
                <w:sz w:val="20"/>
                <w:szCs w:val="20"/>
                <w:color w:val="auto"/>
              </w:rPr>
            </w:pPr>
            <w:r>
              <w:rPr>
                <w:rFonts w:ascii="Courier New" w:cs="Courier New" w:eastAsia="Courier New" w:hAnsi="Courier New"/>
                <w:sz w:val="15"/>
                <w:szCs w:val="15"/>
                <w:color w:val="auto"/>
                <w:w w:val="96"/>
              </w:rPr>
              <w:t>--------------------------</w:t>
            </w:r>
          </w:p>
        </w:tc>
        <w:tc>
          <w:tcPr>
            <w:tcW w:w="4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3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ind w:right="549"/>
              <w:spacing w:after="0"/>
              <w:rPr>
                <w:sz w:val="20"/>
                <w:szCs w:val="20"/>
                <w:color w:val="auto"/>
              </w:rPr>
            </w:pPr>
            <w:r>
              <w:rPr>
                <w:rFonts w:ascii="Courier New" w:cs="Courier New" w:eastAsia="Courier New" w:hAnsi="Courier New"/>
                <w:sz w:val="15"/>
                <w:szCs w:val="15"/>
                <w:color w:val="auto"/>
              </w:rPr>
              <w:t>2003</w:t>
            </w:r>
          </w:p>
        </w:tc>
        <w:tc>
          <w:tcPr>
            <w:tcW w:w="80" w:type="dxa"/>
            <w:vAlign w:val="bottom"/>
          </w:tcPr>
          <w:p>
            <w:pPr>
              <w:spacing w:after="0"/>
              <w:rPr>
                <w:sz w:val="22"/>
                <w:szCs w:val="22"/>
                <w:color w:val="auto"/>
              </w:rPr>
            </w:pP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2002</w:t>
            </w:r>
          </w:p>
        </w:tc>
        <w:tc>
          <w:tcPr>
            <w:tcW w:w="380" w:type="dxa"/>
            <w:vAlign w:val="bottom"/>
          </w:tcPr>
          <w:p>
            <w:pPr>
              <w:spacing w:after="0"/>
              <w:rPr>
                <w:sz w:val="22"/>
                <w:szCs w:val="22"/>
                <w:color w:val="auto"/>
              </w:rPr>
            </w:pP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2003</w:t>
            </w:r>
          </w:p>
        </w:tc>
        <w:tc>
          <w:tcPr>
            <w:tcW w:w="220" w:type="dxa"/>
            <w:vAlign w:val="bottom"/>
          </w:tcPr>
          <w:p>
            <w:pPr>
              <w:spacing w:after="0"/>
              <w:rPr>
                <w:sz w:val="22"/>
                <w:szCs w:val="22"/>
                <w:color w:val="auto"/>
              </w:rPr>
            </w:pPr>
          </w:p>
        </w:tc>
        <w:tc>
          <w:tcPr>
            <w:tcW w:w="126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2002</w:t>
            </w:r>
          </w:p>
        </w:tc>
        <w:tc>
          <w:tcPr>
            <w:tcW w:w="40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9"/>
              </w:rPr>
              <w:t>2002</w:t>
            </w:r>
          </w:p>
        </w:tc>
        <w:tc>
          <w:tcPr>
            <w:tcW w:w="0" w:type="dxa"/>
            <w:vAlign w:val="bottom"/>
          </w:tcPr>
          <w:p>
            <w:pPr>
              <w:spacing w:after="0"/>
              <w:rPr>
                <w:sz w:val="1"/>
                <w:szCs w:val="1"/>
                <w:color w:val="auto"/>
              </w:rPr>
            </w:pPr>
          </w:p>
        </w:tc>
      </w:tr>
      <w:tr>
        <w:trPr>
          <w:trHeight w:val="168"/>
        </w:trPr>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w w:val="99"/>
              </w:rPr>
              <w:t>------------</w:t>
            </w:r>
          </w:p>
        </w:tc>
        <w:tc>
          <w:tcPr>
            <w:tcW w:w="8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w:t>
            </w:r>
          </w:p>
        </w:tc>
        <w:tc>
          <w:tcPr>
            <w:tcW w:w="380" w:type="dxa"/>
            <w:vAlign w:val="bottom"/>
          </w:tcPr>
          <w:p>
            <w:pPr>
              <w:spacing w:after="0"/>
              <w:rPr>
                <w:sz w:val="14"/>
                <w:szCs w:val="14"/>
                <w:color w:val="auto"/>
              </w:rPr>
            </w:pP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400" w:type="dxa"/>
            <w:vAlign w:val="bottom"/>
          </w:tcPr>
          <w:p>
            <w:pPr>
              <w:spacing w:after="0"/>
              <w:rPr>
                <w:sz w:val="14"/>
                <w:szCs w:val="14"/>
                <w:color w:val="auto"/>
              </w:rPr>
            </w:pP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0" w:type="dxa"/>
            <w:vAlign w:val="bottom"/>
            <w:gridSpan w:val="3"/>
          </w:tcPr>
          <w:p>
            <w:pPr>
              <w:jc w:val="right"/>
              <w:ind w:right="947"/>
              <w:spacing w:after="0" w:line="168" w:lineRule="exact"/>
              <w:rPr>
                <w:sz w:val="20"/>
                <w:szCs w:val="20"/>
                <w:color w:val="auto"/>
              </w:rPr>
            </w:pPr>
            <w:r>
              <w:rPr>
                <w:rFonts w:ascii="Courier New" w:cs="Courier New" w:eastAsia="Courier New" w:hAnsi="Courier New"/>
                <w:sz w:val="15"/>
                <w:szCs w:val="15"/>
                <w:color w:val="auto"/>
              </w:rPr>
              <w:t>(unaudited)</w:t>
            </w:r>
          </w:p>
        </w:tc>
        <w:tc>
          <w:tcPr>
            <w:tcW w:w="380" w:type="dxa"/>
            <w:vAlign w:val="bottom"/>
          </w:tcPr>
          <w:p>
            <w:pPr>
              <w:spacing w:after="0"/>
              <w:rPr>
                <w:sz w:val="14"/>
                <w:szCs w:val="14"/>
                <w:color w:val="auto"/>
              </w:rPr>
            </w:pPr>
          </w:p>
        </w:tc>
        <w:tc>
          <w:tcPr>
            <w:tcW w:w="2580" w:type="dxa"/>
            <w:vAlign w:val="bottom"/>
            <w:gridSpan w:val="3"/>
          </w:tcPr>
          <w:p>
            <w:pPr>
              <w:ind w:left="620"/>
              <w:spacing w:after="0" w:line="168" w:lineRule="exact"/>
              <w:rPr>
                <w:sz w:val="20"/>
                <w:szCs w:val="20"/>
                <w:color w:val="auto"/>
              </w:rPr>
            </w:pPr>
            <w:r>
              <w:rPr>
                <w:rFonts w:ascii="Courier New" w:cs="Courier New" w:eastAsia="Courier New" w:hAnsi="Courier New"/>
                <w:sz w:val="15"/>
                <w:szCs w:val="15"/>
                <w:color w:val="auto"/>
              </w:rPr>
              <w:t>(unaudited)</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w:t>
            </w:r>
          </w:p>
        </w:tc>
        <w:tc>
          <w:tcPr>
            <w:tcW w:w="1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580" w:type="dxa"/>
            <w:vAlign w:val="bottom"/>
            <w:gridSpan w:val="3"/>
          </w:tcPr>
          <w:p>
            <w:pPr>
              <w:jc w:val="right"/>
              <w:ind w:right="227"/>
              <w:spacing w:after="0"/>
              <w:rPr>
                <w:sz w:val="20"/>
                <w:szCs w:val="20"/>
                <w:color w:val="auto"/>
              </w:rPr>
            </w:pPr>
            <w:r>
              <w:rPr>
                <w:rFonts w:ascii="Courier New" w:cs="Courier New" w:eastAsia="Courier New" w:hAnsi="Courier New"/>
                <w:sz w:val="15"/>
                <w:szCs w:val="15"/>
                <w:color w:val="auto"/>
                <w:w w:val="96"/>
              </w:rPr>
              <w:t>--------------------------</w:t>
            </w:r>
          </w:p>
        </w:tc>
        <w:tc>
          <w:tcPr>
            <w:tcW w:w="4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41,545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36,229</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16,074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16,187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51,801</w:t>
            </w:r>
          </w:p>
        </w:tc>
        <w:tc>
          <w:tcPr>
            <w:tcW w:w="0" w:type="dxa"/>
            <w:vAlign w:val="bottom"/>
          </w:tcPr>
          <w:p>
            <w:pPr>
              <w:spacing w:after="0"/>
              <w:rPr>
                <w:sz w:val="1"/>
                <w:szCs w:val="1"/>
                <w:color w:val="auto"/>
              </w:rPr>
            </w:pPr>
          </w:p>
        </w:tc>
      </w:tr>
      <w:tr>
        <w:trPr>
          <w:trHeight w:val="259"/>
        </w:trPr>
        <w:tc>
          <w:tcPr>
            <w:tcW w:w="382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60" w:type="dxa"/>
            <w:vAlign w:val="bottom"/>
          </w:tcPr>
          <w:p>
            <w:pPr>
              <w:spacing w:after="0"/>
              <w:rPr>
                <w:sz w:val="22"/>
                <w:szCs w:val="22"/>
                <w:color w:val="auto"/>
              </w:rPr>
            </w:pPr>
          </w:p>
        </w:tc>
        <w:tc>
          <w:tcPr>
            <w:tcW w:w="136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75,816</w:t>
            </w:r>
          </w:p>
        </w:tc>
        <w:tc>
          <w:tcPr>
            <w:tcW w:w="80" w:type="dxa"/>
            <w:vAlign w:val="bottom"/>
          </w:tcPr>
          <w:p>
            <w:pPr>
              <w:spacing w:after="0"/>
              <w:rPr>
                <w:sz w:val="22"/>
                <w:szCs w:val="22"/>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49,956</w:t>
            </w:r>
          </w:p>
        </w:tc>
        <w:tc>
          <w:tcPr>
            <w:tcW w:w="380" w:type="dxa"/>
            <w:vAlign w:val="bottom"/>
          </w:tcPr>
          <w:p>
            <w:pPr>
              <w:spacing w:after="0"/>
              <w:rPr>
                <w:sz w:val="22"/>
                <w:szCs w:val="22"/>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38,548</w:t>
            </w:r>
          </w:p>
        </w:tc>
        <w:tc>
          <w:tcPr>
            <w:tcW w:w="220" w:type="dxa"/>
            <w:vAlign w:val="bottom"/>
          </w:tcPr>
          <w:p>
            <w:pPr>
              <w:spacing w:after="0"/>
              <w:rPr>
                <w:sz w:val="22"/>
                <w:szCs w:val="22"/>
                <w:color w:val="auto"/>
              </w:rPr>
            </w:pPr>
          </w:p>
        </w:tc>
        <w:tc>
          <w:tcPr>
            <w:tcW w:w="1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21,078</w:t>
            </w:r>
          </w:p>
        </w:tc>
        <w:tc>
          <w:tcPr>
            <w:tcW w:w="400" w:type="dxa"/>
            <w:vAlign w:val="bottom"/>
          </w:tcPr>
          <w:p>
            <w:pPr>
              <w:spacing w:after="0"/>
              <w:rPr>
                <w:sz w:val="22"/>
                <w:szCs w:val="22"/>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67,022</w:t>
            </w:r>
          </w:p>
        </w:tc>
        <w:tc>
          <w:tcPr>
            <w:tcW w:w="0" w:type="dxa"/>
            <w:vAlign w:val="bottom"/>
          </w:tcPr>
          <w:p>
            <w:pPr>
              <w:spacing w:after="0"/>
              <w:rPr>
                <w:sz w:val="1"/>
                <w:szCs w:val="1"/>
                <w:color w:val="auto"/>
              </w:rPr>
            </w:pPr>
          </w:p>
        </w:tc>
      </w:tr>
      <w:tr>
        <w:trPr>
          <w:trHeight w:val="168"/>
        </w:trPr>
        <w:tc>
          <w:tcPr>
            <w:tcW w:w="382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GROSS LOSS</w:t>
            </w:r>
          </w:p>
        </w:tc>
        <w:tc>
          <w:tcPr>
            <w:tcW w:w="260" w:type="dxa"/>
            <w:vAlign w:val="bottom"/>
          </w:tcPr>
          <w:p>
            <w:pPr>
              <w:spacing w:after="0"/>
              <w:rPr>
                <w:sz w:val="14"/>
                <w:szCs w:val="14"/>
                <w:color w:val="auto"/>
              </w:rPr>
            </w:pPr>
          </w:p>
        </w:tc>
        <w:tc>
          <w:tcPr>
            <w:tcW w:w="1360" w:type="dxa"/>
            <w:vAlign w:val="bottom"/>
            <w:vMerge w:val="restart"/>
          </w:tcPr>
          <w:p>
            <w:pPr>
              <w:jc w:val="right"/>
              <w:ind w:right="189"/>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bscript"/>
              </w:rPr>
              <w:t>(34,271)</w:t>
            </w:r>
          </w:p>
        </w:tc>
        <w:tc>
          <w:tcPr>
            <w:tcW w:w="8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w:t>
            </w:r>
          </w:p>
        </w:tc>
        <w:tc>
          <w:tcPr>
            <w:tcW w:w="380" w:type="dxa"/>
            <w:vAlign w:val="bottom"/>
          </w:tcPr>
          <w:p>
            <w:pPr>
              <w:spacing w:after="0"/>
              <w:rPr>
                <w:sz w:val="14"/>
                <w:szCs w:val="14"/>
                <w:color w:val="auto"/>
              </w:rPr>
            </w:pP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400" w:type="dxa"/>
            <w:vAlign w:val="bottom"/>
          </w:tcPr>
          <w:p>
            <w:pPr>
              <w:spacing w:after="0"/>
              <w:rPr>
                <w:sz w:val="14"/>
                <w:szCs w:val="14"/>
                <w:color w:val="auto"/>
              </w:rPr>
            </w:pP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3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(13,727)</w:t>
            </w:r>
          </w:p>
        </w:tc>
        <w:tc>
          <w:tcPr>
            <w:tcW w:w="380" w:type="dxa"/>
            <w:vAlign w:val="bottom"/>
          </w:tcPr>
          <w:p>
            <w:pPr>
              <w:spacing w:after="0"/>
              <w:rPr>
                <w:sz w:val="14"/>
                <w:szCs w:val="14"/>
                <w:color w:val="auto"/>
              </w:rPr>
            </w:pP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(22,474)</w:t>
            </w:r>
          </w:p>
        </w:tc>
        <w:tc>
          <w:tcPr>
            <w:tcW w:w="2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(4,891)</w:t>
            </w:r>
          </w:p>
        </w:tc>
        <w:tc>
          <w:tcPr>
            <w:tcW w:w="40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(15,221)</w:t>
            </w:r>
          </w:p>
        </w:tc>
        <w:tc>
          <w:tcPr>
            <w:tcW w:w="0" w:type="dxa"/>
            <w:vAlign w:val="bottom"/>
          </w:tcPr>
          <w:p>
            <w:pPr>
              <w:spacing w:after="0"/>
              <w:rPr>
                <w:sz w:val="1"/>
                <w:szCs w:val="1"/>
                <w:color w:val="auto"/>
              </w:rPr>
            </w:pPr>
          </w:p>
        </w:tc>
      </w:tr>
      <w:tr>
        <w:trPr>
          <w:trHeight w:val="245"/>
        </w:trPr>
        <w:tc>
          <w:tcPr>
            <w:tcW w:w="3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89"/>
              <w:spacing w:after="0"/>
              <w:rPr>
                <w:sz w:val="20"/>
                <w:szCs w:val="20"/>
                <w:color w:val="auto"/>
              </w:rPr>
            </w:pPr>
            <w:r>
              <w:rPr>
                <w:rFonts w:ascii="Courier New" w:cs="Courier New" w:eastAsia="Courier New" w:hAnsi="Courier New"/>
                <w:sz w:val="15"/>
                <w:szCs w:val="15"/>
                <w:color w:val="auto"/>
                <w:w w:val="99"/>
              </w:rPr>
              <w:t>------------</w:t>
            </w:r>
          </w:p>
        </w:tc>
        <w:tc>
          <w:tcPr>
            <w:tcW w:w="80" w:type="dxa"/>
            <w:vAlign w:val="bottom"/>
          </w:tcPr>
          <w:p>
            <w:pPr>
              <w:spacing w:after="0"/>
              <w:rPr>
                <w:sz w:val="21"/>
                <w:szCs w:val="21"/>
                <w:color w:val="auto"/>
              </w:rPr>
            </w:pP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w:t>
            </w:r>
          </w:p>
        </w:tc>
        <w:tc>
          <w:tcPr>
            <w:tcW w:w="380" w:type="dxa"/>
            <w:vAlign w:val="bottom"/>
          </w:tcPr>
          <w:p>
            <w:pPr>
              <w:spacing w:after="0"/>
              <w:rPr>
                <w:sz w:val="21"/>
                <w:szCs w:val="21"/>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21"/>
                <w:szCs w:val="21"/>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w:t>
            </w:r>
          </w:p>
        </w:tc>
        <w:tc>
          <w:tcPr>
            <w:tcW w:w="4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259"/>
        </w:trPr>
        <w:tc>
          <w:tcPr>
            <w:tcW w:w="382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260" w:type="dxa"/>
            <w:vAlign w:val="bottom"/>
          </w:tcPr>
          <w:p>
            <w:pPr>
              <w:spacing w:after="0"/>
              <w:rPr>
                <w:sz w:val="22"/>
                <w:szCs w:val="22"/>
                <w:color w:val="auto"/>
              </w:rPr>
            </w:pPr>
          </w:p>
        </w:tc>
        <w:tc>
          <w:tcPr>
            <w:tcW w:w="1360" w:type="dxa"/>
            <w:vAlign w:val="bottom"/>
            <w:vMerge w:val="restart"/>
          </w:tcPr>
          <w:p>
            <w:pPr>
              <w:jc w:val="right"/>
              <w:ind w:right="289"/>
              <w:spacing w:after="0"/>
              <w:rPr>
                <w:sz w:val="20"/>
                <w:szCs w:val="20"/>
                <w:color w:val="auto"/>
              </w:rPr>
            </w:pPr>
            <w:r>
              <w:rPr>
                <w:rFonts w:ascii="Courier New" w:cs="Courier New" w:eastAsia="Courier New" w:hAnsi="Courier New"/>
                <w:sz w:val="15"/>
                <w:szCs w:val="15"/>
                <w:color w:val="auto"/>
              </w:rPr>
              <w:t>12,551</w:t>
            </w:r>
          </w:p>
        </w:tc>
        <w:tc>
          <w:tcPr>
            <w:tcW w:w="80" w:type="dxa"/>
            <w:vAlign w:val="bottom"/>
          </w:tcPr>
          <w:p>
            <w:pPr>
              <w:spacing w:after="0"/>
              <w:rPr>
                <w:sz w:val="22"/>
                <w:szCs w:val="22"/>
                <w:color w:val="auto"/>
              </w:rPr>
            </w:pPr>
          </w:p>
        </w:tc>
        <w:tc>
          <w:tcPr>
            <w:tcW w:w="13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10,184</w:t>
            </w:r>
          </w:p>
        </w:tc>
        <w:tc>
          <w:tcPr>
            <w:tcW w:w="380" w:type="dxa"/>
            <w:vAlign w:val="bottom"/>
          </w:tcPr>
          <w:p>
            <w:pPr>
              <w:spacing w:after="0"/>
              <w:rPr>
                <w:sz w:val="22"/>
                <w:szCs w:val="22"/>
                <w:color w:val="auto"/>
              </w:rPr>
            </w:pP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3,895</w:t>
            </w:r>
          </w:p>
        </w:tc>
        <w:tc>
          <w:tcPr>
            <w:tcW w:w="220" w:type="dxa"/>
            <w:vAlign w:val="bottom"/>
          </w:tcPr>
          <w:p>
            <w:pPr>
              <w:spacing w:after="0"/>
              <w:rPr>
                <w:sz w:val="22"/>
                <w:szCs w:val="22"/>
                <w:color w:val="auto"/>
              </w:rPr>
            </w:pPr>
          </w:p>
        </w:tc>
        <w:tc>
          <w:tcPr>
            <w:tcW w:w="126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3,642</w:t>
            </w:r>
          </w:p>
        </w:tc>
        <w:tc>
          <w:tcPr>
            <w:tcW w:w="400" w:type="dxa"/>
            <w:vAlign w:val="bottom"/>
          </w:tcPr>
          <w:p>
            <w:pPr>
              <w:spacing w:after="0"/>
              <w:rPr>
                <w:sz w:val="22"/>
                <w:szCs w:val="22"/>
                <w:color w:val="auto"/>
              </w:rPr>
            </w:pPr>
          </w:p>
        </w:tc>
        <w:tc>
          <w:tcPr>
            <w:tcW w:w="12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17,031</w:t>
            </w:r>
          </w:p>
        </w:tc>
        <w:tc>
          <w:tcPr>
            <w:tcW w:w="0" w:type="dxa"/>
            <w:vAlign w:val="bottom"/>
          </w:tcPr>
          <w:p>
            <w:pPr>
              <w:spacing w:after="0"/>
              <w:rPr>
                <w:sz w:val="1"/>
                <w:szCs w:val="1"/>
                <w:color w:val="auto"/>
              </w:rPr>
            </w:pPr>
          </w:p>
        </w:tc>
      </w:tr>
      <w:tr>
        <w:trPr>
          <w:trHeight w:val="168"/>
        </w:trPr>
        <w:tc>
          <w:tcPr>
            <w:tcW w:w="3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2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MARKETING, GENERAL AND ADMINISTRATIVE</w:t>
            </w:r>
          </w:p>
        </w:tc>
        <w:tc>
          <w:tcPr>
            <w:tcW w:w="260" w:type="dxa"/>
            <w:vAlign w:val="bottom"/>
          </w:tcPr>
          <w:p>
            <w:pPr>
              <w:spacing w:after="0"/>
              <w:rPr>
                <w:sz w:val="14"/>
                <w:szCs w:val="14"/>
                <w:color w:val="auto"/>
              </w:rPr>
            </w:pPr>
          </w:p>
        </w:tc>
        <w:tc>
          <w:tcPr>
            <w:tcW w:w="1360" w:type="dxa"/>
            <w:vAlign w:val="bottom"/>
          </w:tcPr>
          <w:p>
            <w:pPr>
              <w:jc w:val="right"/>
              <w:ind w:right="289"/>
              <w:spacing w:after="0" w:line="168" w:lineRule="exact"/>
              <w:rPr>
                <w:sz w:val="20"/>
                <w:szCs w:val="20"/>
                <w:color w:val="auto"/>
              </w:rPr>
            </w:pPr>
            <w:r>
              <w:rPr>
                <w:rFonts w:ascii="Courier New" w:cs="Courier New" w:eastAsia="Courier New" w:hAnsi="Courier New"/>
                <w:sz w:val="15"/>
                <w:szCs w:val="15"/>
                <w:color w:val="auto"/>
              </w:rPr>
              <w:t>17,064</w:t>
            </w:r>
          </w:p>
        </w:tc>
        <w:tc>
          <w:tcPr>
            <w:tcW w:w="8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11,807</w:t>
            </w:r>
          </w:p>
        </w:tc>
        <w:tc>
          <w:tcPr>
            <w:tcW w:w="3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6,300</w:t>
            </w:r>
          </w:p>
        </w:tc>
        <w:tc>
          <w:tcPr>
            <w:tcW w:w="22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4,680</w:t>
            </w:r>
          </w:p>
        </w:tc>
        <w:tc>
          <w:tcPr>
            <w:tcW w:w="4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17,091</w:t>
            </w:r>
          </w:p>
        </w:tc>
        <w:tc>
          <w:tcPr>
            <w:tcW w:w="0" w:type="dxa"/>
            <w:vAlign w:val="bottom"/>
          </w:tcPr>
          <w:p>
            <w:pPr>
              <w:spacing w:after="0"/>
              <w:rPr>
                <w:sz w:val="1"/>
                <w:szCs w:val="1"/>
                <w:color w:val="auto"/>
              </w:rPr>
            </w:pPr>
          </w:p>
        </w:tc>
      </w:tr>
      <w:tr>
        <w:trPr>
          <w:trHeight w:val="168"/>
        </w:trPr>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vMerge w:val="restart"/>
          </w:tcPr>
          <w:p>
            <w:pPr>
              <w:jc w:val="right"/>
              <w:ind w:right="189"/>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5"/>
                <w:szCs w:val="25"/>
                <w:color w:val="auto"/>
                <w:w w:val="70"/>
                <w:vertAlign w:val="subscript"/>
              </w:rPr>
              <w:t>29,615</w:t>
            </w:r>
          </w:p>
        </w:tc>
        <w:tc>
          <w:tcPr>
            <w:tcW w:w="8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w:t>
            </w:r>
          </w:p>
        </w:tc>
        <w:tc>
          <w:tcPr>
            <w:tcW w:w="380" w:type="dxa"/>
            <w:vAlign w:val="bottom"/>
          </w:tcPr>
          <w:p>
            <w:pPr>
              <w:spacing w:after="0"/>
              <w:rPr>
                <w:sz w:val="14"/>
                <w:szCs w:val="14"/>
                <w:color w:val="auto"/>
              </w:rPr>
            </w:pP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400" w:type="dxa"/>
            <w:vAlign w:val="bottom"/>
          </w:tcPr>
          <w:p>
            <w:pPr>
              <w:spacing w:after="0"/>
              <w:rPr>
                <w:sz w:val="14"/>
                <w:szCs w:val="14"/>
                <w:color w:val="auto"/>
              </w:rPr>
            </w:pP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21,991</w:t>
            </w:r>
          </w:p>
        </w:tc>
        <w:tc>
          <w:tcPr>
            <w:tcW w:w="38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10,195</w:t>
            </w:r>
          </w:p>
        </w:tc>
        <w:tc>
          <w:tcPr>
            <w:tcW w:w="22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8,322</w:t>
            </w:r>
          </w:p>
        </w:tc>
        <w:tc>
          <w:tcPr>
            <w:tcW w:w="4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34,122</w:t>
            </w:r>
          </w:p>
        </w:tc>
        <w:tc>
          <w:tcPr>
            <w:tcW w:w="0" w:type="dxa"/>
            <w:vAlign w:val="bottom"/>
          </w:tcPr>
          <w:p>
            <w:pPr>
              <w:spacing w:after="0"/>
              <w:rPr>
                <w:sz w:val="1"/>
                <w:szCs w:val="1"/>
                <w:color w:val="auto"/>
              </w:rPr>
            </w:pPr>
          </w:p>
        </w:tc>
      </w:tr>
      <w:tr>
        <w:trPr>
          <w:trHeight w:val="168"/>
        </w:trPr>
        <w:tc>
          <w:tcPr>
            <w:tcW w:w="382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OPERATING LOSS</w:t>
            </w:r>
          </w:p>
        </w:tc>
        <w:tc>
          <w:tcPr>
            <w:tcW w:w="260" w:type="dxa"/>
            <w:vAlign w:val="bottom"/>
          </w:tcPr>
          <w:p>
            <w:pPr>
              <w:spacing w:after="0"/>
              <w:rPr>
                <w:sz w:val="14"/>
                <w:szCs w:val="14"/>
                <w:color w:val="auto"/>
              </w:rPr>
            </w:pPr>
          </w:p>
        </w:tc>
        <w:tc>
          <w:tcPr>
            <w:tcW w:w="13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w w:val="99"/>
              </w:rPr>
              <w:t>============</w:t>
            </w:r>
          </w:p>
        </w:tc>
        <w:tc>
          <w:tcPr>
            <w:tcW w:w="8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w:t>
            </w:r>
          </w:p>
        </w:tc>
        <w:tc>
          <w:tcPr>
            <w:tcW w:w="380" w:type="dxa"/>
            <w:vAlign w:val="bottom"/>
          </w:tcPr>
          <w:p>
            <w:pPr>
              <w:spacing w:after="0"/>
              <w:rPr>
                <w:sz w:val="14"/>
                <w:szCs w:val="14"/>
                <w:color w:val="auto"/>
              </w:rPr>
            </w:pP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400" w:type="dxa"/>
            <w:vAlign w:val="bottom"/>
          </w:tcPr>
          <w:p>
            <w:pPr>
              <w:spacing w:after="0"/>
              <w:rPr>
                <w:sz w:val="14"/>
                <w:szCs w:val="14"/>
                <w:color w:val="auto"/>
              </w:rPr>
            </w:pP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3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(63,886)</w:t>
            </w:r>
          </w:p>
        </w:tc>
        <w:tc>
          <w:tcPr>
            <w:tcW w:w="8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(35,718)</w:t>
            </w:r>
          </w:p>
        </w:tc>
        <w:tc>
          <w:tcPr>
            <w:tcW w:w="380" w:type="dxa"/>
            <w:vAlign w:val="bottom"/>
          </w:tcPr>
          <w:p>
            <w:pPr>
              <w:spacing w:after="0"/>
              <w:rPr>
                <w:sz w:val="14"/>
                <w:szCs w:val="14"/>
                <w:color w:val="auto"/>
              </w:rPr>
            </w:pP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(32,669)</w:t>
            </w:r>
          </w:p>
        </w:tc>
        <w:tc>
          <w:tcPr>
            <w:tcW w:w="2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(13,213)</w:t>
            </w:r>
          </w:p>
        </w:tc>
        <w:tc>
          <w:tcPr>
            <w:tcW w:w="40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(49,343)</w:t>
            </w:r>
          </w:p>
        </w:tc>
        <w:tc>
          <w:tcPr>
            <w:tcW w:w="0" w:type="dxa"/>
            <w:vAlign w:val="bottom"/>
          </w:tcPr>
          <w:p>
            <w:pPr>
              <w:spacing w:after="0"/>
              <w:rPr>
                <w:sz w:val="1"/>
                <w:szCs w:val="1"/>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EXPENSE, NET</w:t>
            </w:r>
          </w:p>
        </w:tc>
        <w:tc>
          <w:tcPr>
            <w:tcW w:w="260" w:type="dxa"/>
            <w:vAlign w:val="bottom"/>
          </w:tcPr>
          <w:p>
            <w:pPr>
              <w:spacing w:after="0"/>
              <w:rPr>
                <w:sz w:val="14"/>
                <w:szCs w:val="14"/>
                <w:color w:val="auto"/>
              </w:rPr>
            </w:pPr>
          </w:p>
        </w:tc>
        <w:tc>
          <w:tcPr>
            <w:tcW w:w="13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(4,293)</w:t>
            </w:r>
          </w:p>
        </w:tc>
        <w:tc>
          <w:tcPr>
            <w:tcW w:w="8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(2,100)</w:t>
            </w:r>
          </w:p>
        </w:tc>
        <w:tc>
          <w:tcPr>
            <w:tcW w:w="380" w:type="dxa"/>
            <w:vAlign w:val="bottom"/>
          </w:tcPr>
          <w:p>
            <w:pPr>
              <w:spacing w:after="0"/>
              <w:rPr>
                <w:sz w:val="14"/>
                <w:szCs w:val="14"/>
                <w:color w:val="auto"/>
              </w:rPr>
            </w:pP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(4,264)</w:t>
            </w:r>
          </w:p>
        </w:tc>
        <w:tc>
          <w:tcPr>
            <w:tcW w:w="22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(1,300)</w:t>
            </w:r>
          </w:p>
        </w:tc>
        <w:tc>
          <w:tcPr>
            <w:tcW w:w="40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(2,104)</w:t>
            </w:r>
          </w:p>
        </w:tc>
        <w:tc>
          <w:tcPr>
            <w:tcW w:w="0" w:type="dxa"/>
            <w:vAlign w:val="bottom"/>
          </w:tcPr>
          <w:p>
            <w:pPr>
              <w:spacing w:after="0"/>
              <w:rPr>
                <w:sz w:val="1"/>
                <w:szCs w:val="1"/>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 NET</w:t>
            </w:r>
          </w:p>
        </w:tc>
        <w:tc>
          <w:tcPr>
            <w:tcW w:w="260" w:type="dxa"/>
            <w:vAlign w:val="bottom"/>
          </w:tcPr>
          <w:p>
            <w:pPr>
              <w:spacing w:after="0"/>
              <w:rPr>
                <w:sz w:val="14"/>
                <w:szCs w:val="14"/>
                <w:color w:val="auto"/>
              </w:rPr>
            </w:pPr>
          </w:p>
        </w:tc>
        <w:tc>
          <w:tcPr>
            <w:tcW w:w="13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(87)</w:t>
            </w:r>
          </w:p>
        </w:tc>
        <w:tc>
          <w:tcPr>
            <w:tcW w:w="80" w:type="dxa"/>
            <w:vAlign w:val="bottom"/>
          </w:tcPr>
          <w:p>
            <w:pPr>
              <w:spacing w:after="0"/>
              <w:rPr>
                <w:sz w:val="14"/>
                <w:szCs w:val="14"/>
                <w:color w:val="auto"/>
              </w:rPr>
            </w:pPr>
          </w:p>
        </w:tc>
        <w:tc>
          <w:tcPr>
            <w:tcW w:w="13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(153)</w:t>
            </w:r>
          </w:p>
        </w:tc>
        <w:tc>
          <w:tcPr>
            <w:tcW w:w="22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w:t>
            </w:r>
          </w:p>
        </w:tc>
        <w:tc>
          <w:tcPr>
            <w:tcW w:w="0" w:type="dxa"/>
            <w:vAlign w:val="bottom"/>
          </w:tcPr>
          <w:p>
            <w:pPr>
              <w:spacing w:after="0"/>
              <w:rPr>
                <w:sz w:val="1"/>
                <w:szCs w:val="1"/>
                <w:color w:val="auto"/>
              </w:rPr>
            </w:pPr>
          </w:p>
        </w:tc>
      </w:tr>
      <w:tr>
        <w:trPr>
          <w:trHeight w:val="168"/>
        </w:trPr>
        <w:tc>
          <w:tcPr>
            <w:tcW w:w="3820" w:type="dxa"/>
            <w:vAlign w:val="bottom"/>
            <w:vMerge w:val="restart"/>
          </w:tcPr>
          <w:p>
            <w:pPr>
              <w:ind w:left="1400"/>
              <w:spacing w:after="0"/>
              <w:rPr>
                <w:sz w:val="20"/>
                <w:szCs w:val="20"/>
                <w:color w:val="auto"/>
              </w:rPr>
            </w:pPr>
            <w:r>
              <w:rPr>
                <w:rFonts w:ascii="Courier New" w:cs="Courier New" w:eastAsia="Courier New" w:hAnsi="Courier New"/>
                <w:sz w:val="15"/>
                <w:szCs w:val="15"/>
                <w:color w:val="auto"/>
              </w:rPr>
              <w:t>LOSS FOR THE PERIOD</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189"/>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bscript"/>
              </w:rPr>
              <w:t>(68,266)</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4"/>
              </w:rPr>
              <w:t>------------</w:t>
            </w:r>
          </w:p>
        </w:tc>
        <w:tc>
          <w:tcPr>
            <w:tcW w:w="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38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(37,818)</w:t>
            </w:r>
          </w:p>
        </w:tc>
        <w:tc>
          <w:tcPr>
            <w:tcW w:w="380" w:type="dxa"/>
            <w:vAlign w:val="bottom"/>
            <w:vMerge w:val="continue"/>
          </w:tcPr>
          <w:p>
            <w:pPr>
              <w:spacing w:after="0"/>
              <w:rPr>
                <w:sz w:val="14"/>
                <w:szCs w:val="14"/>
                <w:color w:val="auto"/>
              </w:rPr>
            </w:pP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(37,086)</w:t>
            </w:r>
          </w:p>
        </w:tc>
        <w:tc>
          <w:tcPr>
            <w:tcW w:w="220" w:type="dxa"/>
            <w:vAlign w:val="bottom"/>
            <w:vMerge w:val="continue"/>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(14,513)</w:t>
            </w:r>
          </w:p>
        </w:tc>
        <w:tc>
          <w:tcPr>
            <w:tcW w:w="400" w:type="dxa"/>
            <w:vAlign w:val="bottom"/>
            <w:vMerge w:val="continue"/>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(51,402)</w:t>
            </w:r>
          </w:p>
        </w:tc>
        <w:tc>
          <w:tcPr>
            <w:tcW w:w="0" w:type="dxa"/>
            <w:vAlign w:val="bottom"/>
          </w:tcPr>
          <w:p>
            <w:pPr>
              <w:spacing w:after="0"/>
              <w:rPr>
                <w:sz w:val="1"/>
                <w:szCs w:val="1"/>
                <w:color w:val="auto"/>
              </w:rPr>
            </w:pPr>
          </w:p>
        </w:tc>
      </w:tr>
      <w:tr>
        <w:trPr>
          <w:trHeight w:val="245"/>
        </w:trPr>
        <w:tc>
          <w:tcPr>
            <w:tcW w:w="3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89"/>
              <w:spacing w:after="0"/>
              <w:rPr>
                <w:sz w:val="20"/>
                <w:szCs w:val="20"/>
                <w:color w:val="auto"/>
              </w:rPr>
            </w:pPr>
            <w:r>
              <w:rPr>
                <w:rFonts w:ascii="Courier New" w:cs="Courier New" w:eastAsia="Courier New" w:hAnsi="Courier New"/>
                <w:sz w:val="15"/>
                <w:szCs w:val="15"/>
                <w:color w:val="auto"/>
                <w:w w:val="99"/>
              </w:rPr>
              <w:t>============</w:t>
            </w:r>
          </w:p>
        </w:tc>
        <w:tc>
          <w:tcPr>
            <w:tcW w:w="80" w:type="dxa"/>
            <w:vAlign w:val="bottom"/>
          </w:tcPr>
          <w:p>
            <w:pPr>
              <w:spacing w:after="0"/>
              <w:rPr>
                <w:sz w:val="21"/>
                <w:szCs w:val="21"/>
                <w:color w:val="auto"/>
              </w:rPr>
            </w:pP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w:t>
            </w:r>
          </w:p>
        </w:tc>
        <w:tc>
          <w:tcPr>
            <w:tcW w:w="380" w:type="dxa"/>
            <w:vAlign w:val="bottom"/>
          </w:tcPr>
          <w:p>
            <w:pPr>
              <w:spacing w:after="0"/>
              <w:rPr>
                <w:sz w:val="21"/>
                <w:szCs w:val="21"/>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21"/>
                <w:szCs w:val="21"/>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w:t>
            </w:r>
          </w:p>
        </w:tc>
        <w:tc>
          <w:tcPr>
            <w:tcW w:w="4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BASIC LOSS PER ORDINARY SHARE</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LOSS PER SHARE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(1.49)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(1.34)</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(0.77)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(0.48)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(1.63)</w:t>
            </w:r>
          </w:p>
        </w:tc>
        <w:tc>
          <w:tcPr>
            <w:tcW w:w="0" w:type="dxa"/>
            <w:vAlign w:val="bottom"/>
          </w:tcPr>
          <w:p>
            <w:pPr>
              <w:spacing w:after="0"/>
              <w:rPr>
                <w:sz w:val="1"/>
                <w:szCs w:val="1"/>
                <w:color w:val="auto"/>
              </w:rPr>
            </w:pPr>
          </w:p>
        </w:tc>
      </w:tr>
      <w:tr>
        <w:trPr>
          <w:trHeight w:val="245"/>
        </w:trPr>
        <w:tc>
          <w:tcPr>
            <w:tcW w:w="38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LOSS USED TO COMPUTE</w:t>
            </w:r>
          </w:p>
        </w:tc>
        <w:tc>
          <w:tcPr>
            <w:tcW w:w="260" w:type="dxa"/>
            <w:vAlign w:val="bottom"/>
          </w:tcPr>
          <w:p>
            <w:pPr>
              <w:spacing w:after="0"/>
              <w:rPr>
                <w:sz w:val="21"/>
                <w:szCs w:val="21"/>
                <w:color w:val="auto"/>
              </w:rPr>
            </w:pPr>
          </w:p>
        </w:tc>
        <w:tc>
          <w:tcPr>
            <w:tcW w:w="1360" w:type="dxa"/>
            <w:vAlign w:val="bottom"/>
          </w:tcPr>
          <w:p>
            <w:pPr>
              <w:jc w:val="right"/>
              <w:ind w:right="189"/>
              <w:spacing w:after="0"/>
              <w:rPr>
                <w:sz w:val="20"/>
                <w:szCs w:val="20"/>
                <w:color w:val="auto"/>
              </w:rPr>
            </w:pPr>
            <w:r>
              <w:rPr>
                <w:rFonts w:ascii="Courier New" w:cs="Courier New" w:eastAsia="Courier New" w:hAnsi="Courier New"/>
                <w:sz w:val="15"/>
                <w:szCs w:val="15"/>
                <w:color w:val="auto"/>
                <w:w w:val="99"/>
              </w:rPr>
              <w:t>============</w:t>
            </w:r>
          </w:p>
        </w:tc>
        <w:tc>
          <w:tcPr>
            <w:tcW w:w="80" w:type="dxa"/>
            <w:vAlign w:val="bottom"/>
          </w:tcPr>
          <w:p>
            <w:pPr>
              <w:spacing w:after="0"/>
              <w:rPr>
                <w:sz w:val="21"/>
                <w:szCs w:val="21"/>
                <w:color w:val="auto"/>
              </w:rPr>
            </w:pP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w:t>
            </w:r>
          </w:p>
        </w:tc>
        <w:tc>
          <w:tcPr>
            <w:tcW w:w="380" w:type="dxa"/>
            <w:vAlign w:val="bottom"/>
          </w:tcPr>
          <w:p>
            <w:pPr>
              <w:spacing w:after="0"/>
              <w:rPr>
                <w:sz w:val="21"/>
                <w:szCs w:val="21"/>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21"/>
                <w:szCs w:val="21"/>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w:t>
            </w:r>
          </w:p>
        </w:tc>
        <w:tc>
          <w:tcPr>
            <w:tcW w:w="4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91"/>
        </w:trPr>
        <w:tc>
          <w:tcPr>
            <w:tcW w:w="3820" w:type="dxa"/>
            <w:vAlign w:val="bottom"/>
            <w:vMerge w:val="continue"/>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vMerge w:val="restart"/>
          </w:tcPr>
          <w:p>
            <w:pPr>
              <w:jc w:val="right"/>
              <w:ind w:right="189"/>
              <w:spacing w:after="0"/>
              <w:rPr>
                <w:sz w:val="20"/>
                <w:szCs w:val="20"/>
                <w:color w:val="auto"/>
              </w:rPr>
            </w:pPr>
            <w:r>
              <w:rPr>
                <w:rFonts w:ascii="Courier New" w:cs="Courier New" w:eastAsia="Courier New" w:hAnsi="Courier New"/>
                <w:sz w:val="15"/>
                <w:szCs w:val="15"/>
                <w:color w:val="auto"/>
              </w:rPr>
              <w:t>(68,266)</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(37,818)</w:t>
            </w:r>
          </w:p>
        </w:tc>
        <w:tc>
          <w:tcPr>
            <w:tcW w:w="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(37,086)</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(14,513)</w:t>
            </w:r>
          </w:p>
        </w:tc>
        <w:tc>
          <w:tcPr>
            <w:tcW w:w="4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(51,402)</w:t>
            </w:r>
          </w:p>
        </w:tc>
        <w:tc>
          <w:tcPr>
            <w:tcW w:w="0" w:type="dxa"/>
            <w:vAlign w:val="bottom"/>
          </w:tcPr>
          <w:p>
            <w:pPr>
              <w:spacing w:after="0"/>
              <w:rPr>
                <w:sz w:val="1"/>
                <w:szCs w:val="1"/>
                <w:color w:val="auto"/>
              </w:rPr>
            </w:pPr>
          </w:p>
        </w:tc>
      </w:tr>
      <w:tr>
        <w:trPr>
          <w:trHeight w:val="168"/>
        </w:trPr>
        <w:tc>
          <w:tcPr>
            <w:tcW w:w="38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BASIC LOSS PER SHARE</w:t>
            </w:r>
          </w:p>
        </w:tc>
        <w:tc>
          <w:tcPr>
            <w:tcW w:w="26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82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WEIGHTED AVERAGE NUMBER OF ORDINARY</w:t>
            </w:r>
          </w:p>
        </w:tc>
        <w:tc>
          <w:tcPr>
            <w:tcW w:w="260" w:type="dxa"/>
            <w:vAlign w:val="bottom"/>
          </w:tcPr>
          <w:p>
            <w:pPr>
              <w:spacing w:after="0"/>
              <w:rPr>
                <w:sz w:val="21"/>
                <w:szCs w:val="21"/>
                <w:color w:val="auto"/>
              </w:rPr>
            </w:pPr>
          </w:p>
        </w:tc>
        <w:tc>
          <w:tcPr>
            <w:tcW w:w="1360" w:type="dxa"/>
            <w:vAlign w:val="bottom"/>
          </w:tcPr>
          <w:p>
            <w:pPr>
              <w:jc w:val="right"/>
              <w:ind w:right="189"/>
              <w:spacing w:after="0"/>
              <w:rPr>
                <w:sz w:val="20"/>
                <w:szCs w:val="20"/>
                <w:color w:val="auto"/>
              </w:rPr>
            </w:pPr>
            <w:r>
              <w:rPr>
                <w:rFonts w:ascii="Courier New" w:cs="Courier New" w:eastAsia="Courier New" w:hAnsi="Courier New"/>
                <w:sz w:val="15"/>
                <w:szCs w:val="15"/>
                <w:color w:val="auto"/>
                <w:w w:val="99"/>
              </w:rPr>
              <w:t>============</w:t>
            </w:r>
          </w:p>
        </w:tc>
        <w:tc>
          <w:tcPr>
            <w:tcW w:w="80" w:type="dxa"/>
            <w:vAlign w:val="bottom"/>
          </w:tcPr>
          <w:p>
            <w:pPr>
              <w:spacing w:after="0"/>
              <w:rPr>
                <w:sz w:val="21"/>
                <w:szCs w:val="21"/>
                <w:color w:val="auto"/>
              </w:rPr>
            </w:pP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w:t>
            </w:r>
          </w:p>
        </w:tc>
        <w:tc>
          <w:tcPr>
            <w:tcW w:w="380" w:type="dxa"/>
            <w:vAlign w:val="bottom"/>
          </w:tcPr>
          <w:p>
            <w:pPr>
              <w:spacing w:after="0"/>
              <w:rPr>
                <w:sz w:val="21"/>
                <w:szCs w:val="21"/>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21"/>
                <w:szCs w:val="21"/>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w:t>
            </w:r>
          </w:p>
        </w:tc>
        <w:tc>
          <w:tcPr>
            <w:tcW w:w="4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91"/>
        </w:trPr>
        <w:tc>
          <w:tcPr>
            <w:tcW w:w="38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360" w:type="dxa"/>
            <w:vAlign w:val="bottom"/>
            <w:vMerge w:val="restart"/>
          </w:tcPr>
          <w:p>
            <w:pPr>
              <w:jc w:val="right"/>
              <w:ind w:right="289"/>
              <w:spacing w:after="0"/>
              <w:rPr>
                <w:sz w:val="20"/>
                <w:szCs w:val="20"/>
                <w:color w:val="auto"/>
              </w:rPr>
            </w:pPr>
            <w:r>
              <w:rPr>
                <w:rFonts w:ascii="Courier New" w:cs="Courier New" w:eastAsia="Courier New" w:hAnsi="Courier New"/>
                <w:sz w:val="15"/>
                <w:szCs w:val="15"/>
                <w:color w:val="auto"/>
              </w:rPr>
              <w:t>45,788</w:t>
            </w:r>
          </w:p>
        </w:tc>
        <w:tc>
          <w:tcPr>
            <w:tcW w:w="80" w:type="dxa"/>
            <w:vAlign w:val="bottom"/>
          </w:tcPr>
          <w:p>
            <w:pPr>
              <w:spacing w:after="0"/>
              <w:rPr>
                <w:sz w:val="7"/>
                <w:szCs w:val="7"/>
                <w:color w:val="auto"/>
              </w:rPr>
            </w:pPr>
          </w:p>
        </w:tc>
        <w:tc>
          <w:tcPr>
            <w:tcW w:w="13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28,129</w:t>
            </w:r>
          </w:p>
        </w:tc>
        <w:tc>
          <w:tcPr>
            <w:tcW w:w="380" w:type="dxa"/>
            <w:vAlign w:val="bottom"/>
          </w:tcPr>
          <w:p>
            <w:pPr>
              <w:spacing w:after="0"/>
              <w:rPr>
                <w:sz w:val="7"/>
                <w:szCs w:val="7"/>
                <w:color w:val="auto"/>
              </w:rPr>
            </w:pPr>
          </w:p>
        </w:tc>
        <w:tc>
          <w:tcPr>
            <w:tcW w:w="11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48,360</w:t>
            </w:r>
          </w:p>
        </w:tc>
        <w:tc>
          <w:tcPr>
            <w:tcW w:w="220" w:type="dxa"/>
            <w:vAlign w:val="bottom"/>
          </w:tcPr>
          <w:p>
            <w:pPr>
              <w:spacing w:after="0"/>
              <w:rPr>
                <w:sz w:val="7"/>
                <w:szCs w:val="7"/>
                <w:color w:val="auto"/>
              </w:rPr>
            </w:pPr>
          </w:p>
        </w:tc>
        <w:tc>
          <w:tcPr>
            <w:tcW w:w="126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30,211</w:t>
            </w:r>
          </w:p>
        </w:tc>
        <w:tc>
          <w:tcPr>
            <w:tcW w:w="400" w:type="dxa"/>
            <w:vAlign w:val="bottom"/>
          </w:tcPr>
          <w:p>
            <w:pPr>
              <w:spacing w:after="0"/>
              <w:rPr>
                <w:sz w:val="7"/>
                <w:szCs w:val="7"/>
                <w:color w:val="auto"/>
              </w:rPr>
            </w:pPr>
          </w:p>
        </w:tc>
        <w:tc>
          <w:tcPr>
            <w:tcW w:w="12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31,523</w:t>
            </w:r>
          </w:p>
        </w:tc>
        <w:tc>
          <w:tcPr>
            <w:tcW w:w="0" w:type="dxa"/>
            <w:vAlign w:val="bottom"/>
          </w:tcPr>
          <w:p>
            <w:pPr>
              <w:spacing w:after="0"/>
              <w:rPr>
                <w:sz w:val="1"/>
                <w:szCs w:val="1"/>
                <w:color w:val="auto"/>
              </w:rPr>
            </w:pPr>
          </w:p>
        </w:tc>
      </w:tr>
      <w:tr>
        <w:trPr>
          <w:trHeight w:val="168"/>
        </w:trPr>
        <w:tc>
          <w:tcPr>
            <w:tcW w:w="38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SHARES OUTSTANDING - IN THOUSANDS</w:t>
            </w:r>
          </w:p>
        </w:tc>
        <w:tc>
          <w:tcPr>
            <w:tcW w:w="2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ind w:right="189"/>
              <w:spacing w:after="0"/>
              <w:rPr>
                <w:sz w:val="20"/>
                <w:szCs w:val="20"/>
                <w:color w:val="auto"/>
              </w:rPr>
            </w:pPr>
            <w:r>
              <w:rPr>
                <w:rFonts w:ascii="Courier New" w:cs="Courier New" w:eastAsia="Courier New" w:hAnsi="Courier New"/>
                <w:sz w:val="15"/>
                <w:szCs w:val="15"/>
                <w:color w:val="auto"/>
                <w:w w:val="99"/>
              </w:rPr>
              <w:t>============</w:t>
            </w:r>
          </w:p>
        </w:tc>
        <w:tc>
          <w:tcPr>
            <w:tcW w:w="80" w:type="dxa"/>
            <w:vAlign w:val="bottom"/>
          </w:tcPr>
          <w:p>
            <w:pPr>
              <w:spacing w:after="0"/>
              <w:rPr>
                <w:sz w:val="21"/>
                <w:szCs w:val="21"/>
                <w:color w:val="auto"/>
              </w:rPr>
            </w:pP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4"/>
              </w:rPr>
              <w:t>============</w:t>
            </w:r>
          </w:p>
        </w:tc>
        <w:tc>
          <w:tcPr>
            <w:tcW w:w="380" w:type="dxa"/>
            <w:vAlign w:val="bottom"/>
          </w:tcPr>
          <w:p>
            <w:pPr>
              <w:spacing w:after="0"/>
              <w:rPr>
                <w:sz w:val="21"/>
                <w:szCs w:val="21"/>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21"/>
                <w:szCs w:val="21"/>
                <w:color w:val="auto"/>
              </w:rPr>
            </w:pP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w:t>
            </w:r>
          </w:p>
        </w:tc>
        <w:tc>
          <w:tcPr>
            <w:tcW w:w="4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460"/>
          </w:cols>
          <w:pgMar w:left="220" w:top="766" w:right="219" w:bottom="1440" w:gutter="0" w:footer="0" w:header="0"/>
        </w:sectPr>
      </w:pPr>
    </w:p>
    <w:bookmarkStart w:id="8" w:name="page9"/>
    <w:bookmarkEnd w:id="8"/>
    <w:p>
      <w:pPr>
        <w:jc w:val="center"/>
        <w:ind w:right="4520"/>
        <w:spacing w:after="0"/>
        <w:rPr>
          <w:sz w:val="20"/>
          <w:szCs w:val="20"/>
          <w:color w:val="auto"/>
        </w:rPr>
      </w:pPr>
      <w:r>
        <w:rPr>
          <w:rFonts w:ascii="Courier New" w:cs="Courier New" w:eastAsia="Courier New" w:hAnsi="Courier New"/>
          <w:sz w:val="15"/>
          <w:szCs w:val="15"/>
          <w:color w:val="auto"/>
        </w:rPr>
        <w:t>TOWER SEMICONDUCTOR LTD.</w:t>
      </w:r>
    </w:p>
    <w:p>
      <w:pPr>
        <w:spacing w:after="0" w:line="23"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STATEMENTS OF CHANGES IN SHAREHOLDERS' EQUITY</w:t>
      </w:r>
    </w:p>
    <w:tbl>
      <w:tblPr>
        <w:tblLayout w:type="fixed"/>
        <w:tblInd w:w="0" w:type="dxa"/>
        <w:tblCellMar>
          <w:top w:w="0" w:type="dxa"/>
          <w:left w:w="0" w:type="dxa"/>
          <w:bottom w:w="0" w:type="dxa"/>
          <w:right w:w="0" w:type="dxa"/>
        </w:tblCellMar>
      </w:tblPr>
      <w:tr>
        <w:trPr>
          <w:trHeight w:val="245"/>
        </w:trPr>
        <w:tc>
          <w:tcPr>
            <w:tcW w:w="6180" w:type="dxa"/>
            <w:vAlign w:val="bottom"/>
            <w:gridSpan w:val="4"/>
          </w:tcPr>
          <w:p>
            <w:pPr>
              <w:ind w:left="880"/>
              <w:spacing w:after="0"/>
              <w:rPr>
                <w:sz w:val="20"/>
                <w:szCs w:val="20"/>
                <w:color w:val="auto"/>
              </w:rPr>
            </w:pPr>
            <w:r>
              <w:rPr>
                <w:rFonts w:ascii="Courier New" w:cs="Courier New" w:eastAsia="Courier New" w:hAnsi="Courier New"/>
                <w:sz w:val="15"/>
                <w:szCs w:val="15"/>
                <w:color w:val="auto"/>
                <w:w w:val="97"/>
              </w:rPr>
              <w:t>(DOLLARS IN THOUSANDS, EXCEPT SHARE DATA AND PER SHARE DATA)</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0"/>
        </w:trPr>
        <w:tc>
          <w:tcPr>
            <w:tcW w:w="4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SHAREHOLDER</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160" w:type="dxa"/>
            <w:vAlign w:val="bottom"/>
          </w:tcPr>
          <w:p>
            <w:pPr>
              <w:spacing w:after="0"/>
              <w:rPr>
                <w:sz w:val="14"/>
                <w:szCs w:val="14"/>
                <w:color w:val="auto"/>
              </w:rPr>
            </w:pPr>
          </w:p>
        </w:tc>
        <w:tc>
          <w:tcPr>
            <w:tcW w:w="2020" w:type="dxa"/>
            <w:vAlign w:val="bottom"/>
            <w:gridSpan w:val="3"/>
            <w:vMerge w:val="restart"/>
          </w:tcPr>
          <w:p>
            <w:pPr>
              <w:jc w:val="right"/>
              <w:ind w:right="247"/>
              <w:spacing w:after="0"/>
              <w:rPr>
                <w:sz w:val="20"/>
                <w:szCs w:val="20"/>
                <w:color w:val="auto"/>
              </w:rPr>
            </w:pPr>
            <w:r>
              <w:rPr>
                <w:rFonts w:ascii="Courier New" w:cs="Courier New" w:eastAsia="Courier New" w:hAnsi="Courier New"/>
                <w:sz w:val="15"/>
                <w:szCs w:val="15"/>
                <w:color w:val="auto"/>
              </w:rPr>
              <w:t>ORDINARY SHARES</w:t>
            </w:r>
          </w:p>
        </w:tc>
        <w:tc>
          <w:tcPr>
            <w:tcW w:w="1040" w:type="dxa"/>
            <w:vAlign w:val="bottom"/>
            <w:gridSpan w:val="2"/>
            <w:vMerge w:val="restart"/>
          </w:tcPr>
          <w:p>
            <w:pPr>
              <w:ind w:left="40"/>
              <w:spacing w:after="0"/>
              <w:rPr>
                <w:sz w:val="20"/>
                <w:szCs w:val="20"/>
                <w:color w:val="auto"/>
              </w:rPr>
            </w:pPr>
            <w:r>
              <w:rPr>
                <w:rFonts w:ascii="Courier New" w:cs="Courier New" w:eastAsia="Courier New" w:hAnsi="Courier New"/>
                <w:sz w:val="15"/>
                <w:szCs w:val="15"/>
                <w:color w:val="auto"/>
              </w:rPr>
              <w:t>ADDITIONAL</w:t>
            </w:r>
          </w:p>
        </w:tc>
        <w:tc>
          <w:tcPr>
            <w:tcW w:w="1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RECEIVABLES</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spacing w:after="0"/>
              <w:rPr>
                <w:sz w:val="14"/>
                <w:szCs w:val="14"/>
                <w:color w:val="auto"/>
              </w:rPr>
            </w:pPr>
          </w:p>
        </w:tc>
        <w:tc>
          <w:tcPr>
            <w:tcW w:w="2020" w:type="dxa"/>
            <w:vAlign w:val="bottom"/>
            <w:gridSpan w:val="3"/>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AND</w:t>
            </w:r>
          </w:p>
        </w:tc>
        <w:tc>
          <w:tcPr>
            <w:tcW w:w="1240" w:type="dxa"/>
            <w:vAlign w:val="bottom"/>
            <w:gridSpan w:val="2"/>
            <w:vMerge w:val="restart"/>
          </w:tcPr>
          <w:p>
            <w:pPr>
              <w:ind w:left="100"/>
              <w:spacing w:after="0"/>
              <w:rPr>
                <w:sz w:val="20"/>
                <w:szCs w:val="20"/>
                <w:color w:val="auto"/>
              </w:rPr>
            </w:pPr>
            <w:r>
              <w:rPr>
                <w:rFonts w:ascii="Courier New" w:cs="Courier New" w:eastAsia="Courier New" w:hAnsi="Courier New"/>
                <w:sz w:val="15"/>
                <w:szCs w:val="15"/>
                <w:color w:val="auto"/>
              </w:rPr>
              <w:t>ACCUMULATED</w:t>
            </w:r>
          </w:p>
        </w:tc>
        <w:tc>
          <w:tcPr>
            <w:tcW w:w="9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TREASURY</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spacing w:after="0"/>
              <w:rPr>
                <w:sz w:val="14"/>
                <w:szCs w:val="14"/>
                <w:color w:val="auto"/>
              </w:rPr>
            </w:pPr>
          </w:p>
        </w:tc>
        <w:tc>
          <w:tcPr>
            <w:tcW w:w="202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PAID-IN</w:t>
            </w:r>
          </w:p>
        </w:tc>
        <w:tc>
          <w:tcPr>
            <w:tcW w:w="1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UNEARNED</w:t>
            </w:r>
          </w:p>
        </w:tc>
        <w:tc>
          <w:tcPr>
            <w:tcW w:w="124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40" w:type="dxa"/>
            <w:vAlign w:val="bottom"/>
            <w:vMerge w:val="restart"/>
          </w:tcPr>
          <w:p>
            <w:pPr>
              <w:jc w:val="right"/>
              <w:ind w:right="16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68"/>
        </w:trPr>
        <w:tc>
          <w:tcPr>
            <w:tcW w:w="416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SHARES</w:t>
            </w:r>
          </w:p>
        </w:tc>
        <w:tc>
          <w:tcPr>
            <w:tcW w:w="16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2"/>
              </w:rPr>
              <w:t>AMOUNT</w:t>
            </w:r>
          </w:p>
        </w:tc>
        <w:tc>
          <w:tcPr>
            <w:tcW w:w="1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CAPITAL</w:t>
            </w:r>
          </w:p>
        </w:tc>
        <w:tc>
          <w:tcPr>
            <w:tcW w:w="1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COMPENSATION</w:t>
            </w:r>
          </w:p>
        </w:tc>
        <w:tc>
          <w:tcPr>
            <w:tcW w:w="22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DEFICIT</w:t>
            </w: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STOCK</w:t>
            </w: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1"/>
                <w:szCs w:val="21"/>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160" w:type="dxa"/>
            <w:vAlign w:val="bottom"/>
          </w:tcPr>
          <w:p>
            <w:pPr>
              <w:ind w:left="360"/>
              <w:spacing w:after="0"/>
              <w:rPr>
                <w:sz w:val="20"/>
                <w:szCs w:val="20"/>
                <w:color w:val="auto"/>
              </w:rPr>
            </w:pPr>
            <w:r>
              <w:rPr>
                <w:rFonts w:ascii="Courier New" w:cs="Courier New" w:eastAsia="Courier New" w:hAnsi="Courier New"/>
                <w:sz w:val="15"/>
                <w:szCs w:val="15"/>
                <w:color w:val="auto"/>
              </w:rPr>
              <w:t>BALANCE - JANUARY 1, 2003</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44,735,532</w:t>
            </w:r>
          </w:p>
        </w:tc>
        <w:tc>
          <w:tcPr>
            <w:tcW w:w="1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$ 11,294</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400,808</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(53)</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(104,643)</w:t>
            </w: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 (9,072)</w:t>
            </w:r>
          </w:p>
        </w:tc>
        <w:tc>
          <w:tcPr>
            <w:tcW w:w="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$ 298,334</w:t>
            </w:r>
          </w:p>
        </w:tc>
        <w:tc>
          <w:tcPr>
            <w:tcW w:w="0" w:type="dxa"/>
            <w:vAlign w:val="bottom"/>
          </w:tcPr>
          <w:p>
            <w:pPr>
              <w:spacing w:after="0"/>
              <w:rPr>
                <w:sz w:val="1"/>
                <w:szCs w:val="1"/>
                <w:color w:val="auto"/>
              </w:rPr>
            </w:pP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CHANGES DURING NINE MONTHS PERIOD (UNAUDITED):</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160" w:type="dxa"/>
            <w:vAlign w:val="bottom"/>
          </w:tcPr>
          <w:p>
            <w:pPr>
              <w:spacing w:after="0"/>
              <w:rPr>
                <w:sz w:val="20"/>
                <w:szCs w:val="20"/>
                <w:color w:val="auto"/>
              </w:rPr>
            </w:pPr>
            <w:r>
              <w:rPr>
                <w:rFonts w:ascii="Courier New" w:cs="Courier New" w:eastAsia="Courier New" w:hAnsi="Courier New"/>
                <w:sz w:val="15"/>
                <w:szCs w:val="15"/>
                <w:color w:val="auto"/>
              </w:rPr>
              <w:t>STOCK-BASED COMPENSATION RELATED TO</w:t>
            </w: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145</w:t>
            </w: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145</w:t>
            </w:r>
          </w:p>
        </w:tc>
        <w:tc>
          <w:tcPr>
            <w:tcW w:w="0" w:type="dxa"/>
            <w:vAlign w:val="bottom"/>
          </w:tcPr>
          <w:p>
            <w:pPr>
              <w:spacing w:after="0"/>
              <w:rPr>
                <w:sz w:val="1"/>
                <w:szCs w:val="1"/>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FAB 2 CONSTRUCTOR</w:t>
            </w: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5,343,614</w:t>
            </w:r>
          </w:p>
        </w:tc>
        <w:tc>
          <w:tcPr>
            <w:tcW w:w="160" w:type="dxa"/>
            <w:vAlign w:val="bottom"/>
          </w:tcPr>
          <w:p>
            <w:pPr>
              <w:spacing w:after="0"/>
              <w:rPr>
                <w:sz w:val="14"/>
                <w:szCs w:val="14"/>
                <w:color w:val="auto"/>
              </w:rPr>
            </w:pPr>
          </w:p>
        </w:tc>
        <w:tc>
          <w:tcPr>
            <w:tcW w:w="8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1,185</w:t>
            </w: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SHARES, NET OF RELATED COSTS</w:t>
            </w:r>
          </w:p>
        </w:tc>
        <w:tc>
          <w:tcPr>
            <w:tcW w:w="1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14,692</w:t>
            </w:r>
          </w:p>
        </w:tc>
        <w:tc>
          <w:tcPr>
            <w:tcW w:w="360" w:type="dxa"/>
            <w:vAlign w:val="bottom"/>
          </w:tcPr>
          <w:p>
            <w:pPr>
              <w:spacing w:after="0"/>
              <w:rPr>
                <w:sz w:val="14"/>
                <w:szCs w:val="14"/>
                <w:color w:val="auto"/>
              </w:rPr>
            </w:pPr>
          </w:p>
        </w:tc>
        <w:tc>
          <w:tcPr>
            <w:tcW w:w="8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27</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15,877</w:t>
            </w: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 COMPENSATION</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(68,266)</w:t>
            </w:r>
          </w:p>
        </w:tc>
        <w:tc>
          <w:tcPr>
            <w:tcW w:w="96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vMerge w:val="restart"/>
          </w:tcPr>
          <w:p>
            <w:pPr>
              <w:ind w:left="40"/>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9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(68,266)</w:t>
            </w:r>
          </w:p>
        </w:tc>
        <w:tc>
          <w:tcPr>
            <w:tcW w:w="0" w:type="dxa"/>
            <w:vAlign w:val="bottom"/>
          </w:tcPr>
          <w:p>
            <w:pPr>
              <w:spacing w:after="0"/>
              <w:rPr>
                <w:sz w:val="1"/>
                <w:szCs w:val="1"/>
                <w:color w:val="auto"/>
              </w:rPr>
            </w:pPr>
          </w:p>
        </w:tc>
      </w:tr>
      <w:tr>
        <w:trPr>
          <w:trHeight w:val="168"/>
        </w:trPr>
        <w:tc>
          <w:tcPr>
            <w:tcW w:w="41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BALANCE - SEPTEMBER 30, 2003 (UNAUDITED):</w:t>
            </w:r>
          </w:p>
        </w:tc>
        <w:tc>
          <w:tcPr>
            <w:tcW w:w="102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vMerge w:val="continue"/>
          </w:tcPr>
          <w:p>
            <w:pPr>
              <w:spacing w:after="0"/>
              <w:rPr>
                <w:sz w:val="14"/>
                <w:szCs w:val="14"/>
                <w:color w:val="auto"/>
              </w:rPr>
            </w:pP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160" w:type="dxa"/>
            <w:vAlign w:val="bottom"/>
            <w:vMerge w:val="continue"/>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50,079,146</w:t>
            </w:r>
          </w:p>
        </w:tc>
        <w:tc>
          <w:tcPr>
            <w:tcW w:w="10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$ 12,479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415,645</w:t>
            </w: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w:t>
            </w: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(172,909)</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(9,072)</w:t>
            </w: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$ 246,117</w:t>
            </w:r>
          </w:p>
        </w:tc>
        <w:tc>
          <w:tcPr>
            <w:tcW w:w="0" w:type="dxa"/>
            <w:vAlign w:val="bottom"/>
          </w:tcPr>
          <w:p>
            <w:pPr>
              <w:spacing w:after="0"/>
              <w:rPr>
                <w:sz w:val="1"/>
                <w:szCs w:val="1"/>
                <w:color w:val="auto"/>
              </w:rPr>
            </w:pPr>
          </w:p>
        </w:tc>
      </w:tr>
      <w:tr>
        <w:trPr>
          <w:trHeight w:val="168"/>
        </w:trPr>
        <w:tc>
          <w:tcPr>
            <w:tcW w:w="41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BALANCE - JANUARY 1, 2002</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160" w:type="dxa"/>
            <w:vAlign w:val="bottom"/>
            <w:vMerge w:val="continue"/>
          </w:tcPr>
          <w:p>
            <w:pPr>
              <w:spacing w:after="0"/>
              <w:rPr>
                <w:sz w:val="21"/>
                <w:szCs w:val="21"/>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26,297,102</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7,448</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307,865</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(195)</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(53,241)</w:t>
            </w: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 (9,072)</w:t>
            </w:r>
          </w:p>
        </w:tc>
        <w:tc>
          <w:tcPr>
            <w:tcW w:w="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$ 252,805</w:t>
            </w:r>
          </w:p>
        </w:tc>
        <w:tc>
          <w:tcPr>
            <w:tcW w:w="0" w:type="dxa"/>
            <w:vAlign w:val="bottom"/>
          </w:tcPr>
          <w:p>
            <w:pPr>
              <w:spacing w:after="0"/>
              <w:rPr>
                <w:sz w:val="1"/>
                <w:szCs w:val="1"/>
                <w:color w:val="auto"/>
              </w:rPr>
            </w:pP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w w:val="99"/>
              </w:rPr>
              <w:t>CHANGES DURING NINE MONTHS PERIOD (UNAUDITED):</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160" w:type="dxa"/>
            <w:vAlign w:val="bottom"/>
          </w:tcPr>
          <w:p>
            <w:pPr>
              <w:spacing w:after="0"/>
              <w:rPr>
                <w:sz w:val="20"/>
                <w:szCs w:val="20"/>
                <w:color w:val="auto"/>
              </w:rPr>
            </w:pPr>
            <w:r>
              <w:rPr>
                <w:rFonts w:ascii="Courier New" w:cs="Courier New" w:eastAsia="Courier New" w:hAnsi="Courier New"/>
                <w:sz w:val="15"/>
                <w:szCs w:val="15"/>
                <w:color w:val="auto"/>
              </w:rPr>
              <w:t>ISSUANCE OF SHARES, NET OF RELATED COSTS</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5,214,126</w:t>
            </w:r>
          </w:p>
        </w:tc>
        <w:tc>
          <w:tcPr>
            <w:tcW w:w="160" w:type="dxa"/>
            <w:vAlign w:val="bottom"/>
          </w:tcPr>
          <w:p>
            <w:pPr>
              <w:spacing w:after="0"/>
              <w:rPr>
                <w:sz w:val="22"/>
                <w:szCs w:val="22"/>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1,089</w:t>
            </w:r>
          </w:p>
        </w:tc>
        <w:tc>
          <w:tcPr>
            <w:tcW w:w="120" w:type="dxa"/>
            <w:vAlign w:val="bottom"/>
          </w:tcPr>
          <w:p>
            <w:pPr>
              <w:spacing w:after="0"/>
              <w:rPr>
                <w:sz w:val="22"/>
                <w:szCs w:val="22"/>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30,912</w:t>
            </w:r>
          </w:p>
        </w:tc>
        <w:tc>
          <w:tcPr>
            <w:tcW w:w="360" w:type="dxa"/>
            <w:vAlign w:val="bottom"/>
          </w:tcPr>
          <w:p>
            <w:pPr>
              <w:spacing w:after="0"/>
              <w:rPr>
                <w:sz w:val="22"/>
                <w:szCs w:val="22"/>
                <w:color w:val="auto"/>
              </w:rPr>
            </w:pPr>
          </w:p>
        </w:tc>
        <w:tc>
          <w:tcPr>
            <w:tcW w:w="8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121</w:t>
            </w: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32,001</w:t>
            </w: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 COMPENSATION</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(37,818)</w:t>
            </w:r>
          </w:p>
        </w:tc>
        <w:tc>
          <w:tcPr>
            <w:tcW w:w="96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w:t>
            </w: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vMerge w:val="restart"/>
          </w:tcPr>
          <w:p>
            <w:pPr>
              <w:ind w:left="40"/>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9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(37,818)</w:t>
            </w:r>
          </w:p>
        </w:tc>
        <w:tc>
          <w:tcPr>
            <w:tcW w:w="0" w:type="dxa"/>
            <w:vAlign w:val="bottom"/>
          </w:tcPr>
          <w:p>
            <w:pPr>
              <w:spacing w:after="0"/>
              <w:rPr>
                <w:sz w:val="1"/>
                <w:szCs w:val="1"/>
                <w:color w:val="auto"/>
              </w:rPr>
            </w:pPr>
          </w:p>
        </w:tc>
      </w:tr>
      <w:tr>
        <w:trPr>
          <w:trHeight w:val="168"/>
        </w:trPr>
        <w:tc>
          <w:tcPr>
            <w:tcW w:w="41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BALANCE - SEPTEMBER 30, 2002 (UNAUDITED):</w:t>
            </w:r>
          </w:p>
        </w:tc>
        <w:tc>
          <w:tcPr>
            <w:tcW w:w="102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vMerge w:val="continue"/>
          </w:tcPr>
          <w:p>
            <w:pPr>
              <w:spacing w:after="0"/>
              <w:rPr>
                <w:sz w:val="14"/>
                <w:szCs w:val="14"/>
                <w:color w:val="auto"/>
              </w:rPr>
            </w:pP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160" w:type="dxa"/>
            <w:vAlign w:val="bottom"/>
            <w:vMerge w:val="continue"/>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31,511,228</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8,537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338,777</w:t>
            </w: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w:t>
            </w: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(91,059)</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(9,072)</w:t>
            </w: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$ 247,109</w:t>
            </w:r>
          </w:p>
        </w:tc>
        <w:tc>
          <w:tcPr>
            <w:tcW w:w="0" w:type="dxa"/>
            <w:vAlign w:val="bottom"/>
          </w:tcPr>
          <w:p>
            <w:pPr>
              <w:spacing w:after="0"/>
              <w:rPr>
                <w:sz w:val="1"/>
                <w:szCs w:val="1"/>
                <w:color w:val="auto"/>
              </w:rPr>
            </w:pPr>
          </w:p>
        </w:tc>
      </w:tr>
      <w:tr>
        <w:trPr>
          <w:trHeight w:val="168"/>
        </w:trPr>
        <w:tc>
          <w:tcPr>
            <w:tcW w:w="41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BALANCE - JULY 1, 2003</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160" w:type="dxa"/>
            <w:vAlign w:val="bottom"/>
            <w:vMerge w:val="continue"/>
          </w:tcPr>
          <w:p>
            <w:pPr>
              <w:spacing w:after="0"/>
              <w:rPr>
                <w:sz w:val="21"/>
                <w:szCs w:val="21"/>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49,241,064</w:t>
            </w:r>
          </w:p>
        </w:tc>
        <w:tc>
          <w:tcPr>
            <w:tcW w:w="1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$ 12,291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413,334</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(135,823)</w:t>
            </w: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 (9,072)</w:t>
            </w:r>
          </w:p>
        </w:tc>
        <w:tc>
          <w:tcPr>
            <w:tcW w:w="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$ 280,704</w:t>
            </w:r>
          </w:p>
        </w:tc>
        <w:tc>
          <w:tcPr>
            <w:tcW w:w="0" w:type="dxa"/>
            <w:vAlign w:val="bottom"/>
          </w:tcPr>
          <w:p>
            <w:pPr>
              <w:spacing w:after="0"/>
              <w:rPr>
                <w:sz w:val="1"/>
                <w:szCs w:val="1"/>
                <w:color w:val="auto"/>
              </w:rPr>
            </w:pP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w w:val="97"/>
              </w:rPr>
              <w:t>CHANGES DURING THREE MONTHS PERIOD (UNAUDITED):</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160" w:type="dxa"/>
            <w:vAlign w:val="bottom"/>
          </w:tcPr>
          <w:p>
            <w:pPr>
              <w:spacing w:after="0"/>
              <w:rPr>
                <w:sz w:val="20"/>
                <w:szCs w:val="20"/>
                <w:color w:val="auto"/>
              </w:rPr>
            </w:pPr>
            <w:r>
              <w:rPr>
                <w:rFonts w:ascii="Courier New" w:cs="Courier New" w:eastAsia="Courier New" w:hAnsi="Courier New"/>
                <w:sz w:val="15"/>
                <w:szCs w:val="15"/>
                <w:color w:val="auto"/>
              </w:rPr>
              <w:t>ISSUANCE OF SHARES, NET OF RELATED COSTS</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838,082</w:t>
            </w:r>
          </w:p>
        </w:tc>
        <w:tc>
          <w:tcPr>
            <w:tcW w:w="160" w:type="dxa"/>
            <w:vAlign w:val="bottom"/>
          </w:tcPr>
          <w:p>
            <w:pPr>
              <w:spacing w:after="0"/>
              <w:rPr>
                <w:sz w:val="22"/>
                <w:szCs w:val="22"/>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188</w:t>
            </w:r>
          </w:p>
        </w:tc>
        <w:tc>
          <w:tcPr>
            <w:tcW w:w="120" w:type="dxa"/>
            <w:vAlign w:val="bottom"/>
          </w:tcPr>
          <w:p>
            <w:pPr>
              <w:spacing w:after="0"/>
              <w:rPr>
                <w:sz w:val="22"/>
                <w:szCs w:val="22"/>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2,311</w:t>
            </w: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(37,086)</w:t>
            </w:r>
          </w:p>
        </w:tc>
        <w:tc>
          <w:tcPr>
            <w:tcW w:w="960" w:type="dxa"/>
            <w:vAlign w:val="bottom"/>
          </w:tcPr>
          <w:p>
            <w:pPr>
              <w:spacing w:after="0"/>
              <w:rPr>
                <w:sz w:val="22"/>
                <w:szCs w:val="22"/>
                <w:color w:val="auto"/>
              </w:rPr>
            </w:pPr>
          </w:p>
        </w:tc>
        <w:tc>
          <w:tcPr>
            <w:tcW w:w="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2,499</w:t>
            </w: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vMerge w:val="restart"/>
          </w:tcPr>
          <w:p>
            <w:pPr>
              <w:ind w:left="40"/>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9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(37,086)</w:t>
            </w:r>
          </w:p>
        </w:tc>
        <w:tc>
          <w:tcPr>
            <w:tcW w:w="0" w:type="dxa"/>
            <w:vAlign w:val="bottom"/>
          </w:tcPr>
          <w:p>
            <w:pPr>
              <w:spacing w:after="0"/>
              <w:rPr>
                <w:sz w:val="1"/>
                <w:szCs w:val="1"/>
                <w:color w:val="auto"/>
              </w:rPr>
            </w:pPr>
          </w:p>
        </w:tc>
      </w:tr>
      <w:tr>
        <w:trPr>
          <w:trHeight w:val="168"/>
        </w:trPr>
        <w:tc>
          <w:tcPr>
            <w:tcW w:w="41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BALANCE - SEPTEMBER 30, 2003 (UNAUDITED):</w:t>
            </w:r>
          </w:p>
        </w:tc>
        <w:tc>
          <w:tcPr>
            <w:tcW w:w="102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vMerge w:val="continue"/>
          </w:tcPr>
          <w:p>
            <w:pPr>
              <w:spacing w:after="0"/>
              <w:rPr>
                <w:sz w:val="14"/>
                <w:szCs w:val="14"/>
                <w:color w:val="auto"/>
              </w:rPr>
            </w:pP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160" w:type="dxa"/>
            <w:vAlign w:val="bottom"/>
            <w:vMerge w:val="continue"/>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50,079,146</w:t>
            </w:r>
          </w:p>
        </w:tc>
        <w:tc>
          <w:tcPr>
            <w:tcW w:w="10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$ 12,479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415,645</w:t>
            </w: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w:t>
            </w: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(172,909)</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(9,072)</w:t>
            </w: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$ 246,117</w:t>
            </w:r>
          </w:p>
        </w:tc>
        <w:tc>
          <w:tcPr>
            <w:tcW w:w="0" w:type="dxa"/>
            <w:vAlign w:val="bottom"/>
          </w:tcPr>
          <w:p>
            <w:pPr>
              <w:spacing w:after="0"/>
              <w:rPr>
                <w:sz w:val="1"/>
                <w:szCs w:val="1"/>
                <w:color w:val="auto"/>
              </w:rPr>
            </w:pPr>
          </w:p>
        </w:tc>
      </w:tr>
      <w:tr>
        <w:trPr>
          <w:trHeight w:val="168"/>
        </w:trPr>
        <w:tc>
          <w:tcPr>
            <w:tcW w:w="41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BALANCE - JULY 1, 2002</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160" w:type="dxa"/>
            <w:vAlign w:val="bottom"/>
            <w:vMerge w:val="continue"/>
          </w:tcPr>
          <w:p>
            <w:pPr>
              <w:spacing w:after="0"/>
              <w:rPr>
                <w:sz w:val="21"/>
                <w:szCs w:val="21"/>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31,511,228</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8,537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338,753</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(99)</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(76,546)</w:t>
            </w: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 (9,072)</w:t>
            </w:r>
          </w:p>
        </w:tc>
        <w:tc>
          <w:tcPr>
            <w:tcW w:w="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$ 261,573</w:t>
            </w:r>
          </w:p>
        </w:tc>
        <w:tc>
          <w:tcPr>
            <w:tcW w:w="0" w:type="dxa"/>
            <w:vAlign w:val="bottom"/>
          </w:tcPr>
          <w:p>
            <w:pPr>
              <w:spacing w:after="0"/>
              <w:rPr>
                <w:sz w:val="1"/>
                <w:szCs w:val="1"/>
                <w:color w:val="auto"/>
              </w:rPr>
            </w:pP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w w:val="97"/>
              </w:rPr>
              <w:t>CHANGES DURING THREE MONTHS PERIOD (UNAUDITED):</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160" w:type="dxa"/>
            <w:vAlign w:val="bottom"/>
          </w:tcPr>
          <w:p>
            <w:pPr>
              <w:spacing w:after="0"/>
              <w:rPr>
                <w:sz w:val="20"/>
                <w:szCs w:val="20"/>
                <w:color w:val="auto"/>
              </w:rPr>
            </w:pPr>
            <w:r>
              <w:rPr>
                <w:rFonts w:ascii="Courier New" w:cs="Courier New" w:eastAsia="Courier New" w:hAnsi="Courier New"/>
                <w:sz w:val="15"/>
                <w:szCs w:val="15"/>
                <w:color w:val="auto"/>
              </w:rPr>
              <w:t>ISSUANCE OF SHARES, NET OF RELATED COSTS</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w:t>
            </w:r>
          </w:p>
        </w:tc>
        <w:tc>
          <w:tcPr>
            <w:tcW w:w="360" w:type="dxa"/>
            <w:vAlign w:val="bottom"/>
          </w:tcPr>
          <w:p>
            <w:pPr>
              <w:spacing w:after="0"/>
              <w:rPr>
                <w:sz w:val="22"/>
                <w:szCs w:val="22"/>
                <w:color w:val="auto"/>
              </w:rPr>
            </w:pPr>
          </w:p>
        </w:tc>
        <w:tc>
          <w:tcPr>
            <w:tcW w:w="8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25</w:t>
            </w: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 COMPENSATION</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(14,513)</w:t>
            </w:r>
          </w:p>
        </w:tc>
        <w:tc>
          <w:tcPr>
            <w:tcW w:w="96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vMerge w:val="restart"/>
          </w:tcPr>
          <w:p>
            <w:pPr>
              <w:ind w:left="40"/>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9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(14,513)</w:t>
            </w:r>
          </w:p>
        </w:tc>
        <w:tc>
          <w:tcPr>
            <w:tcW w:w="0" w:type="dxa"/>
            <w:vAlign w:val="bottom"/>
          </w:tcPr>
          <w:p>
            <w:pPr>
              <w:spacing w:after="0"/>
              <w:rPr>
                <w:sz w:val="1"/>
                <w:szCs w:val="1"/>
                <w:color w:val="auto"/>
              </w:rPr>
            </w:pPr>
          </w:p>
        </w:tc>
      </w:tr>
      <w:tr>
        <w:trPr>
          <w:trHeight w:val="168"/>
        </w:trPr>
        <w:tc>
          <w:tcPr>
            <w:tcW w:w="41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BALANCE - SEPTEMBER 30, 2002 (UNAUDITED):</w:t>
            </w:r>
          </w:p>
        </w:tc>
        <w:tc>
          <w:tcPr>
            <w:tcW w:w="102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vMerge w:val="continue"/>
          </w:tcPr>
          <w:p>
            <w:pPr>
              <w:spacing w:after="0"/>
              <w:rPr>
                <w:sz w:val="14"/>
                <w:szCs w:val="14"/>
                <w:color w:val="auto"/>
              </w:rPr>
            </w:pP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160" w:type="dxa"/>
            <w:vAlign w:val="bottom"/>
            <w:vMerge w:val="continue"/>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31,511,228</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8,537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338,777</w:t>
            </w: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w:t>
            </w: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(91,059)</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(9,072)</w:t>
            </w: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$ 247,109</w:t>
            </w:r>
          </w:p>
        </w:tc>
        <w:tc>
          <w:tcPr>
            <w:tcW w:w="0" w:type="dxa"/>
            <w:vAlign w:val="bottom"/>
          </w:tcPr>
          <w:p>
            <w:pPr>
              <w:spacing w:after="0"/>
              <w:rPr>
                <w:sz w:val="1"/>
                <w:szCs w:val="1"/>
                <w:color w:val="auto"/>
              </w:rPr>
            </w:pPr>
          </w:p>
        </w:tc>
      </w:tr>
      <w:tr>
        <w:trPr>
          <w:trHeight w:val="168"/>
        </w:trPr>
        <w:tc>
          <w:tcPr>
            <w:tcW w:w="41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BALANCE - JANUARY 1, 2002</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160" w:type="dxa"/>
            <w:vAlign w:val="bottom"/>
            <w:vMerge w:val="continue"/>
          </w:tcPr>
          <w:p>
            <w:pPr>
              <w:spacing w:after="0"/>
              <w:rPr>
                <w:sz w:val="21"/>
                <w:szCs w:val="21"/>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26,297,102</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7,448</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307,865</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(195)</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(53,241)</w:t>
            </w: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 (9,072)</w:t>
            </w:r>
          </w:p>
        </w:tc>
        <w:tc>
          <w:tcPr>
            <w:tcW w:w="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$ 252,805</w:t>
            </w:r>
          </w:p>
        </w:tc>
        <w:tc>
          <w:tcPr>
            <w:tcW w:w="0" w:type="dxa"/>
            <w:vAlign w:val="bottom"/>
          </w:tcPr>
          <w:p>
            <w:pPr>
              <w:spacing w:after="0"/>
              <w:rPr>
                <w:sz w:val="1"/>
                <w:szCs w:val="1"/>
                <w:color w:val="auto"/>
              </w:rPr>
            </w:pP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CHANGES DURING 2002:</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160" w:type="dxa"/>
            <w:vAlign w:val="bottom"/>
          </w:tcPr>
          <w:p>
            <w:pPr>
              <w:spacing w:after="0"/>
              <w:rPr>
                <w:sz w:val="20"/>
                <w:szCs w:val="20"/>
                <w:color w:val="auto"/>
              </w:rPr>
            </w:pPr>
            <w:r>
              <w:rPr>
                <w:rFonts w:ascii="Courier New" w:cs="Courier New" w:eastAsia="Courier New" w:hAnsi="Courier New"/>
                <w:sz w:val="15"/>
                <w:szCs w:val="15"/>
                <w:color w:val="auto"/>
              </w:rPr>
              <w:t>ISSUANCE OF SHARES, NET OF RELATED COSTS</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18,438,430</w:t>
            </w:r>
          </w:p>
        </w:tc>
        <w:tc>
          <w:tcPr>
            <w:tcW w:w="160" w:type="dxa"/>
            <w:vAlign w:val="bottom"/>
          </w:tcPr>
          <w:p>
            <w:pPr>
              <w:spacing w:after="0"/>
              <w:rPr>
                <w:sz w:val="22"/>
                <w:szCs w:val="22"/>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3,846</w:t>
            </w:r>
          </w:p>
        </w:tc>
        <w:tc>
          <w:tcPr>
            <w:tcW w:w="120" w:type="dxa"/>
            <w:vAlign w:val="bottom"/>
          </w:tcPr>
          <w:p>
            <w:pPr>
              <w:spacing w:after="0"/>
              <w:rPr>
                <w:sz w:val="22"/>
                <w:szCs w:val="22"/>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92,943</w:t>
            </w:r>
          </w:p>
        </w:tc>
        <w:tc>
          <w:tcPr>
            <w:tcW w:w="360" w:type="dxa"/>
            <w:vAlign w:val="bottom"/>
          </w:tcPr>
          <w:p>
            <w:pPr>
              <w:spacing w:after="0"/>
              <w:rPr>
                <w:sz w:val="22"/>
                <w:szCs w:val="22"/>
                <w:color w:val="auto"/>
              </w:rPr>
            </w:pPr>
          </w:p>
        </w:tc>
        <w:tc>
          <w:tcPr>
            <w:tcW w:w="8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142</w:t>
            </w: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96,789</w:t>
            </w: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 COMPENSATION</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(51,402)</w:t>
            </w:r>
          </w:p>
        </w:tc>
        <w:tc>
          <w:tcPr>
            <w:tcW w:w="96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w:t>
            </w: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YEAR</w:t>
            </w:r>
          </w:p>
        </w:tc>
        <w:tc>
          <w:tcPr>
            <w:tcW w:w="10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vMerge w:val="restart"/>
          </w:tcPr>
          <w:p>
            <w:pPr>
              <w:ind w:left="40"/>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vMerge w:val="restart"/>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9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(51,402)</w:t>
            </w:r>
          </w:p>
        </w:tc>
        <w:tc>
          <w:tcPr>
            <w:tcW w:w="0" w:type="dxa"/>
            <w:vAlign w:val="bottom"/>
          </w:tcPr>
          <w:p>
            <w:pPr>
              <w:spacing w:after="0"/>
              <w:rPr>
                <w:sz w:val="1"/>
                <w:szCs w:val="1"/>
                <w:color w:val="auto"/>
              </w:rPr>
            </w:pPr>
          </w:p>
        </w:tc>
      </w:tr>
      <w:tr>
        <w:trPr>
          <w:trHeight w:val="168"/>
        </w:trPr>
        <w:tc>
          <w:tcPr>
            <w:tcW w:w="41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BALANCE - DECEMBER 31, 2002 (UNAUDITED):</w:t>
            </w:r>
          </w:p>
        </w:tc>
        <w:tc>
          <w:tcPr>
            <w:tcW w:w="102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vMerge w:val="continue"/>
          </w:tcPr>
          <w:p>
            <w:pPr>
              <w:spacing w:after="0"/>
              <w:rPr>
                <w:sz w:val="14"/>
                <w:szCs w:val="14"/>
                <w:color w:val="auto"/>
              </w:rPr>
            </w:pP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160" w:type="dxa"/>
            <w:vAlign w:val="bottom"/>
            <w:vMerge w:val="continue"/>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44,735,532</w:t>
            </w:r>
          </w:p>
        </w:tc>
        <w:tc>
          <w:tcPr>
            <w:tcW w:w="10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$ 11,294</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400,808</w:t>
            </w: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w:t>
            </w: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(104,643)</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(9,072)</w:t>
            </w: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$ 298,334</w:t>
            </w: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1"/>
                <w:szCs w:val="21"/>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40"/>
          </w:cols>
          <w:pgMar w:left="220" w:top="598" w:right="139" w:bottom="1440" w:gutter="0" w:footer="0" w:header="0"/>
        </w:sectPr>
      </w:pPr>
    </w:p>
    <w:bookmarkStart w:id="9" w:name="page10"/>
    <w:bookmarkEnd w:id="9"/>
    <w:p>
      <w:pPr>
        <w:jc w:val="center"/>
        <w:ind w:right="444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3"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CONDENSED CONSOLIDATED STATEMENTS OF CASH FLOWS</w:t>
      </w:r>
    </w:p>
    <w:tbl>
      <w:tblPr>
        <w:tblLayout w:type="fixed"/>
        <w:tblInd w:w="0" w:type="dxa"/>
        <w:tblCellMar>
          <w:top w:w="0" w:type="dxa"/>
          <w:left w:w="0" w:type="dxa"/>
          <w:bottom w:w="0" w:type="dxa"/>
          <w:right w:w="0" w:type="dxa"/>
        </w:tblCellMar>
      </w:tblPr>
      <w:tr>
        <w:trPr>
          <w:trHeight w:val="245"/>
        </w:trPr>
        <w:tc>
          <w:tcPr>
            <w:tcW w:w="6700" w:type="dxa"/>
            <w:vAlign w:val="bottom"/>
            <w:gridSpan w:val="3"/>
          </w:tcPr>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0"/>
        </w:trPr>
        <w:tc>
          <w:tcPr>
            <w:tcW w:w="5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gridSpan w:val="3"/>
          </w:tcPr>
          <w:p>
            <w:pPr>
              <w:jc w:val="right"/>
              <w:ind w:right="347"/>
              <w:spacing w:after="0"/>
              <w:rPr>
                <w:sz w:val="20"/>
                <w:szCs w:val="20"/>
                <w:color w:val="auto"/>
              </w:rPr>
            </w:pPr>
            <w:r>
              <w:rPr>
                <w:rFonts w:ascii="Courier New" w:cs="Courier New" w:eastAsia="Courier New" w:hAnsi="Courier New"/>
                <w:sz w:val="15"/>
                <w:szCs w:val="15"/>
                <w:color w:val="auto"/>
              </w:rPr>
              <w:t>NINE MONTHS ENDED</w:t>
            </w:r>
          </w:p>
        </w:tc>
        <w:tc>
          <w:tcPr>
            <w:tcW w:w="280" w:type="dxa"/>
            <w:vAlign w:val="bottom"/>
          </w:tcPr>
          <w:p>
            <w:pPr>
              <w:spacing w:after="0"/>
              <w:rPr>
                <w:sz w:val="24"/>
                <w:szCs w:val="24"/>
                <w:color w:val="auto"/>
              </w:rPr>
            </w:pPr>
          </w:p>
        </w:tc>
        <w:tc>
          <w:tcPr>
            <w:tcW w:w="218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THREE MONTHS ENDED</w:t>
            </w:r>
          </w:p>
        </w:tc>
        <w:tc>
          <w:tcPr>
            <w:tcW w:w="1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YEAR ENDED</w:t>
            </w:r>
          </w:p>
        </w:tc>
        <w:tc>
          <w:tcPr>
            <w:tcW w:w="0" w:type="dxa"/>
            <w:vAlign w:val="bottom"/>
          </w:tcPr>
          <w:p>
            <w:pPr>
              <w:spacing w:after="0"/>
              <w:rPr>
                <w:sz w:val="1"/>
                <w:szCs w:val="1"/>
                <w:color w:val="auto"/>
              </w:rPr>
            </w:pPr>
          </w:p>
        </w:tc>
      </w:tr>
      <w:tr>
        <w:trPr>
          <w:trHeight w:val="168"/>
        </w:trPr>
        <w:tc>
          <w:tcPr>
            <w:tcW w:w="5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8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SEPTEMBER 30,</w:t>
            </w:r>
          </w:p>
        </w:tc>
        <w:tc>
          <w:tcPr>
            <w:tcW w:w="280" w:type="dxa"/>
            <w:vAlign w:val="bottom"/>
          </w:tcPr>
          <w:p>
            <w:pPr>
              <w:spacing w:after="0"/>
              <w:rPr>
                <w:sz w:val="14"/>
                <w:szCs w:val="14"/>
                <w:color w:val="auto"/>
              </w:rPr>
            </w:pPr>
          </w:p>
        </w:tc>
        <w:tc>
          <w:tcPr>
            <w:tcW w:w="218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rPr>
              <w:t>SEPTEMBER 30,</w:t>
            </w:r>
          </w:p>
        </w:tc>
        <w:tc>
          <w:tcPr>
            <w:tcW w:w="11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4"/>
              </w:rPr>
              <w:t>DECEMBER 31,</w:t>
            </w:r>
          </w:p>
        </w:tc>
        <w:tc>
          <w:tcPr>
            <w:tcW w:w="0" w:type="dxa"/>
            <w:vAlign w:val="bottom"/>
          </w:tcPr>
          <w:p>
            <w:pPr>
              <w:spacing w:after="0"/>
              <w:rPr>
                <w:sz w:val="1"/>
                <w:szCs w:val="1"/>
                <w:color w:val="auto"/>
              </w:rPr>
            </w:pPr>
          </w:p>
        </w:tc>
      </w:tr>
      <w:tr>
        <w:trPr>
          <w:trHeight w:val="168"/>
        </w:trPr>
        <w:tc>
          <w:tcPr>
            <w:tcW w:w="5480" w:type="dxa"/>
            <w:vAlign w:val="bottom"/>
          </w:tcPr>
          <w:p>
            <w:pPr>
              <w:spacing w:after="0"/>
              <w:rPr>
                <w:sz w:val="14"/>
                <w:szCs w:val="14"/>
                <w:color w:val="auto"/>
              </w:rPr>
            </w:pPr>
          </w:p>
        </w:tc>
        <w:tc>
          <w:tcPr>
            <w:tcW w:w="248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46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9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2002</w:t>
            </w:r>
          </w:p>
        </w:tc>
        <w:tc>
          <w:tcPr>
            <w:tcW w:w="28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2003</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4"/>
                <w:szCs w:val="14"/>
                <w:color w:val="auto"/>
              </w:rPr>
            </w:pPr>
          </w:p>
        </w:tc>
        <w:tc>
          <w:tcPr>
            <w:tcW w:w="8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2002</w:t>
            </w:r>
          </w:p>
        </w:tc>
        <w:tc>
          <w:tcPr>
            <w:tcW w:w="0" w:type="dxa"/>
            <w:vAlign w:val="bottom"/>
          </w:tcPr>
          <w:p>
            <w:pPr>
              <w:spacing w:after="0"/>
              <w:rPr>
                <w:sz w:val="1"/>
                <w:szCs w:val="1"/>
                <w:color w:val="auto"/>
              </w:rPr>
            </w:pPr>
          </w:p>
        </w:tc>
      </w:tr>
      <w:tr>
        <w:trPr>
          <w:trHeight w:val="168"/>
        </w:trPr>
        <w:tc>
          <w:tcPr>
            <w:tcW w:w="5480" w:type="dxa"/>
            <w:vAlign w:val="bottom"/>
          </w:tcPr>
          <w:p>
            <w:pPr>
              <w:spacing w:after="0"/>
              <w:rPr>
                <w:sz w:val="14"/>
                <w:szCs w:val="14"/>
                <w:color w:val="auto"/>
              </w:rPr>
            </w:pPr>
          </w:p>
        </w:tc>
        <w:tc>
          <w:tcPr>
            <w:tcW w:w="606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   ------------   ----------   -----------</w:t>
            </w:r>
          </w:p>
        </w:tc>
        <w:tc>
          <w:tcPr>
            <w:tcW w:w="0" w:type="dxa"/>
            <w:vAlign w:val="bottom"/>
          </w:tcPr>
          <w:p>
            <w:pPr>
              <w:spacing w:after="0"/>
              <w:rPr>
                <w:sz w:val="1"/>
                <w:szCs w:val="1"/>
                <w:color w:val="auto"/>
              </w:rPr>
            </w:pPr>
          </w:p>
        </w:tc>
      </w:tr>
      <w:tr>
        <w:trPr>
          <w:trHeight w:val="168"/>
        </w:trPr>
        <w:tc>
          <w:tcPr>
            <w:tcW w:w="5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8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(UNAUDITED)</w:t>
            </w:r>
          </w:p>
        </w:tc>
        <w:tc>
          <w:tcPr>
            <w:tcW w:w="280" w:type="dxa"/>
            <w:vAlign w:val="bottom"/>
          </w:tcPr>
          <w:p>
            <w:pPr>
              <w:spacing w:after="0"/>
              <w:rPr>
                <w:sz w:val="14"/>
                <w:szCs w:val="14"/>
                <w:color w:val="auto"/>
              </w:rPr>
            </w:pPr>
          </w:p>
        </w:tc>
        <w:tc>
          <w:tcPr>
            <w:tcW w:w="218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480" w:type="dxa"/>
            <w:vAlign w:val="bottom"/>
          </w:tcPr>
          <w:p>
            <w:pPr>
              <w:spacing w:after="0"/>
              <w:rPr>
                <w:sz w:val="21"/>
                <w:szCs w:val="21"/>
                <w:color w:val="auto"/>
              </w:rPr>
            </w:pPr>
          </w:p>
        </w:tc>
        <w:tc>
          <w:tcPr>
            <w:tcW w:w="248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w:t>
            </w:r>
          </w:p>
        </w:tc>
        <w:tc>
          <w:tcPr>
            <w:tcW w:w="24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5480" w:type="dxa"/>
            <w:vAlign w:val="bottom"/>
          </w:tcPr>
          <w:p>
            <w:pPr>
              <w:spacing w:after="0"/>
              <w:rPr>
                <w:sz w:val="20"/>
                <w:szCs w:val="20"/>
                <w:color w:val="auto"/>
              </w:rPr>
            </w:pPr>
            <w:r>
              <w:rPr>
                <w:rFonts w:ascii="Courier New" w:cs="Courier New" w:eastAsia="Courier New" w:hAnsi="Courier New"/>
                <w:sz w:val="15"/>
                <w:szCs w:val="15"/>
                <w:color w:val="auto"/>
              </w:rPr>
              <w:t>CASH FLOWS - OPERATING ACTIVITIES</w:t>
            </w:r>
          </w:p>
        </w:tc>
        <w:tc>
          <w:tcPr>
            <w:tcW w:w="122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 (68,266)</w:t>
            </w:r>
          </w:p>
        </w:tc>
        <w:tc>
          <w:tcPr>
            <w:tcW w:w="3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4"/>
              </w:rPr>
              <w:t>(37,818)</w:t>
            </w:r>
          </w:p>
        </w:tc>
        <w:tc>
          <w:tcPr>
            <w:tcW w:w="2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(37,086)</w:t>
            </w:r>
          </w:p>
        </w:tc>
        <w:tc>
          <w:tcPr>
            <w:tcW w:w="118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w w:val="99"/>
              </w:rPr>
              <w:t>$ (14,513)</w:t>
            </w:r>
          </w:p>
        </w:tc>
        <w:tc>
          <w:tcPr>
            <w:tcW w:w="2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(51,402)</w:t>
            </w:r>
          </w:p>
        </w:tc>
        <w:tc>
          <w:tcPr>
            <w:tcW w:w="0" w:type="dxa"/>
            <w:vAlign w:val="bottom"/>
          </w:tcPr>
          <w:p>
            <w:pPr>
              <w:spacing w:after="0"/>
              <w:rPr>
                <w:sz w:val="1"/>
                <w:szCs w:val="1"/>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22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LOSS FOR THE PERIOD</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 NET CASH PROVIDED BY (USED IN) OPERATING ACTIVITIES: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INCOME AND EXPENSE ITEMS NOT INVOLVING CASH FLOWS:</w:t>
            </w:r>
          </w:p>
        </w:tc>
        <w:tc>
          <w:tcPr>
            <w:tcW w:w="300" w:type="dxa"/>
            <w:vAlign w:val="bottom"/>
          </w:tcPr>
          <w:p>
            <w:pPr>
              <w:spacing w:after="0"/>
              <w:rPr>
                <w:sz w:val="14"/>
                <w:szCs w:val="14"/>
                <w:color w:val="auto"/>
              </w:rPr>
            </w:pP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30,386</w:t>
            </w:r>
          </w:p>
        </w:tc>
        <w:tc>
          <w:tcPr>
            <w:tcW w:w="300" w:type="dxa"/>
            <w:vAlign w:val="bottom"/>
          </w:tcPr>
          <w:p>
            <w:pPr>
              <w:spacing w:after="0"/>
              <w:rPr>
                <w:sz w:val="14"/>
                <w:szCs w:val="14"/>
                <w:color w:val="auto"/>
              </w:rPr>
            </w:pP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14,402</w:t>
            </w:r>
          </w:p>
        </w:tc>
        <w:tc>
          <w:tcPr>
            <w:tcW w:w="280" w:type="dxa"/>
            <w:vAlign w:val="bottom"/>
          </w:tcPr>
          <w:p>
            <w:pPr>
              <w:spacing w:after="0"/>
              <w:rPr>
                <w:sz w:val="14"/>
                <w:szCs w:val="14"/>
                <w:color w:val="auto"/>
              </w:rPr>
            </w:pPr>
          </w:p>
        </w:tc>
        <w:tc>
          <w:tcPr>
            <w:tcW w:w="10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21,508</w:t>
            </w:r>
          </w:p>
        </w:tc>
        <w:tc>
          <w:tcPr>
            <w:tcW w:w="220" w:type="dxa"/>
            <w:vAlign w:val="bottom"/>
          </w:tcPr>
          <w:p>
            <w:pPr>
              <w:spacing w:after="0"/>
              <w:rPr>
                <w:sz w:val="14"/>
                <w:szCs w:val="14"/>
                <w:color w:val="auto"/>
              </w:rPr>
            </w:pPr>
          </w:p>
        </w:tc>
        <w:tc>
          <w:tcPr>
            <w:tcW w:w="9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4,542</w:t>
            </w:r>
          </w:p>
        </w:tc>
        <w:tc>
          <w:tcPr>
            <w:tcW w:w="260" w:type="dxa"/>
            <w:vAlign w:val="bottom"/>
          </w:tcPr>
          <w:p>
            <w:pPr>
              <w:spacing w:after="0"/>
              <w:rPr>
                <w:sz w:val="14"/>
                <w:szCs w:val="14"/>
                <w:color w:val="auto"/>
              </w:rPr>
            </w:pPr>
          </w:p>
        </w:tc>
        <w:tc>
          <w:tcPr>
            <w:tcW w:w="8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18,821</w:t>
            </w:r>
          </w:p>
        </w:tc>
        <w:tc>
          <w:tcPr>
            <w:tcW w:w="0" w:type="dxa"/>
            <w:vAlign w:val="bottom"/>
          </w:tcPr>
          <w:p>
            <w:pPr>
              <w:spacing w:after="0"/>
              <w:rPr>
                <w:sz w:val="1"/>
                <w:szCs w:val="1"/>
                <w:color w:val="auto"/>
              </w:rPr>
            </w:pPr>
          </w:p>
        </w:tc>
      </w:tr>
      <w:tr>
        <w:trPr>
          <w:trHeight w:val="168"/>
        </w:trPr>
        <w:tc>
          <w:tcPr>
            <w:tcW w:w="54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DEVALUATION OF CONVERTIBLE DEBENTURE</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(1,055)</w:t>
            </w:r>
          </w:p>
        </w:tc>
        <w:tc>
          <w:tcPr>
            <w:tcW w:w="3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(1,055)</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4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 EXPENSE (INCOME), NET</w:t>
            </w: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87</w:t>
            </w:r>
          </w:p>
        </w:tc>
        <w:tc>
          <w:tcPr>
            <w:tcW w:w="3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153</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w:t>
            </w:r>
          </w:p>
        </w:tc>
        <w:tc>
          <w:tcPr>
            <w:tcW w:w="0" w:type="dxa"/>
            <w:vAlign w:val="bottom"/>
          </w:tcPr>
          <w:p>
            <w:pPr>
              <w:spacing w:after="0"/>
              <w:rPr>
                <w:sz w:val="1"/>
                <w:szCs w:val="1"/>
                <w:color w:val="auto"/>
              </w:rPr>
            </w:pPr>
          </w:p>
        </w:tc>
      </w:tr>
      <w:tr>
        <w:trPr>
          <w:trHeight w:val="168"/>
        </w:trPr>
        <w:tc>
          <w:tcPr>
            <w:tcW w:w="54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300" w:type="dxa"/>
            <w:vAlign w:val="bottom"/>
          </w:tcPr>
          <w:p>
            <w:pPr>
              <w:spacing w:after="0"/>
              <w:rPr>
                <w:sz w:val="14"/>
                <w:szCs w:val="1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(1,846)</w:t>
            </w:r>
          </w:p>
        </w:tc>
        <w:tc>
          <w:tcPr>
            <w:tcW w:w="30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(1,761)</w:t>
            </w:r>
          </w:p>
        </w:tc>
        <w:tc>
          <w:tcPr>
            <w:tcW w:w="280" w:type="dxa"/>
            <w:vAlign w:val="bottom"/>
          </w:tcPr>
          <w:p>
            <w:pPr>
              <w:spacing w:after="0"/>
              <w:rPr>
                <w:sz w:val="14"/>
                <w:szCs w:val="14"/>
                <w:color w:val="auto"/>
              </w:rPr>
            </w:pP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(3,861)</w:t>
            </w:r>
          </w:p>
        </w:tc>
        <w:tc>
          <w:tcPr>
            <w:tcW w:w="220" w:type="dxa"/>
            <w:vAlign w:val="bottom"/>
          </w:tcPr>
          <w:p>
            <w:pPr>
              <w:spacing w:after="0"/>
              <w:rPr>
                <w:sz w:val="14"/>
                <w:szCs w:val="14"/>
                <w:color w:val="auto"/>
              </w:rPr>
            </w:pPr>
          </w:p>
        </w:tc>
        <w:tc>
          <w:tcPr>
            <w:tcW w:w="9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231</w:t>
            </w:r>
          </w:p>
        </w:tc>
        <w:tc>
          <w:tcPr>
            <w:tcW w:w="260" w:type="dxa"/>
            <w:vAlign w:val="bottom"/>
          </w:tcPr>
          <w:p>
            <w:pPr>
              <w:spacing w:after="0"/>
              <w:rPr>
                <w:sz w:val="14"/>
                <w:szCs w:val="14"/>
                <w:color w:val="auto"/>
              </w:rPr>
            </w:pPr>
          </w:p>
        </w:tc>
        <w:tc>
          <w:tcPr>
            <w:tcW w:w="8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(4,135)</w:t>
            </w:r>
          </w:p>
        </w:tc>
        <w:tc>
          <w:tcPr>
            <w:tcW w:w="0" w:type="dxa"/>
            <w:vAlign w:val="bottom"/>
          </w:tcPr>
          <w:p>
            <w:pPr>
              <w:spacing w:after="0"/>
              <w:rPr>
                <w:sz w:val="1"/>
                <w:szCs w:val="1"/>
                <w:color w:val="auto"/>
              </w:rPr>
            </w:pPr>
          </w:p>
        </w:tc>
      </w:tr>
      <w:tr>
        <w:trPr>
          <w:trHeight w:val="168"/>
        </w:trPr>
        <w:tc>
          <w:tcPr>
            <w:tcW w:w="54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DECREASE (INCREASE) IN TRADE ACCOUNTS RECEIVABLE</w:t>
            </w: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DECREASE (INCREASE) IN OTHER RECEIVABLES AND OTHER</w:t>
            </w:r>
          </w:p>
        </w:tc>
        <w:tc>
          <w:tcPr>
            <w:tcW w:w="300" w:type="dxa"/>
            <w:vAlign w:val="bottom"/>
          </w:tcPr>
          <w:p>
            <w:pPr>
              <w:spacing w:after="0"/>
              <w:rPr>
                <w:sz w:val="14"/>
                <w:szCs w:val="14"/>
                <w:color w:val="auto"/>
              </w:rPr>
            </w:pP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782</w:t>
            </w:r>
          </w:p>
        </w:tc>
        <w:tc>
          <w:tcPr>
            <w:tcW w:w="30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(1,852)</w:t>
            </w:r>
          </w:p>
        </w:tc>
        <w:tc>
          <w:tcPr>
            <w:tcW w:w="280" w:type="dxa"/>
            <w:vAlign w:val="bottom"/>
          </w:tcPr>
          <w:p>
            <w:pPr>
              <w:spacing w:after="0"/>
              <w:rPr>
                <w:sz w:val="14"/>
                <w:szCs w:val="14"/>
                <w:color w:val="auto"/>
              </w:rPr>
            </w:pPr>
          </w:p>
        </w:tc>
        <w:tc>
          <w:tcPr>
            <w:tcW w:w="10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1,431</w:t>
            </w:r>
          </w:p>
        </w:tc>
        <w:tc>
          <w:tcPr>
            <w:tcW w:w="22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(475)</w:t>
            </w:r>
          </w:p>
        </w:tc>
        <w:tc>
          <w:tcPr>
            <w:tcW w:w="260" w:type="dxa"/>
            <w:vAlign w:val="bottom"/>
          </w:tcPr>
          <w:p>
            <w:pPr>
              <w:spacing w:after="0"/>
              <w:rPr>
                <w:sz w:val="14"/>
                <w:szCs w:val="14"/>
                <w:color w:val="auto"/>
              </w:rPr>
            </w:pPr>
          </w:p>
        </w:tc>
        <w:tc>
          <w:tcPr>
            <w:tcW w:w="8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(1,305)</w:t>
            </w:r>
          </w:p>
        </w:tc>
        <w:tc>
          <w:tcPr>
            <w:tcW w:w="0" w:type="dxa"/>
            <w:vAlign w:val="bottom"/>
          </w:tcPr>
          <w:p>
            <w:pPr>
              <w:spacing w:after="0"/>
              <w:rPr>
                <w:sz w:val="1"/>
                <w:szCs w:val="1"/>
                <w:color w:val="auto"/>
              </w:rPr>
            </w:pPr>
          </w:p>
        </w:tc>
      </w:tr>
      <w:tr>
        <w:trPr>
          <w:trHeight w:val="168"/>
        </w:trPr>
        <w:tc>
          <w:tcPr>
            <w:tcW w:w="54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CURRENT ASSETS</w:t>
            </w: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IN INVENTORIES</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(3,897)</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w:t>
            </w:r>
          </w:p>
        </w:tc>
        <w:tc>
          <w:tcPr>
            <w:tcW w:w="2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(3,783)</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(609)</w:t>
            </w:r>
          </w:p>
        </w:tc>
        <w:tc>
          <w:tcPr>
            <w:tcW w:w="0" w:type="dxa"/>
            <w:vAlign w:val="bottom"/>
          </w:tcPr>
          <w:p>
            <w:pPr>
              <w:spacing w:after="0"/>
              <w:rPr>
                <w:sz w:val="1"/>
                <w:szCs w:val="1"/>
                <w:color w:val="auto"/>
              </w:rPr>
            </w:pPr>
          </w:p>
        </w:tc>
      </w:tr>
      <w:tr>
        <w:trPr>
          <w:trHeight w:val="168"/>
        </w:trPr>
        <w:tc>
          <w:tcPr>
            <w:tcW w:w="54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IN TRADE ACCOUNTS PAYABLE</w:t>
            </w: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4,765</w:t>
            </w:r>
          </w:p>
        </w:tc>
        <w:tc>
          <w:tcPr>
            <w:tcW w:w="3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4,453</w:t>
            </w:r>
          </w:p>
        </w:tc>
        <w:tc>
          <w:tcPr>
            <w:tcW w:w="2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901</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3,321</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4,686</w:t>
            </w:r>
          </w:p>
        </w:tc>
        <w:tc>
          <w:tcPr>
            <w:tcW w:w="0" w:type="dxa"/>
            <w:vAlign w:val="bottom"/>
          </w:tcPr>
          <w:p>
            <w:pPr>
              <w:spacing w:after="0"/>
              <w:rPr>
                <w:sz w:val="1"/>
                <w:szCs w:val="1"/>
                <w:color w:val="auto"/>
              </w:rPr>
            </w:pPr>
          </w:p>
        </w:tc>
      </w:tr>
      <w:tr>
        <w:trPr>
          <w:trHeight w:val="168"/>
        </w:trPr>
        <w:tc>
          <w:tcPr>
            <w:tcW w:w="54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IN OTHER CURRENT LIABILITIES</w:t>
            </w: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1,285</w:t>
            </w:r>
          </w:p>
        </w:tc>
        <w:tc>
          <w:tcPr>
            <w:tcW w:w="3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3,520</w:t>
            </w:r>
          </w:p>
        </w:tc>
        <w:tc>
          <w:tcPr>
            <w:tcW w:w="2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3,128</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2,764</w:t>
            </w:r>
          </w:p>
        </w:tc>
        <w:tc>
          <w:tcPr>
            <w:tcW w:w="0" w:type="dxa"/>
            <w:vAlign w:val="bottom"/>
          </w:tcPr>
          <w:p>
            <w:pPr>
              <w:spacing w:after="0"/>
              <w:rPr>
                <w:sz w:val="1"/>
                <w:szCs w:val="1"/>
                <w:color w:val="auto"/>
              </w:rPr>
            </w:pPr>
          </w:p>
        </w:tc>
      </w:tr>
      <w:tr>
        <w:trPr>
          <w:trHeight w:val="168"/>
        </w:trPr>
        <w:tc>
          <w:tcPr>
            <w:tcW w:w="54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INCREASE (DECREASE) IN OTHER LONG-TERM LIABILITIES</w:t>
            </w: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463</w:t>
            </w:r>
          </w:p>
        </w:tc>
        <w:tc>
          <w:tcPr>
            <w:tcW w:w="3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2,748</w:t>
            </w:r>
          </w:p>
        </w:tc>
        <w:tc>
          <w:tcPr>
            <w:tcW w:w="2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1,693</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2,822</w:t>
            </w:r>
          </w:p>
        </w:tc>
        <w:tc>
          <w:tcPr>
            <w:tcW w:w="0" w:type="dxa"/>
            <w:vAlign w:val="bottom"/>
          </w:tcPr>
          <w:p>
            <w:pPr>
              <w:spacing w:after="0"/>
              <w:rPr>
                <w:sz w:val="1"/>
                <w:szCs w:val="1"/>
                <w:color w:val="auto"/>
              </w:rPr>
            </w:pPr>
          </w:p>
        </w:tc>
      </w:tr>
      <w:tr>
        <w:trPr>
          <w:trHeight w:val="168"/>
        </w:trPr>
        <w:tc>
          <w:tcPr>
            <w:tcW w:w="5480" w:type="dxa"/>
            <w:vAlign w:val="bottom"/>
          </w:tcPr>
          <w:p>
            <w:pPr>
              <w:spacing w:after="0"/>
              <w:rPr>
                <w:sz w:val="14"/>
                <w:szCs w:val="14"/>
                <w:color w:val="auto"/>
              </w:rPr>
            </w:pPr>
          </w:p>
        </w:tc>
        <w:tc>
          <w:tcPr>
            <w:tcW w:w="606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   ------------  -----------   -----------</w:t>
            </w:r>
          </w:p>
        </w:tc>
        <w:tc>
          <w:tcPr>
            <w:tcW w:w="0" w:type="dxa"/>
            <w:vAlign w:val="bottom"/>
          </w:tcPr>
          <w:p>
            <w:pPr>
              <w:spacing w:after="0"/>
              <w:rPr>
                <w:sz w:val="1"/>
                <w:szCs w:val="1"/>
                <w:color w:val="auto"/>
              </w:rPr>
            </w:pPr>
          </w:p>
        </w:tc>
      </w:tr>
      <w:tr>
        <w:trPr>
          <w:trHeight w:val="245"/>
        </w:trPr>
        <w:tc>
          <w:tcPr>
            <w:tcW w:w="5480" w:type="dxa"/>
            <w:vAlign w:val="bottom"/>
            <w:vMerge w:val="restart"/>
          </w:tcPr>
          <w:p>
            <w:pPr>
              <w:ind w:left="700"/>
              <w:spacing w:after="0"/>
              <w:rPr>
                <w:sz w:val="20"/>
                <w:szCs w:val="20"/>
                <w:color w:val="auto"/>
              </w:rPr>
            </w:pPr>
            <w:r>
              <w:rPr>
                <w:rFonts w:ascii="Courier New" w:cs="Courier New" w:eastAsia="Courier New" w:hAnsi="Courier New"/>
                <w:sz w:val="15"/>
                <w:szCs w:val="15"/>
                <w:color w:val="auto"/>
              </w:rPr>
              <w:t>INCREASE (DECREASE)  IN LONG-TERM LIABILITY</w:t>
            </w:r>
          </w:p>
        </w:tc>
        <w:tc>
          <w:tcPr>
            <w:tcW w:w="300" w:type="dxa"/>
            <w:vAlign w:val="bottom"/>
          </w:tcPr>
          <w:p>
            <w:pPr>
              <w:spacing w:after="0"/>
              <w:rPr>
                <w:sz w:val="21"/>
                <w:szCs w:val="21"/>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(37,296)</w:t>
            </w:r>
          </w:p>
        </w:tc>
        <w:tc>
          <w:tcPr>
            <w:tcW w:w="300" w:type="dxa"/>
            <w:vAlign w:val="bottom"/>
          </w:tcPr>
          <w:p>
            <w:pPr>
              <w:spacing w:after="0"/>
              <w:rPr>
                <w:sz w:val="21"/>
                <w:szCs w:val="21"/>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(16,400)</w:t>
            </w:r>
          </w:p>
        </w:tc>
        <w:tc>
          <w:tcPr>
            <w:tcW w:w="280" w:type="dxa"/>
            <w:vAlign w:val="bottom"/>
          </w:tcPr>
          <w:p>
            <w:pPr>
              <w:spacing w:after="0"/>
              <w:rPr>
                <w:sz w:val="21"/>
                <w:szCs w:val="21"/>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(21,874)</w:t>
            </w:r>
          </w:p>
        </w:tc>
        <w:tc>
          <w:tcPr>
            <w:tcW w:w="220" w:type="dxa"/>
            <w:vAlign w:val="bottom"/>
          </w:tcPr>
          <w:p>
            <w:pPr>
              <w:spacing w:after="0"/>
              <w:rPr>
                <w:sz w:val="21"/>
                <w:szCs w:val="21"/>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(2,088)</w:t>
            </w:r>
          </w:p>
        </w:tc>
        <w:tc>
          <w:tcPr>
            <w:tcW w:w="260" w:type="dxa"/>
            <w:vAlign w:val="bottom"/>
          </w:tcPr>
          <w:p>
            <w:pPr>
              <w:spacing w:after="0"/>
              <w:rPr>
                <w:sz w:val="21"/>
                <w:szCs w:val="21"/>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(28,403)</w:t>
            </w:r>
          </w:p>
        </w:tc>
        <w:tc>
          <w:tcPr>
            <w:tcW w:w="0" w:type="dxa"/>
            <w:vAlign w:val="bottom"/>
          </w:tcPr>
          <w:p>
            <w:pPr>
              <w:spacing w:after="0"/>
              <w:rPr>
                <w:sz w:val="1"/>
                <w:szCs w:val="1"/>
                <w:color w:val="auto"/>
              </w:rPr>
            </w:pPr>
          </w:p>
        </w:tc>
      </w:tr>
      <w:tr>
        <w:trPr>
          <w:trHeight w:val="91"/>
        </w:trPr>
        <w:tc>
          <w:tcPr>
            <w:tcW w:w="54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(326)</w:t>
            </w:r>
          </w:p>
        </w:tc>
        <w:tc>
          <w:tcPr>
            <w:tcW w:w="300" w:type="dxa"/>
            <w:vAlign w:val="bottom"/>
          </w:tcPr>
          <w:p>
            <w:pPr>
              <w:spacing w:after="0"/>
              <w:rPr>
                <w:sz w:val="7"/>
                <w:szCs w:val="7"/>
                <w:color w:val="auto"/>
              </w:rPr>
            </w:pP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14,668</w:t>
            </w:r>
          </w:p>
        </w:tc>
        <w:tc>
          <w:tcPr>
            <w:tcW w:w="280" w:type="dxa"/>
            <w:vAlign w:val="bottom"/>
          </w:tcPr>
          <w:p>
            <w:pPr>
              <w:spacing w:after="0"/>
              <w:rPr>
                <w:sz w:val="7"/>
                <w:szCs w:val="7"/>
                <w:color w:val="auto"/>
              </w:rPr>
            </w:pPr>
          </w:p>
        </w:tc>
        <w:tc>
          <w:tcPr>
            <w:tcW w:w="100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(326)</w:t>
            </w:r>
          </w:p>
        </w:tc>
        <w:tc>
          <w:tcPr>
            <w:tcW w:w="220" w:type="dxa"/>
            <w:vAlign w:val="bottom"/>
          </w:tcPr>
          <w:p>
            <w:pPr>
              <w:spacing w:after="0"/>
              <w:rPr>
                <w:sz w:val="7"/>
                <w:szCs w:val="7"/>
                <w:color w:val="auto"/>
              </w:rPr>
            </w:pPr>
          </w:p>
        </w:tc>
        <w:tc>
          <w:tcPr>
            <w:tcW w:w="9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7"/>
                <w:szCs w:val="7"/>
                <w:color w:val="auto"/>
              </w:rPr>
            </w:pPr>
          </w:p>
        </w:tc>
        <w:tc>
          <w:tcPr>
            <w:tcW w:w="8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29,336</w:t>
            </w:r>
          </w:p>
        </w:tc>
        <w:tc>
          <w:tcPr>
            <w:tcW w:w="0" w:type="dxa"/>
            <w:vAlign w:val="bottom"/>
          </w:tcPr>
          <w:p>
            <w:pPr>
              <w:spacing w:after="0"/>
              <w:rPr>
                <w:sz w:val="1"/>
                <w:szCs w:val="1"/>
                <w:color w:val="auto"/>
              </w:rPr>
            </w:pPr>
          </w:p>
        </w:tc>
      </w:tr>
      <w:tr>
        <w:trPr>
          <w:trHeight w:val="168"/>
        </w:trPr>
        <w:tc>
          <w:tcPr>
            <w:tcW w:w="54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IN RESPECT OF CUSTOMERS' ADVANCES</w:t>
            </w: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vMerge w:val="restart"/>
          </w:tcPr>
          <w:p>
            <w:pPr>
              <w:ind w:left="880"/>
              <w:spacing w:after="0"/>
              <w:rPr>
                <w:sz w:val="20"/>
                <w:szCs w:val="20"/>
                <w:color w:val="auto"/>
              </w:rPr>
            </w:pPr>
            <w:r>
              <w:rPr>
                <w:rFonts w:ascii="Courier New" w:cs="Courier New" w:eastAsia="Courier New" w:hAnsi="Courier New"/>
                <w:sz w:val="15"/>
                <w:szCs w:val="15"/>
                <w:color w:val="auto"/>
                <w:w w:val="99"/>
              </w:rPr>
              <w:t>NET CASH PROVIDED BY (USED IN) OPERATING ACTIVITIES</w:t>
            </w:r>
          </w:p>
        </w:tc>
        <w:tc>
          <w:tcPr>
            <w:tcW w:w="12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4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(37,622)</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(1,732)</w:t>
            </w:r>
          </w:p>
        </w:tc>
        <w:tc>
          <w:tcPr>
            <w:tcW w:w="2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(22,200)</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(2,088)</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933</w:t>
            </w:r>
          </w:p>
        </w:tc>
        <w:tc>
          <w:tcPr>
            <w:tcW w:w="0" w:type="dxa"/>
            <w:vAlign w:val="bottom"/>
          </w:tcPr>
          <w:p>
            <w:pPr>
              <w:spacing w:after="0"/>
              <w:rPr>
                <w:sz w:val="1"/>
                <w:szCs w:val="1"/>
                <w:color w:val="auto"/>
              </w:rPr>
            </w:pPr>
          </w:p>
        </w:tc>
      </w:tr>
      <w:tr>
        <w:trPr>
          <w:trHeight w:val="245"/>
        </w:trPr>
        <w:tc>
          <w:tcPr>
            <w:tcW w:w="548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 INVESTING ACTIVITIES</w:t>
            </w:r>
          </w:p>
        </w:tc>
        <w:tc>
          <w:tcPr>
            <w:tcW w:w="12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4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DECREASE (INCREASE) IN CASH AND SHORT-TERM AND LONG-TERM</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INTEREST-BEARING DEPOSITS DESIGNATED FOR INVESTMENTS</w:t>
            </w:r>
          </w:p>
        </w:tc>
        <w:tc>
          <w:tcPr>
            <w:tcW w:w="300" w:type="dxa"/>
            <w:vAlign w:val="bottom"/>
          </w:tcPr>
          <w:p>
            <w:pPr>
              <w:spacing w:after="0"/>
              <w:rPr>
                <w:sz w:val="14"/>
                <w:szCs w:val="14"/>
                <w:color w:val="auto"/>
              </w:rPr>
            </w:pP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49,627</w:t>
            </w:r>
          </w:p>
        </w:tc>
        <w:tc>
          <w:tcPr>
            <w:tcW w:w="30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4"/>
              </w:rPr>
              <w:t>(42,739)</w:t>
            </w:r>
          </w:p>
        </w:tc>
        <w:tc>
          <w:tcPr>
            <w:tcW w:w="280" w:type="dxa"/>
            <w:vAlign w:val="bottom"/>
          </w:tcPr>
          <w:p>
            <w:pPr>
              <w:spacing w:after="0"/>
              <w:rPr>
                <w:sz w:val="14"/>
                <w:szCs w:val="14"/>
                <w:color w:val="auto"/>
              </w:rPr>
            </w:pPr>
          </w:p>
        </w:tc>
        <w:tc>
          <w:tcPr>
            <w:tcW w:w="10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854</w:t>
            </w:r>
          </w:p>
        </w:tc>
        <w:tc>
          <w:tcPr>
            <w:tcW w:w="220" w:type="dxa"/>
            <w:vAlign w:val="bottom"/>
          </w:tcPr>
          <w:p>
            <w:pPr>
              <w:spacing w:after="0"/>
              <w:rPr>
                <w:sz w:val="14"/>
                <w:szCs w:val="14"/>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(7,981)</w:t>
            </w:r>
          </w:p>
        </w:tc>
        <w:tc>
          <w:tcPr>
            <w:tcW w:w="260" w:type="dxa"/>
            <w:vAlign w:val="bottom"/>
          </w:tcPr>
          <w:p>
            <w:pPr>
              <w:spacing w:after="0"/>
              <w:rPr>
                <w:sz w:val="14"/>
                <w:szCs w:val="14"/>
                <w:color w:val="auto"/>
              </w:rPr>
            </w:pPr>
          </w:p>
        </w:tc>
        <w:tc>
          <w:tcPr>
            <w:tcW w:w="8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(59,683)</w:t>
            </w:r>
          </w:p>
        </w:tc>
        <w:tc>
          <w:tcPr>
            <w:tcW w:w="0" w:type="dxa"/>
            <w:vAlign w:val="bottom"/>
          </w:tcPr>
          <w:p>
            <w:pPr>
              <w:spacing w:after="0"/>
              <w:rPr>
                <w:sz w:val="1"/>
                <w:szCs w:val="1"/>
                <w:color w:val="auto"/>
              </w:rPr>
            </w:pPr>
          </w:p>
        </w:tc>
      </w:tr>
      <w:tr>
        <w:trPr>
          <w:trHeight w:val="168"/>
        </w:trPr>
        <w:tc>
          <w:tcPr>
            <w:tcW w:w="5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RELATING TO FAB 2</w:t>
            </w: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INVESTMENTS IN PROPERTY AND EQUIPMENT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(143,975)</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(149,790)</w:t>
            </w:r>
          </w:p>
        </w:tc>
        <w:tc>
          <w:tcPr>
            <w:tcW w:w="2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(40,311)</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(46,365)</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(205,099)</w:t>
            </w:r>
          </w:p>
        </w:tc>
        <w:tc>
          <w:tcPr>
            <w:tcW w:w="0" w:type="dxa"/>
            <w:vAlign w:val="bottom"/>
          </w:tcPr>
          <w:p>
            <w:pPr>
              <w:spacing w:after="0"/>
              <w:rPr>
                <w:sz w:val="1"/>
                <w:szCs w:val="1"/>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GRANTS RECEIVED</w:t>
            </w: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27,839</w:t>
            </w:r>
          </w:p>
        </w:tc>
        <w:tc>
          <w:tcPr>
            <w:tcW w:w="3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25,305</w:t>
            </w:r>
          </w:p>
        </w:tc>
        <w:tc>
          <w:tcPr>
            <w:tcW w:w="2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10,483</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6,581</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40,481</w:t>
            </w:r>
          </w:p>
        </w:tc>
        <w:tc>
          <w:tcPr>
            <w:tcW w:w="0" w:type="dxa"/>
            <w:vAlign w:val="bottom"/>
          </w:tcPr>
          <w:p>
            <w:pPr>
              <w:spacing w:after="0"/>
              <w:rPr>
                <w:sz w:val="1"/>
                <w:szCs w:val="1"/>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SALE OF EQUIPMENT</w:t>
            </w: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184</w:t>
            </w:r>
          </w:p>
        </w:tc>
        <w:tc>
          <w:tcPr>
            <w:tcW w:w="3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120</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w:t>
            </w:r>
          </w:p>
        </w:tc>
        <w:tc>
          <w:tcPr>
            <w:tcW w:w="0" w:type="dxa"/>
            <w:vAlign w:val="bottom"/>
          </w:tcPr>
          <w:p>
            <w:pPr>
              <w:spacing w:after="0"/>
              <w:rPr>
                <w:sz w:val="1"/>
                <w:szCs w:val="1"/>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INVESTMENTS IN OTHER ASSETS</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(17,502)</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(24,356)</w:t>
            </w:r>
          </w:p>
        </w:tc>
        <w:tc>
          <w:tcPr>
            <w:tcW w:w="2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(1,005)</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(6,235)</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(34,290)</w:t>
            </w:r>
          </w:p>
        </w:tc>
        <w:tc>
          <w:tcPr>
            <w:tcW w:w="0" w:type="dxa"/>
            <w:vAlign w:val="bottom"/>
          </w:tcPr>
          <w:p>
            <w:pPr>
              <w:spacing w:after="0"/>
              <w:rPr>
                <w:sz w:val="1"/>
                <w:szCs w:val="1"/>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DECREASE (INCREASE) IN DEPOSITS, NET</w:t>
            </w: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8,000</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(1,456)</w:t>
            </w:r>
          </w:p>
        </w:tc>
        <w:tc>
          <w:tcPr>
            <w:tcW w:w="2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2,500</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(4,500)</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(456)</w:t>
            </w:r>
          </w:p>
        </w:tc>
        <w:tc>
          <w:tcPr>
            <w:tcW w:w="0" w:type="dxa"/>
            <w:vAlign w:val="bottom"/>
          </w:tcPr>
          <w:p>
            <w:pPr>
              <w:spacing w:after="0"/>
              <w:rPr>
                <w:sz w:val="1"/>
                <w:szCs w:val="1"/>
                <w:color w:val="auto"/>
              </w:rPr>
            </w:pPr>
          </w:p>
        </w:tc>
      </w:tr>
      <w:tr>
        <w:trPr>
          <w:trHeight w:val="168"/>
        </w:trPr>
        <w:tc>
          <w:tcPr>
            <w:tcW w:w="548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NET CASH USED IN INVESTING ACTIVITIES</w:t>
            </w:r>
          </w:p>
        </w:tc>
        <w:tc>
          <w:tcPr>
            <w:tcW w:w="12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4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(75,827)</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(193,036)</w:t>
            </w:r>
          </w:p>
        </w:tc>
        <w:tc>
          <w:tcPr>
            <w:tcW w:w="2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(27,359)</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(58,500)</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(258,977)</w:t>
            </w:r>
          </w:p>
        </w:tc>
        <w:tc>
          <w:tcPr>
            <w:tcW w:w="0" w:type="dxa"/>
            <w:vAlign w:val="bottom"/>
          </w:tcPr>
          <w:p>
            <w:pPr>
              <w:spacing w:after="0"/>
              <w:rPr>
                <w:sz w:val="1"/>
                <w:szCs w:val="1"/>
                <w:color w:val="auto"/>
              </w:rPr>
            </w:pPr>
          </w:p>
        </w:tc>
      </w:tr>
      <w:tr>
        <w:trPr>
          <w:trHeight w:val="245"/>
        </w:trPr>
        <w:tc>
          <w:tcPr>
            <w:tcW w:w="548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 FINANCING ACTIVITIES</w:t>
            </w:r>
          </w:p>
        </w:tc>
        <w:tc>
          <w:tcPr>
            <w:tcW w:w="12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4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15,810</w:t>
            </w:r>
          </w:p>
        </w:tc>
        <w:tc>
          <w:tcPr>
            <w:tcW w:w="300" w:type="dxa"/>
            <w:vAlign w:val="bottom"/>
          </w:tcPr>
          <w:p>
            <w:pPr>
              <w:spacing w:after="0"/>
              <w:rPr>
                <w:sz w:val="7"/>
                <w:szCs w:val="7"/>
                <w:color w:val="auto"/>
              </w:rPr>
            </w:pP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31,664</w:t>
            </w:r>
          </w:p>
        </w:tc>
        <w:tc>
          <w:tcPr>
            <w:tcW w:w="280" w:type="dxa"/>
            <w:vAlign w:val="bottom"/>
          </w:tcPr>
          <w:p>
            <w:pPr>
              <w:spacing w:after="0"/>
              <w:rPr>
                <w:sz w:val="7"/>
                <w:szCs w:val="7"/>
                <w:color w:val="auto"/>
              </w:rPr>
            </w:pPr>
          </w:p>
        </w:tc>
        <w:tc>
          <w:tcPr>
            <w:tcW w:w="10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2,500</w:t>
            </w:r>
          </w:p>
        </w:tc>
        <w:tc>
          <w:tcPr>
            <w:tcW w:w="220" w:type="dxa"/>
            <w:vAlign w:val="bottom"/>
          </w:tcPr>
          <w:p>
            <w:pPr>
              <w:spacing w:after="0"/>
              <w:rPr>
                <w:sz w:val="7"/>
                <w:szCs w:val="7"/>
                <w:color w:val="auto"/>
              </w:rPr>
            </w:pPr>
          </w:p>
        </w:tc>
        <w:tc>
          <w:tcPr>
            <w:tcW w:w="9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(251)</w:t>
            </w:r>
          </w:p>
        </w:tc>
        <w:tc>
          <w:tcPr>
            <w:tcW w:w="260" w:type="dxa"/>
            <w:vAlign w:val="bottom"/>
          </w:tcPr>
          <w:p>
            <w:pPr>
              <w:spacing w:after="0"/>
              <w:rPr>
                <w:sz w:val="7"/>
                <w:szCs w:val="7"/>
                <w:color w:val="auto"/>
              </w:rPr>
            </w:pPr>
          </w:p>
        </w:tc>
        <w:tc>
          <w:tcPr>
            <w:tcW w:w="8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96,751</w:t>
            </w:r>
          </w:p>
        </w:tc>
        <w:tc>
          <w:tcPr>
            <w:tcW w:w="0" w:type="dxa"/>
            <w:vAlign w:val="bottom"/>
          </w:tcPr>
          <w:p>
            <w:pPr>
              <w:spacing w:after="0"/>
              <w:rPr>
                <w:sz w:val="1"/>
                <w:szCs w:val="1"/>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(COST RELATED TO) ISSUANCE OF SHARES, NET</w:t>
            </w:r>
          </w:p>
        </w:tc>
        <w:tc>
          <w:tcPr>
            <w:tcW w:w="3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DECREASE IN SHORT-TERM DEBT</w:t>
            </w: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(10,000)</w:t>
            </w:r>
          </w:p>
        </w:tc>
        <w:tc>
          <w:tcPr>
            <w:tcW w:w="2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w:t>
            </w:r>
          </w:p>
        </w:tc>
        <w:tc>
          <w:tcPr>
            <w:tcW w:w="0" w:type="dxa"/>
            <w:vAlign w:val="bottom"/>
          </w:tcPr>
          <w:p>
            <w:pPr>
              <w:spacing w:after="0"/>
              <w:rPr>
                <w:sz w:val="1"/>
                <w:szCs w:val="1"/>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REPAYMENT OF LONG-TERM DEBT</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(3,000)</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(3,000)</w:t>
            </w:r>
          </w:p>
        </w:tc>
        <w:tc>
          <w:tcPr>
            <w:tcW w:w="2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(4,000)</w:t>
            </w:r>
          </w:p>
        </w:tc>
        <w:tc>
          <w:tcPr>
            <w:tcW w:w="0" w:type="dxa"/>
            <w:vAlign w:val="bottom"/>
          </w:tcPr>
          <w:p>
            <w:pPr>
              <w:spacing w:after="0"/>
              <w:rPr>
                <w:sz w:val="1"/>
                <w:szCs w:val="1"/>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LONG-TERM DEBT</w:t>
            </w: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97,000</w:t>
            </w:r>
          </w:p>
        </w:tc>
        <w:tc>
          <w:tcPr>
            <w:tcW w:w="3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142,000</w:t>
            </w:r>
          </w:p>
        </w:tc>
        <w:tc>
          <w:tcPr>
            <w:tcW w:w="2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40,000</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60,000</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142,000</w:t>
            </w:r>
          </w:p>
        </w:tc>
        <w:tc>
          <w:tcPr>
            <w:tcW w:w="0" w:type="dxa"/>
            <w:vAlign w:val="bottom"/>
          </w:tcPr>
          <w:p>
            <w:pPr>
              <w:spacing w:after="0"/>
              <w:rPr>
                <w:sz w:val="1"/>
                <w:szCs w:val="1"/>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SALE OF SECURITIES, NET</w:t>
            </w: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21,540</w:t>
            </w:r>
          </w:p>
        </w:tc>
        <w:tc>
          <w:tcPr>
            <w:tcW w:w="2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21,540</w:t>
            </w:r>
          </w:p>
        </w:tc>
        <w:tc>
          <w:tcPr>
            <w:tcW w:w="0" w:type="dxa"/>
            <w:vAlign w:val="bottom"/>
          </w:tcPr>
          <w:p>
            <w:pPr>
              <w:spacing w:after="0"/>
              <w:rPr>
                <w:sz w:val="1"/>
                <w:szCs w:val="1"/>
                <w:color w:val="auto"/>
              </w:rPr>
            </w:pPr>
          </w:p>
        </w:tc>
      </w:tr>
      <w:tr>
        <w:trPr>
          <w:trHeight w:val="168"/>
        </w:trPr>
        <w:tc>
          <w:tcPr>
            <w:tcW w:w="548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2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4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109,810</w:t>
            </w:r>
          </w:p>
        </w:tc>
        <w:tc>
          <w:tcPr>
            <w:tcW w:w="3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182,204</w:t>
            </w:r>
          </w:p>
        </w:tc>
        <w:tc>
          <w:tcPr>
            <w:tcW w:w="2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41,500</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58,749</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246,291</w:t>
            </w:r>
          </w:p>
        </w:tc>
        <w:tc>
          <w:tcPr>
            <w:tcW w:w="0" w:type="dxa"/>
            <w:vAlign w:val="bottom"/>
          </w:tcPr>
          <w:p>
            <w:pPr>
              <w:spacing w:after="0"/>
              <w:rPr>
                <w:sz w:val="1"/>
                <w:szCs w:val="1"/>
                <w:color w:val="auto"/>
              </w:rPr>
            </w:pPr>
          </w:p>
        </w:tc>
      </w:tr>
      <w:tr>
        <w:trPr>
          <w:trHeight w:val="168"/>
        </w:trPr>
        <w:tc>
          <w:tcPr>
            <w:tcW w:w="548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DECREASE IN CASH AND CASH EQUIVALENTS</w:t>
            </w:r>
          </w:p>
        </w:tc>
        <w:tc>
          <w:tcPr>
            <w:tcW w:w="606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   ============  ===========   ===========</w:t>
            </w:r>
          </w:p>
        </w:tc>
        <w:tc>
          <w:tcPr>
            <w:tcW w:w="0" w:type="dxa"/>
            <w:vAlign w:val="bottom"/>
          </w:tcPr>
          <w:p>
            <w:pPr>
              <w:spacing w:after="0"/>
              <w:rPr>
                <w:sz w:val="1"/>
                <w:szCs w:val="1"/>
                <w:color w:val="auto"/>
              </w:rPr>
            </w:pPr>
          </w:p>
        </w:tc>
      </w:tr>
      <w:tr>
        <w:trPr>
          <w:trHeight w:val="168"/>
        </w:trPr>
        <w:tc>
          <w:tcPr>
            <w:tcW w:w="54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(3,639)</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(12,564)</w:t>
            </w:r>
          </w:p>
        </w:tc>
        <w:tc>
          <w:tcPr>
            <w:tcW w:w="28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(8,059)</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(1,839)</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(11,753)</w:t>
            </w:r>
          </w:p>
        </w:tc>
        <w:tc>
          <w:tcPr>
            <w:tcW w:w="0" w:type="dxa"/>
            <w:vAlign w:val="bottom"/>
          </w:tcPr>
          <w:p>
            <w:pPr>
              <w:spacing w:after="0"/>
              <w:rPr>
                <w:sz w:val="1"/>
                <w:szCs w:val="1"/>
                <w:color w:val="auto"/>
              </w:rPr>
            </w:pP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 BEGINNING OF PERIOD</w:t>
            </w: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7,857</w:t>
            </w:r>
          </w:p>
        </w:tc>
        <w:tc>
          <w:tcPr>
            <w:tcW w:w="3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19,610</w:t>
            </w:r>
          </w:p>
        </w:tc>
        <w:tc>
          <w:tcPr>
            <w:tcW w:w="2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12,277</w:t>
            </w:r>
          </w:p>
        </w:tc>
        <w:tc>
          <w:tcPr>
            <w:tcW w:w="2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8,885</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19,610</w:t>
            </w:r>
          </w:p>
        </w:tc>
        <w:tc>
          <w:tcPr>
            <w:tcW w:w="0" w:type="dxa"/>
            <w:vAlign w:val="bottom"/>
          </w:tcPr>
          <w:p>
            <w:pPr>
              <w:spacing w:after="0"/>
              <w:rPr>
                <w:sz w:val="1"/>
                <w:szCs w:val="1"/>
                <w:color w:val="auto"/>
              </w:rPr>
            </w:pPr>
          </w:p>
        </w:tc>
      </w:tr>
      <w:tr>
        <w:trPr>
          <w:trHeight w:val="168"/>
        </w:trPr>
        <w:tc>
          <w:tcPr>
            <w:tcW w:w="548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CASH AND CASH EQUIVALENTS - END OF PERIOD</w:t>
            </w:r>
          </w:p>
        </w:tc>
        <w:tc>
          <w:tcPr>
            <w:tcW w:w="12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480" w:type="dxa"/>
            <w:vAlign w:val="bottom"/>
            <w:vMerge w:val="continue"/>
          </w:tcPr>
          <w:p>
            <w:pPr>
              <w:spacing w:after="0"/>
              <w:rPr>
                <w:sz w:val="14"/>
                <w:szCs w:val="14"/>
                <w:color w:val="auto"/>
              </w:rPr>
            </w:pP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4,218</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7,046</w:t>
            </w:r>
          </w:p>
        </w:tc>
        <w:tc>
          <w:tcPr>
            <w:tcW w:w="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4,218</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7,046</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7,857</w:t>
            </w:r>
          </w:p>
        </w:tc>
        <w:tc>
          <w:tcPr>
            <w:tcW w:w="0" w:type="dxa"/>
            <w:vAlign w:val="bottom"/>
          </w:tcPr>
          <w:p>
            <w:pPr>
              <w:spacing w:after="0"/>
              <w:rPr>
                <w:sz w:val="1"/>
                <w:szCs w:val="1"/>
                <w:color w:val="auto"/>
              </w:rPr>
            </w:pPr>
          </w:p>
        </w:tc>
      </w:tr>
      <w:tr>
        <w:trPr>
          <w:trHeight w:val="245"/>
        </w:trPr>
        <w:tc>
          <w:tcPr>
            <w:tcW w:w="5480" w:type="dxa"/>
            <w:vAlign w:val="bottom"/>
          </w:tcPr>
          <w:p>
            <w:pPr>
              <w:spacing w:after="0"/>
              <w:rPr>
                <w:sz w:val="21"/>
                <w:szCs w:val="21"/>
                <w:color w:val="auto"/>
              </w:rPr>
            </w:pPr>
          </w:p>
        </w:tc>
        <w:tc>
          <w:tcPr>
            <w:tcW w:w="12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NON-CASH ACTIVITIES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480" w:type="dxa"/>
            <w:vAlign w:val="bottom"/>
          </w:tcPr>
          <w:p>
            <w:pPr>
              <w:ind w:left="180"/>
              <w:spacing w:after="0"/>
              <w:rPr>
                <w:sz w:val="20"/>
                <w:szCs w:val="20"/>
                <w:color w:val="auto"/>
              </w:rPr>
            </w:pPr>
            <w:r>
              <w:rPr>
                <w:rFonts w:ascii="Courier New" w:cs="Courier New" w:eastAsia="Courier New" w:hAnsi="Courier New"/>
                <w:sz w:val="15"/>
                <w:szCs w:val="15"/>
                <w:color w:val="auto"/>
              </w:rPr>
              <w:t>INVESTMENTS IN PROPERTY AND EQUIPMENT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30,612</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29,015</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17,990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18,380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49,419</w:t>
            </w:r>
          </w:p>
        </w:tc>
        <w:tc>
          <w:tcPr>
            <w:tcW w:w="0" w:type="dxa"/>
            <w:vAlign w:val="bottom"/>
          </w:tcPr>
          <w:p>
            <w:pPr>
              <w:spacing w:after="0"/>
              <w:rPr>
                <w:sz w:val="1"/>
                <w:szCs w:val="1"/>
                <w:color w:val="auto"/>
              </w:rPr>
            </w:pPr>
          </w:p>
        </w:tc>
      </w:tr>
      <w:tr>
        <w:trPr>
          <w:trHeight w:val="168"/>
        </w:trPr>
        <w:tc>
          <w:tcPr>
            <w:tcW w:w="54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INVESTMENTS IN OTHER ASSETS</w:t>
            </w:r>
          </w:p>
        </w:tc>
        <w:tc>
          <w:tcPr>
            <w:tcW w:w="12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2"/>
              </w:rPr>
              <w:t>===========</w:t>
            </w:r>
          </w:p>
        </w:tc>
        <w:tc>
          <w:tcPr>
            <w:tcW w:w="0" w:type="dxa"/>
            <w:vAlign w:val="bottom"/>
          </w:tcPr>
          <w:p>
            <w:pPr>
              <w:spacing w:after="0"/>
              <w:rPr>
                <w:sz w:val="1"/>
                <w:szCs w:val="1"/>
                <w:color w:val="auto"/>
              </w:rPr>
            </w:pPr>
          </w:p>
        </w:tc>
      </w:tr>
      <w:tr>
        <w:trPr>
          <w:trHeight w:val="168"/>
        </w:trPr>
        <w:tc>
          <w:tcPr>
            <w:tcW w:w="5480" w:type="dxa"/>
            <w:vAlign w:val="bottom"/>
            <w:vMerge w:val="continue"/>
          </w:tcPr>
          <w:p>
            <w:pPr>
              <w:spacing w:after="0"/>
              <w:rPr>
                <w:sz w:val="14"/>
                <w:szCs w:val="14"/>
                <w:color w:val="auto"/>
              </w:rPr>
            </w:pP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6,357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3,716</w:t>
            </w:r>
          </w:p>
        </w:tc>
        <w:tc>
          <w:tcPr>
            <w:tcW w:w="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vMerge w:val="continue"/>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3,026</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4,304</w:t>
            </w:r>
          </w:p>
        </w:tc>
        <w:tc>
          <w:tcPr>
            <w:tcW w:w="0" w:type="dxa"/>
            <w:vAlign w:val="bottom"/>
          </w:tcPr>
          <w:p>
            <w:pPr>
              <w:spacing w:after="0"/>
              <w:rPr>
                <w:sz w:val="1"/>
                <w:szCs w:val="1"/>
                <w:color w:val="auto"/>
              </w:rPr>
            </w:pPr>
          </w:p>
        </w:tc>
      </w:tr>
      <w:tr>
        <w:trPr>
          <w:trHeight w:val="245"/>
        </w:trPr>
        <w:tc>
          <w:tcPr>
            <w:tcW w:w="5480" w:type="dxa"/>
            <w:vAlign w:val="bottom"/>
          </w:tcPr>
          <w:p>
            <w:pPr>
              <w:spacing w:after="0"/>
              <w:rPr>
                <w:sz w:val="21"/>
                <w:szCs w:val="21"/>
                <w:color w:val="auto"/>
              </w:rPr>
            </w:pPr>
          </w:p>
        </w:tc>
        <w:tc>
          <w:tcPr>
            <w:tcW w:w="12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21"/>
                <w:szCs w:val="21"/>
                <w:color w:val="auto"/>
              </w:rPr>
            </w:pPr>
          </w:p>
        </w:tc>
        <w:tc>
          <w:tcPr>
            <w:tcW w:w="9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2"/>
              </w:rPr>
              <w:t>===========</w:t>
            </w:r>
          </w:p>
        </w:tc>
        <w:tc>
          <w:tcPr>
            <w:tcW w:w="0" w:type="dxa"/>
            <w:vAlign w:val="bottom"/>
          </w:tcPr>
          <w:p>
            <w:pPr>
              <w:spacing w:after="0"/>
              <w:rPr>
                <w:sz w:val="1"/>
                <w:szCs w:val="1"/>
                <w:color w:val="auto"/>
              </w:rPr>
            </w:pP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480" w:type="dxa"/>
            <w:vAlign w:val="bottom"/>
          </w:tcPr>
          <w:p>
            <w:pPr>
              <w:ind w:left="180"/>
              <w:spacing w:after="0"/>
              <w:rPr>
                <w:sz w:val="20"/>
                <w:szCs w:val="20"/>
                <w:color w:val="auto"/>
              </w:rPr>
            </w:pPr>
            <w:r>
              <w:rPr>
                <w:rFonts w:ascii="Courier New" w:cs="Courier New" w:eastAsia="Courier New" w:hAnsi="Courier New"/>
                <w:sz w:val="15"/>
                <w:szCs w:val="15"/>
                <w:color w:val="auto"/>
              </w:rPr>
              <w:t>CASH PAID DURING THE PERIOD FOR INTEREST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11,556</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8,296</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3,677</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3,485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11,594</w:t>
            </w:r>
          </w:p>
        </w:tc>
        <w:tc>
          <w:tcPr>
            <w:tcW w:w="0" w:type="dxa"/>
            <w:vAlign w:val="bottom"/>
          </w:tcPr>
          <w:p>
            <w:pPr>
              <w:spacing w:after="0"/>
              <w:rPr>
                <w:sz w:val="1"/>
                <w:szCs w:val="1"/>
                <w:color w:val="auto"/>
              </w:rPr>
            </w:pPr>
          </w:p>
        </w:tc>
      </w:tr>
      <w:tr>
        <w:trPr>
          <w:trHeight w:val="168"/>
        </w:trPr>
        <w:tc>
          <w:tcPr>
            <w:tcW w:w="54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CASH PAID DURING THE PERIOD FOR INCOME TAXES</w:t>
            </w:r>
          </w:p>
        </w:tc>
        <w:tc>
          <w:tcPr>
            <w:tcW w:w="12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2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2"/>
              </w:rPr>
              <w:t>===========</w:t>
            </w:r>
          </w:p>
        </w:tc>
        <w:tc>
          <w:tcPr>
            <w:tcW w:w="0" w:type="dxa"/>
            <w:vAlign w:val="bottom"/>
          </w:tcPr>
          <w:p>
            <w:pPr>
              <w:spacing w:after="0"/>
              <w:rPr>
                <w:sz w:val="1"/>
                <w:szCs w:val="1"/>
                <w:color w:val="auto"/>
              </w:rPr>
            </w:pPr>
          </w:p>
        </w:tc>
      </w:tr>
      <w:tr>
        <w:trPr>
          <w:trHeight w:val="168"/>
        </w:trPr>
        <w:tc>
          <w:tcPr>
            <w:tcW w:w="5480" w:type="dxa"/>
            <w:vAlign w:val="bottom"/>
            <w:vMerge w:val="continue"/>
          </w:tcPr>
          <w:p>
            <w:pPr>
              <w:spacing w:after="0"/>
              <w:rPr>
                <w:sz w:val="14"/>
                <w:szCs w:val="14"/>
                <w:color w:val="auto"/>
              </w:rPr>
            </w:pP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198</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w:t>
            </w:r>
          </w:p>
        </w:tc>
        <w:tc>
          <w:tcPr>
            <w:tcW w:w="280" w:type="dxa"/>
            <w:vAlign w:val="bottom"/>
            <w:vMerge w:val="continue"/>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w:t>
            </w:r>
          </w:p>
        </w:tc>
        <w:tc>
          <w:tcPr>
            <w:tcW w:w="220" w:type="dxa"/>
            <w:vAlign w:val="bottom"/>
            <w:vMerge w:val="continue"/>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w:t>
            </w:r>
          </w:p>
        </w:tc>
        <w:tc>
          <w:tcPr>
            <w:tcW w:w="0" w:type="dxa"/>
            <w:vAlign w:val="bottom"/>
          </w:tcPr>
          <w:p>
            <w:pPr>
              <w:spacing w:after="0"/>
              <w:rPr>
                <w:sz w:val="1"/>
                <w:szCs w:val="1"/>
                <w:color w:val="auto"/>
              </w:rPr>
            </w:pPr>
          </w:p>
        </w:tc>
      </w:tr>
      <w:tr>
        <w:trPr>
          <w:trHeight w:val="245"/>
        </w:trPr>
        <w:tc>
          <w:tcPr>
            <w:tcW w:w="5480" w:type="dxa"/>
            <w:vAlign w:val="bottom"/>
          </w:tcPr>
          <w:p>
            <w:pPr>
              <w:spacing w:after="0"/>
              <w:rPr>
                <w:sz w:val="21"/>
                <w:szCs w:val="21"/>
                <w:color w:val="auto"/>
              </w:rPr>
            </w:pPr>
          </w:p>
        </w:tc>
        <w:tc>
          <w:tcPr>
            <w:tcW w:w="122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21"/>
                <w:szCs w:val="21"/>
                <w:color w:val="auto"/>
              </w:rPr>
            </w:pPr>
          </w:p>
        </w:tc>
        <w:tc>
          <w:tcPr>
            <w:tcW w:w="96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2"/>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INTERIM CONSOLIDATED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540"/>
          </w:cols>
          <w:pgMar w:left="220" w:top="598" w:right="139" w:bottom="1440" w:gutter="0" w:footer="0" w:header="0"/>
        </w:sectPr>
      </w:pPr>
    </w:p>
    <w:bookmarkStart w:id="10" w:name="page11"/>
    <w:bookmarkEnd w:id="10"/>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FINANCIAL STATEMENTS AS OF SEPTEMBER 30, 2003</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0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1 -</w:t>
      </w:r>
      <w:r>
        <w:rPr>
          <w:sz w:val="20"/>
          <w:szCs w:val="20"/>
          <w:color w:val="auto"/>
        </w:rPr>
        <w:tab/>
      </w:r>
      <w:r>
        <w:rPr>
          <w:rFonts w:ascii="Courier New" w:cs="Courier New" w:eastAsia="Courier New" w:hAnsi="Courier New"/>
          <w:sz w:val="14"/>
          <w:szCs w:val="14"/>
          <w:color w:val="auto"/>
        </w:rPr>
        <w:t>BASIS OF PRESENTATION</w:t>
      </w:r>
    </w:p>
    <w:p>
      <w:pPr>
        <w:spacing w:after="0" w:line="166" w:lineRule="exact"/>
        <w:rPr>
          <w:sz w:val="20"/>
          <w:szCs w:val="20"/>
          <w:color w:val="auto"/>
        </w:rPr>
      </w:pPr>
    </w:p>
    <w:p>
      <w:pPr>
        <w:ind w:left="1320" w:right="3239" w:hanging="436"/>
        <w:spacing w:after="0" w:line="246" w:lineRule="auto"/>
        <w:tabs>
          <w:tab w:leader="none" w:pos="13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condensed interim consolidated financial statements as of September 30, 2003 and for the nine months and three months then ended ("interim financial statements") of Tower Semiconductor Ltd. ("the Company") and subsidiary should be read in conjunction with the audited consolidated financial statements of the Company and subsidiary as of December 31, 2002 and for the year then ended, including the notes thereto. In the opinion of management, the interim financial statements include all adjustments necessary for a fair presentation of the financial position and results of operations as of the dates and for the interim periods presented. The results of operations for the interim periods are not necessarily indicative of the results to be expected on a full-year basis.</w:t>
      </w:r>
    </w:p>
    <w:p>
      <w:pPr>
        <w:spacing w:after="0" w:line="90" w:lineRule="exact"/>
        <w:rPr>
          <w:rFonts w:ascii="Courier New" w:cs="Courier New" w:eastAsia="Courier New" w:hAnsi="Courier New"/>
          <w:sz w:val="15"/>
          <w:szCs w:val="15"/>
          <w:color w:val="auto"/>
        </w:rPr>
      </w:pPr>
    </w:p>
    <w:p>
      <w:pPr>
        <w:ind w:left="1320" w:right="3239" w:hanging="436"/>
        <w:spacing w:after="0" w:line="287" w:lineRule="auto"/>
        <w:tabs>
          <w:tab w:leader="none" w:pos="13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interim financial statements have been prepared in conformity with generally accepted accounting principles ("GAAP") in Israel, which, as applicable to these interim financial statements, differ in certain respects from GAAP in the United States of America ("U.S. GAAP"), as indicated in Note 5.</w:t>
      </w:r>
    </w:p>
    <w:p>
      <w:pPr>
        <w:spacing w:after="0" w:line="60" w:lineRule="exact"/>
        <w:rPr>
          <w:rFonts w:ascii="Courier New" w:cs="Courier New" w:eastAsia="Courier New" w:hAnsi="Courier New"/>
          <w:sz w:val="14"/>
          <w:szCs w:val="14"/>
          <w:color w:val="auto"/>
        </w:rPr>
      </w:pPr>
    </w:p>
    <w:p>
      <w:pPr>
        <w:ind w:left="1320" w:right="3239"/>
        <w:spacing w:after="0" w:line="273"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accounting principles applied in the preparation of these interim financial statements are consistent with those principles applied in the preparation of the most recent annual audited financial statements (see also D below).</w:t>
      </w:r>
    </w:p>
    <w:p>
      <w:pPr>
        <w:spacing w:after="0" w:line="67" w:lineRule="exact"/>
        <w:rPr>
          <w:rFonts w:ascii="Courier New" w:cs="Courier New" w:eastAsia="Courier New" w:hAnsi="Courier New"/>
          <w:sz w:val="14"/>
          <w:szCs w:val="14"/>
          <w:color w:val="auto"/>
        </w:rPr>
      </w:pPr>
    </w:p>
    <w:p>
      <w:pPr>
        <w:ind w:left="1320" w:hanging="436"/>
        <w:spacing w:after="0"/>
        <w:tabs>
          <w:tab w:leader="none" w:pos="13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OF NEW FABRICATION FACILITY</w:t>
      </w:r>
    </w:p>
    <w:p>
      <w:pPr>
        <w:spacing w:after="0" w:line="166" w:lineRule="exact"/>
        <w:rPr>
          <w:rFonts w:ascii="Courier New" w:cs="Courier New" w:eastAsia="Courier New" w:hAnsi="Courier New"/>
          <w:sz w:val="15"/>
          <w:szCs w:val="15"/>
          <w:color w:val="auto"/>
        </w:rPr>
      </w:pPr>
    </w:p>
    <w:p>
      <w:pPr>
        <w:ind w:left="1320" w:right="3239"/>
        <w:spacing w:after="0" w:line="24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2001, the Company's Board of Directors approved the establishment of a new wafer fabrication facility in Israel ("Fab 2"), at an expected cost of approximately $1,500,000. Fab 2 is designated to manufacture semiconductor integrated circuits on silicon wafers in geometries of 0.18 micron and below on 200 millimeter wafers. Through January 2001, the Company entered into several related agreements and arrangements in connection with Fab 2, which were amended several times, including agreements and other arrangements with technology and Wafer Partners, equity investors, the Company's Banks, the government of Israel and others, to provide an aggregate of $1,060,000 of financing for Fab 2. For further details relating these agreements and arrangements, see Notes 3A-3C. In addition, as of September 30, 2003, the Company has raised approximately $86,000 from other financial sources.</w:t>
      </w:r>
    </w:p>
    <w:p>
      <w:pPr>
        <w:spacing w:after="0" w:line="200" w:lineRule="exact"/>
        <w:rPr>
          <w:sz w:val="20"/>
          <w:szCs w:val="20"/>
          <w:color w:val="auto"/>
        </w:rPr>
      </w:pPr>
    </w:p>
    <w:p>
      <w:pPr>
        <w:spacing w:after="0" w:line="2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598" w:right="1440" w:bottom="1440" w:gutter="0" w:footer="0" w:header="0"/>
        </w:sectPr>
      </w:pPr>
    </w:p>
    <w:bookmarkStart w:id="11" w:name="page12"/>
    <w:bookmarkEnd w:id="11"/>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FINANCIAL STATEMENTS AS OF SEPTEMBER 30, 2003</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0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1 -</w:t>
      </w:r>
      <w:r>
        <w:rPr>
          <w:sz w:val="20"/>
          <w:szCs w:val="20"/>
          <w:color w:val="auto"/>
        </w:rPr>
        <w:tab/>
      </w:r>
      <w:r>
        <w:rPr>
          <w:rFonts w:ascii="Courier New" w:cs="Courier New" w:eastAsia="Courier New" w:hAnsi="Courier New"/>
          <w:sz w:val="14"/>
          <w:szCs w:val="14"/>
          <w:color w:val="auto"/>
        </w:rPr>
        <w:t>BASIS OF PRESENTATION (cont.)</w:t>
      </w:r>
    </w:p>
    <w:p>
      <w:pPr>
        <w:spacing w:after="0" w:line="166" w:lineRule="exact"/>
        <w:rPr>
          <w:sz w:val="20"/>
          <w:szCs w:val="20"/>
          <w:color w:val="auto"/>
        </w:rPr>
      </w:pPr>
    </w:p>
    <w:p>
      <w:pPr>
        <w:ind w:left="1320" w:hanging="436"/>
        <w:spacing w:after="0"/>
        <w:tabs>
          <w:tab w:leader="none" w:pos="13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OF NEW FABRICATION FACILITY (cont.)</w:t>
      </w:r>
    </w:p>
    <w:p>
      <w:pPr>
        <w:spacing w:after="0" w:line="166" w:lineRule="exact"/>
        <w:rPr>
          <w:rFonts w:ascii="Courier New" w:cs="Courier New" w:eastAsia="Courier New" w:hAnsi="Courier New"/>
          <w:sz w:val="15"/>
          <w:szCs w:val="15"/>
          <w:color w:val="auto"/>
        </w:rPr>
      </w:pPr>
    </w:p>
    <w:p>
      <w:pPr>
        <w:ind w:left="1320" w:right="3239"/>
        <w:spacing w:after="0" w:line="27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During the third quarter of 2003, the Company began to supply production wafers to its customers utilizing the 0.18 micron process technology. Following the initial operation of Fab 2, most of the direct costs related to the construction and equipping of Fab 2 and to the transfer of the Fab 2 technology that were capitalizable until Fab 2 was substantially completed, are no longer capitalizable. The accounting policy for depreciating and amortizing Fab 2 assets is presented in D below.</w:t>
      </w:r>
    </w:p>
    <w:p>
      <w:pPr>
        <w:spacing w:after="0" w:line="70" w:lineRule="exact"/>
        <w:rPr>
          <w:rFonts w:ascii="Courier New" w:cs="Courier New" w:eastAsia="Courier New" w:hAnsi="Courier New"/>
          <w:sz w:val="15"/>
          <w:szCs w:val="15"/>
          <w:color w:val="auto"/>
        </w:rPr>
      </w:pPr>
    </w:p>
    <w:p>
      <w:pPr>
        <w:ind w:left="1320" w:right="323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Fab 2 project is a complex undertaking, which entails substantial risks and uncertainties. During the third quarter of 2003, the Company and the Banks reached arrangements pursuant to which the Facility Agreement and certain of its provisions will be amended to reflect the updated plan for the construction of Fab 2, which was submitted to the Banks in June 2003. The updated plan calls for, among other things, a slower ramp-up for Fab 2 than originally planned and conforms the current fund-raising, production and capacity covenants in the Facility Agreement, including those described in Note 3B below, to the revised ramp-up. For additional information relating these arrangements, see Note 3B below. The Company is currently in the final stages of completing the comprehensive contract with respect to these arrangements. Based primarily on the discussions and negotiations with the Banks held prior and subsequent to the balance-sheet date, management estimates that concluding such a contract is probable. Completing the aforementioned comprehensive contract with the Banks is material for the continuation of the construction, equipping and operating of Fab 2.</w:t>
      </w:r>
    </w:p>
    <w:p>
      <w:pPr>
        <w:spacing w:after="0" w:line="86" w:lineRule="exact"/>
        <w:rPr>
          <w:rFonts w:ascii="Courier New" w:cs="Courier New" w:eastAsia="Courier New" w:hAnsi="Courier New"/>
          <w:sz w:val="15"/>
          <w:szCs w:val="15"/>
          <w:color w:val="auto"/>
        </w:rPr>
      </w:pPr>
    </w:p>
    <w:p>
      <w:pPr>
        <w:ind w:left="1320" w:right="3499"/>
        <w:spacing w:after="0" w:line="32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For further details concerning the Fab 2 project and related agreements, risks and uncertainties, see Note 3 below and Note 13A to the 2002 audited consolidated financial statements.</w:t>
      </w:r>
    </w:p>
    <w:p>
      <w:pPr>
        <w:spacing w:after="0" w:line="37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934" w:right="1440" w:bottom="1440" w:gutter="0" w:footer="0" w:header="0"/>
        </w:sectPr>
      </w:pPr>
    </w:p>
    <w:bookmarkStart w:id="12" w:name="page13"/>
    <w:bookmarkEnd w:id="12"/>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FINANCIAL STATEMENTS AS OF SEPTEMBER 30, 2003</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0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1 -</w:t>
      </w:r>
      <w:r>
        <w:rPr>
          <w:sz w:val="20"/>
          <w:szCs w:val="20"/>
          <w:color w:val="auto"/>
        </w:rPr>
        <w:tab/>
      </w:r>
      <w:r>
        <w:rPr>
          <w:rFonts w:ascii="Courier New" w:cs="Courier New" w:eastAsia="Courier New" w:hAnsi="Courier New"/>
          <w:sz w:val="14"/>
          <w:szCs w:val="14"/>
          <w:color w:val="auto"/>
        </w:rPr>
        <w:t>BASIS OF PRESENTATION (cont.)</w:t>
      </w:r>
    </w:p>
    <w:p>
      <w:pPr>
        <w:spacing w:after="0" w:line="166" w:lineRule="exact"/>
        <w:rPr>
          <w:sz w:val="20"/>
          <w:szCs w:val="20"/>
          <w:color w:val="auto"/>
        </w:rPr>
      </w:pPr>
    </w:p>
    <w:p>
      <w:pPr>
        <w:ind w:left="1320" w:hanging="436"/>
        <w:spacing w:after="0"/>
        <w:tabs>
          <w:tab w:leader="none" w:pos="13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AND AMORTIZATION OF FAB 2 ASSETS</w:t>
      </w:r>
    </w:p>
    <w:p>
      <w:pPr>
        <w:spacing w:after="0" w:line="166" w:lineRule="exact"/>
        <w:rPr>
          <w:rFonts w:ascii="Courier New" w:cs="Courier New" w:eastAsia="Courier New" w:hAnsi="Courier New"/>
          <w:sz w:val="15"/>
          <w:szCs w:val="15"/>
          <w:color w:val="auto"/>
        </w:rPr>
      </w:pPr>
    </w:p>
    <w:p>
      <w:pPr>
        <w:jc w:val="both"/>
        <w:ind w:left="1320" w:right="3499"/>
        <w:spacing w:after="0" w:line="29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commencement of operations of Fab 2 in the third quarter of 2003, Fab 2 assets are depreciated and amortized as follows (see also Note 3E below):</w:t>
      </w:r>
    </w:p>
    <w:p>
      <w:pPr>
        <w:spacing w:after="0" w:line="57" w:lineRule="exact"/>
        <w:rPr>
          <w:sz w:val="20"/>
          <w:szCs w:val="20"/>
          <w:color w:val="auto"/>
        </w:rPr>
      </w:pPr>
    </w:p>
    <w:p>
      <w:pPr>
        <w:ind w:left="1760" w:right="3239" w:hanging="438"/>
        <w:spacing w:after="0" w:line="320" w:lineRule="auto"/>
        <w:tabs>
          <w:tab w:leader="none" w:pos="17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and Equipment - Depreciation is calculated based on the straight-line method over the estimated economic lives of the assets or terms of the related leases, as follows:</w:t>
      </w:r>
    </w:p>
    <w:p>
      <w:pPr>
        <w:spacing w:after="0" w:line="37" w:lineRule="exact"/>
        <w:rPr>
          <w:sz w:val="20"/>
          <w:szCs w:val="20"/>
          <w:color w:val="auto"/>
        </w:rPr>
      </w:pPr>
    </w:p>
    <w:tbl>
      <w:tblPr>
        <w:tblLayout w:type="fixed"/>
        <w:tblInd w:w="2020" w:type="dxa"/>
        <w:tblCellMar>
          <w:top w:w="0" w:type="dxa"/>
          <w:left w:w="0" w:type="dxa"/>
          <w:bottom w:w="0" w:type="dxa"/>
          <w:right w:w="0" w:type="dxa"/>
        </w:tblCellMar>
      </w:tblPr>
      <w:tr>
        <w:trPr>
          <w:trHeight w:val="170"/>
        </w:trPr>
        <w:tc>
          <w:tcPr>
            <w:tcW w:w="3840" w:type="dxa"/>
            <w:vAlign w:val="bottom"/>
          </w:tcPr>
          <w:p>
            <w:pPr>
              <w:spacing w:after="0"/>
              <w:rPr>
                <w:sz w:val="20"/>
                <w:szCs w:val="20"/>
                <w:color w:val="auto"/>
              </w:rPr>
            </w:pPr>
            <w:r>
              <w:rPr>
                <w:rFonts w:ascii="Courier New" w:cs="Courier New" w:eastAsia="Courier New" w:hAnsi="Courier New"/>
                <w:sz w:val="15"/>
                <w:szCs w:val="15"/>
                <w:color w:val="auto"/>
              </w:rPr>
              <w:t>Prepaid perpetual land lease and buildings</w:t>
            </w: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4"/>
              </w:rPr>
              <w:t>14-25 years</w:t>
            </w:r>
          </w:p>
        </w:tc>
      </w:tr>
      <w:tr>
        <w:trPr>
          <w:trHeight w:val="168"/>
        </w:trPr>
        <w:tc>
          <w:tcPr>
            <w:tcW w:w="384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245"/>
        </w:trPr>
        <w:tc>
          <w:tcPr>
            <w:tcW w:w="3840" w:type="dxa"/>
            <w:vAlign w:val="bottom"/>
          </w:tcPr>
          <w:p>
            <w:pPr>
              <w:spacing w:after="0"/>
              <w:rPr>
                <w:sz w:val="20"/>
                <w:szCs w:val="20"/>
                <w:color w:val="auto"/>
              </w:rPr>
            </w:pPr>
            <w:r>
              <w:rPr>
                <w:rFonts w:ascii="Courier New" w:cs="Courier New" w:eastAsia="Courier New" w:hAnsi="Courier New"/>
                <w:sz w:val="15"/>
                <w:szCs w:val="15"/>
                <w:color w:val="auto"/>
              </w:rPr>
              <w:t>Transportation vehicles</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7</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bl>
    <w:p>
      <w:pPr>
        <w:spacing w:after="0" w:line="91" w:lineRule="exact"/>
        <w:rPr>
          <w:sz w:val="20"/>
          <w:szCs w:val="20"/>
          <w:color w:val="auto"/>
        </w:rPr>
      </w:pPr>
    </w:p>
    <w:p>
      <w:pPr>
        <w:ind w:left="1760" w:right="3239" w:hanging="438"/>
        <w:spacing w:after="0" w:line="244" w:lineRule="auto"/>
        <w:tabs>
          <w:tab w:leader="none" w:pos="17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 - The costs in relation to Fab 2 technologies are amortized over the expected estimated economic life of the technologies. Amortization phases in commencing on the dates on which each of the Fab 2 manufacturing lines is ready for use, and is based on the straight-line method over a four-year period. Prepaid finance expenses included in Other Assets in relation to funding the establishment of Fab 2, are being amortized over the lives of the borrowings based on the repayment schedule of such funding (in general, 6 years). During the establishment period of Fab 2, amortized finance expenses were capitalized to buildings, property and equipment. Commencing the third quarter of 2003, in which the building and infrastructures of Fab 2 were substantially completed and ready for their intended use and the commencement of the initial ramp-up, the deferred finance expenses are amortized to the statement of operations.</w:t>
      </w:r>
    </w:p>
    <w:p>
      <w:pPr>
        <w:spacing w:after="0" w:line="9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2 -</w:t>
      </w:r>
      <w:r>
        <w:rPr>
          <w:sz w:val="20"/>
          <w:szCs w:val="20"/>
          <w:color w:val="auto"/>
        </w:rPr>
        <w:tab/>
      </w:r>
      <w:r>
        <w:rPr>
          <w:rFonts w:ascii="Courier New" w:cs="Courier New" w:eastAsia="Courier New" w:hAnsi="Courier New"/>
          <w:sz w:val="14"/>
          <w:szCs w:val="14"/>
          <w:color w:val="auto"/>
        </w:rPr>
        <w:t>MAJOR CUSTOMERS</w:t>
      </w:r>
    </w:p>
    <w:p>
      <w:pPr>
        <w:spacing w:after="0" w:line="166" w:lineRule="exact"/>
        <w:rPr>
          <w:sz w:val="20"/>
          <w:szCs w:val="20"/>
          <w:color w:val="auto"/>
        </w:rPr>
      </w:pPr>
    </w:p>
    <w:p>
      <w:pPr>
        <w:ind w:left="880" w:right="3839"/>
        <w:spacing w:after="0" w:line="344" w:lineRule="auto"/>
        <w:rPr>
          <w:sz w:val="20"/>
          <w:szCs w:val="20"/>
          <w:color w:val="auto"/>
        </w:rPr>
      </w:pPr>
      <w:r>
        <w:rPr>
          <w:rFonts w:ascii="Courier New" w:cs="Courier New" w:eastAsia="Courier New" w:hAnsi="Courier New"/>
          <w:sz w:val="15"/>
          <w:szCs w:val="15"/>
          <w:color w:val="auto"/>
        </w:rPr>
        <w:t>Sales to major customers as a percentage of total sales were as follows:</w:t>
      </w:r>
    </w:p>
    <w:p>
      <w:pPr>
        <w:spacing w:after="0" w:line="16"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2940" w:type="dxa"/>
            <w:vAlign w:val="bottom"/>
            <w:gridSpan w:val="3"/>
          </w:tcPr>
          <w:p>
            <w:pPr>
              <w:jc w:val="center"/>
              <w:ind w:left="747"/>
              <w:spacing w:after="0"/>
              <w:rPr>
                <w:sz w:val="20"/>
                <w:szCs w:val="20"/>
                <w:color w:val="auto"/>
              </w:rPr>
            </w:pPr>
            <w:r>
              <w:rPr>
                <w:rFonts w:ascii="Courier New" w:cs="Courier New" w:eastAsia="Courier New" w:hAnsi="Courier New"/>
                <w:sz w:val="15"/>
                <w:szCs w:val="15"/>
                <w:color w:val="auto"/>
                <w:w w:val="96"/>
              </w:rPr>
              <w:t>Nine months ended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540" w:type="dxa"/>
            <w:vAlign w:val="bottom"/>
          </w:tcPr>
          <w:p>
            <w:pPr>
              <w:spacing w:after="0"/>
              <w:rPr>
                <w:sz w:val="21"/>
                <w:szCs w:val="21"/>
                <w:color w:val="auto"/>
              </w:rPr>
            </w:pPr>
          </w:p>
        </w:tc>
        <w:tc>
          <w:tcPr>
            <w:tcW w:w="1260" w:type="dxa"/>
            <w:vAlign w:val="bottom"/>
            <w:vMerge w:val="restart"/>
          </w:tcPr>
          <w:p>
            <w:pPr>
              <w:jc w:val="center"/>
              <w:ind w:left="767"/>
              <w:spacing w:after="0"/>
              <w:rPr>
                <w:sz w:val="20"/>
                <w:szCs w:val="20"/>
                <w:color w:val="auto"/>
              </w:rPr>
            </w:pPr>
            <w:r>
              <w:rPr>
                <w:rFonts w:ascii="Courier New" w:cs="Courier New" w:eastAsia="Courier New" w:hAnsi="Courier New"/>
                <w:sz w:val="15"/>
                <w:szCs w:val="15"/>
                <w:color w:val="auto"/>
                <w:w w:val="94"/>
              </w:rPr>
              <w:t>2003</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5"/>
              </w:rPr>
              <w:t>September 30,</w:t>
            </w:r>
          </w:p>
        </w:tc>
        <w:tc>
          <w:tcPr>
            <w:tcW w:w="44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4"/>
              </w:rPr>
              <w:t>2002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25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540" w:type="dxa"/>
            <w:vAlign w:val="bottom"/>
          </w:tcPr>
          <w:p>
            <w:pPr>
              <w:spacing w:after="0"/>
              <w:rPr>
                <w:sz w:val="21"/>
                <w:szCs w:val="21"/>
                <w:color w:val="auto"/>
              </w:rPr>
            </w:pPr>
          </w:p>
        </w:tc>
        <w:tc>
          <w:tcPr>
            <w:tcW w:w="126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4"/>
              </w:rPr>
              <w:t>----</w:t>
            </w:r>
          </w:p>
        </w:tc>
        <w:tc>
          <w:tcPr>
            <w:tcW w:w="124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6"/>
              </w:rPr>
              <w:t>(unaudited)</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4"/>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2540" w:type="dxa"/>
            <w:vAlign w:val="bottom"/>
          </w:tcPr>
          <w:p>
            <w:pPr>
              <w:spacing w:after="0"/>
              <w:rPr>
                <w:sz w:val="20"/>
                <w:szCs w:val="20"/>
                <w:color w:val="auto"/>
              </w:rPr>
            </w:pPr>
            <w:r>
              <w:rPr>
                <w:rFonts w:ascii="Courier New" w:cs="Courier New" w:eastAsia="Courier New" w:hAnsi="Courier New"/>
                <w:sz w:val="15"/>
                <w:szCs w:val="15"/>
                <w:color w:val="auto"/>
              </w:rPr>
              <w:t>Customer A</w:t>
            </w:r>
          </w:p>
        </w:tc>
        <w:tc>
          <w:tcPr>
            <w:tcW w:w="1260" w:type="dxa"/>
            <w:vAlign w:val="bottom"/>
          </w:tcPr>
          <w:p>
            <w:pPr>
              <w:jc w:val="center"/>
              <w:ind w:left="767"/>
              <w:spacing w:after="0"/>
              <w:rPr>
                <w:sz w:val="20"/>
                <w:szCs w:val="20"/>
                <w:color w:val="auto"/>
              </w:rPr>
            </w:pPr>
            <w:r>
              <w:rPr>
                <w:rFonts w:ascii="Courier New" w:cs="Courier New" w:eastAsia="Courier New" w:hAnsi="Courier New"/>
                <w:sz w:val="15"/>
                <w:szCs w:val="15"/>
                <w:color w:val="auto"/>
                <w:w w:val="99"/>
              </w:rPr>
              <w:t>26</w:t>
            </w:r>
          </w:p>
        </w:tc>
        <w:tc>
          <w:tcPr>
            <w:tcW w:w="124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31</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B</w:t>
            </w:r>
          </w:p>
        </w:tc>
        <w:tc>
          <w:tcPr>
            <w:tcW w:w="1260" w:type="dxa"/>
            <w:vAlign w:val="bottom"/>
          </w:tcPr>
          <w:p>
            <w:pPr>
              <w:jc w:val="center"/>
              <w:ind w:left="767"/>
              <w:spacing w:after="0" w:line="168" w:lineRule="exact"/>
              <w:rPr>
                <w:sz w:val="20"/>
                <w:szCs w:val="20"/>
                <w:color w:val="auto"/>
              </w:rPr>
            </w:pPr>
            <w:r>
              <w:rPr>
                <w:rFonts w:ascii="Courier New" w:cs="Courier New" w:eastAsia="Courier New" w:hAnsi="Courier New"/>
                <w:sz w:val="15"/>
                <w:szCs w:val="15"/>
                <w:color w:val="auto"/>
                <w:w w:val="99"/>
              </w:rPr>
              <w:t>15</w:t>
            </w:r>
          </w:p>
        </w:tc>
        <w:tc>
          <w:tcPr>
            <w:tcW w:w="1240" w:type="dxa"/>
            <w:vAlign w:val="bottom"/>
          </w:tcPr>
          <w:p>
            <w:pPr>
              <w:spacing w:after="0"/>
              <w:rPr>
                <w:sz w:val="14"/>
                <w:szCs w:val="14"/>
                <w:color w:val="auto"/>
              </w:rPr>
            </w:pPr>
          </w:p>
        </w:tc>
        <w:tc>
          <w:tcPr>
            <w:tcW w:w="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C</w:t>
            </w:r>
          </w:p>
        </w:tc>
        <w:tc>
          <w:tcPr>
            <w:tcW w:w="1260" w:type="dxa"/>
            <w:vAlign w:val="bottom"/>
          </w:tcPr>
          <w:p>
            <w:pPr>
              <w:jc w:val="center"/>
              <w:ind w:left="767"/>
              <w:spacing w:after="0" w:line="168" w:lineRule="exact"/>
              <w:rPr>
                <w:sz w:val="20"/>
                <w:szCs w:val="20"/>
                <w:color w:val="auto"/>
              </w:rPr>
            </w:pPr>
            <w:r>
              <w:rPr>
                <w:rFonts w:ascii="Courier New" w:cs="Courier New" w:eastAsia="Courier New" w:hAnsi="Courier New"/>
                <w:sz w:val="15"/>
                <w:szCs w:val="15"/>
                <w:color w:val="auto"/>
                <w:w w:val="99"/>
              </w:rPr>
              <w:t>12</w:t>
            </w:r>
          </w:p>
        </w:tc>
        <w:tc>
          <w:tcPr>
            <w:tcW w:w="1240" w:type="dxa"/>
            <w:vAlign w:val="bottom"/>
          </w:tcPr>
          <w:p>
            <w:pPr>
              <w:spacing w:after="0"/>
              <w:rPr>
                <w:sz w:val="14"/>
                <w:szCs w:val="14"/>
                <w:color w:val="auto"/>
              </w:rPr>
            </w:pPr>
          </w:p>
        </w:tc>
        <w:tc>
          <w:tcPr>
            <w:tcW w:w="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D</w:t>
            </w:r>
          </w:p>
        </w:tc>
        <w:tc>
          <w:tcPr>
            <w:tcW w:w="1260" w:type="dxa"/>
            <w:vAlign w:val="bottom"/>
          </w:tcPr>
          <w:p>
            <w:pPr>
              <w:jc w:val="center"/>
              <w:ind w:left="767"/>
              <w:spacing w:after="0" w:line="168" w:lineRule="exact"/>
              <w:rPr>
                <w:sz w:val="20"/>
                <w:szCs w:val="20"/>
                <w:color w:val="auto"/>
              </w:rPr>
            </w:pPr>
            <w:r>
              <w:rPr>
                <w:rFonts w:ascii="Courier New" w:cs="Courier New" w:eastAsia="Courier New" w:hAnsi="Courier New"/>
                <w:sz w:val="15"/>
                <w:szCs w:val="15"/>
                <w:color w:val="auto"/>
                <w:w w:val="99"/>
              </w:rPr>
              <w:t>11</w:t>
            </w:r>
          </w:p>
        </w:tc>
        <w:tc>
          <w:tcPr>
            <w:tcW w:w="1240" w:type="dxa"/>
            <w:vAlign w:val="bottom"/>
          </w:tcPr>
          <w:p>
            <w:pPr>
              <w:spacing w:after="0"/>
              <w:rPr>
                <w:sz w:val="14"/>
                <w:szCs w:val="14"/>
                <w:color w:val="auto"/>
              </w:rPr>
            </w:pPr>
          </w:p>
        </w:tc>
        <w:tc>
          <w:tcPr>
            <w:tcW w:w="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E</w:t>
            </w:r>
          </w:p>
        </w:tc>
        <w:tc>
          <w:tcPr>
            <w:tcW w:w="1260" w:type="dxa"/>
            <w:vAlign w:val="bottom"/>
          </w:tcPr>
          <w:p>
            <w:pPr>
              <w:jc w:val="center"/>
              <w:ind w:left="767"/>
              <w:spacing w:after="0" w:line="168" w:lineRule="exact"/>
              <w:rPr>
                <w:sz w:val="20"/>
                <w:szCs w:val="20"/>
                <w:color w:val="auto"/>
              </w:rPr>
            </w:pPr>
            <w:r>
              <w:rPr>
                <w:rFonts w:ascii="Courier New" w:cs="Courier New" w:eastAsia="Courier New" w:hAnsi="Courier New"/>
                <w:sz w:val="15"/>
                <w:szCs w:val="15"/>
                <w:color w:val="auto"/>
                <w:w w:val="99"/>
              </w:rPr>
              <w:t>--</w:t>
            </w:r>
          </w:p>
        </w:tc>
        <w:tc>
          <w:tcPr>
            <w:tcW w:w="1240" w:type="dxa"/>
            <w:vAlign w:val="bottom"/>
          </w:tcPr>
          <w:p>
            <w:pPr>
              <w:spacing w:after="0"/>
              <w:rPr>
                <w:sz w:val="14"/>
                <w:szCs w:val="14"/>
                <w:color w:val="auto"/>
              </w:rPr>
            </w:pPr>
          </w:p>
        </w:tc>
        <w:tc>
          <w:tcPr>
            <w:tcW w:w="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540" w:type="dxa"/>
            <w:vAlign w:val="bottom"/>
          </w:tcPr>
          <w:p>
            <w:pPr>
              <w:spacing w:after="0"/>
              <w:rPr>
                <w:sz w:val="20"/>
                <w:szCs w:val="20"/>
                <w:color w:val="auto"/>
              </w:rPr>
            </w:pPr>
            <w:r>
              <w:rPr>
                <w:rFonts w:ascii="Courier New" w:cs="Courier New" w:eastAsia="Courier New" w:hAnsi="Courier New"/>
                <w:sz w:val="15"/>
                <w:szCs w:val="15"/>
                <w:color w:val="auto"/>
              </w:rPr>
              <w:t>Other customers (*)</w:t>
            </w: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w:t>
            </w:r>
          </w:p>
        </w:tc>
        <w:tc>
          <w:tcPr>
            <w:tcW w:w="124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18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1320" w:right="3319" w:hanging="436"/>
        <w:spacing w:after="0" w:line="273" w:lineRule="auto"/>
        <w:tabs>
          <w:tab w:leader="none" w:pos="13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sales to two different customers each of whom accounted for 2% of sales during the nine months ended September 30, 2003, and to four customers (2%-8%) during the nine months ended September 30, 2002.</w:t>
      </w:r>
    </w:p>
    <w:p>
      <w:pPr>
        <w:spacing w:after="0" w:line="200" w:lineRule="exact"/>
        <w:rPr>
          <w:sz w:val="20"/>
          <w:szCs w:val="20"/>
          <w:color w:val="auto"/>
        </w:rPr>
      </w:pPr>
    </w:p>
    <w:p>
      <w:pPr>
        <w:spacing w:after="0" w:line="2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598" w:right="1440" w:bottom="1440" w:gutter="0" w:footer="0" w:header="0"/>
        </w:sectPr>
      </w:pPr>
    </w:p>
    <w:bookmarkStart w:id="13" w:name="page14"/>
    <w:bookmarkEnd w:id="13"/>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FINANCIAL STATEMENTS AS OF SEPTEMBER 30, 2003</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0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3 -</w:t>
      </w:r>
      <w:r>
        <w:rPr>
          <w:sz w:val="20"/>
          <w:szCs w:val="20"/>
          <w:color w:val="auto"/>
        </w:rPr>
        <w:tab/>
      </w:r>
      <w:r>
        <w:rPr>
          <w:rFonts w:ascii="Courier New" w:cs="Courier New" w:eastAsia="Courier New" w:hAnsi="Courier New"/>
          <w:sz w:val="14"/>
          <w:szCs w:val="14"/>
          <w:color w:val="auto"/>
        </w:rPr>
        <w:t>RECENT DEVELOPMENTS RELATING TO FAB 2</w:t>
      </w:r>
    </w:p>
    <w:p>
      <w:pPr>
        <w:spacing w:after="0" w:line="166" w:lineRule="exact"/>
        <w:rPr>
          <w:sz w:val="20"/>
          <w:szCs w:val="20"/>
          <w:color w:val="auto"/>
        </w:rPr>
      </w:pPr>
    </w:p>
    <w:p>
      <w:pPr>
        <w:ind w:left="1320" w:right="3759" w:hanging="436"/>
        <w:spacing w:after="0" w:line="344" w:lineRule="auto"/>
        <w:tabs>
          <w:tab w:leader="none" w:pos="13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PRIMARY WAFER PARTNER AND EQUITY INVESTOR AGREEMENTS</w:t>
      </w:r>
    </w:p>
    <w:p>
      <w:pPr>
        <w:spacing w:after="0" w:line="17" w:lineRule="exact"/>
        <w:rPr>
          <w:rFonts w:ascii="Courier New" w:cs="Courier New" w:eastAsia="Courier New" w:hAnsi="Courier New"/>
          <w:sz w:val="15"/>
          <w:szCs w:val="15"/>
          <w:color w:val="auto"/>
        </w:rPr>
      </w:pPr>
    </w:p>
    <w:p>
      <w:pPr>
        <w:ind w:left="1320" w:right="3239"/>
        <w:spacing w:after="0" w:line="26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the first quarter of 2003, the Company's primary Wafer Partners and its Equity Investors entered into amendments to their agreements with the Company, pursuant to which the primary Wafer Partners and the Equity Investors agreed to advance their fifth and final milestone installment payment, in the aggregate amount of $41,069, regardless of its achievement. The amendments provided for the payment of an initial installment of $24,641 on account of the fifth milestone payment with the remaining $16,428 to be paid no later than December 31, 2003, subject to the Company's raising an aggregate of approximately $26,000 in additional funding for Fab 2 (the "Additional Raising Amount") from specified financial sources. These amendments were approved by the Company's shareholders in May 2003. In connection with these amendments, the Banks agreed to provide the Company with interim loans of up to $67,000, which were fully drawn down by the Company as of September 30, 2003.</w:t>
      </w:r>
    </w:p>
    <w:p>
      <w:pPr>
        <w:spacing w:after="0" w:line="252" w:lineRule="exact"/>
        <w:rPr>
          <w:rFonts w:ascii="Courier New" w:cs="Courier New" w:eastAsia="Courier New" w:hAnsi="Courier New"/>
          <w:sz w:val="15"/>
          <w:szCs w:val="15"/>
          <w:color w:val="auto"/>
        </w:rPr>
      </w:pPr>
    </w:p>
    <w:p>
      <w:pPr>
        <w:ind w:left="1320" w:right="3239"/>
        <w:spacing w:after="0" w:line="26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Through September 30, 2003, the primary Wafer Partners and Equity Investors invested an aggregate amount of $15,940 towards the aforementioned $24,641 first installment of the fifth milestone. In consideration for this investments, the primary Wafer Partners and the Equity Investors were issued 5,343,614 Ordinary Shares of the Company, based on the average closing sale price of the Company's Ordinary Shares for the 30 trading days prior to the date the Company's Board of Directors approved the amendments to the fifth milestone payment ($2.983 per share). In consideration for the second installment of the fifth milestone (based on the terms prior to the October 2003 proposed amendment described below), the primary Wafer Partners and the Equity Investors were to be issued fully-paid Ordinary Shares of the Company, based on the price at which the Company raises the Additional Raising Amount from specified financial sources.</w:t>
      </w:r>
    </w:p>
    <w:p>
      <w:pPr>
        <w:spacing w:after="0" w:line="84" w:lineRule="exact"/>
        <w:rPr>
          <w:rFonts w:ascii="Courier New" w:cs="Courier New" w:eastAsia="Courier New" w:hAnsi="Courier New"/>
          <w:sz w:val="15"/>
          <w:szCs w:val="15"/>
          <w:color w:val="auto"/>
        </w:rPr>
      </w:pPr>
    </w:p>
    <w:p>
      <w:pPr>
        <w:ind w:left="1320" w:right="32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abovementioned amendments, the primary Wafer Partners are entitled to convert an aggregate of up to $13,201 of the unutilized long-term customers' advances, which they may have as of December 31, 2005, into fully-paid Ordinary Shares of the Company, the amount of which shall be determined based on the average closing sale price of the Company's Ordinary Shares for the 15 trading days prior to such date. The option is exercisable during January 2006. In case such conversion occurs and the amount of shares issued is equivalent to or greater than 5% of the Company's outstanding share capital as of the conversion date, the Company has undertaken to offer to all of its other shareholders rights to purchase shares of the Company at the same price per share.</w:t>
      </w:r>
    </w:p>
    <w:p>
      <w:pPr>
        <w:spacing w:after="0" w:line="200" w:lineRule="exact"/>
        <w:rPr>
          <w:sz w:val="20"/>
          <w:szCs w:val="20"/>
          <w:color w:val="auto"/>
        </w:rPr>
      </w:pPr>
    </w:p>
    <w:p>
      <w:pPr>
        <w:spacing w:after="0" w:line="39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598" w:right="1440" w:bottom="1440" w:gutter="0" w:footer="0" w:header="0"/>
        </w:sectPr>
      </w:pPr>
    </w:p>
    <w:bookmarkStart w:id="14" w:name="page15"/>
    <w:bookmarkEnd w:id="14"/>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FINANCIAL STATEMENTS AS OF SEPTEMBER 30, 2003</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0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3 -</w:t>
      </w:r>
      <w:r>
        <w:rPr>
          <w:sz w:val="20"/>
          <w:szCs w:val="20"/>
          <w:color w:val="auto"/>
        </w:rPr>
        <w:tab/>
      </w:r>
      <w:r>
        <w:rPr>
          <w:rFonts w:ascii="Courier New" w:cs="Courier New" w:eastAsia="Courier New" w:hAnsi="Courier New"/>
          <w:sz w:val="14"/>
          <w:szCs w:val="14"/>
          <w:color w:val="auto"/>
        </w:rPr>
        <w:t>RECENT DEVELOPMENTS RELATING TO FAB 2 (cont.)</w:t>
      </w:r>
    </w:p>
    <w:p>
      <w:pPr>
        <w:spacing w:after="0" w:line="166" w:lineRule="exact"/>
        <w:rPr>
          <w:sz w:val="20"/>
          <w:szCs w:val="20"/>
          <w:color w:val="auto"/>
        </w:rPr>
      </w:pPr>
    </w:p>
    <w:p>
      <w:pPr>
        <w:ind w:left="1320" w:right="3759" w:hanging="436"/>
        <w:spacing w:after="0" w:line="344" w:lineRule="auto"/>
        <w:tabs>
          <w:tab w:leader="none" w:pos="13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PRIMARY WAFER PARTNER AND EQUITY INVESTOR AGREEMENTS (cont.)</w:t>
      </w:r>
    </w:p>
    <w:p>
      <w:pPr>
        <w:spacing w:after="0" w:line="17" w:lineRule="exact"/>
        <w:rPr>
          <w:rFonts w:ascii="Courier New" w:cs="Courier New" w:eastAsia="Courier New" w:hAnsi="Courier New"/>
          <w:sz w:val="15"/>
          <w:szCs w:val="15"/>
          <w:color w:val="auto"/>
        </w:rPr>
      </w:pPr>
    </w:p>
    <w:p>
      <w:pPr>
        <w:ind w:left="1320" w:right="323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October 2003, the Company agreed with its primary Wafer Partners and its Equity Investor to amend their agreements with the Company, pursuant to which the primary Wafer Partners and the Equity Investor agreed to invest $25,129 of the fifth milestone payment (their remaining portion of the initial installment and the second installment), immediately following the approval of this additional amendment by the Company's shareholders and regardless of whether or when the Company raised the Additional Raising Amount. Said amendment is subject to obtaining agreement from the Banks to the amendments to the Facility Agreement outlined in paragraph B below, to the Investment Center not having informed the Company that it is not continuing its funding of the Fab 2 project, and to concluding a final agreement between the Company and the primary Wafer Partners and Equity Investor.</w:t>
      </w:r>
    </w:p>
    <w:p>
      <w:pPr>
        <w:spacing w:after="0" w:line="80" w:lineRule="exact"/>
        <w:rPr>
          <w:rFonts w:ascii="Courier New" w:cs="Courier New" w:eastAsia="Courier New" w:hAnsi="Courier New"/>
          <w:sz w:val="15"/>
          <w:szCs w:val="15"/>
          <w:color w:val="auto"/>
        </w:rPr>
      </w:pPr>
    </w:p>
    <w:p>
      <w:pPr>
        <w:ind w:left="1320" w:right="323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According to October 2003 proposed amendment, which is subject to the Company's audit committee, Board of Directors and shareholders meeting approval, in consideration for their investment of the second installment of the fifth milestone, the primary Wafer Partners and the Equity Investor will be issued Ordinary Shares of the Company, based on the price per share at any public offering that might occur during a six-month period subsequent to the date on which the primary Wafer Partners and Equity Investor will make their investment. Otherwise, the price per share will be based on the average closing sale price of the Company's Ordinary Shares for the 15 trading days preceding their investment date. Yet, in case the Company raises at least an aggregate of $28,000 by no later than June 30, 2004, at an average price per share lower than the price per share used for the issuance of shares in consideration for the second installment of the fifth milestone, the primary Wafer Partners and the Equity Investor will be issued additional Ordinary Shares such that the per share price of the Ordinary Shares issued to them for their second installment investment is the same as the lowest price per share used to complete the $28,000 financing.</w:t>
      </w:r>
    </w:p>
    <w:p>
      <w:pPr>
        <w:spacing w:after="0" w:line="82" w:lineRule="exact"/>
        <w:rPr>
          <w:rFonts w:ascii="Courier New" w:cs="Courier New" w:eastAsia="Courier New" w:hAnsi="Courier New"/>
          <w:sz w:val="15"/>
          <w:szCs w:val="15"/>
          <w:color w:val="auto"/>
        </w:rPr>
      </w:pPr>
    </w:p>
    <w:p>
      <w:pPr>
        <w:ind w:left="1320" w:right="323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October 2003 proposed amendment, the Company granted each one of the primary Wafer Partners an option to convert, at the end of each quarter of the years 2004-2006, any amount that may be utilized against the long-term customer's advances, as derived from purchases made by each Wafer Partner during that quarter, into fully-paid Ordinary Shares of the Company. The amount of shares shall be determined based on the average closing sale price of the Company's Ordinary Shares for the 15 trading days preceding the end of each quarter. Any quarterly amount, which the Wafer Partners have elected not to so convert, will not be utilizable against purchases made subsequent to that quarter, and shall bear interest, payable at the end of each quarter, at an annual rate equal to three-month LIBOR plus 2.5% through December 31, 2007. The aggregate principal of the unconverted customers' advances, which could have been utilized against purchases and which the Wafer Partners elected not to convert into fully-paid Ordinary Shares of the Company, shall be fully repaid on December 31, 2007.</w:t>
      </w:r>
    </w:p>
    <w:p>
      <w:pPr>
        <w:spacing w:after="0" w:line="200" w:lineRule="exact"/>
        <w:rPr>
          <w:sz w:val="20"/>
          <w:szCs w:val="20"/>
          <w:color w:val="auto"/>
        </w:rPr>
      </w:pPr>
    </w:p>
    <w:p>
      <w:pPr>
        <w:spacing w:after="0" w:line="2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598" w:right="1440" w:bottom="1440" w:gutter="0" w:footer="0" w:header="0"/>
        </w:sectPr>
      </w:pPr>
    </w:p>
    <w:bookmarkStart w:id="15" w:name="page16"/>
    <w:bookmarkEnd w:id="15"/>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FINANCIAL STATEMENTS AS OF SEPTEMBER 30, 2003</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0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3 -</w:t>
      </w:r>
      <w:r>
        <w:rPr>
          <w:sz w:val="20"/>
          <w:szCs w:val="20"/>
          <w:color w:val="auto"/>
        </w:rPr>
        <w:tab/>
      </w:r>
      <w:r>
        <w:rPr>
          <w:rFonts w:ascii="Courier New" w:cs="Courier New" w:eastAsia="Courier New" w:hAnsi="Courier New"/>
          <w:sz w:val="14"/>
          <w:szCs w:val="14"/>
          <w:color w:val="auto"/>
        </w:rPr>
        <w:t>RECENT DEVELOPMENTS RELATING TO FAB 2 (cont.)</w:t>
      </w:r>
    </w:p>
    <w:p>
      <w:pPr>
        <w:spacing w:after="0" w:line="166" w:lineRule="exact"/>
        <w:rPr>
          <w:sz w:val="20"/>
          <w:szCs w:val="20"/>
          <w:color w:val="auto"/>
        </w:rPr>
      </w:pPr>
    </w:p>
    <w:p>
      <w:pPr>
        <w:ind w:left="1320" w:right="3759" w:hanging="436"/>
        <w:spacing w:after="0" w:line="344" w:lineRule="auto"/>
        <w:tabs>
          <w:tab w:leader="none" w:pos="13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PRIMARY WAFER PARTNER AND EQUITY INVESTOR AGREEMENTS (cont.)</w:t>
      </w:r>
    </w:p>
    <w:p>
      <w:pPr>
        <w:spacing w:after="0" w:line="17" w:lineRule="exact"/>
        <w:rPr>
          <w:rFonts w:ascii="Courier New" w:cs="Courier New" w:eastAsia="Courier New" w:hAnsi="Courier New"/>
          <w:sz w:val="15"/>
          <w:szCs w:val="15"/>
          <w:color w:val="auto"/>
        </w:rPr>
      </w:pPr>
    </w:p>
    <w:p>
      <w:pPr>
        <w:ind w:left="1320" w:right="3319"/>
        <w:spacing w:after="0" w:line="27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the Fab 2 investment agreements, the fifth and last milestone towards the Wafer Partners and Equity Investors was to have been achieved by mid-July 2003, when taking into account a seven and a half month grace period. The fifth milestone was not achieved by such date. As stated above, subject to obtaining all the approvals for the amendments as outlined below, the primary Wafer Partners and Equity Investors agreed to pay the fifth milestone installment payment despite the fact that it was not achieved as scheduled.</w:t>
      </w:r>
    </w:p>
    <w:p>
      <w:pPr>
        <w:spacing w:after="0" w:line="76" w:lineRule="exact"/>
        <w:rPr>
          <w:rFonts w:ascii="Courier New" w:cs="Courier New" w:eastAsia="Courier New" w:hAnsi="Courier New"/>
          <w:sz w:val="15"/>
          <w:szCs w:val="15"/>
          <w:color w:val="auto"/>
        </w:rPr>
      </w:pPr>
    </w:p>
    <w:p>
      <w:pPr>
        <w:ind w:left="1320" w:right="3319"/>
        <w:spacing w:after="0" w:line="26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part of the amendments described above, and subject to obtaining all the approvals as outlined below, the primary Wafer Partners and Equity Investors agreed to waive the requirement that the Company raise a cumulative total of $50,000 from new wafer partners by March 31, 2003.</w:t>
      </w:r>
    </w:p>
    <w:p>
      <w:pPr>
        <w:spacing w:after="0" w:line="74" w:lineRule="exact"/>
        <w:rPr>
          <w:rFonts w:ascii="Courier New" w:cs="Courier New" w:eastAsia="Courier New" w:hAnsi="Courier New"/>
          <w:sz w:val="15"/>
          <w:szCs w:val="15"/>
          <w:color w:val="auto"/>
        </w:rPr>
      </w:pPr>
    </w:p>
    <w:p>
      <w:pPr>
        <w:ind w:left="1320" w:right="323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October 2003 proposed amendment is subject to the approval of the Company's audit committee, Board of Directors and shareholders meeting, and to concluding a final agreement between the Company and the primary Wafer Partners and Equity Investor. In addition, the October 2003 proposed amendment is subject to the conclusion of a final comprehensive contract, including the detailed terms and conditions, with the Banks, as outlined in B below, and to the additional condition that the Investment Center shall not have informed the Company that it is not continuing its funding of the Fab 2 project.</w:t>
      </w:r>
    </w:p>
    <w:p>
      <w:pPr>
        <w:spacing w:after="0" w:line="87"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FAB 2 FACILITY AGREEMENT</w:t>
      </w:r>
    </w:p>
    <w:p>
      <w:pPr>
        <w:spacing w:after="0" w:line="166" w:lineRule="exact"/>
        <w:rPr>
          <w:rFonts w:ascii="Courier New" w:cs="Courier New" w:eastAsia="Courier New" w:hAnsi="Courier New"/>
          <w:sz w:val="15"/>
          <w:szCs w:val="15"/>
          <w:color w:val="auto"/>
        </w:rPr>
      </w:pPr>
    </w:p>
    <w:p>
      <w:pPr>
        <w:ind w:left="1320" w:right="32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second half of 2003, the Company and the Banks reached arrangements pursuant to which the Facility Agreement and certain of its provisions will be amended to reflect the updated plan for the construction of Fab 2, which was submitted to the Banks in June 2003. The updated plan calls for, among other things, a slower ramp-up for Fab 2 than originally planned and conforms the current fund-raising, production and capacity covenants in the Facility Agreement, including those described below, to the revised ramp-up.</w:t>
      </w:r>
    </w:p>
    <w:p>
      <w:pPr>
        <w:spacing w:after="0" w:line="88" w:lineRule="exact"/>
        <w:rPr>
          <w:rFonts w:ascii="Courier New" w:cs="Courier New" w:eastAsia="Courier New" w:hAnsi="Courier New"/>
          <w:sz w:val="15"/>
          <w:szCs w:val="15"/>
          <w:color w:val="auto"/>
        </w:rPr>
      </w:pPr>
    </w:p>
    <w:p>
      <w:pPr>
        <w:ind w:left="1320" w:right="3239"/>
        <w:spacing w:after="0" w:line="24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the updated plan submitted to the Banks, the revised remaining aggregate amount the Company is required to raise from specified financial sources is $152,000 (that amount includes fundraising the Company was obligated to raise from specified financial sources prior to revising the plan). This amount is to be raised by December 2005, at various dates through such period. In addition, the Banks have demanded that the primary Wafer Partners and Equity Investors will provide the Banks with a written undertaking relating to an aggregate amount of up to $50,000 in additional equity financing, in the event the Company fails to raise any of the fundraising milestones towards the $152,000 capital raising commitment. The Parent Company of ICTech, the Company's primary Equity Investor, the Israel Corporation Ltd. ("TIC"), has agreed to provide the Banks with this written undertaking.</w:t>
      </w:r>
    </w:p>
    <w:p>
      <w:pPr>
        <w:spacing w:after="0" w:line="200" w:lineRule="exact"/>
        <w:rPr>
          <w:sz w:val="20"/>
          <w:szCs w:val="20"/>
          <w:color w:val="auto"/>
        </w:rPr>
      </w:pPr>
    </w:p>
    <w:p>
      <w:pPr>
        <w:spacing w:after="0" w:line="22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598" w:right="1440" w:bottom="1440" w:gutter="0" w:footer="0" w:header="0"/>
        </w:sectPr>
      </w:pPr>
    </w:p>
    <w:bookmarkStart w:id="16" w:name="page17"/>
    <w:bookmarkEnd w:id="16"/>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FINANCIAL STATEMENTS AS OF SEPTEMBER 30, 2003</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0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3 -</w:t>
      </w:r>
      <w:r>
        <w:rPr>
          <w:sz w:val="20"/>
          <w:szCs w:val="20"/>
          <w:color w:val="auto"/>
        </w:rPr>
        <w:tab/>
      </w:r>
      <w:r>
        <w:rPr>
          <w:rFonts w:ascii="Courier New" w:cs="Courier New" w:eastAsia="Courier New" w:hAnsi="Courier New"/>
          <w:sz w:val="14"/>
          <w:szCs w:val="14"/>
          <w:color w:val="auto"/>
        </w:rPr>
        <w:t>RECENT DEVELOPMENTS RELATING TO FAB 2 (cont.)</w:t>
      </w:r>
    </w:p>
    <w:p>
      <w:pPr>
        <w:spacing w:after="0" w:line="166" w:lineRule="exact"/>
        <w:rPr>
          <w:sz w:val="20"/>
          <w:szCs w:val="20"/>
          <w:color w:val="auto"/>
        </w:rPr>
      </w:pPr>
    </w:p>
    <w:p>
      <w:pPr>
        <w:ind w:left="1320" w:hanging="436"/>
        <w:spacing w:after="0"/>
        <w:tabs>
          <w:tab w:leader="none" w:pos="13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FAB 2 FACILITY AGREEMENT (cont.)</w:t>
      </w:r>
    </w:p>
    <w:p>
      <w:pPr>
        <w:spacing w:after="0" w:line="166" w:lineRule="exact"/>
        <w:rPr>
          <w:rFonts w:ascii="Courier New" w:cs="Courier New" w:eastAsia="Courier New" w:hAnsi="Courier New"/>
          <w:sz w:val="15"/>
          <w:szCs w:val="15"/>
          <w:color w:val="auto"/>
        </w:rPr>
      </w:pPr>
    </w:p>
    <w:p>
      <w:pPr>
        <w:ind w:left="1320" w:right="323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Banks exercise the written undertaking, the Company agreed to consummate a rights offering within three months in the amount equal to the difference between what was to be raised towards the financing obligation and what the Company actually raised. The Company will offer units comprised of convertible debentures and warrants exercisable into Ordinary Shares. The convertible debentures will be convertible into Ordinary Shares (principal and compounded interest) at a rate equal to the amount that was to be raised plus the accumulated interest at such time of conversion divided by the lower of a (i) 50% discount of the closing price of the Company's Ordinary Shares on the trading day immediately prior to the date of the prospectus of the rights offering, or (ii) 50% discount of the average closing price of the Company's Ordinary Shares during the fifteen consecutive trading days preceding the date of the prospectus of the rights offering.</w:t>
      </w:r>
    </w:p>
    <w:p>
      <w:pPr>
        <w:spacing w:after="0" w:line="95" w:lineRule="exact"/>
        <w:rPr>
          <w:rFonts w:ascii="Courier New" w:cs="Courier New" w:eastAsia="Courier New" w:hAnsi="Courier New"/>
          <w:sz w:val="15"/>
          <w:szCs w:val="15"/>
          <w:color w:val="auto"/>
        </w:rPr>
      </w:pPr>
    </w:p>
    <w:p>
      <w:pPr>
        <w:ind w:left="1320" w:right="3239"/>
        <w:spacing w:after="0" w:line="27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Each warrant will be exercisable into one ordinary shares at such exercise price which is equivalent to 80% of the lower of: (i) the closing price of the Company's shares on the trading day immediately prior to the date of the prospectus of the rights offering or (ii) the average closing price of the Company's Ordinary Shares during the fifteen consecutive trading days preceding the date of the prospectus of the rights offering. The warrants shall expire five years from their date of issuance.</w:t>
      </w:r>
    </w:p>
    <w:p>
      <w:pPr>
        <w:spacing w:after="0" w:line="70" w:lineRule="exact"/>
        <w:rPr>
          <w:rFonts w:ascii="Courier New" w:cs="Courier New" w:eastAsia="Courier New" w:hAnsi="Courier New"/>
          <w:sz w:val="15"/>
          <w:szCs w:val="15"/>
          <w:color w:val="auto"/>
        </w:rPr>
      </w:pPr>
    </w:p>
    <w:p>
      <w:pPr>
        <w:ind w:left="1320" w:right="3239"/>
        <w:spacing w:after="0" w:line="24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Banks exercise the written undertaking, TIC and/or ICTech have undertaken to the Banks to exercise all of their rights under the rights offering. In addition, as part of TIC's undertaking, it will purchase additional securities in a private placement on the same terms as the rights offering, in an amount equal to 50/93 of the difference between the amount to be raised and the amount raised from shareholders other than TIC and/or ICTech, less any amount already invested in the rights offering by TIC and/or ICTech in connection with the exercise of their own rights. TIC's undertaking is limited to an aggregate of $50,000. If certain of the Company's shareholders participate in the above investments, then their investments will be deemed to be investments made by TIC in connection with the undertaking towards the $50,000. TIC may fulfill its investments through ICTech.</w:t>
      </w:r>
    </w:p>
    <w:p>
      <w:pPr>
        <w:spacing w:after="0" w:line="89" w:lineRule="exact"/>
        <w:rPr>
          <w:rFonts w:ascii="Courier New" w:cs="Courier New" w:eastAsia="Courier New" w:hAnsi="Courier New"/>
          <w:sz w:val="15"/>
          <w:szCs w:val="15"/>
          <w:color w:val="auto"/>
        </w:rPr>
      </w:pPr>
    </w:p>
    <w:p>
      <w:pPr>
        <w:ind w:left="1320" w:right="323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TIC's undertaking and the Company's obligation to consummate a rights offering expires on the earlier of: (i) such time that the Company will fulfill the fundraising obligation to raise an aggregate of $152,000 under the Facility Agreement; (ii) such time as TIC has invested an aggregate amount of $50,000 as described above; or (iii) June 30, 2006.</w:t>
      </w:r>
    </w:p>
    <w:p>
      <w:pPr>
        <w:spacing w:after="0" w:line="200" w:lineRule="exact"/>
        <w:rPr>
          <w:sz w:val="20"/>
          <w:szCs w:val="20"/>
          <w:color w:val="auto"/>
        </w:rPr>
      </w:pPr>
    </w:p>
    <w:p>
      <w:pPr>
        <w:spacing w:after="0" w:line="21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598" w:right="1440" w:bottom="1440" w:gutter="0" w:footer="0" w:header="0"/>
        </w:sectPr>
      </w:pPr>
    </w:p>
    <w:bookmarkStart w:id="17" w:name="page18"/>
    <w:bookmarkEnd w:id="17"/>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FINANCIAL STATEMENTS AS OF SEPTEMBER 30, 2003</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0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3 -</w:t>
      </w:r>
      <w:r>
        <w:rPr>
          <w:sz w:val="20"/>
          <w:szCs w:val="20"/>
          <w:color w:val="auto"/>
        </w:rPr>
        <w:tab/>
      </w:r>
      <w:r>
        <w:rPr>
          <w:rFonts w:ascii="Courier New" w:cs="Courier New" w:eastAsia="Courier New" w:hAnsi="Courier New"/>
          <w:sz w:val="14"/>
          <w:szCs w:val="14"/>
          <w:color w:val="auto"/>
        </w:rPr>
        <w:t>RECENT DEVELOPMENTS RELATING TO FAB 2 (cont.)</w:t>
      </w:r>
    </w:p>
    <w:p>
      <w:pPr>
        <w:spacing w:after="0" w:line="166" w:lineRule="exact"/>
        <w:rPr>
          <w:sz w:val="20"/>
          <w:szCs w:val="20"/>
          <w:color w:val="auto"/>
        </w:rPr>
      </w:pPr>
    </w:p>
    <w:p>
      <w:pPr>
        <w:ind w:left="1320" w:hanging="436"/>
        <w:spacing w:after="0"/>
        <w:tabs>
          <w:tab w:leader="none" w:pos="13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FAB 2 FACILITY AGREEMENT (cont.)</w:t>
      </w:r>
    </w:p>
    <w:p>
      <w:pPr>
        <w:spacing w:after="0" w:line="166" w:lineRule="exact"/>
        <w:rPr>
          <w:rFonts w:ascii="Courier New" w:cs="Courier New" w:eastAsia="Courier New" w:hAnsi="Courier New"/>
          <w:sz w:val="15"/>
          <w:szCs w:val="15"/>
          <w:color w:val="auto"/>
        </w:rPr>
      </w:pPr>
    </w:p>
    <w:p>
      <w:pPr>
        <w:ind w:left="1320" w:right="3319"/>
        <w:spacing w:after="0" w:line="27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Following the receipt of the above described investments from TIC, the Banks will increase the total amount which may be drawn under the Facility Agreement at a ratio of $43 for every $50 invested, up to $43,000 in the aggregate. Any drawn loan will be repayable by the earlier of (i) December 31, 2007 and (ii) three years from the date the loan is drawn. Should the Company draw down loans using this increased amount of facility, the Banks will be issued warrant coverage of the amount drawn down, based on mechanism which is under discussion.</w:t>
      </w:r>
    </w:p>
    <w:p>
      <w:pPr>
        <w:spacing w:after="0" w:line="76" w:lineRule="exact"/>
        <w:rPr>
          <w:rFonts w:ascii="Courier New" w:cs="Courier New" w:eastAsia="Courier New" w:hAnsi="Courier New"/>
          <w:sz w:val="15"/>
          <w:szCs w:val="15"/>
          <w:color w:val="auto"/>
        </w:rPr>
      </w:pPr>
    </w:p>
    <w:p>
      <w:pPr>
        <w:ind w:left="1320" w:right="3579"/>
        <w:spacing w:after="0" w:line="3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TIC's consideration and terms for its undertaking has not yet been concluded.</w:t>
      </w:r>
    </w:p>
    <w:p>
      <w:pPr>
        <w:spacing w:after="0" w:line="17" w:lineRule="exact"/>
        <w:rPr>
          <w:rFonts w:ascii="Courier New" w:cs="Courier New" w:eastAsia="Courier New" w:hAnsi="Courier New"/>
          <w:sz w:val="15"/>
          <w:szCs w:val="15"/>
          <w:color w:val="auto"/>
        </w:rPr>
      </w:pPr>
    </w:p>
    <w:p>
      <w:pPr>
        <w:ind w:left="1320" w:right="3239"/>
        <w:spacing w:after="0" w:line="26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Following certain bankruptcy related events, the Banks will be able to bring a firm offer made by a potential investor to purchase the Company's ordinary shares (the "Offer"). In such case, the Company shall be required to consummate a rights offering for investments of up to 60% of the amount of the Offer and on the same terms. If a condition of the Offer is to purchase at least a majority of the Company's issued and outstanding shares, the rights offering will be limited to allow for this, unless ICTech and the primary Wafer Partners agree to undertake to exercise all the rights they will be offered in the rights offering and to purchase the Company's ordinary shares to ensure that the full amount of the Offer is invested.</w:t>
      </w:r>
    </w:p>
    <w:p>
      <w:pPr>
        <w:spacing w:after="0" w:line="77" w:lineRule="exact"/>
        <w:rPr>
          <w:rFonts w:ascii="Courier New" w:cs="Courier New" w:eastAsia="Courier New" w:hAnsi="Courier New"/>
          <w:sz w:val="15"/>
          <w:szCs w:val="15"/>
          <w:color w:val="auto"/>
        </w:rPr>
      </w:pPr>
    </w:p>
    <w:p>
      <w:pPr>
        <w:ind w:left="1320" w:right="323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arrangements with the Banks are subject to conclusion of a final comprehensive contract, which is currently in its final stages, including the detailed terms and conditions of such contract; to the approval of the board of directors of the Company's primary Wafer Partners and Equity Investors; the Company's shareholders meeting; and other regulatory bodies. The Company and the Banks are currently preparing the documentation for the amendment to the Facility Agreement and are continuing to negotiate the underlying commercial terms for its implementation. These revised terms include, among others, the following revisions: a repayment of all the loans outstanding as of December 31, 2003 and a re-borrowing of that amount under the agreed upon revised terms, including, among others, a rise in the interest rates currently set forth in the Facility Agreement; a re-pricing of warrants issued previously to the Banks; an issuance of additional warrants to the Banks in connection with this amendment; a one-time fee payment to the Banks; and an increase of the total amounts that the Company may draw down under the Facility Agreement.</w:t>
      </w:r>
    </w:p>
    <w:p>
      <w:pPr>
        <w:spacing w:after="0" w:line="95" w:lineRule="exact"/>
        <w:rPr>
          <w:rFonts w:ascii="Courier New" w:cs="Courier New" w:eastAsia="Courier New" w:hAnsi="Courier New"/>
          <w:sz w:val="15"/>
          <w:szCs w:val="15"/>
          <w:color w:val="auto"/>
        </w:rPr>
      </w:pPr>
    </w:p>
    <w:p>
      <w:pPr>
        <w:ind w:left="1320" w:right="32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estimates that it is probable that the aforementioned arrangements with the Banks will be formalized into a comprehensive contract and that all other required approvals will be obtained. Management's estimate is based primarily on the discussions and negotiations with the Banks, the primary Wafer Partners and Equity Investors held prior and subsequent to the balance-sheet date. Completing this comprehensive contract with the Banks is material for the continuation of construction, equipping and operating of Fab 2.</w:t>
      </w:r>
    </w:p>
    <w:p>
      <w:pPr>
        <w:spacing w:after="0" w:line="200" w:lineRule="exact"/>
        <w:rPr>
          <w:sz w:val="20"/>
          <w:szCs w:val="20"/>
          <w:color w:val="auto"/>
        </w:rPr>
      </w:pPr>
    </w:p>
    <w:p>
      <w:pPr>
        <w:spacing w:after="0" w:line="2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598" w:right="1440" w:bottom="1440" w:gutter="0" w:footer="0" w:header="0"/>
        </w:sectPr>
      </w:pPr>
    </w:p>
    <w:bookmarkStart w:id="18" w:name="page19"/>
    <w:bookmarkEnd w:id="18"/>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FINANCIAL STATEMENTS AS OF SEPTEMBER 30, 2003</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0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3 -</w:t>
      </w:r>
      <w:r>
        <w:rPr>
          <w:sz w:val="20"/>
          <w:szCs w:val="20"/>
          <w:color w:val="auto"/>
        </w:rPr>
        <w:tab/>
      </w:r>
      <w:r>
        <w:rPr>
          <w:rFonts w:ascii="Courier New" w:cs="Courier New" w:eastAsia="Courier New" w:hAnsi="Courier New"/>
          <w:sz w:val="14"/>
          <w:szCs w:val="14"/>
          <w:color w:val="auto"/>
        </w:rPr>
        <w:t>RECENT DEVELOPMENTS RELATING TO FAB 2 (cont.)</w:t>
      </w:r>
    </w:p>
    <w:p>
      <w:pPr>
        <w:spacing w:after="0" w:line="166" w:lineRule="exact"/>
        <w:rPr>
          <w:sz w:val="20"/>
          <w:szCs w:val="20"/>
          <w:color w:val="auto"/>
        </w:rPr>
      </w:pPr>
    </w:p>
    <w:p>
      <w:pPr>
        <w:ind w:left="1320" w:hanging="436"/>
        <w:spacing w:after="0"/>
        <w:tabs>
          <w:tab w:leader="none" w:pos="13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FAB 2 FACILITY AGREEMENT (cont.)</w:t>
      </w:r>
    </w:p>
    <w:p>
      <w:pPr>
        <w:spacing w:after="0" w:line="166" w:lineRule="exact"/>
        <w:rPr>
          <w:rFonts w:ascii="Courier New" w:cs="Courier New" w:eastAsia="Courier New" w:hAnsi="Courier New"/>
          <w:sz w:val="15"/>
          <w:szCs w:val="15"/>
          <w:color w:val="auto"/>
        </w:rPr>
      </w:pPr>
    </w:p>
    <w:p>
      <w:pPr>
        <w:ind w:left="1320" w:right="323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the current Facility Agreement with the Banks, the Company is obligated to comply with certain financial ratios, primarily total shareholders' equity to total assets, and substantial additional material covenants in connection with the establishment of Fab 2, primarily production and capacity milestones. As of September 30, 2003 and as of the approval date of the interim financial statements, the Company had not raised approximately $24,000 of its fund raising covenant from specified financial sources. In addition, the Company did not achieve on time the fifth production and capacity milestone towards the Banks, and based on the updated plan for the construction of Fab 2, the Company does not expect to achieve on time the sixth milestone towards the Banks. As discussed in the previous paragraph, these covenants will be conformed to the updated plan for the construction of Fab 2 in connection with the amendments to the Facility Agreement.</w:t>
      </w:r>
    </w:p>
    <w:p>
      <w:pPr>
        <w:spacing w:after="0" w:line="95" w:lineRule="exact"/>
        <w:rPr>
          <w:rFonts w:ascii="Courier New" w:cs="Courier New" w:eastAsia="Courier New" w:hAnsi="Courier New"/>
          <w:sz w:val="15"/>
          <w:szCs w:val="15"/>
          <w:color w:val="auto"/>
        </w:rPr>
      </w:pPr>
    </w:p>
    <w:p>
      <w:pPr>
        <w:ind w:left="1320" w:right="3239"/>
        <w:spacing w:after="0" w:line="26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discussions and negotiation period, the Banks have limited the full amount the Company may draw down pursuant to the Facility Agreement. However, during the nine months ended September 30, 2003 the Banks provided the Company with loans in the aggregate amount of $97,000.</w:t>
      </w:r>
    </w:p>
    <w:p>
      <w:pPr>
        <w:spacing w:after="0" w:line="74"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ENTERPRISE STATUS</w:t>
      </w:r>
    </w:p>
    <w:p>
      <w:pPr>
        <w:spacing w:after="0" w:line="166" w:lineRule="exact"/>
        <w:rPr>
          <w:rFonts w:ascii="Courier New" w:cs="Courier New" w:eastAsia="Courier New" w:hAnsi="Courier New"/>
          <w:sz w:val="15"/>
          <w:szCs w:val="15"/>
          <w:color w:val="auto"/>
        </w:rPr>
      </w:pPr>
    </w:p>
    <w:p>
      <w:pPr>
        <w:ind w:left="1320" w:right="3399"/>
        <w:spacing w:after="0" w:line="26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the terms of the Fab 2 approved enterprise program, investments in respect of Fab 2 are to be completed by December 31, 2005, five years from the date the approval certificate was obtained. Due to the later than planned commencement of construction of Fab 2 and prevailing market conditions, the Company does not currently expect to complete Fab 2 investments by the end of 2005. The Company has notified the Investment Center of its revised investment schedule contemplated in the updated plan described in B above, and has also informed the Investment Center of the reduced rate of annual investments and lower than projected expectations for Fab 2 sales.</w:t>
      </w:r>
    </w:p>
    <w:p>
      <w:pPr>
        <w:spacing w:after="0" w:line="77" w:lineRule="exact"/>
        <w:rPr>
          <w:rFonts w:ascii="Courier New" w:cs="Courier New" w:eastAsia="Courier New" w:hAnsi="Courier New"/>
          <w:sz w:val="15"/>
          <w:szCs w:val="15"/>
          <w:color w:val="auto"/>
        </w:rPr>
      </w:pPr>
    </w:p>
    <w:p>
      <w:pPr>
        <w:ind w:left="1320" w:right="323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of the interim financial statements, the Company's revised investments plan is currently being evaluated by the Investment Center. While Israeli law currently limits the ability of the Investment Center to extend the investment period beyond five years, the Company's management estimates, based on discussions held with the Investment Center, that it is probable that satisfactory arrangements with the Investment Center in this regard will be made.</w:t>
      </w:r>
    </w:p>
    <w:p>
      <w:pPr>
        <w:spacing w:after="0" w:line="200" w:lineRule="exact"/>
        <w:rPr>
          <w:sz w:val="20"/>
          <w:szCs w:val="20"/>
          <w:color w:val="auto"/>
        </w:rPr>
      </w:pPr>
    </w:p>
    <w:p>
      <w:pPr>
        <w:spacing w:after="0" w:line="22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598" w:right="1440" w:bottom="1440" w:gutter="0" w:footer="0" w:header="0"/>
        </w:sectPr>
      </w:pPr>
    </w:p>
    <w:bookmarkStart w:id="19" w:name="page20"/>
    <w:bookmarkEnd w:id="19"/>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FINANCIAL STATEMENTS AS OF SEPTEMBER 30, 2003</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0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3 -</w:t>
      </w:r>
      <w:r>
        <w:rPr>
          <w:sz w:val="20"/>
          <w:szCs w:val="20"/>
          <w:color w:val="auto"/>
        </w:rPr>
        <w:tab/>
      </w:r>
      <w:r>
        <w:rPr>
          <w:rFonts w:ascii="Courier New" w:cs="Courier New" w:eastAsia="Courier New" w:hAnsi="Courier New"/>
          <w:sz w:val="14"/>
          <w:szCs w:val="14"/>
          <w:color w:val="auto"/>
        </w:rPr>
        <w:t>RECENT DEVELOPMENTS RELATING TO FAB 2 (cont.)</w:t>
      </w:r>
    </w:p>
    <w:p>
      <w:pPr>
        <w:spacing w:after="0" w:line="166" w:lineRule="exact"/>
        <w:rPr>
          <w:sz w:val="20"/>
          <w:szCs w:val="20"/>
          <w:color w:val="auto"/>
        </w:rPr>
      </w:pPr>
    </w:p>
    <w:p>
      <w:pPr>
        <w:ind w:left="1320" w:hanging="436"/>
        <w:spacing w:after="0"/>
        <w:tabs>
          <w:tab w:leader="none" w:pos="13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AND AMORTIZATION OF FAB 2 ASSETS</w:t>
      </w:r>
    </w:p>
    <w:p>
      <w:pPr>
        <w:spacing w:after="0" w:line="166" w:lineRule="exact"/>
        <w:rPr>
          <w:rFonts w:ascii="Courier New" w:cs="Courier New" w:eastAsia="Courier New" w:hAnsi="Courier New"/>
          <w:sz w:val="15"/>
          <w:szCs w:val="15"/>
          <w:color w:val="auto"/>
        </w:rPr>
      </w:pPr>
    </w:p>
    <w:p>
      <w:pPr>
        <w:ind w:left="1320" w:right="3499"/>
        <w:spacing w:after="0" w:line="27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commencement of operations of Fab 2, the Company incurred during the third quarter of 2003 depreciation and amortization expenses, of which a total amount of $17,262 was included in cost of sales.</w:t>
      </w:r>
    </w:p>
    <w:p>
      <w:pPr>
        <w:spacing w:after="0" w:line="67"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ISRAELI BANKING REGULATIONS</w:t>
      </w:r>
    </w:p>
    <w:p>
      <w:pPr>
        <w:spacing w:after="0" w:line="166" w:lineRule="exact"/>
        <w:rPr>
          <w:rFonts w:ascii="Courier New" w:cs="Courier New" w:eastAsia="Courier New" w:hAnsi="Courier New"/>
          <w:sz w:val="15"/>
          <w:szCs w:val="15"/>
          <w:color w:val="auto"/>
        </w:rPr>
      </w:pPr>
    </w:p>
    <w:p>
      <w:pPr>
        <w:ind w:left="1320" w:right="3239"/>
        <w:spacing w:after="0" w:line="26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Pursuant to a recent amendment to a directive of the Supervisor of Banks dealing with the maximum amount of debt financing that a bank may extend to a borrower or a group of borrowers, the Company may be deemed to be included among a group of borrowers commencing March 31, 2004. The directive provides for limitations relating to the total amount of debt financing to be extended from a bank to, among others, (a) a group of borrowers (an amount not exceeding 30% of such bank's capital); and (b) the six largest borrowers or groups of borrowers (an amount not exceeding 135% of such bank's capital). Any entity that is included within such a group of borrowers or that belongs to one of the six most larger groups of borrowers, will not be able to receive any further loans from this bank, and might be required to reduce amounts previously drawn down from this bank. Accordingly, this directive might, if at all, limit the amount of loans the Company may draw down from Israeli banks.</w:t>
      </w:r>
    </w:p>
    <w:p>
      <w:pPr>
        <w:spacing w:after="0" w:line="252"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AGREEMENTS</w:t>
      </w:r>
    </w:p>
    <w:p>
      <w:pPr>
        <w:spacing w:after="0" w:line="166" w:lineRule="exact"/>
        <w:rPr>
          <w:rFonts w:ascii="Courier New" w:cs="Courier New" w:eastAsia="Courier New" w:hAnsi="Courier New"/>
          <w:sz w:val="15"/>
          <w:szCs w:val="15"/>
          <w:color w:val="auto"/>
        </w:rPr>
      </w:pPr>
    </w:p>
    <w:p>
      <w:pPr>
        <w:ind w:left="1320" w:right="339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Through September 30, 2003 the Company had entered into several additional agreements related mainly to the construction, equipping and transfer of technology for Fab 2. The Company's aggregate commitment in connection with these agreements as of such date, including the Fab 2 construction agreement, amounted to $41,042.</w:t>
      </w:r>
    </w:p>
    <w:p>
      <w:pPr>
        <w:spacing w:after="0" w:line="200" w:lineRule="exact"/>
        <w:rPr>
          <w:sz w:val="20"/>
          <w:szCs w:val="20"/>
          <w:color w:val="auto"/>
        </w:rPr>
      </w:pPr>
    </w:p>
    <w:p>
      <w:pPr>
        <w:spacing w:after="0" w:line="21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598" w:right="1440" w:bottom="1440" w:gutter="0" w:footer="0" w:header="0"/>
        </w:sectPr>
      </w:pPr>
    </w:p>
    <w:bookmarkStart w:id="20" w:name="page21"/>
    <w:bookmarkEnd w:id="20"/>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FINANCIAL STATEMENTS AS OF SEPTEMBER 30, 2003</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0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4 -</w:t>
      </w:r>
      <w:r>
        <w:rPr>
          <w:sz w:val="20"/>
          <w:szCs w:val="20"/>
          <w:color w:val="auto"/>
        </w:rPr>
        <w:tab/>
      </w:r>
      <w:r>
        <w:rPr>
          <w:rFonts w:ascii="Courier New" w:cs="Courier New" w:eastAsia="Courier New" w:hAnsi="Courier New"/>
          <w:sz w:val="14"/>
          <w:szCs w:val="14"/>
          <w:color w:val="auto"/>
        </w:rPr>
        <w:t>OTHER RECENT DEVELOPMENTS</w:t>
      </w:r>
    </w:p>
    <w:p>
      <w:pPr>
        <w:spacing w:after="0" w:line="166" w:lineRule="exact"/>
        <w:rPr>
          <w:sz w:val="20"/>
          <w:szCs w:val="20"/>
          <w:color w:val="auto"/>
        </w:rPr>
      </w:pPr>
    </w:p>
    <w:p>
      <w:pPr>
        <w:ind w:left="1320" w:hanging="436"/>
        <w:spacing w:after="0"/>
        <w:tabs>
          <w:tab w:leader="none" w:pos="13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w:t>
      </w:r>
    </w:p>
    <w:p>
      <w:pPr>
        <w:spacing w:after="0" w:line="166" w:lineRule="exact"/>
        <w:rPr>
          <w:rFonts w:ascii="Courier New" w:cs="Courier New" w:eastAsia="Courier New" w:hAnsi="Courier New"/>
          <w:sz w:val="15"/>
          <w:szCs w:val="15"/>
          <w:color w:val="auto"/>
        </w:rPr>
      </w:pPr>
    </w:p>
    <w:p>
      <w:pPr>
        <w:ind w:left="1760" w:right="3239" w:hanging="438"/>
        <w:spacing w:after="0" w:line="255" w:lineRule="auto"/>
        <w:tabs>
          <w:tab w:leader="none" w:pos="176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framework of the Company's Board of Directors resolution to increase the total number of options available for grant under all the Company's share option plans, 1,737,421 options were added to the Company's share option plans in 2003. Of that amount 1,609,600 options were granted to employees during the nine-month period ended September 30, 2003.</w:t>
      </w:r>
    </w:p>
    <w:p>
      <w:pPr>
        <w:spacing w:after="0" w:line="81" w:lineRule="exact"/>
        <w:rPr>
          <w:rFonts w:ascii="Courier New" w:cs="Courier New" w:eastAsia="Courier New" w:hAnsi="Courier New"/>
          <w:sz w:val="15"/>
          <w:szCs w:val="15"/>
          <w:color w:val="auto"/>
        </w:rPr>
      </w:pPr>
    </w:p>
    <w:p>
      <w:pPr>
        <w:ind w:left="1760" w:right="3239" w:hanging="438"/>
        <w:spacing w:after="0" w:line="261" w:lineRule="auto"/>
        <w:tabs>
          <w:tab w:leader="none" w:pos="176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TO THE COMPANY'S CHAIRMAN OF THE BOARD OF DIRECTORS - In March 2003, the Board of Directors of the Company approved a share option plan, which was approved by the Company's shareholders in May 2003, pursuant to which the Company's Chairman of the Board of Directors ("Chairman") is entitled to receive the right to purchase up to 1,043,000 Ordinary Shares of the Company at an exercise price of $2.983, an exercise price which is higher than the Company's share price at the date of the approval by the Board of Directors, and is equivalent to the average closing trading price for the ordinary shares during the 30 consecutive trading days preceding the date of board approval of the amendment to the Fab 2 Investment Agreements described in Note 3A above. Options granted under the plan vest over a five-year period according to various vesting schedules. The vesting of the options is subject to the Chairman's serving as the Chairman or as the Company's Chief Executive Officer or President on the relevant vesting dates. The options granted are exercisable for a period of five years from the date on which the options vest.</w:t>
      </w:r>
    </w:p>
    <w:p>
      <w:pPr>
        <w:spacing w:after="0" w:line="82" w:lineRule="exact"/>
        <w:rPr>
          <w:rFonts w:ascii="Courier New" w:cs="Courier New" w:eastAsia="Courier New" w:hAnsi="Courier New"/>
          <w:sz w:val="14"/>
          <w:szCs w:val="14"/>
          <w:color w:val="auto"/>
        </w:rPr>
      </w:pPr>
    </w:p>
    <w:p>
      <w:pPr>
        <w:ind w:left="1320" w:hanging="436"/>
        <w:spacing w:after="0"/>
        <w:tabs>
          <w:tab w:leader="none" w:pos="13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AUTHORIZED ORDINARY SHARES</w:t>
      </w:r>
    </w:p>
    <w:p>
      <w:pPr>
        <w:spacing w:after="0" w:line="166" w:lineRule="exact"/>
        <w:rPr>
          <w:rFonts w:ascii="Courier New" w:cs="Courier New" w:eastAsia="Courier New" w:hAnsi="Courier New"/>
          <w:sz w:val="15"/>
          <w:szCs w:val="15"/>
          <w:color w:val="auto"/>
        </w:rPr>
      </w:pPr>
    </w:p>
    <w:p>
      <w:pPr>
        <w:jc w:val="both"/>
        <w:ind w:left="1320" w:right="3399"/>
        <w:spacing w:after="0" w:line="29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May 2003, the Company's shareholders approved an increase in the Company's authorized ordinary shares from 70,000,000 shares to 100,000,000 shares.</w:t>
      </w:r>
    </w:p>
    <w:p>
      <w:pPr>
        <w:spacing w:after="0" w:line="5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ACTION</w:t>
      </w:r>
    </w:p>
    <w:p>
      <w:pPr>
        <w:spacing w:after="0" w:line="166" w:lineRule="exact"/>
        <w:rPr>
          <w:rFonts w:ascii="Courier New" w:cs="Courier New" w:eastAsia="Courier New" w:hAnsi="Courier New"/>
          <w:sz w:val="15"/>
          <w:szCs w:val="15"/>
          <w:color w:val="auto"/>
        </w:rPr>
      </w:pPr>
    </w:p>
    <w:p>
      <w:pPr>
        <w:ind w:left="1320" w:right="3239"/>
        <w:spacing w:after="0" w:line="26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July 2003, certain shareholders of the Company filed a shareholders' class action complaint in the United States against the Company and certain of its directors, Wafer Partners and Equity Investors (the "Defendants"). The plaintiffs have asserted claims arising under the Securities Exchange Act of 1934, alleging misstatements and omissions made by the Defendants in materials sent to the Company's shareholders in April 2002 with respect to the approval of an amendment to the Company's investment agreements with its Fab 2 investors. The plaintiffs seek damages in unspecified amounts and unspecified rescissory relief. The Company believes that the complaint is without merit and intends to vigorously contest it.</w:t>
      </w:r>
    </w:p>
    <w:p>
      <w:pPr>
        <w:spacing w:after="0" w:line="200" w:lineRule="exact"/>
        <w:rPr>
          <w:sz w:val="20"/>
          <w:szCs w:val="20"/>
          <w:color w:val="auto"/>
        </w:rPr>
      </w:pPr>
    </w:p>
    <w:p>
      <w:pPr>
        <w:spacing w:after="0" w:line="21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598" w:right="1440" w:bottom="1440" w:gutter="0" w:footer="0" w:header="0"/>
        </w:sectPr>
      </w:pPr>
    </w:p>
    <w:bookmarkStart w:id="21" w:name="page22"/>
    <w:bookmarkEnd w:id="21"/>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FINANCIAL STATEMENTS AS OF SEPTEMBER 30, 2003</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0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5 -</w:t>
      </w:r>
      <w:r>
        <w:rPr>
          <w:sz w:val="20"/>
          <w:szCs w:val="20"/>
          <w:color w:val="auto"/>
        </w:rPr>
        <w:tab/>
      </w:r>
      <w:r>
        <w:rPr>
          <w:rFonts w:ascii="Courier New" w:cs="Courier New" w:eastAsia="Courier New" w:hAnsi="Courier New"/>
          <w:sz w:val="14"/>
          <w:szCs w:val="14"/>
          <w:color w:val="auto"/>
        </w:rPr>
        <w:t>MATERIAL DIFFERENCES BETWEEN ISRAELI AND U.S. GAAP</w:t>
      </w:r>
    </w:p>
    <w:p>
      <w:pPr>
        <w:spacing w:after="0" w:line="166" w:lineRule="exact"/>
        <w:rPr>
          <w:sz w:val="20"/>
          <w:szCs w:val="20"/>
          <w:color w:val="auto"/>
        </w:rPr>
      </w:pPr>
    </w:p>
    <w:p>
      <w:pPr>
        <w:ind w:left="880" w:right="3319"/>
        <w:spacing w:after="0" w:line="264" w:lineRule="auto"/>
        <w:rPr>
          <w:sz w:val="20"/>
          <w:szCs w:val="20"/>
          <w:color w:val="auto"/>
        </w:rPr>
      </w:pPr>
      <w:r>
        <w:rPr>
          <w:rFonts w:ascii="Courier New" w:cs="Courier New" w:eastAsia="Courier New" w:hAnsi="Courier New"/>
          <w:sz w:val="15"/>
          <w:szCs w:val="15"/>
          <w:color w:val="auto"/>
        </w:rPr>
        <w:t>With regard to the Company's interim financial statements, the material differences between GAAP in Israel and in the U.S. relate to the following. See F below for the presentation of the Company's unaudited balance sheet as of September 30, 2003 in accordance with U.S. GAAP.</w:t>
      </w:r>
    </w:p>
    <w:p>
      <w:pPr>
        <w:spacing w:after="0" w:line="75" w:lineRule="exact"/>
        <w:rPr>
          <w:sz w:val="20"/>
          <w:szCs w:val="20"/>
          <w:color w:val="auto"/>
        </w:rPr>
      </w:pPr>
    </w:p>
    <w:p>
      <w:pPr>
        <w:ind w:left="1320" w:right="3319" w:hanging="436"/>
        <w:spacing w:after="0" w:line="307" w:lineRule="auto"/>
        <w:tabs>
          <w:tab w:leader="none" w:pos="13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CASH AND SHORT-TERM AND LONG-TERM INTEREST-BEARING DEPOSITS DESIGNATED FOR INVESTMENTS RELATING TO FAB 2</w:t>
      </w:r>
    </w:p>
    <w:p>
      <w:pPr>
        <w:spacing w:after="0" w:line="238" w:lineRule="exact"/>
        <w:rPr>
          <w:rFonts w:ascii="Courier New" w:cs="Courier New" w:eastAsia="Courier New" w:hAnsi="Courier New"/>
          <w:sz w:val="15"/>
          <w:szCs w:val="15"/>
          <w:color w:val="auto"/>
        </w:rPr>
      </w:pPr>
    </w:p>
    <w:p>
      <w:pPr>
        <w:ind w:left="1320" w:right="33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U.S. GAAP, cash, short-term and long-term interest-bearing deposits designated for investments relating to Fab 2 should be excluded from current assets and long-term investments and presented separately as a non-current asset. Accordingly, as of September 30, 2003 $1,659 and $11,945 were reclassified, respectively, from current assets and long-term investments to a long-term asset (as of December 31, 2002 - $51,338 and $11,893, respectively).</w:t>
      </w:r>
    </w:p>
    <w:p>
      <w:pPr>
        <w:spacing w:after="0" w:line="86"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PRESENTATION OF NET LONG-TERM LIABILITIES IN RESPECT OF EMPLOYEES</w:t>
      </w:r>
    </w:p>
    <w:p>
      <w:pPr>
        <w:spacing w:after="0" w:line="177" w:lineRule="exact"/>
        <w:rPr>
          <w:rFonts w:ascii="Courier New" w:cs="Courier New" w:eastAsia="Courier New" w:hAnsi="Courier New"/>
          <w:sz w:val="14"/>
          <w:szCs w:val="14"/>
          <w:color w:val="auto"/>
        </w:rPr>
      </w:pPr>
    </w:p>
    <w:p>
      <w:pPr>
        <w:ind w:left="1320" w:right="3579"/>
        <w:spacing w:after="0" w:line="28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Under U.S. GAAP, assets and liabilities relating to severance arrangements are to be presented separately and are not to be offset. Accordingly, as of September 30, 2003 an amount of $13,904 was reclassified from other long-term liabilities to long-term investments (as of December 31, 2002 - $12,368).</w:t>
      </w:r>
    </w:p>
    <w:p>
      <w:pPr>
        <w:spacing w:after="0" w:line="60" w:lineRule="exact"/>
        <w:rPr>
          <w:rFonts w:ascii="Courier New" w:cs="Courier New" w:eastAsia="Courier New" w:hAnsi="Courier New"/>
          <w:sz w:val="14"/>
          <w:szCs w:val="14"/>
          <w:color w:val="auto"/>
        </w:rPr>
      </w:pPr>
    </w:p>
    <w:p>
      <w:pPr>
        <w:ind w:left="1320" w:hanging="436"/>
        <w:spacing w:after="0"/>
        <w:tabs>
          <w:tab w:leader="none" w:pos="13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 IN ACCORDANCE WITH U.S. GAAP (SFAS 133)</w:t>
      </w:r>
    </w:p>
    <w:p>
      <w:pPr>
        <w:spacing w:after="0" w:line="166" w:lineRule="exact"/>
        <w:rPr>
          <w:rFonts w:ascii="Courier New" w:cs="Courier New" w:eastAsia="Courier New" w:hAnsi="Courier New"/>
          <w:sz w:val="15"/>
          <w:szCs w:val="15"/>
          <w:color w:val="auto"/>
        </w:rPr>
      </w:pPr>
    </w:p>
    <w:p>
      <w:pPr>
        <w:ind w:left="1320" w:right="32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Complying with SFAS 133 and SFAS 138 and the related interpretations thereon with respect to the Company's hedging transactions as of September 30, 2003 would have resulted in: an increase in other long-term liabilities in the amount of $12,186; an increase in other comprehensive loss for the nine months ended September 30, 2003 in the net amount of $658 and in the accumulated other comprehensive loss component of equity as of such date in the amount of $18,495; and in a decrease of $6,279 in property and equipment, net as of September 30, 2003.</w:t>
      </w:r>
    </w:p>
    <w:p>
      <w:pPr>
        <w:spacing w:after="0" w:line="88" w:lineRule="exact"/>
        <w:rPr>
          <w:rFonts w:ascii="Courier New" w:cs="Courier New" w:eastAsia="Courier New" w:hAnsi="Courier New"/>
          <w:sz w:val="15"/>
          <w:szCs w:val="15"/>
          <w:color w:val="auto"/>
        </w:rPr>
      </w:pPr>
    </w:p>
    <w:p>
      <w:pPr>
        <w:ind w:left="1320" w:right="339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commencement of operations of Fab 2 during the third quarter of 2003, $6,641 of the aggregate comprehensive loss, which is attributable to property and equipment, is amortized on a straight-line method over five years, in corresponding to the economic useful lives of the machinery and equipment.</w:t>
      </w:r>
    </w:p>
    <w:p>
      <w:pPr>
        <w:spacing w:after="0" w:line="200" w:lineRule="exact"/>
        <w:rPr>
          <w:sz w:val="20"/>
          <w:szCs w:val="20"/>
          <w:color w:val="auto"/>
        </w:rPr>
      </w:pPr>
    </w:p>
    <w:p>
      <w:pPr>
        <w:spacing w:after="0" w:line="21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598" w:right="1440" w:bottom="1440" w:gutter="0" w:footer="0" w:header="0"/>
        </w:sectPr>
      </w:pPr>
    </w:p>
    <w:bookmarkStart w:id="22" w:name="page23"/>
    <w:bookmarkEnd w:id="22"/>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FINANCIAL STATEMENTS AS OF SEPTEMBER 30, 2003</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0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5 -</w:t>
      </w:r>
      <w:r>
        <w:rPr>
          <w:sz w:val="20"/>
          <w:szCs w:val="20"/>
          <w:color w:val="auto"/>
        </w:rPr>
        <w:tab/>
      </w:r>
      <w:r>
        <w:rPr>
          <w:rFonts w:ascii="Courier New" w:cs="Courier New" w:eastAsia="Courier New" w:hAnsi="Courier New"/>
          <w:sz w:val="14"/>
          <w:szCs w:val="14"/>
          <w:color w:val="auto"/>
        </w:rPr>
        <w:t>MATERIAL DIFFERENCES BETWEEN ISRAELI AND U.S. GAAP (cont.)</w:t>
      </w:r>
    </w:p>
    <w:p>
      <w:pPr>
        <w:spacing w:after="0" w:line="166" w:lineRule="exact"/>
        <w:rPr>
          <w:sz w:val="20"/>
          <w:szCs w:val="20"/>
          <w:color w:val="auto"/>
        </w:rPr>
      </w:pPr>
    </w:p>
    <w:p>
      <w:pPr>
        <w:ind w:left="1320" w:hanging="436"/>
        <w:spacing w:after="0"/>
        <w:tabs>
          <w:tab w:leader="none" w:pos="13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IMPLEMENTATION OF SFAS 123 AND SFAS 148</w:t>
      </w:r>
    </w:p>
    <w:p>
      <w:pPr>
        <w:spacing w:after="0" w:line="166" w:lineRule="exact"/>
        <w:rPr>
          <w:rFonts w:ascii="Courier New" w:cs="Courier New" w:eastAsia="Courier New" w:hAnsi="Courier New"/>
          <w:sz w:val="15"/>
          <w:szCs w:val="15"/>
          <w:color w:val="auto"/>
        </w:rPr>
      </w:pPr>
    </w:p>
    <w:p>
      <w:pPr>
        <w:ind w:left="1320" w:right="3399"/>
        <w:spacing w:after="0" w:line="26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Had compensation cost for the Company's share option plans been determined based on fair value at the grant dates of the awards in accordance with SFAS 123, as amended by SFAS 148, the Company's pro forma loss and loss per share would have been as follows:</w:t>
      </w:r>
    </w:p>
    <w:p>
      <w:pPr>
        <w:spacing w:after="0" w:line="200" w:lineRule="exact"/>
        <w:rPr>
          <w:sz w:val="20"/>
          <w:szCs w:val="20"/>
          <w:color w:val="auto"/>
        </w:rPr>
      </w:pPr>
    </w:p>
    <w:p>
      <w:pPr>
        <w:spacing w:after="0" w:line="209"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60" w:type="dxa"/>
            <w:vAlign w:val="bottom"/>
            <w:gridSpan w:val="3"/>
          </w:tcPr>
          <w:p>
            <w:pPr>
              <w:spacing w:after="0"/>
              <w:rPr>
                <w:sz w:val="20"/>
                <w:szCs w:val="20"/>
                <w:color w:val="auto"/>
              </w:rPr>
            </w:pPr>
            <w:r>
              <w:rPr>
                <w:rFonts w:ascii="Courier New" w:cs="Courier New" w:eastAsia="Courier New" w:hAnsi="Courier New"/>
                <w:sz w:val="15"/>
                <w:szCs w:val="15"/>
                <w:color w:val="auto"/>
              </w:rPr>
              <w:t>NINE MONTHS ENDED</w:t>
            </w:r>
          </w:p>
        </w:tc>
        <w:tc>
          <w:tcPr>
            <w:tcW w:w="3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THREE MONTHS</w:t>
            </w:r>
          </w:p>
        </w:tc>
        <w:tc>
          <w:tcPr>
            <w:tcW w:w="9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ENDED</w:t>
            </w:r>
          </w:p>
        </w:tc>
        <w:tc>
          <w:tcPr>
            <w:tcW w:w="0" w:type="dxa"/>
            <w:vAlign w:val="bottom"/>
          </w:tcPr>
          <w:p>
            <w:pPr>
              <w:spacing w:after="0"/>
              <w:rPr>
                <w:sz w:val="1"/>
                <w:szCs w:val="1"/>
                <w:color w:val="auto"/>
              </w:rPr>
            </w:pPr>
          </w:p>
        </w:tc>
      </w:tr>
      <w:tr>
        <w:trPr>
          <w:trHeight w:val="168"/>
        </w:trPr>
        <w:tc>
          <w:tcPr>
            <w:tcW w:w="3360" w:type="dxa"/>
            <w:vAlign w:val="bottom"/>
          </w:tcPr>
          <w:p>
            <w:pPr>
              <w:spacing w:after="0"/>
              <w:rPr>
                <w:sz w:val="14"/>
                <w:szCs w:val="14"/>
                <w:color w:val="auto"/>
              </w:rPr>
            </w:pPr>
          </w:p>
        </w:tc>
        <w:tc>
          <w:tcPr>
            <w:tcW w:w="840" w:type="dxa"/>
            <w:vAlign w:val="bottom"/>
          </w:tcPr>
          <w:p>
            <w:pPr>
              <w:ind w:left="580"/>
              <w:spacing w:after="0"/>
              <w:rPr>
                <w:sz w:val="20"/>
                <w:szCs w:val="20"/>
                <w:color w:val="auto"/>
              </w:rPr>
            </w:pPr>
            <w:r>
              <w:rPr>
                <w:rFonts w:ascii="Courier New" w:cs="Courier New" w:eastAsia="Courier New" w:hAnsi="Courier New"/>
                <w:sz w:val="2"/>
                <w:szCs w:val="2"/>
                <w:color w:val="auto"/>
                <w:w w:val="86"/>
              </w:rPr>
              <w:t>-----------------------</w:t>
            </w:r>
          </w:p>
        </w:tc>
        <w:tc>
          <w:tcPr>
            <w:tcW w:w="1960" w:type="dxa"/>
            <w:vAlign w:val="bottom"/>
            <w:gridSpan w:val="3"/>
            <w:vMerge w:val="restart"/>
          </w:tcPr>
          <w:p>
            <w:pPr>
              <w:jc w:val="right"/>
              <w:ind w:right="567"/>
              <w:spacing w:after="0"/>
              <w:rPr>
                <w:sz w:val="20"/>
                <w:szCs w:val="20"/>
                <w:color w:val="auto"/>
              </w:rPr>
            </w:pPr>
            <w:r>
              <w:rPr>
                <w:rFonts w:ascii="Courier New" w:cs="Courier New" w:eastAsia="Courier New" w:hAnsi="Courier New"/>
                <w:sz w:val="15"/>
                <w:szCs w:val="15"/>
                <w:color w:val="auto"/>
              </w:rPr>
              <w:t>SEPTEMBER 30,</w:t>
            </w:r>
          </w:p>
        </w:tc>
        <w:tc>
          <w:tcPr>
            <w:tcW w:w="242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SEPTEMBER</w:t>
            </w:r>
          </w:p>
        </w:tc>
        <w:tc>
          <w:tcPr>
            <w:tcW w:w="9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68"/>
        </w:trPr>
        <w:tc>
          <w:tcPr>
            <w:tcW w:w="3360" w:type="dxa"/>
            <w:vAlign w:val="bottom"/>
          </w:tcPr>
          <w:p>
            <w:pPr>
              <w:spacing w:after="0"/>
              <w:rPr>
                <w:sz w:val="14"/>
                <w:szCs w:val="14"/>
                <w:color w:val="auto"/>
              </w:rPr>
            </w:pPr>
          </w:p>
        </w:tc>
        <w:tc>
          <w:tcPr>
            <w:tcW w:w="840" w:type="dxa"/>
            <w:vAlign w:val="bottom"/>
          </w:tcPr>
          <w:p>
            <w:pPr>
              <w:ind w:left="580"/>
              <w:spacing w:after="0"/>
              <w:rPr>
                <w:sz w:val="20"/>
                <w:szCs w:val="20"/>
                <w:color w:val="auto"/>
              </w:rPr>
            </w:pPr>
            <w:r>
              <w:rPr>
                <w:rFonts w:ascii="Courier New" w:cs="Courier New" w:eastAsia="Courier New" w:hAnsi="Courier New"/>
                <w:sz w:val="2"/>
                <w:szCs w:val="2"/>
                <w:color w:val="auto"/>
                <w:w w:val="86"/>
              </w:rPr>
              <w:t>-----------------------</w:t>
            </w:r>
          </w:p>
        </w:tc>
        <w:tc>
          <w:tcPr>
            <w:tcW w:w="780" w:type="dxa"/>
            <w:vAlign w:val="bottom"/>
            <w:vMerge w:val="restart"/>
          </w:tcPr>
          <w:p>
            <w:pPr>
              <w:spacing w:after="0"/>
              <w:rPr>
                <w:sz w:val="20"/>
                <w:szCs w:val="20"/>
                <w:color w:val="auto"/>
              </w:rPr>
            </w:pPr>
            <w:r>
              <w:rPr>
                <w:rFonts w:ascii="Courier New" w:cs="Courier New" w:eastAsia="Courier New" w:hAnsi="Courier New"/>
                <w:sz w:val="15"/>
                <w:szCs w:val="15"/>
                <w:color w:val="auto"/>
              </w:rPr>
              <w:t>2003</w:t>
            </w:r>
          </w:p>
        </w:tc>
        <w:tc>
          <w:tcPr>
            <w:tcW w:w="360" w:type="dxa"/>
            <w:vAlign w:val="bottom"/>
          </w:tcPr>
          <w:p>
            <w:pPr>
              <w:spacing w:after="0"/>
              <w:rPr>
                <w:sz w:val="14"/>
                <w:szCs w:val="14"/>
                <w:color w:val="auto"/>
              </w:rPr>
            </w:pPr>
          </w:p>
        </w:tc>
        <w:tc>
          <w:tcPr>
            <w:tcW w:w="82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rPr>
              <w:t>2002</w:t>
            </w:r>
          </w:p>
        </w:tc>
        <w:tc>
          <w:tcPr>
            <w:tcW w:w="242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2003</w:t>
            </w:r>
          </w:p>
        </w:tc>
        <w:tc>
          <w:tcPr>
            <w:tcW w:w="160" w:type="dxa"/>
            <w:vAlign w:val="bottom"/>
          </w:tcPr>
          <w:p>
            <w:pPr>
              <w:spacing w:after="0"/>
              <w:rPr>
                <w:sz w:val="14"/>
                <w:szCs w:val="14"/>
                <w:color w:val="auto"/>
              </w:rPr>
            </w:pPr>
          </w:p>
        </w:tc>
        <w:tc>
          <w:tcPr>
            <w:tcW w:w="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c>
          <w:tcPr>
            <w:tcW w:w="0" w:type="dxa"/>
            <w:vAlign w:val="bottom"/>
          </w:tcPr>
          <w:p>
            <w:pPr>
              <w:spacing w:after="0"/>
              <w:rPr>
                <w:sz w:val="1"/>
                <w:szCs w:val="1"/>
                <w:color w:val="auto"/>
              </w:rPr>
            </w:pPr>
          </w:p>
        </w:tc>
      </w:tr>
      <w:tr>
        <w:trPr>
          <w:trHeight w:val="168"/>
        </w:trPr>
        <w:tc>
          <w:tcPr>
            <w:tcW w:w="3360" w:type="dxa"/>
            <w:vAlign w:val="bottom"/>
          </w:tcPr>
          <w:p>
            <w:pPr>
              <w:spacing w:after="0"/>
              <w:rPr>
                <w:sz w:val="14"/>
                <w:szCs w:val="14"/>
                <w:color w:val="auto"/>
              </w:rPr>
            </w:pPr>
          </w:p>
        </w:tc>
        <w:tc>
          <w:tcPr>
            <w:tcW w:w="1620" w:type="dxa"/>
            <w:vAlign w:val="bottom"/>
            <w:gridSpan w:val="2"/>
          </w:tcPr>
          <w:p>
            <w:pPr>
              <w:ind w:left="5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45"/>
        </w:trPr>
        <w:tc>
          <w:tcPr>
            <w:tcW w:w="3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960" w:type="dxa"/>
            <w:vAlign w:val="bottom"/>
            <w:gridSpan w:val="3"/>
          </w:tcPr>
          <w:p>
            <w:pPr>
              <w:jc w:val="right"/>
              <w:ind w:right="567"/>
              <w:spacing w:after="0"/>
              <w:rPr>
                <w:sz w:val="20"/>
                <w:szCs w:val="20"/>
                <w:color w:val="auto"/>
              </w:rPr>
            </w:pPr>
            <w:r>
              <w:rPr>
                <w:rFonts w:ascii="Courier New" w:cs="Courier New" w:eastAsia="Courier New" w:hAnsi="Courier New"/>
                <w:sz w:val="15"/>
                <w:szCs w:val="15"/>
                <w:color w:val="auto"/>
              </w:rPr>
              <w:t>(UNAUDITED)</w:t>
            </w:r>
          </w:p>
        </w:tc>
        <w:tc>
          <w:tcPr>
            <w:tcW w:w="320" w:type="dxa"/>
            <w:vAlign w:val="bottom"/>
          </w:tcPr>
          <w:p>
            <w:pPr>
              <w:spacing w:after="0"/>
              <w:rPr>
                <w:sz w:val="21"/>
                <w:szCs w:val="21"/>
                <w:color w:val="auto"/>
              </w:rPr>
            </w:pPr>
          </w:p>
        </w:tc>
        <w:tc>
          <w:tcPr>
            <w:tcW w:w="210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(UNAUDITED)</w:t>
            </w:r>
          </w:p>
        </w:tc>
        <w:tc>
          <w:tcPr>
            <w:tcW w:w="0" w:type="dxa"/>
            <w:vAlign w:val="bottom"/>
          </w:tcPr>
          <w:p>
            <w:pPr>
              <w:spacing w:after="0"/>
              <w:rPr>
                <w:sz w:val="1"/>
                <w:szCs w:val="1"/>
                <w:color w:val="auto"/>
              </w:rPr>
            </w:pPr>
          </w:p>
        </w:tc>
      </w:tr>
      <w:tr>
        <w:trPr>
          <w:trHeight w:val="259"/>
        </w:trPr>
        <w:tc>
          <w:tcPr>
            <w:tcW w:w="3360" w:type="dxa"/>
            <w:vAlign w:val="bottom"/>
          </w:tcPr>
          <w:p>
            <w:pPr>
              <w:spacing w:after="0"/>
              <w:rPr>
                <w:sz w:val="20"/>
                <w:szCs w:val="20"/>
                <w:color w:val="auto"/>
              </w:rPr>
            </w:pPr>
            <w:r>
              <w:rPr>
                <w:rFonts w:ascii="Courier New" w:cs="Courier New" w:eastAsia="Courier New" w:hAnsi="Courier New"/>
                <w:sz w:val="15"/>
                <w:szCs w:val="15"/>
                <w:color w:val="auto"/>
              </w:rPr>
              <w:t>PRO FORMA LOSS</w:t>
            </w:r>
          </w:p>
        </w:tc>
        <w:tc>
          <w:tcPr>
            <w:tcW w:w="1620" w:type="dxa"/>
            <w:vAlign w:val="bottom"/>
            <w:gridSpan w:val="2"/>
            <w:vMerge w:val="restart"/>
          </w:tcPr>
          <w:p>
            <w:pPr>
              <w:ind w:left="580"/>
              <w:spacing w:after="0"/>
              <w:rPr>
                <w:sz w:val="20"/>
                <w:szCs w:val="20"/>
                <w:color w:val="auto"/>
              </w:rPr>
            </w:pPr>
            <w:r>
              <w:rPr>
                <w:rFonts w:ascii="Courier New" w:cs="Courier New" w:eastAsia="Courier New" w:hAnsi="Courier New"/>
                <w:sz w:val="15"/>
                <w:szCs w:val="15"/>
                <w:color w:val="auto"/>
              </w:rPr>
              <w:t>$ (68,266)</w:t>
            </w:r>
          </w:p>
        </w:tc>
        <w:tc>
          <w:tcPr>
            <w:tcW w:w="1180" w:type="dxa"/>
            <w:vAlign w:val="bottom"/>
            <w:gridSpan w:val="2"/>
            <w:vMerge w:val="restart"/>
          </w:tcPr>
          <w:p>
            <w:pPr>
              <w:jc w:val="right"/>
              <w:ind w:right="47"/>
              <w:spacing w:after="0"/>
              <w:rPr>
                <w:sz w:val="20"/>
                <w:szCs w:val="20"/>
                <w:color w:val="auto"/>
              </w:rPr>
            </w:pPr>
            <w:r>
              <w:rPr>
                <w:rFonts w:ascii="Courier New" w:cs="Courier New" w:eastAsia="Courier New" w:hAnsi="Courier New"/>
                <w:sz w:val="15"/>
                <w:szCs w:val="15"/>
                <w:color w:val="auto"/>
              </w:rPr>
              <w:t>$ (37,818)</w:t>
            </w:r>
          </w:p>
        </w:tc>
        <w:tc>
          <w:tcPr>
            <w:tcW w:w="1500" w:type="dxa"/>
            <w:vAlign w:val="bottom"/>
            <w:gridSpan w:val="2"/>
            <w:vMerge w:val="restart"/>
          </w:tcPr>
          <w:p>
            <w:pPr>
              <w:jc w:val="right"/>
              <w:ind w:right="407"/>
              <w:spacing w:after="0"/>
              <w:rPr>
                <w:sz w:val="20"/>
                <w:szCs w:val="20"/>
                <w:color w:val="auto"/>
              </w:rPr>
            </w:pPr>
            <w:r>
              <w:rPr>
                <w:rFonts w:ascii="Courier New" w:cs="Courier New" w:eastAsia="Courier New" w:hAnsi="Courier New"/>
                <w:sz w:val="15"/>
                <w:szCs w:val="15"/>
                <w:color w:val="auto"/>
              </w:rPr>
              <w:t>$ (37,086)</w:t>
            </w:r>
          </w:p>
        </w:tc>
        <w:tc>
          <w:tcPr>
            <w:tcW w:w="9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w w:val="99"/>
              </w:rPr>
              <w:t>$ (14,513)</w:t>
            </w:r>
          </w:p>
        </w:tc>
        <w:tc>
          <w:tcPr>
            <w:tcW w:w="0" w:type="dxa"/>
            <w:vAlign w:val="bottom"/>
          </w:tcPr>
          <w:p>
            <w:pPr>
              <w:spacing w:after="0"/>
              <w:rPr>
                <w:sz w:val="1"/>
                <w:szCs w:val="1"/>
                <w:color w:val="auto"/>
              </w:rPr>
            </w:pP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 as reported</w:t>
            </w:r>
          </w:p>
        </w:tc>
        <w:tc>
          <w:tcPr>
            <w:tcW w:w="162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 stock-based compensation</w:t>
            </w:r>
          </w:p>
        </w:tc>
        <w:tc>
          <w:tcPr>
            <w:tcW w:w="840" w:type="dxa"/>
            <w:vAlign w:val="bottom"/>
          </w:tcPr>
          <w:p>
            <w:pPr>
              <w:spacing w:after="0"/>
              <w:rPr>
                <w:sz w:val="14"/>
                <w:szCs w:val="14"/>
                <w:color w:val="auto"/>
              </w:rPr>
            </w:pPr>
          </w:p>
        </w:tc>
        <w:tc>
          <w:tcPr>
            <w:tcW w:w="7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27</w:t>
            </w:r>
          </w:p>
        </w:tc>
        <w:tc>
          <w:tcPr>
            <w:tcW w:w="360" w:type="dxa"/>
            <w:vAlign w:val="bottom"/>
          </w:tcPr>
          <w:p>
            <w:pPr>
              <w:spacing w:after="0"/>
              <w:rPr>
                <w:sz w:val="14"/>
                <w:szCs w:val="14"/>
                <w:color w:val="auto"/>
              </w:rPr>
            </w:pPr>
          </w:p>
        </w:tc>
        <w:tc>
          <w:tcPr>
            <w:tcW w:w="8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121</w:t>
            </w:r>
          </w:p>
        </w:tc>
        <w:tc>
          <w:tcPr>
            <w:tcW w:w="320" w:type="dxa"/>
            <w:vAlign w:val="bottom"/>
          </w:tcPr>
          <w:p>
            <w:pPr>
              <w:spacing w:after="0"/>
              <w:rPr>
                <w:sz w:val="14"/>
                <w:szCs w:val="14"/>
                <w:color w:val="auto"/>
              </w:rPr>
            </w:pPr>
          </w:p>
        </w:tc>
        <w:tc>
          <w:tcPr>
            <w:tcW w:w="118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68"/>
        </w:trPr>
        <w:tc>
          <w:tcPr>
            <w:tcW w:w="3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determined under APB 25</w:t>
            </w:r>
          </w:p>
        </w:tc>
        <w:tc>
          <w:tcPr>
            <w:tcW w:w="8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Add - stock-based compensation</w:t>
            </w:r>
          </w:p>
        </w:tc>
        <w:tc>
          <w:tcPr>
            <w:tcW w:w="840" w:type="dxa"/>
            <w:vAlign w:val="bottom"/>
          </w:tcPr>
          <w:p>
            <w:pPr>
              <w:spacing w:after="0"/>
              <w:rPr>
                <w:sz w:val="14"/>
                <w:szCs w:val="14"/>
                <w:color w:val="auto"/>
              </w:rPr>
            </w:pP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w w:val="95"/>
              </w:rPr>
              <w:t>(7,276)</w:t>
            </w:r>
          </w:p>
        </w:tc>
        <w:tc>
          <w:tcPr>
            <w:tcW w:w="360" w:type="dxa"/>
            <w:vAlign w:val="bottom"/>
          </w:tcPr>
          <w:p>
            <w:pPr>
              <w:spacing w:after="0"/>
              <w:rPr>
                <w:sz w:val="14"/>
                <w:szCs w:val="14"/>
                <w:color w:val="auto"/>
              </w:rPr>
            </w:pP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(5,972)</w:t>
            </w:r>
          </w:p>
        </w:tc>
        <w:tc>
          <w:tcPr>
            <w:tcW w:w="320" w:type="dxa"/>
            <w:vAlign w:val="bottom"/>
          </w:tcPr>
          <w:p>
            <w:pPr>
              <w:spacing w:after="0"/>
              <w:rPr>
                <w:sz w:val="14"/>
                <w:szCs w:val="14"/>
                <w:color w:val="auto"/>
              </w:rPr>
            </w:pPr>
          </w:p>
        </w:tc>
        <w:tc>
          <w:tcPr>
            <w:tcW w:w="11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(1,587)</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(2,134)</w:t>
            </w:r>
          </w:p>
        </w:tc>
        <w:tc>
          <w:tcPr>
            <w:tcW w:w="0" w:type="dxa"/>
            <w:vAlign w:val="bottom"/>
          </w:tcPr>
          <w:p>
            <w:pPr>
              <w:spacing w:after="0"/>
              <w:rPr>
                <w:sz w:val="1"/>
                <w:szCs w:val="1"/>
                <w:color w:val="auto"/>
              </w:rPr>
            </w:pPr>
          </w:p>
        </w:tc>
      </w:tr>
      <w:tr>
        <w:trPr>
          <w:trHeight w:val="168"/>
        </w:trPr>
        <w:tc>
          <w:tcPr>
            <w:tcW w:w="3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determined under SFAS 123</w:t>
            </w:r>
          </w:p>
        </w:tc>
        <w:tc>
          <w:tcPr>
            <w:tcW w:w="8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60" w:type="dxa"/>
            <w:vAlign w:val="bottom"/>
            <w:vMerge w:val="restart"/>
          </w:tcPr>
          <w:p>
            <w:pPr>
              <w:spacing w:after="0"/>
              <w:rPr>
                <w:sz w:val="20"/>
                <w:szCs w:val="20"/>
                <w:color w:val="auto"/>
              </w:rPr>
            </w:pPr>
            <w:r>
              <w:rPr>
                <w:rFonts w:ascii="Courier New" w:cs="Courier New" w:eastAsia="Courier New" w:hAnsi="Courier New"/>
                <w:sz w:val="15"/>
                <w:szCs w:val="15"/>
                <w:color w:val="auto"/>
              </w:rPr>
              <w:t>Pro forma loss</w:t>
            </w:r>
          </w:p>
        </w:tc>
        <w:tc>
          <w:tcPr>
            <w:tcW w:w="1620" w:type="dxa"/>
            <w:vAlign w:val="bottom"/>
            <w:gridSpan w:val="2"/>
            <w:vMerge w:val="restart"/>
          </w:tcPr>
          <w:p>
            <w:pPr>
              <w:ind w:left="580"/>
              <w:spacing w:after="0"/>
              <w:rPr>
                <w:sz w:val="20"/>
                <w:szCs w:val="20"/>
                <w:color w:val="auto"/>
              </w:rPr>
            </w:pPr>
            <w:r>
              <w:rPr>
                <w:rFonts w:ascii="Courier New" w:cs="Courier New" w:eastAsia="Courier New" w:hAnsi="Courier New"/>
                <w:sz w:val="22"/>
                <w:szCs w:val="22"/>
                <w:color w:val="auto"/>
                <w:w w:val="70"/>
                <w:vertAlign w:val="subscript"/>
              </w:rPr>
              <w:t>$</w:t>
            </w: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bscript"/>
              </w:rPr>
              <w:t>(75,515)</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8"/>
        </w:trPr>
        <w:tc>
          <w:tcPr>
            <w:tcW w:w="3360" w:type="dxa"/>
            <w:vAlign w:val="bottom"/>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(43,669)</w:t>
            </w:r>
          </w:p>
        </w:tc>
        <w:tc>
          <w:tcPr>
            <w:tcW w:w="15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(38,673)</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 (16,622)</w:t>
            </w:r>
          </w:p>
        </w:tc>
        <w:tc>
          <w:tcPr>
            <w:tcW w:w="0" w:type="dxa"/>
            <w:vAlign w:val="bottom"/>
          </w:tcPr>
          <w:p>
            <w:pPr>
              <w:spacing w:after="0"/>
              <w:rPr>
                <w:sz w:val="1"/>
                <w:szCs w:val="1"/>
                <w:color w:val="auto"/>
              </w:rPr>
            </w:pPr>
          </w:p>
        </w:tc>
      </w:tr>
      <w:tr>
        <w:trPr>
          <w:trHeight w:val="245"/>
        </w:trPr>
        <w:tc>
          <w:tcPr>
            <w:tcW w:w="3360" w:type="dxa"/>
            <w:vAlign w:val="bottom"/>
          </w:tcPr>
          <w:p>
            <w:pPr>
              <w:spacing w:after="0"/>
              <w:rPr>
                <w:sz w:val="21"/>
                <w:szCs w:val="21"/>
                <w:color w:val="auto"/>
              </w:rPr>
            </w:pPr>
          </w:p>
        </w:tc>
        <w:tc>
          <w:tcPr>
            <w:tcW w:w="16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59"/>
        </w:trPr>
        <w:tc>
          <w:tcPr>
            <w:tcW w:w="3360" w:type="dxa"/>
            <w:vAlign w:val="bottom"/>
          </w:tcPr>
          <w:p>
            <w:pPr>
              <w:spacing w:after="0"/>
              <w:rPr>
                <w:sz w:val="20"/>
                <w:szCs w:val="20"/>
                <w:color w:val="auto"/>
              </w:rPr>
            </w:pPr>
            <w:r>
              <w:rPr>
                <w:rFonts w:ascii="Courier New" w:cs="Courier New" w:eastAsia="Courier New" w:hAnsi="Courier New"/>
                <w:sz w:val="15"/>
                <w:szCs w:val="15"/>
                <w:color w:val="auto"/>
              </w:rPr>
              <w:t>PRO FORMA BASIC LOSS PER SHARE</w:t>
            </w:r>
          </w:p>
        </w:tc>
        <w:tc>
          <w:tcPr>
            <w:tcW w:w="840" w:type="dxa"/>
            <w:vAlign w:val="bottom"/>
            <w:vMerge w:val="restart"/>
          </w:tcPr>
          <w:p>
            <w:pPr>
              <w:ind w:left="580"/>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(1.49)</w:t>
            </w:r>
          </w:p>
        </w:tc>
        <w:tc>
          <w:tcPr>
            <w:tcW w:w="3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(1.34)</w:t>
            </w:r>
          </w:p>
        </w:tc>
        <w:tc>
          <w:tcPr>
            <w:tcW w:w="32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(0.77)</w:t>
            </w:r>
          </w:p>
        </w:tc>
        <w:tc>
          <w:tcPr>
            <w:tcW w:w="1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(0.48)</w:t>
            </w:r>
          </w:p>
        </w:tc>
        <w:tc>
          <w:tcPr>
            <w:tcW w:w="0" w:type="dxa"/>
            <w:vAlign w:val="bottom"/>
          </w:tcPr>
          <w:p>
            <w:pPr>
              <w:spacing w:after="0"/>
              <w:rPr>
                <w:sz w:val="1"/>
                <w:szCs w:val="1"/>
                <w:color w:val="auto"/>
              </w:rPr>
            </w:pPr>
          </w:p>
        </w:tc>
      </w:tr>
      <w:tr>
        <w:trPr>
          <w:trHeight w:val="168"/>
        </w:trPr>
        <w:tc>
          <w:tcPr>
            <w:tcW w:w="3360" w:type="dxa"/>
            <w:vAlign w:val="bottom"/>
          </w:tcPr>
          <w:p>
            <w:pPr>
              <w:spacing w:after="0" w:line="168" w:lineRule="exact"/>
              <w:rPr>
                <w:sz w:val="20"/>
                <w:szCs w:val="20"/>
                <w:color w:val="auto"/>
              </w:rPr>
            </w:pPr>
            <w:r>
              <w:rPr>
                <w:rFonts w:ascii="Courier New" w:cs="Courier New" w:eastAsia="Courier New" w:hAnsi="Courier New"/>
                <w:sz w:val="15"/>
                <w:szCs w:val="15"/>
                <w:color w:val="auto"/>
              </w:rPr>
              <w:t>As reported</w:t>
            </w: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360" w:type="dxa"/>
            <w:vAlign w:val="bottom"/>
          </w:tcPr>
          <w:p>
            <w:pPr>
              <w:spacing w:after="0"/>
              <w:rPr>
                <w:sz w:val="21"/>
                <w:szCs w:val="21"/>
                <w:color w:val="auto"/>
              </w:rPr>
            </w:pPr>
          </w:p>
        </w:tc>
        <w:tc>
          <w:tcPr>
            <w:tcW w:w="16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59"/>
        </w:trPr>
        <w:tc>
          <w:tcPr>
            <w:tcW w:w="336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84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(1.65)</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(1.55)</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(0.80)</w:t>
            </w:r>
          </w:p>
        </w:tc>
        <w:tc>
          <w:tcPr>
            <w:tcW w:w="1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(0.55)</w:t>
            </w:r>
          </w:p>
        </w:tc>
        <w:tc>
          <w:tcPr>
            <w:tcW w:w="0" w:type="dxa"/>
            <w:vAlign w:val="bottom"/>
          </w:tcPr>
          <w:p>
            <w:pPr>
              <w:spacing w:after="0"/>
              <w:rPr>
                <w:sz w:val="1"/>
                <w:szCs w:val="1"/>
                <w:color w:val="auto"/>
              </w:rPr>
            </w:pPr>
          </w:p>
        </w:tc>
      </w:tr>
      <w:tr>
        <w:trPr>
          <w:trHeight w:val="245"/>
        </w:trPr>
        <w:tc>
          <w:tcPr>
            <w:tcW w:w="3360" w:type="dxa"/>
            <w:vAlign w:val="bottom"/>
          </w:tcPr>
          <w:p>
            <w:pPr>
              <w:spacing w:after="0"/>
              <w:rPr>
                <w:sz w:val="21"/>
                <w:szCs w:val="21"/>
                <w:color w:val="auto"/>
              </w:rPr>
            </w:pPr>
          </w:p>
        </w:tc>
        <w:tc>
          <w:tcPr>
            <w:tcW w:w="16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320" w:hanging="436"/>
        <w:spacing w:after="0"/>
        <w:tabs>
          <w:tab w:leader="none" w:pos="13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SECURITIES</w:t>
      </w:r>
    </w:p>
    <w:p>
      <w:pPr>
        <w:spacing w:after="0" w:line="166" w:lineRule="exact"/>
        <w:rPr>
          <w:rFonts w:ascii="Courier New" w:cs="Courier New" w:eastAsia="Courier New" w:hAnsi="Courier New"/>
          <w:sz w:val="15"/>
          <w:szCs w:val="15"/>
          <w:color w:val="auto"/>
        </w:rPr>
      </w:pPr>
    </w:p>
    <w:p>
      <w:pPr>
        <w:ind w:left="1320" w:right="331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Accounting Principles Board Opinion No. 14 ("APB 14"), the proceeds from the sale of the securities in January 2002 are to be allocated to each of the securities issued based on their relative fair value, while according to Israeli GAAP such treatment is not required. Complying with APB 14, based on the average market value of each of the securities issued in the first three days following their issuance (in January 2002), would have resulted in an increase in shareholders' equity as of September 30, 2003 and December 31, 2002 in the amount of $2,363 (net of $196 related issuance expenses), and a decrease in convertible debentures as of such dates in the amount of $2,559. The effect of the U.S. GAAP application on the convertible debentures' discount amortization for the nine-month and three-month periods ended September 30, 2003 is immaterial.</w:t>
      </w:r>
    </w:p>
    <w:p>
      <w:pPr>
        <w:spacing w:after="0" w:line="200" w:lineRule="exact"/>
        <w:rPr>
          <w:sz w:val="20"/>
          <w:szCs w:val="20"/>
          <w:color w:val="auto"/>
        </w:rPr>
      </w:pPr>
    </w:p>
    <w:p>
      <w:pPr>
        <w:spacing w:after="0" w:line="21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598" w:right="1440" w:bottom="1440" w:gutter="0" w:footer="0" w:header="0"/>
        </w:sectPr>
      </w:pPr>
    </w:p>
    <w:bookmarkStart w:id="23" w:name="page24"/>
    <w:bookmarkEnd w:id="23"/>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FINANCIAL STATEMENTS AS OF SEPTEMBER 30, 2003</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0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5 -</w:t>
      </w:r>
      <w:r>
        <w:rPr>
          <w:sz w:val="20"/>
          <w:szCs w:val="20"/>
          <w:color w:val="auto"/>
        </w:rPr>
        <w:tab/>
      </w:r>
      <w:r>
        <w:rPr>
          <w:rFonts w:ascii="Courier New" w:cs="Courier New" w:eastAsia="Courier New" w:hAnsi="Courier New"/>
          <w:sz w:val="14"/>
          <w:szCs w:val="14"/>
          <w:color w:val="auto"/>
        </w:rPr>
        <w:t>MATERIAL DIFFERENCES BETWEEN ISRAELI AND U.S. GAAP (cont.)</w:t>
      </w:r>
    </w:p>
    <w:p>
      <w:pPr>
        <w:spacing w:after="0" w:line="166" w:lineRule="exact"/>
        <w:rPr>
          <w:sz w:val="20"/>
          <w:szCs w:val="20"/>
          <w:color w:val="auto"/>
        </w:rPr>
      </w:pPr>
    </w:p>
    <w:p>
      <w:pPr>
        <w:ind w:left="1320" w:hanging="436"/>
        <w:spacing w:after="0"/>
        <w:tabs>
          <w:tab w:leader="none" w:pos="13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 SHEET IN ACCORDANCE WITH U.S. GAAP</w:t>
      </w:r>
    </w:p>
    <w:p>
      <w:pPr>
        <w:spacing w:after="0" w:line="166" w:lineRule="exact"/>
        <w:rPr>
          <w:rFonts w:ascii="Courier New" w:cs="Courier New" w:eastAsia="Courier New" w:hAnsi="Courier New"/>
          <w:sz w:val="15"/>
          <w:szCs w:val="15"/>
          <w:color w:val="auto"/>
        </w:rPr>
      </w:pPr>
    </w:p>
    <w:p>
      <w:pPr>
        <w:ind w:left="1320" w:right="3839"/>
        <w:spacing w:after="0" w:line="3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are the condensed consolidated balance sheets in accordance with U.S. GAAP:</w:t>
      </w:r>
    </w:p>
    <w:p>
      <w:pPr>
        <w:spacing w:after="0" w:line="352"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7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September 30,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2003</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2002</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17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(unaudited)</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5"/>
        </w:trPr>
        <w:tc>
          <w:tcPr>
            <w:tcW w:w="43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$ 49,323</w:t>
            </w: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$ 58,743</w:t>
            </w:r>
          </w:p>
        </w:tc>
        <w:tc>
          <w:tcPr>
            <w:tcW w:w="0" w:type="dxa"/>
            <w:vAlign w:val="bottom"/>
          </w:tcPr>
          <w:p>
            <w:pPr>
              <w:spacing w:after="0"/>
              <w:rPr>
                <w:sz w:val="1"/>
                <w:szCs w:val="1"/>
                <w:color w:val="auto"/>
              </w:rPr>
            </w:pP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Long-term investments</w:t>
            </w:r>
          </w:p>
        </w:tc>
        <w:tc>
          <w:tcPr>
            <w:tcW w:w="1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19,904</w:t>
            </w: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18,368</w:t>
            </w:r>
          </w:p>
        </w:tc>
        <w:tc>
          <w:tcPr>
            <w:tcW w:w="0" w:type="dxa"/>
            <w:vAlign w:val="bottom"/>
          </w:tcPr>
          <w:p>
            <w:pPr>
              <w:spacing w:after="0"/>
              <w:rPr>
                <w:sz w:val="1"/>
                <w:szCs w:val="1"/>
                <w:color w:val="auto"/>
              </w:rPr>
            </w:pP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570,146</w:t>
            </w: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487,347</w:t>
            </w:r>
          </w:p>
        </w:tc>
        <w:tc>
          <w:tcPr>
            <w:tcW w:w="0" w:type="dxa"/>
            <w:vAlign w:val="bottom"/>
          </w:tcPr>
          <w:p>
            <w:pPr>
              <w:spacing w:after="0"/>
              <w:rPr>
                <w:sz w:val="1"/>
                <w:szCs w:val="1"/>
                <w:color w:val="auto"/>
              </w:rPr>
            </w:pP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105,064</w:t>
            </w: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95,017</w:t>
            </w:r>
          </w:p>
        </w:tc>
        <w:tc>
          <w:tcPr>
            <w:tcW w:w="0" w:type="dxa"/>
            <w:vAlign w:val="bottom"/>
          </w:tcPr>
          <w:p>
            <w:pPr>
              <w:spacing w:after="0"/>
              <w:rPr>
                <w:sz w:val="1"/>
                <w:szCs w:val="1"/>
                <w:color w:val="auto"/>
              </w:rPr>
            </w:pPr>
          </w:p>
        </w:tc>
      </w:tr>
      <w:tr>
        <w:trPr>
          <w:trHeight w:val="259"/>
        </w:trPr>
        <w:tc>
          <w:tcPr>
            <w:tcW w:w="4380" w:type="dxa"/>
            <w:vAlign w:val="bottom"/>
          </w:tcPr>
          <w:p>
            <w:pPr>
              <w:ind w:left="100"/>
              <w:spacing w:after="0"/>
              <w:rPr>
                <w:sz w:val="20"/>
                <w:szCs w:val="20"/>
                <w:color w:val="auto"/>
              </w:rPr>
            </w:pPr>
            <w:r>
              <w:rPr>
                <w:rFonts w:ascii="Courier New" w:cs="Courier New" w:eastAsia="Courier New" w:hAnsi="Courier New"/>
                <w:sz w:val="15"/>
                <w:szCs w:val="15"/>
                <w:color w:val="auto"/>
              </w:rPr>
              <w:t>Cash and interest-bearing deposits designated</w:t>
            </w:r>
          </w:p>
        </w:tc>
        <w:tc>
          <w:tcPr>
            <w:tcW w:w="176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13,604</w:t>
            </w:r>
          </w:p>
        </w:tc>
        <w:tc>
          <w:tcPr>
            <w:tcW w:w="13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63,231</w:t>
            </w:r>
          </w:p>
        </w:tc>
        <w:tc>
          <w:tcPr>
            <w:tcW w:w="0" w:type="dxa"/>
            <w:vAlign w:val="bottom"/>
          </w:tcPr>
          <w:p>
            <w:pPr>
              <w:spacing w:after="0"/>
              <w:rPr>
                <w:sz w:val="1"/>
                <w:szCs w:val="1"/>
                <w:color w:val="auto"/>
              </w:rPr>
            </w:pPr>
          </w:p>
        </w:tc>
      </w:tr>
      <w:tr>
        <w:trPr>
          <w:trHeight w:val="168"/>
        </w:trPr>
        <w:tc>
          <w:tcPr>
            <w:tcW w:w="4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for investments relating to Fab 2</w:t>
            </w:r>
          </w:p>
        </w:tc>
        <w:tc>
          <w:tcPr>
            <w:tcW w:w="176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Total assets</w:t>
            </w:r>
          </w:p>
        </w:tc>
        <w:tc>
          <w:tcPr>
            <w:tcW w:w="17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vMerge w:val="continue"/>
          </w:tcPr>
          <w:p>
            <w:pPr>
              <w:spacing w:after="0"/>
              <w:rPr>
                <w:sz w:val="14"/>
                <w:szCs w:val="14"/>
                <w:color w:val="auto"/>
              </w:rPr>
            </w:pPr>
          </w:p>
        </w:tc>
        <w:tc>
          <w:tcPr>
            <w:tcW w:w="17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758,041</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722,706</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79,154</w:t>
            </w: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88,282</w:t>
            </w:r>
          </w:p>
        </w:tc>
        <w:tc>
          <w:tcPr>
            <w:tcW w:w="0" w:type="dxa"/>
            <w:vAlign w:val="bottom"/>
          </w:tcPr>
          <w:p>
            <w:pPr>
              <w:spacing w:after="0"/>
              <w:rPr>
                <w:sz w:val="1"/>
                <w:szCs w:val="1"/>
                <w:color w:val="auto"/>
              </w:rPr>
            </w:pP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347,000</w:t>
            </w: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253,000</w:t>
            </w:r>
          </w:p>
        </w:tc>
        <w:tc>
          <w:tcPr>
            <w:tcW w:w="0" w:type="dxa"/>
            <w:vAlign w:val="bottom"/>
          </w:tcPr>
          <w:p>
            <w:pPr>
              <w:spacing w:after="0"/>
              <w:rPr>
                <w:sz w:val="1"/>
                <w:szCs w:val="1"/>
                <w:color w:val="auto"/>
              </w:rPr>
            </w:pP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Convertible debentures</w:t>
            </w:r>
          </w:p>
        </w:tc>
        <w:tc>
          <w:tcPr>
            <w:tcW w:w="1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22,993</w:t>
            </w: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21,562</w:t>
            </w: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Long-term liability</w:t>
            </w:r>
          </w:p>
        </w:tc>
        <w:tc>
          <w:tcPr>
            <w:tcW w:w="1760" w:type="dxa"/>
            <w:vAlign w:val="bottom"/>
            <w:vMerge w:val="restart"/>
          </w:tcPr>
          <w:p>
            <w:pPr>
              <w:jc w:val="right"/>
              <w:ind w:right="467"/>
              <w:spacing w:after="0"/>
              <w:rPr>
                <w:sz w:val="20"/>
                <w:szCs w:val="20"/>
                <w:color w:val="auto"/>
              </w:rPr>
            </w:pPr>
            <w:r>
              <w:rPr>
                <w:rFonts w:ascii="Courier New" w:cs="Courier New" w:eastAsia="Courier New" w:hAnsi="Courier New"/>
                <w:sz w:val="15"/>
                <w:szCs w:val="15"/>
                <w:color w:val="auto"/>
              </w:rPr>
              <w:t>46,920</w:t>
            </w:r>
          </w:p>
        </w:tc>
        <w:tc>
          <w:tcPr>
            <w:tcW w:w="13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47,246</w:t>
            </w:r>
          </w:p>
        </w:tc>
        <w:tc>
          <w:tcPr>
            <w:tcW w:w="0" w:type="dxa"/>
            <w:vAlign w:val="bottom"/>
          </w:tcPr>
          <w:p>
            <w:pPr>
              <w:spacing w:after="0"/>
              <w:rPr>
                <w:sz w:val="1"/>
                <w:szCs w:val="1"/>
                <w:color w:val="auto"/>
              </w:rPr>
            </w:pPr>
          </w:p>
        </w:tc>
      </w:tr>
      <w:tr>
        <w:trPr>
          <w:trHeight w:val="245"/>
        </w:trPr>
        <w:tc>
          <w:tcPr>
            <w:tcW w:w="4380" w:type="dxa"/>
            <w:vAlign w:val="bottom"/>
          </w:tcPr>
          <w:p>
            <w:pPr>
              <w:ind w:left="360"/>
              <w:spacing w:after="0"/>
              <w:rPr>
                <w:sz w:val="20"/>
                <w:szCs w:val="20"/>
                <w:color w:val="auto"/>
              </w:rPr>
            </w:pPr>
            <w:r>
              <w:rPr>
                <w:rFonts w:ascii="Courier New" w:cs="Courier New" w:eastAsia="Courier New" w:hAnsi="Courier New"/>
                <w:sz w:val="15"/>
                <w:szCs w:val="15"/>
                <w:color w:val="auto"/>
              </w:rPr>
              <w:t>in respect of customers' advances</w:t>
            </w:r>
          </w:p>
        </w:tc>
        <w:tc>
          <w:tcPr>
            <w:tcW w:w="176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Other long-term liabilities</w:t>
            </w:r>
          </w:p>
        </w:tc>
        <w:tc>
          <w:tcPr>
            <w:tcW w:w="1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31,959</w:t>
            </w: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29,726</w:t>
            </w: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Shareholders' equity (*)</w:t>
            </w:r>
          </w:p>
        </w:tc>
        <w:tc>
          <w:tcPr>
            <w:tcW w:w="1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230,015</w:t>
            </w: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282,890</w:t>
            </w:r>
          </w:p>
        </w:tc>
        <w:tc>
          <w:tcPr>
            <w:tcW w:w="0" w:type="dxa"/>
            <w:vAlign w:val="bottom"/>
          </w:tcPr>
          <w:p>
            <w:pPr>
              <w:spacing w:after="0"/>
              <w:rPr>
                <w:sz w:val="1"/>
                <w:szCs w:val="1"/>
                <w:color w:val="auto"/>
              </w:rPr>
            </w:pPr>
          </w:p>
        </w:tc>
      </w:tr>
      <w:tr>
        <w:trPr>
          <w:trHeight w:val="168"/>
        </w:trPr>
        <w:tc>
          <w:tcPr>
            <w:tcW w:w="438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7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vMerge w:val="continue"/>
          </w:tcPr>
          <w:p>
            <w:pPr>
              <w:spacing w:after="0"/>
              <w:rPr>
                <w:sz w:val="14"/>
                <w:szCs w:val="14"/>
                <w:color w:val="auto"/>
              </w:rPr>
            </w:pPr>
          </w:p>
        </w:tc>
        <w:tc>
          <w:tcPr>
            <w:tcW w:w="17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$ 758,041</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$722,706</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17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1760" w:right="3239" w:hanging="438"/>
        <w:spacing w:after="0" w:line="264" w:lineRule="auto"/>
        <w:tabs>
          <w:tab w:leader="none" w:pos="17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 as of September 30, 2003 includes net accumulated other comprehensive loss of $18,495 and net proceeds on account of options (Series 1) in the amount of $2,363 - see also E above (as of December 31, 2002 - $17,837 and $2,363, respectively).</w:t>
      </w:r>
    </w:p>
    <w:p>
      <w:pPr>
        <w:spacing w:after="0" w:line="200" w:lineRule="exact"/>
        <w:rPr>
          <w:sz w:val="20"/>
          <w:szCs w:val="20"/>
          <w:color w:val="auto"/>
        </w:rPr>
      </w:pPr>
    </w:p>
    <w:p>
      <w:pPr>
        <w:spacing w:after="0" w:line="21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934" w:right="1440" w:bottom="1440" w:gutter="0" w:footer="0" w:header="0"/>
        </w:sectPr>
      </w:pPr>
    </w:p>
    <w:bookmarkStart w:id="24" w:name="page25"/>
    <w:bookmarkEnd w:id="24"/>
    <w:p>
      <w:pPr>
        <w:jc w:val="center"/>
        <w:ind w:right="3139"/>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2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NOTES TO UNAUDITED CONDENSED INTERIM CONSOLIDATED</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FINANCIAL STATEMENTS AS OF SEPTEMBER 30, 2003</w:t>
      </w:r>
    </w:p>
    <w:p>
      <w:pPr>
        <w:ind w:left="880"/>
        <w:spacing w:after="0"/>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0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5 -</w:t>
      </w:r>
      <w:r>
        <w:rPr>
          <w:sz w:val="20"/>
          <w:szCs w:val="20"/>
          <w:color w:val="auto"/>
        </w:rPr>
        <w:tab/>
      </w:r>
      <w:r>
        <w:rPr>
          <w:rFonts w:ascii="Courier New" w:cs="Courier New" w:eastAsia="Courier New" w:hAnsi="Courier New"/>
          <w:sz w:val="14"/>
          <w:szCs w:val="14"/>
          <w:color w:val="auto"/>
        </w:rPr>
        <w:t>MATERIAL DIFFERENCES BETWEEN ISRAELI AND U.S. GAAP (cont.)</w:t>
      </w:r>
    </w:p>
    <w:p>
      <w:pPr>
        <w:spacing w:after="0" w:line="166" w:lineRule="exact"/>
        <w:rPr>
          <w:sz w:val="20"/>
          <w:szCs w:val="20"/>
          <w:color w:val="auto"/>
        </w:rPr>
      </w:pPr>
    </w:p>
    <w:p>
      <w:pPr>
        <w:ind w:left="1320" w:hanging="436"/>
        <w:spacing w:after="0"/>
        <w:tabs>
          <w:tab w:leader="none" w:pos="13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OPERATIONS IN ACCORDANCE WITH U.S. GAAP</w:t>
      </w:r>
    </w:p>
    <w:p>
      <w:pPr>
        <w:spacing w:after="0" w:line="166" w:lineRule="exact"/>
        <w:rPr>
          <w:rFonts w:ascii="Courier New" w:cs="Courier New" w:eastAsia="Courier New" w:hAnsi="Courier New"/>
          <w:sz w:val="15"/>
          <w:szCs w:val="15"/>
          <w:color w:val="auto"/>
        </w:rPr>
      </w:pPr>
    </w:p>
    <w:p>
      <w:pPr>
        <w:ind w:left="1320" w:right="3399"/>
        <w:spacing w:after="0" w:line="27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Complying with SFAS 133 and SFAS 138 (C above) and APB 14 (E above) would not have resulted in a material change in the Company's loss for the nine-month and three-month periods ended September 30, 2003 and 2002.</w:t>
      </w:r>
    </w:p>
    <w:p>
      <w:pPr>
        <w:spacing w:after="0" w:line="67" w:lineRule="exact"/>
        <w:rPr>
          <w:rFonts w:ascii="Courier New" w:cs="Courier New" w:eastAsia="Courier New" w:hAnsi="Courier New"/>
          <w:sz w:val="15"/>
          <w:szCs w:val="15"/>
          <w:color w:val="auto"/>
        </w:rPr>
      </w:pPr>
    </w:p>
    <w:p>
      <w:pPr>
        <w:ind w:left="1320" w:hanging="436"/>
        <w:spacing w:after="0"/>
        <w:tabs>
          <w:tab w:leader="none" w:pos="13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SHARE IN ACCORDANCE WITH U.S. GAAP (SFAS 128)</w:t>
      </w:r>
    </w:p>
    <w:p>
      <w:pPr>
        <w:spacing w:after="0" w:line="166" w:lineRule="exact"/>
        <w:rPr>
          <w:rFonts w:ascii="Courier New" w:cs="Courier New" w:eastAsia="Courier New" w:hAnsi="Courier New"/>
          <w:sz w:val="15"/>
          <w:szCs w:val="15"/>
          <w:color w:val="auto"/>
        </w:rPr>
      </w:pPr>
    </w:p>
    <w:p>
      <w:pPr>
        <w:ind w:left="1320" w:right="323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U.S. GAAP (SFAS 128), including the implementation of SFAS 133 and SFAS 138 and APB 14 as described in G above, the basic and diluted loss per share for the nine-month and three-month periods ended September 30, 2003 would be $1.49 and $0.77, respectively (during the corresponding periods - $1.34 and $0.48, respectively).</w:t>
      </w:r>
    </w:p>
    <w:p>
      <w:pPr>
        <w:spacing w:after="0" w:line="200" w:lineRule="exact"/>
        <w:rPr>
          <w:sz w:val="20"/>
          <w:szCs w:val="20"/>
          <w:color w:val="auto"/>
        </w:rPr>
      </w:pPr>
    </w:p>
    <w:p>
      <w:pPr>
        <w:spacing w:after="0" w:line="21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934"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NEWS RELEASE</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TOWER SEMICONDUCTOR LTD. ANNOUNCES FAB 2</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FINANCING PACKAGE WITH BANKS AND MAJOR INVESTORS</w:t>
      </w:r>
    </w:p>
    <w:p>
      <w:pPr>
        <w:spacing w:after="0" w:line="14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o AGREEMENT REACHED FOR FINAL MILESTONE PAYMENT BY MAJOR INVESTORS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o BANKS AGREED TO DEFER REPAYMENT OF OVER $200 MILLION OF LOANS;</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REPAYMENT TO BEGIN IN 2007</w:t>
      </w:r>
    </w:p>
    <w:p>
      <w:pPr>
        <w:spacing w:after="0" w:line="14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o "SAFETY NET" OF UP TO AN ADDITIONAL $93 MILLION OF FUNDING ASSURED</w:t>
      </w:r>
    </w:p>
    <w:p>
      <w:pPr>
        <w:spacing w:after="0" w:line="2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BY ISRAEL CORPORATION AND THE BANKS</w:t>
      </w:r>
    </w:p>
    <w:p>
      <w:pPr>
        <w:spacing w:after="0" w:line="140" w:lineRule="exact"/>
        <w:rPr>
          <w:sz w:val="20"/>
          <w:szCs w:val="20"/>
          <w:color w:val="auto"/>
        </w:rPr>
      </w:pPr>
    </w:p>
    <w:p>
      <w:pPr>
        <w:jc w:val="both"/>
        <w:ind w:right="3319"/>
        <w:spacing w:after="0" w:line="320" w:lineRule="auto"/>
        <w:rPr>
          <w:sz w:val="20"/>
          <w:szCs w:val="20"/>
          <w:color w:val="auto"/>
        </w:rPr>
      </w:pPr>
      <w:r>
        <w:rPr>
          <w:rFonts w:ascii="Courier New" w:cs="Courier New" w:eastAsia="Courier New" w:hAnsi="Courier New"/>
          <w:sz w:val="14"/>
          <w:szCs w:val="14"/>
          <w:color w:val="auto"/>
        </w:rPr>
        <w:t>MIGDAL HAEMEK, Israel -- November 12, 2003 -- Tower Semiconductor Ltd. (NASDAQ: TSEM; TASE: TSEM) announced today that it has finalized the amendments with its banks and its major investors for the continued funding of the Fab 2 project.</w:t>
      </w:r>
    </w:p>
    <w:p>
      <w:pPr>
        <w:spacing w:after="0" w:line="38" w:lineRule="exact"/>
        <w:rPr>
          <w:sz w:val="20"/>
          <w:szCs w:val="20"/>
          <w:color w:val="auto"/>
        </w:rPr>
      </w:pPr>
    </w:p>
    <w:p>
      <w:pPr>
        <w:ind w:right="3239"/>
        <w:spacing w:after="0" w:line="249" w:lineRule="auto"/>
        <w:rPr>
          <w:sz w:val="20"/>
          <w:szCs w:val="20"/>
          <w:color w:val="auto"/>
        </w:rPr>
      </w:pPr>
      <w:r>
        <w:rPr>
          <w:rFonts w:ascii="Courier New" w:cs="Courier New" w:eastAsia="Courier New" w:hAnsi="Courier New"/>
          <w:sz w:val="15"/>
          <w:szCs w:val="15"/>
          <w:color w:val="auto"/>
        </w:rPr>
        <w:t>Tower's major investors, SanDisk Corporation (Nasdaq: SNDK), Alliance Semiconductor (Nasdaq: ALSC), Macronix International (Nasdaq: MXICY), and Israel Corporation Technologies (ICTech), have amended their investment agreements, according to which these shareholders agreed to make the remainder of fifth and final milestone payment in an aggregate amount of $24.6 million. This is in addition to a payment of an aggregate amount of $15.7, which was previously made by these shareholders in connection with the fifth milestone. In addition, Tower's banks have finalized an amendment to Tower's Fab 2 credit facility, according to which Tower's initial principal payments on the loans will be deferred until 2007.</w:t>
      </w:r>
    </w:p>
    <w:p>
      <w:pPr>
        <w:spacing w:after="0" w:line="87" w:lineRule="exact"/>
        <w:rPr>
          <w:sz w:val="20"/>
          <w:szCs w:val="20"/>
          <w:color w:val="auto"/>
        </w:rPr>
      </w:pPr>
    </w:p>
    <w:p>
      <w:pPr>
        <w:ind w:right="3239"/>
        <w:spacing w:after="0" w:line="250" w:lineRule="auto"/>
        <w:rPr>
          <w:sz w:val="20"/>
          <w:szCs w:val="20"/>
          <w:color w:val="auto"/>
        </w:rPr>
      </w:pPr>
      <w:r>
        <w:rPr>
          <w:rFonts w:ascii="Courier New" w:cs="Courier New" w:eastAsia="Courier New" w:hAnsi="Courier New"/>
          <w:sz w:val="15"/>
          <w:szCs w:val="15"/>
          <w:color w:val="auto"/>
        </w:rPr>
        <w:t>Carmel Vernia, Tower's Chairman and Chief Executive Officer, commented, "I am pleased that Tower now has been successful in finalizing these amendments, which provide it with the necessary financing for its continued ramp-up of the Fab 2 facility. We began commercial production at Fab 2 earlier this year, and with the funding arrangements announced today, we secured an important component of our financing plan towards completing the ramp- up of Fab 2 to its full capacity of 33,000 wafer starts per month. These financing arrangements will also enable us to further promote Fab 2 as a world-class fab with leading specialized technologies."</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main terms of the amendment to Tower's credit facility are:</w:t>
      </w:r>
    </w:p>
    <w:p>
      <w:pPr>
        <w:spacing w:after="0" w:line="166" w:lineRule="exact"/>
        <w:rPr>
          <w:sz w:val="20"/>
          <w:szCs w:val="20"/>
          <w:color w:val="auto"/>
        </w:rPr>
      </w:pPr>
    </w:p>
    <w:p>
      <w:pPr>
        <w:ind w:left="880" w:right="3319" w:hanging="433"/>
        <w:spacing w:after="0" w:line="344" w:lineRule="auto"/>
        <w:tabs>
          <w:tab w:leader="none" w:pos="8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on loans will be repaid in 12 equal quarterly installments, beginning in the first quarter of 2007;</w:t>
      </w:r>
    </w:p>
    <w:p>
      <w:pPr>
        <w:sectPr>
          <w:pgSz w:w="11900" w:h="16838" w:orient="portrait"/>
          <w:cols w:equalWidth="0" w:num="1">
            <w:col w:w="10239"/>
          </w:cols>
          <w:pgMar w:left="220" w:top="620" w:right="1440" w:bottom="1440" w:gutter="0" w:footer="0" w:header="0"/>
        </w:sectPr>
      </w:pPr>
    </w:p>
    <w:bookmarkStart w:id="26" w:name="page27"/>
    <w:bookmarkEnd w:id="26"/>
    <w:p>
      <w:pPr>
        <w:ind w:left="880" w:hanging="433"/>
        <w:spacing w:after="0"/>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facility's interest rate will be Libor plus 2.50%;</w:t>
      </w:r>
    </w:p>
    <w:p>
      <w:pPr>
        <w:spacing w:after="0" w:line="166" w:lineRule="exact"/>
        <w:rPr>
          <w:rFonts w:ascii="Courier New" w:cs="Courier New" w:eastAsia="Courier New" w:hAnsi="Courier New"/>
          <w:sz w:val="15"/>
          <w:szCs w:val="15"/>
          <w:color w:val="auto"/>
        </w:rPr>
      </w:pPr>
    </w:p>
    <w:p>
      <w:pPr>
        <w:ind w:left="880" w:right="3239" w:hanging="433"/>
        <w:spacing w:after="0" w:line="344"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Tower will be required to raise additional funds in an amount equal to $152 million by the end of 2005;</w:t>
      </w:r>
    </w:p>
    <w:p>
      <w:pPr>
        <w:spacing w:after="0" w:line="17" w:lineRule="exact"/>
        <w:rPr>
          <w:rFonts w:ascii="Courier New" w:cs="Courier New" w:eastAsia="Courier New" w:hAnsi="Courier New"/>
          <w:sz w:val="15"/>
          <w:szCs w:val="15"/>
          <w:color w:val="auto"/>
        </w:rPr>
      </w:pPr>
    </w:p>
    <w:p>
      <w:pPr>
        <w:ind w:left="880" w:right="3239" w:hanging="433"/>
        <w:spacing w:after="0" w:line="267" w:lineRule="auto"/>
        <w:tabs>
          <w:tab w:leader="none" w:pos="8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Tower does not raise the additional funds by certain contractually committed dates, the banks may require Tower to commence a rights offering at pre-determined terms. In such rights offering, Israel Corporation has agreed to exercise the rights it receives in the rights offering. In addition, Israel Corporation has provided the banks with an undertaking to purchase additional Tower securities in a private placement. Israel Corporation's total commitment to invest in Tower's securities is limited to $50 million, and is subject to additional conditions. Upon such investment by Israel Corporation, the banks have agreed to extend additional loans in an aggregate amount of up to $43 million.</w:t>
      </w:r>
    </w:p>
    <w:p>
      <w:pPr>
        <w:spacing w:after="0" w:line="77" w:lineRule="exact"/>
        <w:rPr>
          <w:rFonts w:ascii="Courier New" w:cs="Courier New" w:eastAsia="Courier New" w:hAnsi="Courier New"/>
          <w:sz w:val="14"/>
          <w:szCs w:val="14"/>
          <w:color w:val="auto"/>
        </w:rPr>
      </w:pPr>
    </w:p>
    <w:p>
      <w:pPr>
        <w:ind w:left="880" w:right="3319" w:hanging="433"/>
        <w:spacing w:after="0" w:line="264" w:lineRule="auto"/>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of the warrants to purchase 400,000 shares previously issued to the banks was reduced from $6.20 to $6.17 per share. In addition, Tower will issue to the banks new 5 year warrants to purchase up to 896,596 shares at an exercise price of $6.17 per share;</w:t>
      </w:r>
    </w:p>
    <w:p>
      <w:pPr>
        <w:spacing w:after="0" w:line="75" w:lineRule="exact"/>
        <w:rPr>
          <w:sz w:val="20"/>
          <w:szCs w:val="20"/>
          <w:color w:val="auto"/>
        </w:rPr>
      </w:pPr>
    </w:p>
    <w:p>
      <w:pPr>
        <w:ind w:right="3399"/>
        <w:spacing w:after="0" w:line="280" w:lineRule="auto"/>
        <w:rPr>
          <w:sz w:val="20"/>
          <w:szCs w:val="20"/>
          <w:color w:val="auto"/>
        </w:rPr>
      </w:pPr>
      <w:r>
        <w:rPr>
          <w:rFonts w:ascii="Courier New" w:cs="Courier New" w:eastAsia="Courier New" w:hAnsi="Courier New"/>
          <w:sz w:val="14"/>
          <w:szCs w:val="14"/>
          <w:color w:val="auto"/>
        </w:rPr>
        <w:t>The remainder of the fifth milestone payment in the aggregate amount of $24.6 million investment will include the issuance of Tower ordinary shares in an aggregate amount of $8.5 million at a purchase price of $2.983 per share (the 30-day average trading price when the amendment was originally approved by the Company's board of directors). For the $16.1 million remainder, Tower's major investors will be issued ordinary shares based on Tower's market price.</w:t>
      </w:r>
    </w:p>
    <w:p>
      <w:pPr>
        <w:spacing w:after="0" w:line="67" w:lineRule="exact"/>
        <w:rPr>
          <w:sz w:val="20"/>
          <w:szCs w:val="20"/>
          <w:color w:val="auto"/>
        </w:rPr>
      </w:pPr>
    </w:p>
    <w:p>
      <w:pPr>
        <w:ind w:right="3319"/>
        <w:spacing w:after="0" w:line="264" w:lineRule="auto"/>
        <w:rPr>
          <w:sz w:val="20"/>
          <w:szCs w:val="20"/>
          <w:color w:val="auto"/>
        </w:rPr>
      </w:pPr>
      <w:r>
        <w:rPr>
          <w:rFonts w:ascii="Courier New" w:cs="Courier New" w:eastAsia="Courier New" w:hAnsi="Courier New"/>
          <w:sz w:val="15"/>
          <w:szCs w:val="15"/>
          <w:color w:val="auto"/>
        </w:rPr>
        <w:t>The amendments with Tower's banks and investors are subject to shareholders' approval, which the company expects to receive in December 2003. Additional information regarding these transactions will be available in a Proxy Statement to be distributed to shareholders and posted at www.towersemi.com on or about November 13, 2003.</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ABOUT TOWER SEMICONDUCTOR LTD.</w:t>
      </w:r>
    </w:p>
    <w:p>
      <w:pPr>
        <w:spacing w:after="0" w:line="166" w:lineRule="exact"/>
        <w:rPr>
          <w:sz w:val="20"/>
          <w:szCs w:val="20"/>
          <w:color w:val="auto"/>
        </w:rPr>
      </w:pPr>
    </w:p>
    <w:p>
      <w:pPr>
        <w:ind w:right="3239"/>
        <w:spacing w:after="0" w:line="247" w:lineRule="auto"/>
        <w:rPr>
          <w:sz w:val="20"/>
          <w:szCs w:val="20"/>
          <w:color w:val="auto"/>
        </w:rPr>
      </w:pPr>
      <w:r>
        <w:rPr>
          <w:rFonts w:ascii="Courier New" w:cs="Courier New" w:eastAsia="Courier New" w:hAnsi="Courier New"/>
          <w:sz w:val="15"/>
          <w:szCs w:val="15"/>
          <w:color w:val="auto"/>
        </w:rPr>
        <w:t>Tower Semiconductor Ltd. is a pure-play independent wafer foundry established in 1993. The company manufactures integrated circuits with geometries ranging from 1.0 to 0.18 microns;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microns and can produce up to 16,000 150 mm wafers per month. Fab 2 features 0.18-micron and below process technologies, including foundry-standard technology. When complete, Fab 2 is expected to offer full production capacity of 33,000 200 mm wafers per month. The Tower Web site is located at www.towersemi.com.</w:t>
      </w:r>
    </w:p>
    <w:p>
      <w:pPr>
        <w:sectPr>
          <w:pgSz w:w="11900" w:h="16838" w:orient="portrait"/>
          <w:cols w:equalWidth="0" w:num="1">
            <w:col w:w="10239"/>
          </w:cols>
          <w:pgMar w:left="220" w:top="598"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SAFE HARBOR</w:t>
      </w:r>
    </w:p>
    <w:p>
      <w:pPr>
        <w:spacing w:after="0" w:line="166" w:lineRule="exact"/>
        <w:rPr>
          <w:sz w:val="20"/>
          <w:szCs w:val="20"/>
          <w:color w:val="auto"/>
        </w:rPr>
      </w:pPr>
    </w:p>
    <w:p>
      <w:pPr>
        <w:ind w:right="3239"/>
        <w:spacing w:after="0" w:line="259" w:lineRule="auto"/>
        <w:rPr>
          <w:sz w:val="20"/>
          <w:szCs w:val="20"/>
          <w:color w:val="auto"/>
        </w:rPr>
      </w:pPr>
      <w:r>
        <w:rPr>
          <w:rFonts w:ascii="Courier New" w:cs="Courier New" w:eastAsia="Courier New" w:hAnsi="Courier New"/>
          <w:sz w:val="14"/>
          <w:szCs w:val="14"/>
          <w:color w:val="auto"/>
        </w:rPr>
        <w:t>This press release includes forward-looking statements, which are subject to risks and uncertainties. Our actual results may vary from those projected or implied by such forward-looking statements. Potential risks and uncertainties include, without limitation, risks and uncertainties associated with (i) Our need to obtain shareholders approval to our further revised fifth milestone arrangements and our financing package with our banks, (ii) fulfilling our closing conditions under our financing package agreement with our banks, (iii) obtaining the approval of the Israeli Investment Center to extend the five-year investment period under our Fab 2 approved enterprise program and of amendments to our modified business plan, (iv) market acceptance and competitiveness of the products to be manufactured by us for customers using these technologies, as well as obtaining additional business from new and existing customers, (v) our ability to obtain additional financing for the Fab 2 project from equity and/or wafer partners, the Israeli Investment Center, our banks, and/or other sources, as required under the Fab 2 business plan and pursuant to our agreements with our wafer and equity partners, banks and the Israeli Investment Center, (vi) ramp-up of production at Fab 2, (vii) completion of the development and/or transfer of advanced process technologies to be utilized in our existing facility and in Fab 2, (viii) initial production difficulties we may experience in connection with the functionality of the equipment installed in Fab 2 during its early manufacturing period, (ix) our need to hire a new Vice President of Sales and Marketing, (x) conditions in the market for foundry manufacturing services and for semiconductor products generally. A more complete discussion of risks and uncertainties that may affect the accuracy of forward-looking statements included in this press release or which may otherwise affect our business is included under the heading "Risk Factors" in our most recent Annual Report on Form 20-F and Form F-3, as were filed with the Securities and Exchange Commission and the Israel Securities Authority.</w:t>
      </w:r>
    </w:p>
    <w:p>
      <w:pPr>
        <w:spacing w:after="0" w:line="200" w:lineRule="exact"/>
        <w:rPr>
          <w:sz w:val="20"/>
          <w:szCs w:val="20"/>
          <w:color w:val="auto"/>
        </w:rPr>
      </w:pPr>
    </w:p>
    <w:p>
      <w:pPr>
        <w:spacing w:after="0" w:line="39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 #</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INVESTOR RELATIONS CONTACT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Sheldon Lutch</w:t>
      </w:r>
    </w:p>
    <w:p>
      <w:pPr>
        <w:spacing w:after="0" w:line="237" w:lineRule="auto"/>
        <w:rPr>
          <w:sz w:val="20"/>
          <w:szCs w:val="20"/>
          <w:color w:val="auto"/>
        </w:rPr>
      </w:pPr>
      <w:r>
        <w:rPr>
          <w:rFonts w:ascii="Courier New" w:cs="Courier New" w:eastAsia="Courier New" w:hAnsi="Courier New"/>
          <w:sz w:val="15"/>
          <w:szCs w:val="15"/>
          <w:color w:val="auto"/>
        </w:rPr>
        <w:t>Fusion IR &amp; Communications</w:t>
      </w:r>
    </w:p>
    <w:p>
      <w:pPr>
        <w:spacing w:after="0" w:line="238" w:lineRule="auto"/>
        <w:rPr>
          <w:sz w:val="20"/>
          <w:szCs w:val="20"/>
          <w:color w:val="auto"/>
        </w:rPr>
      </w:pPr>
      <w:r>
        <w:rPr>
          <w:rFonts w:ascii="Courier New" w:cs="Courier New" w:eastAsia="Courier New" w:hAnsi="Courier New"/>
          <w:sz w:val="15"/>
          <w:szCs w:val="15"/>
          <w:color w:val="auto"/>
        </w:rPr>
        <w:t>+1 (212) 268 1816</w:t>
      </w:r>
    </w:p>
    <w:p>
      <w:pPr>
        <w:spacing w:after="0"/>
        <w:rPr>
          <w:sz w:val="20"/>
          <w:szCs w:val="20"/>
          <w:color w:val="auto"/>
        </w:rPr>
      </w:pPr>
      <w:r>
        <w:rPr>
          <w:rFonts w:ascii="Courier New" w:cs="Courier New" w:eastAsia="Courier New" w:hAnsi="Courier New"/>
          <w:sz w:val="15"/>
          <w:szCs w:val="15"/>
          <w:color w:val="auto"/>
        </w:rPr>
        <w:t>sheldon@fusionir.com</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 AGENCY CONTACT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Bruce Hokanson</w:t>
      </w:r>
    </w:p>
    <w:p>
      <w:pPr>
        <w:spacing w:after="0" w:line="237" w:lineRule="auto"/>
        <w:rPr>
          <w:sz w:val="20"/>
          <w:szCs w:val="20"/>
          <w:color w:val="auto"/>
        </w:rPr>
      </w:pPr>
      <w:r>
        <w:rPr>
          <w:rFonts w:ascii="Courier New" w:cs="Courier New" w:eastAsia="Courier New" w:hAnsi="Courier New"/>
          <w:sz w:val="15"/>
          <w:szCs w:val="15"/>
          <w:color w:val="auto"/>
        </w:rPr>
        <w:t>Loomis Group</w:t>
      </w:r>
    </w:p>
    <w:p>
      <w:pPr>
        <w:spacing w:after="0" w:line="238" w:lineRule="auto"/>
        <w:rPr>
          <w:sz w:val="20"/>
          <w:szCs w:val="20"/>
          <w:color w:val="auto"/>
        </w:rPr>
      </w:pPr>
      <w:r>
        <w:rPr>
          <w:rFonts w:ascii="Courier New" w:cs="Courier New" w:eastAsia="Courier New" w:hAnsi="Courier New"/>
          <w:sz w:val="15"/>
          <w:szCs w:val="15"/>
          <w:color w:val="auto"/>
        </w:rPr>
        <w:t>+1 (360) 574 4000</w:t>
      </w:r>
    </w:p>
    <w:p>
      <w:pPr>
        <w:spacing w:after="0"/>
        <w:rPr>
          <w:sz w:val="20"/>
          <w:szCs w:val="20"/>
          <w:color w:val="auto"/>
        </w:rPr>
      </w:pPr>
      <w:r>
        <w:rPr>
          <w:rFonts w:ascii="Courier New" w:cs="Courier New" w:eastAsia="Courier New" w:hAnsi="Courier New"/>
          <w:sz w:val="15"/>
          <w:szCs w:val="15"/>
          <w:color w:val="auto"/>
        </w:rPr>
        <w:t>hokanson@loomisgroup.com</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CONTACT</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Doron Simon</w:t>
      </w:r>
    </w:p>
    <w:p>
      <w:pPr>
        <w:spacing w:after="0" w:line="237" w:lineRule="auto"/>
        <w:rPr>
          <w:sz w:val="20"/>
          <w:szCs w:val="20"/>
          <w:color w:val="auto"/>
        </w:rPr>
      </w:pPr>
      <w:r>
        <w:rPr>
          <w:rFonts w:ascii="Courier New" w:cs="Courier New" w:eastAsia="Courier New" w:hAnsi="Courier New"/>
          <w:sz w:val="15"/>
          <w:szCs w:val="15"/>
          <w:color w:val="auto"/>
        </w:rPr>
        <w:t>Tower Semiconductor USA</w:t>
      </w:r>
    </w:p>
    <w:p>
      <w:pPr>
        <w:spacing w:after="0" w:line="238" w:lineRule="auto"/>
        <w:rPr>
          <w:sz w:val="20"/>
          <w:szCs w:val="20"/>
          <w:color w:val="auto"/>
        </w:rPr>
      </w:pPr>
      <w:r>
        <w:rPr>
          <w:rFonts w:ascii="Courier New" w:cs="Courier New" w:eastAsia="Courier New" w:hAnsi="Courier New"/>
          <w:sz w:val="15"/>
          <w:szCs w:val="15"/>
          <w:color w:val="auto"/>
        </w:rPr>
        <w:t>+1 (408) 330 6888</w:t>
      </w:r>
    </w:p>
    <w:p>
      <w:pPr>
        <w:spacing w:after="0"/>
        <w:rPr>
          <w:sz w:val="20"/>
          <w:szCs w:val="20"/>
          <w:color w:val="auto"/>
        </w:rPr>
      </w:pPr>
      <w:r>
        <w:rPr>
          <w:rFonts w:ascii="Courier New" w:cs="Courier New" w:eastAsia="Courier New" w:hAnsi="Courier New"/>
          <w:sz w:val="15"/>
          <w:szCs w:val="15"/>
          <w:color w:val="auto"/>
        </w:rPr>
        <w:t>pr@towersemi.com</w:t>
      </w:r>
    </w:p>
    <w:sectPr>
      <w:pgSz w:w="11900" w:h="16838" w:orient="portrait"/>
      <w:cols w:equalWidth="0" w:num="1">
        <w:col w:w="10239"/>
      </w:cols>
      <w:pgMar w:left="220" w:top="5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upperLetter"/>
      <w:start w:val="1"/>
    </w:lvl>
  </w:abstractNum>
  <w:abstractNum w:abstractNumId="3">
    <w:nsid w:val="DED7263"/>
    <w:multiLevelType w:val="hybridMultilevel"/>
    <w:lvl w:ilvl="0">
      <w:lvlJc w:val="left"/>
      <w:lvlText w:val="%1."/>
      <w:numFmt w:val="upperLetter"/>
      <w:start w:val="3"/>
    </w:lvl>
  </w:abstractNum>
  <w:abstractNum w:abstractNumId="4">
    <w:nsid w:val="7FDCC233"/>
    <w:multiLevelType w:val="hybridMultilevel"/>
    <w:lvl w:ilvl="0">
      <w:lvlJc w:val="left"/>
      <w:lvlText w:val="%1."/>
      <w:numFmt w:val="upperLetter"/>
      <w:start w:val="4"/>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2"/>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upperLetter"/>
      <w:start w:val="1"/>
    </w:lvl>
  </w:abstractNum>
  <w:abstractNum w:abstractNumId="9">
    <w:nsid w:val="25E45D32"/>
    <w:multiLevelType w:val="hybridMultilevel"/>
    <w:lvl w:ilvl="0">
      <w:lvlJc w:val="left"/>
      <w:lvlText w:val="%1."/>
      <w:numFmt w:val="upperLetter"/>
      <w:start w:val="1"/>
    </w:lvl>
  </w:abstractNum>
  <w:abstractNum w:abstractNumId="10">
    <w:nsid w:val="519B500D"/>
    <w:multiLevelType w:val="hybridMultilevel"/>
    <w:lvl w:ilvl="0">
      <w:lvlJc w:val="left"/>
      <w:lvlText w:val="%1."/>
      <w:numFmt w:val="upperLetter"/>
      <w:start w:val="1"/>
    </w:lvl>
  </w:abstractNum>
  <w:abstractNum w:abstractNumId="11">
    <w:nsid w:val="431BD7B7"/>
    <w:multiLevelType w:val="hybridMultilevel"/>
    <w:lvl w:ilvl="0">
      <w:lvlJc w:val="left"/>
      <w:lvlText w:val="%1."/>
      <w:numFmt w:val="upperLetter"/>
      <w:start w:val="2"/>
    </w:lvl>
  </w:abstractNum>
  <w:abstractNum w:abstractNumId="12">
    <w:nsid w:val="3F2DBA31"/>
    <w:multiLevelType w:val="hybridMultilevel"/>
    <w:lvl w:ilvl="0">
      <w:lvlJc w:val="left"/>
      <w:lvlText w:val="%1."/>
      <w:numFmt w:val="upperLetter"/>
      <w:start w:val="2"/>
    </w:lvl>
  </w:abstractNum>
  <w:abstractNum w:abstractNumId="13">
    <w:nsid w:val="7C83E458"/>
    <w:multiLevelType w:val="hybridMultilevel"/>
    <w:lvl w:ilvl="0">
      <w:lvlJc w:val="left"/>
      <w:lvlText w:val="%1."/>
      <w:numFmt w:val="upperLetter"/>
      <w:start w:val="2"/>
    </w:lvl>
  </w:abstractNum>
  <w:abstractNum w:abstractNumId="14">
    <w:nsid w:val="257130A3"/>
    <w:multiLevelType w:val="hybridMultilevel"/>
    <w:lvl w:ilvl="0">
      <w:lvlJc w:val="left"/>
      <w:lvlText w:val="%1."/>
      <w:numFmt w:val="upperLetter"/>
      <w:start w:val="4"/>
    </w:lvl>
  </w:abstractNum>
  <w:abstractNum w:abstractNumId="15">
    <w:nsid w:val="62BBD95A"/>
    <w:multiLevelType w:val="hybridMultilevel"/>
    <w:lvl w:ilvl="0">
      <w:lvlJc w:val="left"/>
      <w:lvlText w:val="%1."/>
      <w:numFmt w:val="upperLetter"/>
      <w:start w:val="1"/>
    </w:lvl>
    <w:lvl w:ilvl="1">
      <w:lvlJc w:val="left"/>
      <w:lvlText w:val="(%2)"/>
      <w:numFmt w:val="decimal"/>
      <w:start w:val="1"/>
    </w:lvl>
  </w:abstractNum>
  <w:abstractNum w:abstractNumId="16">
    <w:nsid w:val="436C6125"/>
    <w:multiLevelType w:val="hybridMultilevel"/>
    <w:lvl w:ilvl="0">
      <w:lvlJc w:val="left"/>
      <w:lvlText w:val="%1."/>
      <w:numFmt w:val="upperLetter"/>
      <w:start w:val="1"/>
    </w:lvl>
  </w:abstractNum>
  <w:abstractNum w:abstractNumId="17">
    <w:nsid w:val="628C895D"/>
    <w:multiLevelType w:val="hybridMultilevel"/>
    <w:lvl w:ilvl="0">
      <w:lvlJc w:val="left"/>
      <w:lvlText w:val="%1."/>
      <w:numFmt w:val="upperLetter"/>
      <w:start w:val="4"/>
    </w:lvl>
  </w:abstractNum>
  <w:abstractNum w:abstractNumId="18">
    <w:nsid w:val="333AB105"/>
    <w:multiLevelType w:val="hybridMultilevel"/>
    <w:lvl w:ilvl="0">
      <w:lvlJc w:val="left"/>
      <w:lvlText w:val="%1."/>
      <w:numFmt w:val="upperLetter"/>
      <w:start w:val="5"/>
    </w:lvl>
  </w:abstractNum>
  <w:abstractNum w:abstractNumId="19">
    <w:nsid w:val="721DA317"/>
    <w:multiLevelType w:val="hybridMultilevel"/>
    <w:lvl w:ilvl="0">
      <w:lvlJc w:val="left"/>
      <w:lvlText w:val="%1."/>
      <w:numFmt w:val="upperLetter"/>
      <w:start w:val="6"/>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upperLetter"/>
      <w:start w:val="7"/>
    </w:lvl>
  </w:abstractNum>
  <w:abstractNum w:abstractNumId="22">
    <w:nsid w:val="6763845E"/>
    <w:multiLevelType w:val="hybridMultilevel"/>
    <w:lvl w:ilvl="0">
      <w:lvlJc w:val="left"/>
      <w:lvlText w:val="o"/>
      <w:numFmt w:val="bullet"/>
      <w:start w:val="1"/>
    </w:lvl>
  </w:abstractNum>
  <w:abstractNum w:abstractNumId="23">
    <w:nsid w:val="75A2A8D4"/>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2019-12-14T04:18:26Z</dcterms:created>
  <dcterms:modified xsi:type="dcterms:W3CDTF">2019-12-14T04:18:26Z</dcterms:modified>
</cp:coreProperties>
</file>