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Senvest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3,971,656.00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3,971,656.00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3,971,656.00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Richard Mashaal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3,971,656.00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3,971,656.00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3,971,656.00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right="40"/>
        <w:spacing w:after="0" w:line="249" w:lineRule="auto"/>
        <w:rPr>
          <w:sz w:val="20"/>
          <w:szCs w:val="20"/>
          <w:color w:val="auto"/>
        </w:rPr>
      </w:pPr>
      <w:r>
        <w:rPr>
          <w:rFonts w:ascii="Times New Roman" w:cs="Times New Roman" w:eastAsia="Times New Roman" w:hAnsi="Times New Roman"/>
          <w:sz w:val="21"/>
          <w:szCs w:val="21"/>
          <w:color w:val="auto"/>
        </w:rPr>
        <w:t>This statement is filed by Senvest Management, LLC and Richard Mashaal, with respect to the ordinary shares, par value NIS 15.00 per share ("Ordinary Shares"), of Tower Semiconductor Ltd., an Israeli company (the "Company"). The reported securities are held in the account of Senvest Master Fund, LP and Senvest Technology Partners Master</w:t>
      </w:r>
    </w:p>
    <w:p>
      <w:pPr>
        <w:spacing w:after="0" w:line="1"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LP (collectively, the "Investment Vehicles"). 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Senvest Management, LLC 540 Madison Avenue, 32nd Floor New York, New York 10022 Richard Mashaal c/o Senvest Management, LLC 540 Madison Avenue, 32nd Floor New York, New York 10022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340"/>
        <w:spacing w:after="0" w:line="256" w:lineRule="auto"/>
        <w:rPr>
          <w:sz w:val="20"/>
          <w:szCs w:val="20"/>
          <w:color w:val="auto"/>
        </w:rPr>
      </w:pPr>
      <w:r>
        <w:rPr>
          <w:rFonts w:ascii="Times New Roman" w:cs="Times New Roman" w:eastAsia="Times New Roman" w:hAnsi="Times New Roman"/>
          <w:sz w:val="22"/>
          <w:szCs w:val="22"/>
          <w:color w:val="auto"/>
        </w:rPr>
        <w:t>Senvest Management, LLC - Delaware Richard Mashaal - Canada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M87915274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00"/>
          </w:cols>
          <w:pgMar w:left="360" w:top="126" w:right="539" w:bottom="0" w:gutter="0" w:footer="0" w:header="0"/>
        </w:sectPr>
      </w:pPr>
    </w:p>
    <w:bookmarkStart w:id="3" w:name="page4"/>
    <w:bookmarkEnd w:id="3"/>
    <w:p>
      <w:pPr>
        <w:spacing w:after="0" w:line="35" w:lineRule="exact"/>
        <w:rPr>
          <w:sz w:val="20"/>
          <w:szCs w:val="20"/>
          <w:color w:val="auto"/>
        </w:rPr>
      </w:pPr>
    </w:p>
    <w:p>
      <w:pPr>
        <w:ind w:left="920" w:right="20"/>
        <w:spacing w:after="0" w:line="254"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111,845,587 Ordinary Shares outstanding as of May 31, 2025, as reported in Exhibit 99.1 to the Issuer's Report of Foreign Issuer on Form 6-K filed with the Securities and Exchange Commission on June 12, 2025.</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Investment Vehicles have the right to receive and the power to direct the receipt of dividends from, and the proceeds from the sale of, the Ordinary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74" w:orient="portrait"/>
          <w:cols w:equalWidth="0" w:num="2">
            <w:col w:w="720" w:space="200"/>
            <w:col w:w="10220"/>
          </w:cols>
          <w:pgMar w:left="360" w:top="355"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Senvest Management, LLC</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Bobby Trahanas</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Bobby Trahanas, Chief Compliance Officer</w:t>
      </w:r>
    </w:p>
    <w:p>
      <w:pPr>
        <w:sectPr>
          <w:pgSz w:w="11900" w:h="16874" w:orient="portrait"/>
          <w:cols w:equalWidth="0" w:num="1">
            <w:col w:w="11140"/>
          </w:cols>
          <w:pgMar w:left="360" w:top="355" w:right="399" w:bottom="0" w:gutter="0" w:footer="0" w:header="0"/>
          <w:type w:val="continuous"/>
        </w:sectPr>
      </w:pPr>
    </w:p>
    <w:bookmarkStart w:id="4" w:name="page5"/>
    <w:bookmarkEnd w:id="4"/>
    <w:p>
      <w:pPr>
        <w:ind w:left="398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Richard Mashaal</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Mashaal</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Name/Title: Richard Mashaal, Individually</w:t>
      </w:r>
    </w:p>
    <w:p>
      <w:pPr>
        <w:spacing w:after="0" w:line="56"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9019"/>
      </w:cols>
      <w:pgMar w:left="14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2026-02-12T15:25:53Z</dcterms:created>
  <dcterms:modified xsi:type="dcterms:W3CDTF">2026-02-12T15:25:53Z</dcterms:modified>
</cp:coreProperties>
</file>