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 xml:space="preserve">As filed with the Securities and Exchange Commission on November 1, 2007  </w:t>
      </w:r>
      <w:r>
        <w:rPr>
          <w:rFonts w:ascii="Arial" w:cs="Arial" w:eastAsia="Arial" w:hAnsi="Arial"/>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S-8</w:t>
      </w:r>
    </w:p>
    <w:p>
      <w:pPr>
        <w:spacing w:after="0" w:line="3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14" w:right="239" w:bottom="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314" w:right="239" w:bottom="0" w:gutter="0" w:footer="0" w:header="0"/>
          <w:type w:val="continuous"/>
        </w:sect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Employee Share Option Plan 2005</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CEO Share Option Plan 2005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Chairman Share Option Plan 2006</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Independent Directors Share Option Plan 2007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(Full title of plans)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Correspondence to:</w:t>
      </w:r>
    </w:p>
    <w:p>
      <w:pPr>
        <w:spacing w:after="0" w:line="15" w:lineRule="exact"/>
        <w:rPr>
          <w:sz w:val="24"/>
          <w:szCs w:val="24"/>
          <w:color w:val="auto"/>
        </w:rPr>
      </w:pPr>
    </w:p>
    <w:tbl>
      <w:tblPr>
        <w:tblLayout w:type="fixed"/>
        <w:tblInd w:w="2900" w:type="dxa"/>
        <w:tblCellMar>
          <w:top w:w="0" w:type="dxa"/>
          <w:left w:w="0" w:type="dxa"/>
          <w:bottom w:w="0" w:type="dxa"/>
          <w:right w:w="0" w:type="dxa"/>
        </w:tblCellMar>
      </w:tblPr>
      <w:tr>
        <w:trPr>
          <w:trHeight w:val="210"/>
        </w:trPr>
        <w:tc>
          <w:tcPr>
            <w:tcW w:w="2840" w:type="dxa"/>
            <w:vAlign w:val="bottom"/>
          </w:tcPr>
          <w:p>
            <w:pPr>
              <w:jc w:val="center"/>
              <w:ind w:right="532"/>
              <w:spacing w:after="0"/>
              <w:rPr>
                <w:sz w:val="20"/>
                <w:szCs w:val="20"/>
                <w:color w:val="auto"/>
              </w:rPr>
            </w:pPr>
            <w:r>
              <w:rPr>
                <w:rFonts w:ascii="Arial" w:cs="Arial" w:eastAsia="Arial" w:hAnsi="Arial"/>
                <w:sz w:val="18"/>
                <w:szCs w:val="18"/>
                <w:b w:val="1"/>
                <w:bCs w:val="1"/>
                <w:color w:val="auto"/>
                <w:w w:val="95"/>
              </w:rPr>
              <w:t>DAVID H. SCHAPIRO, ESQ.</w:t>
            </w:r>
          </w:p>
        </w:tc>
        <w:tc>
          <w:tcPr>
            <w:tcW w:w="27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SHELDON KRAUSE, ESQ.</w:t>
            </w:r>
          </w:p>
        </w:tc>
      </w:tr>
      <w:tr>
        <w:trPr>
          <w:trHeight w:val="217"/>
        </w:trPr>
        <w:tc>
          <w:tcPr>
            <w:tcW w:w="2840" w:type="dxa"/>
            <w:vAlign w:val="bottom"/>
          </w:tcPr>
          <w:p>
            <w:pPr>
              <w:jc w:val="center"/>
              <w:ind w:right="532"/>
              <w:spacing w:after="0"/>
              <w:rPr>
                <w:sz w:val="20"/>
                <w:szCs w:val="20"/>
                <w:color w:val="auto"/>
              </w:rPr>
            </w:pPr>
            <w:r>
              <w:rPr>
                <w:rFonts w:ascii="Arial" w:cs="Arial" w:eastAsia="Arial" w:hAnsi="Arial"/>
                <w:sz w:val="18"/>
                <w:szCs w:val="18"/>
                <w:color w:val="auto"/>
                <w:w w:val="93"/>
              </w:rPr>
              <w:t>Yigal Arnon &amp; Co.</w:t>
            </w:r>
          </w:p>
        </w:tc>
        <w:tc>
          <w:tcPr>
            <w:tcW w:w="2740" w:type="dxa"/>
            <w:vAlign w:val="bottom"/>
          </w:tcPr>
          <w:p>
            <w:pPr>
              <w:jc w:val="center"/>
              <w:ind w:left="552"/>
              <w:spacing w:after="0"/>
              <w:rPr>
                <w:sz w:val="20"/>
                <w:szCs w:val="20"/>
                <w:color w:val="auto"/>
              </w:rPr>
            </w:pPr>
            <w:r>
              <w:rPr>
                <w:rFonts w:ascii="Arial" w:cs="Arial" w:eastAsia="Arial" w:hAnsi="Arial"/>
                <w:sz w:val="18"/>
                <w:szCs w:val="18"/>
                <w:color w:val="auto"/>
                <w:w w:val="90"/>
              </w:rPr>
              <w:t>Eilenberg Krause &amp; Paul LLP</w:t>
            </w:r>
          </w:p>
        </w:tc>
      </w:tr>
      <w:tr>
        <w:trPr>
          <w:trHeight w:val="255"/>
        </w:trPr>
        <w:tc>
          <w:tcPr>
            <w:tcW w:w="2840" w:type="dxa"/>
            <w:vAlign w:val="bottom"/>
          </w:tcPr>
          <w:p>
            <w:pPr>
              <w:jc w:val="center"/>
              <w:ind w:right="532"/>
              <w:spacing w:after="0"/>
              <w:rPr>
                <w:sz w:val="20"/>
                <w:szCs w:val="20"/>
                <w:color w:val="auto"/>
              </w:rPr>
            </w:pPr>
            <w:r>
              <w:rPr>
                <w:rFonts w:ascii="Arial" w:cs="Arial" w:eastAsia="Arial" w:hAnsi="Arial"/>
                <w:sz w:val="18"/>
                <w:szCs w:val="18"/>
                <w:color w:val="auto"/>
                <w:w w:val="92"/>
              </w:rPr>
              <w:t>1 Azrieli Center</w:t>
            </w:r>
          </w:p>
        </w:tc>
        <w:tc>
          <w:tcPr>
            <w:tcW w:w="2740" w:type="dxa"/>
            <w:vAlign w:val="bottom"/>
          </w:tcPr>
          <w:p>
            <w:pPr>
              <w:jc w:val="center"/>
              <w:ind w:left="55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840" w:type="dxa"/>
            <w:vAlign w:val="bottom"/>
          </w:tcPr>
          <w:p>
            <w:pPr>
              <w:jc w:val="center"/>
              <w:ind w:right="532"/>
              <w:spacing w:after="0"/>
              <w:rPr>
                <w:sz w:val="20"/>
                <w:szCs w:val="20"/>
                <w:color w:val="auto"/>
              </w:rPr>
            </w:pPr>
            <w:r>
              <w:rPr>
                <w:rFonts w:ascii="Arial" w:cs="Arial" w:eastAsia="Arial" w:hAnsi="Arial"/>
                <w:sz w:val="18"/>
                <w:szCs w:val="18"/>
                <w:color w:val="auto"/>
                <w:w w:val="88"/>
              </w:rPr>
              <w:t>Tel Aviv, 67021 Israel</w:t>
            </w:r>
          </w:p>
        </w:tc>
        <w:tc>
          <w:tcPr>
            <w:tcW w:w="2740" w:type="dxa"/>
            <w:vAlign w:val="bottom"/>
          </w:tcPr>
          <w:p>
            <w:pPr>
              <w:jc w:val="center"/>
              <w:ind w:left="552"/>
              <w:spacing w:after="0"/>
              <w:rPr>
                <w:sz w:val="20"/>
                <w:szCs w:val="20"/>
                <w:color w:val="auto"/>
              </w:rPr>
            </w:pPr>
            <w:r>
              <w:rPr>
                <w:rFonts w:ascii="Arial" w:cs="Arial" w:eastAsia="Arial" w:hAnsi="Arial"/>
                <w:sz w:val="18"/>
                <w:szCs w:val="18"/>
                <w:color w:val="auto"/>
                <w:w w:val="91"/>
              </w:rPr>
              <w:t>New York, NY 10017</w:t>
            </w:r>
          </w:p>
        </w:tc>
      </w:tr>
      <w:tr>
        <w:trPr>
          <w:trHeight w:val="222"/>
        </w:trPr>
        <w:tc>
          <w:tcPr>
            <w:tcW w:w="2840" w:type="dxa"/>
            <w:vAlign w:val="bottom"/>
          </w:tcPr>
          <w:p>
            <w:pPr>
              <w:jc w:val="center"/>
              <w:ind w:right="532"/>
              <w:spacing w:after="0"/>
              <w:rPr>
                <w:sz w:val="20"/>
                <w:szCs w:val="20"/>
                <w:color w:val="auto"/>
              </w:rPr>
            </w:pPr>
            <w:r>
              <w:rPr>
                <w:rFonts w:ascii="Arial" w:cs="Arial" w:eastAsia="Arial" w:hAnsi="Arial"/>
                <w:sz w:val="18"/>
                <w:szCs w:val="18"/>
                <w:color w:val="auto"/>
                <w:w w:val="89"/>
              </w:rPr>
              <w:t>Tel: 972-3-608-7856</w:t>
            </w:r>
          </w:p>
        </w:tc>
        <w:tc>
          <w:tcPr>
            <w:tcW w:w="2740" w:type="dxa"/>
            <w:vAlign w:val="bottom"/>
          </w:tcPr>
          <w:p>
            <w:pPr>
              <w:jc w:val="center"/>
              <w:ind w:left="552"/>
              <w:spacing w:after="0"/>
              <w:rPr>
                <w:sz w:val="20"/>
                <w:szCs w:val="20"/>
                <w:color w:val="auto"/>
              </w:rPr>
            </w:pPr>
            <w:r>
              <w:rPr>
                <w:rFonts w:ascii="Arial" w:cs="Arial" w:eastAsia="Arial" w:hAnsi="Arial"/>
                <w:sz w:val="18"/>
                <w:szCs w:val="18"/>
                <w:color w:val="auto"/>
                <w:w w:val="88"/>
              </w:rPr>
              <w:t>Tel: 212-986-9700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Amount to be</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140" w:type="dxa"/>
            <w:vAlign w:val="bottom"/>
          </w:tcPr>
          <w:p>
            <w:pPr>
              <w:spacing w:after="0"/>
              <w:rPr>
                <w:sz w:val="15"/>
                <w:szCs w:val="15"/>
                <w:color w:val="auto"/>
              </w:rPr>
            </w:pPr>
          </w:p>
        </w:tc>
        <w:tc>
          <w:tcPr>
            <w:tcW w:w="1800" w:type="dxa"/>
            <w:vAlign w:val="bottom"/>
          </w:tcPr>
          <w:p>
            <w:pPr>
              <w:ind w:left="520"/>
              <w:spacing w:after="0"/>
              <w:rPr>
                <w:sz w:val="20"/>
                <w:szCs w:val="20"/>
                <w:color w:val="auto"/>
              </w:rPr>
            </w:pPr>
            <w:r>
              <w:rPr>
                <w:rFonts w:ascii="Arial" w:cs="Arial" w:eastAsia="Arial" w:hAnsi="Arial"/>
                <w:sz w:val="14"/>
                <w:szCs w:val="14"/>
                <w:b w:val="1"/>
                <w:bCs w:val="1"/>
                <w:color w:val="auto"/>
              </w:rPr>
              <w:t>Registered(1)</w:t>
            </w:r>
          </w:p>
        </w:tc>
        <w:tc>
          <w:tcPr>
            <w:tcW w:w="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Aggregate Offering Price</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95"/>
        </w:trPr>
        <w:tc>
          <w:tcPr>
            <w:tcW w:w="120" w:type="dxa"/>
            <w:vAlign w:val="bottom"/>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NIS 1.00 per</w:t>
            </w:r>
          </w:p>
        </w:tc>
        <w:tc>
          <w:tcPr>
            <w:tcW w:w="2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 ("Ordinary Shares") (relating to</w:t>
            </w:r>
          </w:p>
        </w:tc>
        <w:tc>
          <w:tcPr>
            <w:tcW w:w="2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CEO Share Option Plan 2005)</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3,622,889</w:t>
            </w: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(2)</w:t>
            </w: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6,947,867</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r>
      <w:tr>
        <w:trPr>
          <w:trHeight w:val="208"/>
        </w:trPr>
        <w:tc>
          <w:tcPr>
            <w:tcW w:w="4260" w:type="dxa"/>
            <w:vAlign w:val="bottom"/>
          </w:tcPr>
          <w:p>
            <w:pPr>
              <w:spacing w:after="0"/>
              <w:rPr>
                <w:sz w:val="20"/>
                <w:szCs w:val="20"/>
                <w:color w:val="auto"/>
              </w:rPr>
            </w:pPr>
            <w:r>
              <w:rPr>
                <w:rFonts w:ascii="Arial" w:cs="Arial" w:eastAsia="Arial" w:hAnsi="Arial"/>
                <w:sz w:val="18"/>
                <w:szCs w:val="18"/>
                <w:color w:val="auto"/>
              </w:rPr>
              <w:t>Ordinary Shares, par value NIS 1.00 per</w:t>
            </w: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share ("Ordinary Shares") (relating to</w:t>
            </w: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Employee Share Option Plan 2005)</w:t>
            </w:r>
          </w:p>
        </w:tc>
        <w:tc>
          <w:tcPr>
            <w:tcW w:w="2220" w:type="dxa"/>
            <w:vAlign w:val="bottom"/>
          </w:tcPr>
          <w:p>
            <w:pPr>
              <w:jc w:val="right"/>
              <w:spacing w:after="0"/>
              <w:rPr>
                <w:sz w:val="20"/>
                <w:szCs w:val="20"/>
                <w:color w:val="auto"/>
              </w:rPr>
            </w:pPr>
            <w:r>
              <w:rPr>
                <w:rFonts w:ascii="Arial" w:cs="Arial" w:eastAsia="Arial" w:hAnsi="Arial"/>
                <w:sz w:val="18"/>
                <w:szCs w:val="18"/>
                <w:color w:val="auto"/>
              </w:rPr>
              <w:t>4,424,938</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99"/>
              </w:rPr>
              <w:t>(4)</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7,478,145</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230</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(relating to Chairman</w:t>
            </w:r>
          </w:p>
        </w:tc>
        <w:tc>
          <w:tcPr>
            <w:tcW w:w="2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 Option Plan 2006)</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3,158,090</w:t>
            </w: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(6)</w:t>
            </w: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5,937,209</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183</w:t>
            </w:r>
          </w:p>
        </w:tc>
      </w:tr>
      <w:tr>
        <w:trPr>
          <w:trHeight w:val="208"/>
        </w:trPr>
        <w:tc>
          <w:tcPr>
            <w:tcW w:w="4260" w:type="dxa"/>
            <w:vAlign w:val="bottom"/>
          </w:tcPr>
          <w:p>
            <w:pPr>
              <w:spacing w:after="0"/>
              <w:rPr>
                <w:sz w:val="20"/>
                <w:szCs w:val="20"/>
                <w:color w:val="auto"/>
              </w:rPr>
            </w:pPr>
            <w:r>
              <w:rPr>
                <w:rFonts w:ascii="Arial" w:cs="Arial" w:eastAsia="Arial" w:hAnsi="Arial"/>
                <w:sz w:val="18"/>
                <w:szCs w:val="18"/>
                <w:color w:val="auto"/>
              </w:rPr>
              <w:t>Ordinary Shares (relating to Independent</w:t>
            </w: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Directors Share Option Plan 2007)</w:t>
            </w:r>
          </w:p>
        </w:tc>
        <w:tc>
          <w:tcPr>
            <w:tcW w:w="2220" w:type="dxa"/>
            <w:vAlign w:val="bottom"/>
          </w:tcPr>
          <w:p>
            <w:pPr>
              <w:jc w:val="right"/>
              <w:spacing w:after="0"/>
              <w:rPr>
                <w:sz w:val="20"/>
                <w:szCs w:val="20"/>
                <w:color w:val="auto"/>
              </w:rPr>
            </w:pPr>
            <w:r>
              <w:rPr>
                <w:rFonts w:ascii="Arial" w:cs="Arial" w:eastAsia="Arial" w:hAnsi="Arial"/>
                <w:sz w:val="18"/>
                <w:szCs w:val="18"/>
                <w:color w:val="auto"/>
              </w:rPr>
              <w:t>900,000</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99"/>
              </w:rPr>
              <w:t>(8)</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1,614,700</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50</w:t>
            </w:r>
          </w:p>
        </w:tc>
      </w:tr>
      <w:tr>
        <w:trPr>
          <w:trHeight w:val="21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12,105,917</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677</w:t>
            </w:r>
          </w:p>
        </w:tc>
      </w:tr>
    </w:tbl>
    <w:p>
      <w:pPr>
        <w:spacing w:after="0" w:line="235" w:lineRule="exact"/>
        <w:rPr>
          <w:sz w:val="24"/>
          <w:szCs w:val="24"/>
          <w:color w:val="auto"/>
        </w:rPr>
      </w:pPr>
    </w:p>
    <w:p>
      <w:pPr>
        <w:ind w:left="580" w:right="10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registers an indeterminate number of Ordinary Shares, which may become issuable pursuant to the adjustment and anti-dilution provisions of the plans and options to which this Registration Statement relates.</w:t>
      </w:r>
    </w:p>
    <w:p>
      <w:pPr>
        <w:spacing w:after="0" w:line="212" w:lineRule="exact"/>
        <w:rPr>
          <w:rFonts w:ascii="Arial" w:cs="Arial" w:eastAsia="Arial" w:hAnsi="Arial"/>
          <w:sz w:val="18"/>
          <w:szCs w:val="18"/>
          <w:color w:val="auto"/>
        </w:rPr>
      </w:pPr>
    </w:p>
    <w:p>
      <w:pPr>
        <w:ind w:left="580" w:right="14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to Mr. Russell C. Ellwanger pursuant to options heretofore granted pursuant to the CEO Share Option Plan 2005 and any amendments thereof (the “CEO Option Plan”); these shares are additional shares over and above the 12,068,988 shares previously registered on the Registrant’s registration statement on Form S-8, no. 333-138837.</w:t>
      </w:r>
    </w:p>
    <w:p>
      <w:pPr>
        <w:sectPr>
          <w:pgSz w:w="11900" w:h="16838" w:orient="portrait"/>
          <w:cols w:equalWidth="0" w:num="1">
            <w:col w:w="11420"/>
          </w:cols>
          <w:pgMar w:left="240" w:top="314" w:right="239" w:bottom="0" w:gutter="0" w:footer="0" w:header="0"/>
          <w:type w:val="continuous"/>
        </w:sectPr>
      </w:pPr>
    </w:p>
    <w:bookmarkStart w:id="1" w:name="page2"/>
    <w:bookmarkEnd w:id="1"/>
    <w:p>
      <w:pPr>
        <w:jc w:val="both"/>
        <w:ind w:left="580" w:right="24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registration fee based upon the assumed offering prices of the shares determined pursuant to Rule 457(h) under the Securities Act of 1933, based upon a Proposed Maximum Offering Price Per Share of $1.92, which is the weighted average exercise price per share of such options.</w:t>
      </w:r>
    </w:p>
    <w:p>
      <w:pPr>
        <w:spacing w:after="0" w:line="221"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have been or may be granted pursuant to the Registrant’s Employee Share Option Plan 2005; these shares are additional shares over and above the 9,824,660 shares previously registered on the Registrant’s registration statement on Form S-8, no. 333-138837.</w:t>
      </w:r>
    </w:p>
    <w:p>
      <w:pPr>
        <w:spacing w:after="0" w:line="221" w:lineRule="exact"/>
        <w:rPr>
          <w:rFonts w:ascii="Arial" w:cs="Arial" w:eastAsia="Arial" w:hAnsi="Arial"/>
          <w:sz w:val="18"/>
          <w:szCs w:val="18"/>
          <w:color w:val="auto"/>
        </w:rPr>
      </w:pPr>
    </w:p>
    <w:p>
      <w:pPr>
        <w:jc w:val="both"/>
        <w:ind w:left="580" w:right="24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solely for the purpose of determining the registration fee based upon the assumed offering prices of the shares determined pursuant to Rule 457(h) under the Securities Act of 1933, based upon a Proposed Maximum Offering Price Per Share of $1.69 which represents the average of the high and low sales prices of the Ordinary Shares as quoted through the Nasdaq Global Market on October 30, 2007.</w:t>
      </w:r>
    </w:p>
    <w:p>
      <w:pPr>
        <w:spacing w:after="0" w:line="187"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shares that may be issued to Mr. Dov Moran pursuant to options which have been granted pursuant to the Registrant’s Chairman Share Option Plan 2006 (the “Chairman Option Plan”).</w:t>
      </w:r>
    </w:p>
    <w:p>
      <w:pPr>
        <w:spacing w:after="0" w:line="212" w:lineRule="exact"/>
        <w:rPr>
          <w:rFonts w:ascii="Arial" w:cs="Arial" w:eastAsia="Arial" w:hAnsi="Arial"/>
          <w:sz w:val="18"/>
          <w:szCs w:val="18"/>
          <w:color w:val="auto"/>
        </w:rPr>
      </w:pPr>
    </w:p>
    <w:p>
      <w:pPr>
        <w:ind w:left="580" w:right="240" w:hanging="572"/>
        <w:spacing w:after="0" w:line="29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solely for the purpose of determining the registration fee based upon the assumed offering prices of the shares determined pursuant to Rule 457(h) under the Securities Act of 1933, based upon the exercise price per share of the options assumed by the Registrant. With respect to 3,158,090 shares purchasable upon exercise of outstanding options granted to date under the Registrant’s Chairman Share Option Plan 2006, the Proposed Maximum Offering Price Per Share is $1.88, the exercise price per share of such options.</w:t>
      </w:r>
    </w:p>
    <w:p>
      <w:pPr>
        <w:spacing w:after="0" w:line="193" w:lineRule="exact"/>
        <w:rPr>
          <w:rFonts w:ascii="Arial" w:cs="Arial" w:eastAsia="Arial" w:hAnsi="Arial"/>
          <w:sz w:val="16"/>
          <w:szCs w:val="16"/>
          <w:color w:val="auto"/>
        </w:rPr>
      </w:pPr>
    </w:p>
    <w:p>
      <w:pPr>
        <w:ind w:left="580" w:right="24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have been or may be granted pursuant to the Registrant’s Independent Directors Share Option Plan 2007 (the “Directors Option Plan”).</w:t>
      </w:r>
    </w:p>
    <w:p>
      <w:pPr>
        <w:spacing w:after="0" w:line="212" w:lineRule="exact"/>
        <w:rPr>
          <w:rFonts w:ascii="Arial" w:cs="Arial" w:eastAsia="Arial" w:hAnsi="Arial"/>
          <w:sz w:val="18"/>
          <w:szCs w:val="18"/>
          <w:color w:val="auto"/>
        </w:rPr>
      </w:pPr>
    </w:p>
    <w:p>
      <w:pPr>
        <w:ind w:left="580" w:hanging="572"/>
        <w:spacing w:after="0" w:line="290"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solely for the purpose of determining the registration fee based upon the assumed offering prices of the shares determined pursuant to Rule 457(h) under the Securities Act of 1933, based upon the weighted average per share exercise price of the options assumed by the Registrant. With respect to 430,000 shares purchasable upon exercise of outstanding options granted to date under the Registrant’s Independent Directors Share Option Plan 2007, the Proposed Maximum Offering Price Per Share is $1.91, the weighted average exercise price per share of such options. With respect to the 470,000 shares that may be issued pursuant to options which may be granted in the future pursuant to the Independent Directors Share Option Plan 2007, the Proposed Maximum Offering Price Per Share is $1.69 which represents the average of the high and low sales prices of the Ordinary Shares as quoted through the Nasdaq Global Market on October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80" w:firstLine="341"/>
        <w:spacing w:after="0" w:line="256" w:lineRule="auto"/>
        <w:rPr>
          <w:sz w:val="20"/>
          <w:szCs w:val="20"/>
          <w:color w:val="auto"/>
        </w:rPr>
      </w:pPr>
      <w:r>
        <w:rPr>
          <w:rFonts w:ascii="Arial" w:cs="Arial" w:eastAsia="Arial" w:hAnsi="Arial"/>
          <w:sz w:val="18"/>
          <w:szCs w:val="18"/>
          <w:color w:val="auto"/>
        </w:rPr>
        <w:t>As permitted by Rule 429 under the Securities Act of 1933, this registration statement contains a combined resale prospectus that relates to ordinary shares covered by this registration statement as well as ordinary shares covered by prior registration statements on Form S-8, no. 333-138837, filed by the registrant on November 20, 2006 and no. 333-83204, filed by the registrant on February 21, 2002. Upon effectiveness, this registration statement will serve as a post-effective amendment to such prior registration statements.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registration statement contains two parts. The first part contains information required to be included in the registration statement under Part II of Form S-8. The second part contains a prospectus filed as a part of this registration statement, which has been prepared in accordance with the requirements of Part I of Form F-3 and may be used for offerings of our ordinary shares for resale by the selling stockholders named therein. We are not offering for sale any of the ordinary shares covered by the prospectus contained herein.</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documents containing the information specified in Part I of this Registration Statement on Form S-8 will be sent or given to participants in the Plans as specified by Rule 428(b)(i) under the Securities Act. Such documents are not required to be, and are not being, filed by us with the Securities and Exchange Commission,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w:t>
      </w:r>
    </w:p>
    <w:p>
      <w:pPr>
        <w:spacing w:after="0" w:line="170"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used herein or any in any document incorporated by reference hereto, the “Company”, “Tower Semiconductor Ltd.”, “Registrant”, “we”, “us”, or “our” refers to Tower Semiconductor Ltd. and its consolidated subsidiaries.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0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380"/>
          </w:cols>
          <w:pgMar w:left="240" w:top="131" w:right="279" w:bottom="32" w:gutter="0" w:footer="0" w:header="0"/>
        </w:sectPr>
      </w:pPr>
    </w:p>
    <w:bookmarkStart w:id="2" w:name="page3"/>
    <w:bookmarkEnd w:id="2"/>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permitted by the rules of the Securities and Exchange Commission, this Registration Statement omits the information specified in Part I of Form S-8.</w:t>
      </w:r>
    </w:p>
    <w:p>
      <w:pPr>
        <w:spacing w:after="0" w:line="24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HAS APPLIED TO THE SECURITIES AUTHORITY OF THE STATE OF ISRAEL FOR AN EXEMPTION FROM THE OBLIGATION TO PUBLISH THIS PROSPECTUS IN THE MANNER REQUIRED PURSUANT TO THE PREVAILING LAWS OF THE STATE OF ISRAEL. NOTHING IN SUCH EXEMPTION OF THE SECURITIES AUTHORITY OF THE STATE OF ISRAEL, IF RECEIVED, SHALL BE CONSTRUED AS AUTHENTICATING THE MATTERS CONTAINED IN THIS PROSPECTUS OR AS AN APPROVAL OF THEIR RELIABILITY OR ADEQUACY OR AS AN EXPRESSION OF OPINION AS TO THE QUALITY OF THE SECURITIES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9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Tower Semiconductor Ltd., a company organized under the laws of the State of Israel (the “Company”), pursuant to the Securities Exchange Act of 1934, as amended (the “Exchange Act”), are incorporated by reference in this registration statement:</w:t>
      </w:r>
    </w:p>
    <w:p>
      <w:pPr>
        <w:spacing w:after="0" w:line="194"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 Annual report on Form 20-F for the year ended December 31, 2006, filed on June 25, 2007, to the extent the information in that report has not been updated or superseded by this prospectus;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June 2007 No. 2 (filed on June 13,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3 (filed on July 16,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5 (filed on July 26,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2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3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4 (filed on August 20,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(filed on September 10,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No. 3 (filed on September 25,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2007 No. 3 (filed on October 22, 2007).</w:t>
      </w:r>
    </w:p>
    <w:p>
      <w:pPr>
        <w:spacing w:after="0" w:line="252" w:lineRule="exact"/>
        <w:rPr>
          <w:sz w:val="20"/>
          <w:szCs w:val="20"/>
          <w:color w:val="auto"/>
        </w:rPr>
      </w:pPr>
    </w:p>
    <w:p>
      <w:pPr>
        <w:ind w:left="580" w:right="220"/>
        <w:spacing w:after="0" w:line="268" w:lineRule="auto"/>
        <w:rPr>
          <w:sz w:val="20"/>
          <w:szCs w:val="20"/>
          <w:color w:val="auto"/>
        </w:rPr>
      </w:pPr>
      <w:r>
        <w:rPr>
          <w:rFonts w:ascii="Arial" w:cs="Arial" w:eastAsia="Arial" w:hAnsi="Arial"/>
          <w:sz w:val="18"/>
          <w:szCs w:val="18"/>
          <w:color w:val="auto"/>
        </w:rPr>
        <w:t>— 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ind w:left="1160" w:hanging="571"/>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ectPr>
          <w:pgSz w:w="11900" w:h="16843" w:orient="portrait"/>
          <w:cols w:equalWidth="0" w:num="1">
            <w:col w:w="11400"/>
          </w:cols>
          <w:pgMar w:left="240" w:top="125" w:right="259" w:bottom="0" w:gutter="0" w:footer="0" w:header="0"/>
        </w:sectPr>
      </w:pPr>
    </w:p>
    <w:bookmarkStart w:id="3" w:name="page4"/>
    <w:bookmarkEnd w:id="3"/>
    <w:p>
      <w:pPr>
        <w:ind w:left="1160" w:right="2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720" w:right="260" w:hanging="564"/>
        <w:spacing w:after="0" w:line="268"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720" w:right="80" w:hanging="564"/>
        <w:spacing w:after="0" w:line="259"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720" w:hanging="564"/>
        <w:spacing w:after="0" w:line="298" w:lineRule="auto"/>
        <w:tabs>
          <w:tab w:leader="none" w:pos="1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720" w:hanging="564"/>
        <w:spacing w:after="0" w:line="291" w:lineRule="auto"/>
        <w:tabs>
          <w:tab w:leader="none" w:pos="1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-3521710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220" w:hanging="571"/>
        <w:spacing w:after="0" w:line="306"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8"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a breach of his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780" w:hanging="571"/>
        <w:spacing w:after="0" w:line="203" w:lineRule="auto"/>
        <w:tabs>
          <w:tab w:leader="none" w:pos="11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w:t>
      </w:r>
    </w:p>
    <w:p>
      <w:pPr>
        <w:spacing w:after="0" w:line="200" w:lineRule="exact"/>
        <w:rPr>
          <w:sz w:val="20"/>
          <w:szCs w:val="20"/>
          <w:color w:val="auto"/>
        </w:rPr>
      </w:pPr>
    </w:p>
    <w:p>
      <w:pPr>
        <w:spacing w:after="0" w:line="253"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420"/>
          </w:cols>
          <w:pgMar w:left="240" w:top="374" w:right="239" w:bottom="59"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07"/>
        </w:trPr>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Exhibit</w:t>
            </w:r>
          </w:p>
        </w:tc>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96"/>
        </w:trPr>
        <w:tc>
          <w:tcPr>
            <w:tcW w:w="1200" w:type="dxa"/>
            <w:vAlign w:val="bottom"/>
            <w:gridSpan w:val="2"/>
          </w:tcPr>
          <w:p>
            <w:pPr>
              <w:jc w:val="center"/>
              <w:ind w:right="500"/>
              <w:spacing w:after="0" w:line="196" w:lineRule="exact"/>
              <w:rPr>
                <w:sz w:val="20"/>
                <w:szCs w:val="20"/>
                <w:color w:val="auto"/>
              </w:rPr>
            </w:pPr>
            <w:r>
              <w:rPr>
                <w:rFonts w:ascii="Arial" w:cs="Arial" w:eastAsia="Arial" w:hAnsi="Arial"/>
                <w:sz w:val="18"/>
                <w:szCs w:val="18"/>
                <w:b w:val="1"/>
                <w:bCs w:val="1"/>
                <w:color w:val="auto"/>
                <w:w w:val="89"/>
              </w:rPr>
              <w:t>Numbers</w:t>
            </w:r>
          </w:p>
        </w:tc>
        <w:tc>
          <w:tcPr>
            <w:tcW w:w="1880" w:type="dxa"/>
            <w:vAlign w:val="bottom"/>
            <w:tcBorders>
              <w:top w:val="single" w:sz="8" w:color="auto"/>
            </w:tcBorders>
          </w:tcPr>
          <w:p>
            <w:pPr>
              <w:spacing w:after="0"/>
              <w:rPr>
                <w:sz w:val="17"/>
                <w:szCs w:val="17"/>
                <w:color w:val="auto"/>
              </w:rPr>
            </w:pPr>
          </w:p>
        </w:tc>
        <w:tc>
          <w:tcPr>
            <w:tcW w:w="8140" w:type="dxa"/>
            <w:vAlign w:val="bottom"/>
          </w:tcPr>
          <w:p>
            <w:pPr>
              <w:spacing w:after="0"/>
              <w:rPr>
                <w:sz w:val="17"/>
                <w:szCs w:val="17"/>
                <w:color w:val="auto"/>
              </w:rPr>
            </w:pPr>
          </w:p>
        </w:tc>
      </w:tr>
      <w:tr>
        <w:trPr>
          <w:trHeight w:val="471"/>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Articles of Association of the Registrant, approved by shareholders on November 14, 2000, as amended (incorporated by reference to Exhibit</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No. 333-117565)</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Amendment to the Articles of Association of the Registrant (approved by shareholders on September 28, 2006) (incorporated by reference to</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Employee Share Option Plan 2005 (incorporated by reference to Exhibit 4.3 of the 2006 Form S-8)</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Form of Grant Letter to Israeli Employees (incorporated by reference to Exhibit 4.4 of the 2006 Form S-8)</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Form of Grant Letter to U.S. Employees (incorporated by reference to Exhibit 4.5 of the 2006 Form S-8)</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CEO Share Option Plan 2005 (incorporated by reference to Exhibit 4.6 of the 2006 Form S-8)</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8"/>
              </w:rPr>
              <w:t>Option Grant Letter Agreement - CEO Share Option Plan 2005 from the Registrant to Russell Ellwanger, dated July 15, 2005 (incorporated by</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reference to Exhibit 4.7 of the 2006 Form S-8)</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Option Grant Letter Agreement - CEO Share Option Plan 2005 from the Registrant to Russell Ellwanger, dated September 28, 2006</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4.8 of the 2006 Form S-8)</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Option Grant Letter Agreement - CEO Share Option Plan 2005 from Tower Semiconductor USA, Inc. to Russell Ellwanger, dated July 15,</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2005 (incorporated by reference to Exhibit 4.9 of the 2006 Form S-8)</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Chairman Share Option Plan 2006</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7"/>
              </w:rPr>
              <w:t>Option Grant Letter Agreement - Chairman Share Option Plan 2006 from the Registrant to Dov Moran, dated December 21, 2006</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Independent Directors Share Option Plan 2007</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Form of Grant Letter for the Independent Directors Share Option Plan 2007</w:t>
            </w: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Form of Gant Letter for Non-Employee Directors Share Option Plan 2001 (also referred to as the 2001/4 Plan) (incorporated by reference to</w:t>
            </w:r>
          </w:p>
        </w:tc>
      </w:tr>
      <w:tr>
        <w:trPr>
          <w:trHeight w:val="222"/>
        </w:trPr>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Exhibit 4.9 of the Registration Statement on Form S-8 No. 333-83204)</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312" w:lineRule="exact"/>
        <w:rPr>
          <w:sz w:val="20"/>
          <w:szCs w:val="20"/>
          <w:color w:val="auto"/>
        </w:rPr>
      </w:pPr>
    </w:p>
    <w:p>
      <w:pPr>
        <w:ind w:left="720" w:hanging="53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556"/>
        <w:spacing w:after="0"/>
        <w:tabs>
          <w:tab w:leader="none" w:pos="13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2420" w:hanging="521"/>
        <w:spacing w:after="0"/>
        <w:tabs>
          <w:tab w:leader="none" w:pos="24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720" w:right="40" w:firstLine="179"/>
        <w:spacing w:after="0" w:line="290" w:lineRule="auto"/>
        <w:tabs>
          <w:tab w:leader="none" w:pos="2458" w:val="left"/>
        </w:tabs>
        <w:numPr>
          <w:ilvl w:val="2"/>
          <w:numId w:val="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720" w:right="500" w:firstLine="179"/>
        <w:spacing w:after="0" w:line="268" w:lineRule="auto"/>
        <w:tabs>
          <w:tab w:leader="none" w:pos="2507"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w:t>
      </w:r>
    </w:p>
    <w:p>
      <w:pPr>
        <w:sectPr>
          <w:pgSz w:w="11900" w:h="16838" w:orient="portrait"/>
          <w:cols w:equalWidth="0" w:num="1">
            <w:col w:w="11400"/>
          </w:cols>
          <w:pgMar w:left="240" w:top="108" w:right="259" w:bottom="0" w:gutter="0" w:footer="0" w:header="0"/>
        </w:sectPr>
      </w:pPr>
    </w:p>
    <w:bookmarkStart w:id="5" w:name="page6"/>
    <w:bookmarkEnd w:id="5"/>
    <w:p>
      <w:pPr>
        <w:ind w:right="200"/>
        <w:spacing w:after="0" w:line="268" w:lineRule="auto"/>
        <w:rPr>
          <w:sz w:val="20"/>
          <w:szCs w:val="20"/>
          <w:color w:val="auto"/>
        </w:rPr>
      </w:pPr>
      <w:r>
        <w:rPr>
          <w:rFonts w:ascii="Arial" w:cs="Arial" w:eastAsia="Arial" w:hAnsi="Arial"/>
          <w:sz w:val="18"/>
          <w:szCs w:val="18"/>
          <w:color w:val="auto"/>
        </w:rPr>
        <w:t>Securities Exchange Act of 1934 that are incorporated by reference in this Registration Statement, or is contained in a form of prospectus filed pursuant to Rule 424(b) that is part of the registration statement.</w:t>
      </w:r>
    </w:p>
    <w:p>
      <w:pPr>
        <w:spacing w:after="0" w:line="186" w:lineRule="exact"/>
        <w:rPr>
          <w:sz w:val="20"/>
          <w:szCs w:val="20"/>
          <w:color w:val="auto"/>
        </w:rPr>
      </w:pPr>
    </w:p>
    <w:p>
      <w:pPr>
        <w:ind w:left="580" w:firstLine="184"/>
        <w:spacing w:after="0" w:line="259"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580" w:right="660" w:firstLine="184"/>
        <w:spacing w:after="0" w:line="268"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3" w:lineRule="exact"/>
        <w:rPr>
          <w:sz w:val="20"/>
          <w:szCs w:val="20"/>
          <w:color w:val="auto"/>
        </w:rPr>
      </w:pPr>
    </w:p>
    <w:p>
      <w:pPr>
        <w:ind w:left="1320" w:hanging="556"/>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52" w:lineRule="exact"/>
        <w:rPr>
          <w:rFonts w:ascii="Arial" w:cs="Arial" w:eastAsia="Arial" w:hAnsi="Arial"/>
          <w:sz w:val="18"/>
          <w:szCs w:val="18"/>
          <w:color w:val="auto"/>
        </w:rPr>
      </w:pPr>
    </w:p>
    <w:p>
      <w:pPr>
        <w:ind w:left="2300" w:right="240" w:hanging="577"/>
        <w:spacing w:after="0" w:line="332" w:lineRule="auto"/>
        <w:tabs>
          <w:tab w:leader="none" w:pos="2300" w:val="left"/>
        </w:tabs>
        <w:numPr>
          <w:ilvl w:val="3"/>
          <w:numId w:val="10"/>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rFonts w:ascii="Arial" w:cs="Arial" w:eastAsia="Arial" w:hAnsi="Arial"/>
          <w:sz w:val="16"/>
          <w:szCs w:val="16"/>
          <w:color w:val="auto"/>
        </w:rPr>
      </w:pPr>
    </w:p>
    <w:p>
      <w:pPr>
        <w:spacing w:after="0" w:line="303" w:lineRule="exact"/>
        <w:rPr>
          <w:rFonts w:ascii="Arial" w:cs="Arial" w:eastAsia="Arial" w:hAnsi="Arial"/>
          <w:sz w:val="16"/>
          <w:szCs w:val="16"/>
          <w:color w:val="auto"/>
        </w:rPr>
      </w:pPr>
    </w:p>
    <w:p>
      <w:pPr>
        <w:ind w:left="2300" w:right="100" w:hanging="577"/>
        <w:spacing w:after="0" w:line="306" w:lineRule="auto"/>
        <w:tabs>
          <w:tab w:leader="none" w:pos="2300" w:val="left"/>
        </w:tabs>
        <w:numPr>
          <w:ilvl w:val="3"/>
          <w:numId w:val="10"/>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7" w:lineRule="exact"/>
        <w:rPr>
          <w:rFonts w:ascii="Arial" w:cs="Arial" w:eastAsia="Arial" w:hAnsi="Arial"/>
          <w:sz w:val="15"/>
          <w:szCs w:val="15"/>
          <w:color w:val="auto"/>
        </w:rPr>
      </w:pPr>
    </w:p>
    <w:p>
      <w:pPr>
        <w:ind w:left="1720" w:right="40" w:hanging="564"/>
        <w:spacing w:after="0" w:line="253" w:lineRule="auto"/>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26" w:lineRule="exact"/>
        <w:rPr>
          <w:rFonts w:ascii="Arial" w:cs="Arial" w:eastAsia="Arial" w:hAnsi="Arial"/>
          <w:sz w:val="18"/>
          <w:szCs w:val="18"/>
          <w:color w:val="auto"/>
        </w:rPr>
      </w:pPr>
    </w:p>
    <w:p>
      <w:pPr>
        <w:ind w:left="580" w:right="100" w:firstLine="184"/>
        <w:spacing w:after="0" w:line="255" w:lineRule="auto"/>
        <w:tabs>
          <w:tab w:leader="none" w:pos="13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3" w:lineRule="exact"/>
        <w:rPr>
          <w:rFonts w:ascii="Arial" w:cs="Arial" w:eastAsia="Arial" w:hAnsi="Arial"/>
          <w:sz w:val="18"/>
          <w:szCs w:val="18"/>
          <w:color w:val="auto"/>
        </w:rPr>
      </w:pPr>
    </w:p>
    <w:p>
      <w:pPr>
        <w:ind w:left="1720" w:hanging="564"/>
        <w:spacing w:after="0"/>
        <w:tabs>
          <w:tab w:leader="none" w:pos="172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720" w:right="280" w:hanging="564"/>
        <w:spacing w:after="0" w:line="268" w:lineRule="auto"/>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720" w:right="120" w:hanging="564"/>
        <w:spacing w:after="0" w:line="268" w:lineRule="auto"/>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140" w:firstLine="184"/>
        <w:spacing w:after="0" w:line="255" w:lineRule="auto"/>
        <w:tabs>
          <w:tab w:leader="none" w:pos="7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140" w:firstLine="184"/>
        <w:spacing w:after="0" w:line="290" w:lineRule="auto"/>
        <w:tabs>
          <w:tab w:leader="none" w:pos="7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-7527925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-1979295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ectPr>
          <w:pgSz w:w="11900" w:h="16838" w:orient="portrait"/>
          <w:cols w:equalWidth="0" w:num="1">
            <w:col w:w="11420"/>
          </w:cols>
          <w:pgMar w:left="240" w:top="131"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2927350</wp:posOffset>
            </wp:positionH>
            <wp:positionV relativeFrom="page">
              <wp:posOffset>88900</wp:posOffset>
            </wp:positionV>
            <wp:extent cx="171513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65785"/>
                    </a:xfrm>
                    <a:prstGeom prst="rect">
                      <a:avLst/>
                    </a:prstGeom>
                    <a:noFill/>
                  </pic:spPr>
                </pic:pic>
              </a:graphicData>
            </a:graphic>
          </wp:anchor>
        </w:drawing>
        <w:t>19,399,967 Ordinary Shares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relates to the resale, from time to time, by Mr. Russell C. Ellwanger, our Chief Executive Officer, Mr. Dov Moran, our Chairman of the Board of Directors, Mr. Kalman Kaufman, one of our directors, Mr. Hans Rohrer, one of our directors, Mr. Ron Moskowitz, one of our directors, and Ms. Miri Katz, one of our directors, named herein under the caption “Selling Securityholders” (the “Selling Securityholders”) to the public of up to 19,399,967 of our ordinary shares, par value NIS 1.00 per share (“Ordinary Shares”), which may be acquired by Mr. Ellwanger, Mr. Moran, Mr. Kaufman, Mr. Rohrer, Mr. Moskowitz and Ms. Katz through the exercise of stock options granted to them by our Board of Directors, or a committee appointed by the board, including (i) 12,068,988 ordinary shares which we have previously registered in our Report on Form S-8 filed with the Securities and Exchange Commission on November 20, 2006, which may be acquired by Mr. Ellwanger, and (ii) 120,000 ordinary shares which we have previously registered in our Report on Form S-8 filed with the Securities and Exchange Commission on February 21, 2002, which may be acquired by Messrs. Rohrer, Kaufman and Moskowitz, through their exercise of stock options granted to them by our Board of Directors, or a committee appointed by the board. See “Selling Securityholders.”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selling stockholders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ordinary shares are listed on the Nasdaq Global Market under the symbol “TSEM” and on the Tel Aviv Stock Exchange in Israel under the symbol “TSEM.” On October 30, 2007, the last reported sale price of our ordinary shares on the Nasdaq Global Market was $1.69 per share and on the Tel Aviv Stock Exchange was NIS 6.75 per share.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20" w:type="dxa"/>
            <w:vAlign w:val="bottom"/>
            <w:gridSpan w:val="4"/>
          </w:tcPr>
          <w:p>
            <w:pPr>
              <w:jc w:val="center"/>
              <w:ind w:right="1660"/>
              <w:spacing w:after="0"/>
              <w:rPr>
                <w:sz w:val="20"/>
                <w:szCs w:val="20"/>
                <w:color w:val="auto"/>
              </w:rPr>
            </w:pPr>
            <w:r>
              <w:rPr>
                <w:rFonts w:ascii="Arial" w:cs="Arial" w:eastAsia="Arial" w:hAnsi="Arial"/>
                <w:sz w:val="18"/>
                <w:szCs w:val="18"/>
                <w:color w:val="auto"/>
                <w:w w:val="88"/>
              </w:rPr>
              <w:t>The date of this prospectus is [______], 2007</w:t>
            </w:r>
          </w:p>
        </w:tc>
        <w:tc>
          <w:tcPr>
            <w:tcW w:w="16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1"/>
        </w:trPr>
        <w:tc>
          <w:tcPr>
            <w:tcW w:w="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r>
      <w:tr>
        <w:trPr>
          <w:trHeight w:val="494"/>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2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96"/>
              </w:rPr>
              <w:t>TABLE OF CONTENTS</w:t>
            </w:r>
          </w:p>
        </w:tc>
        <w:tc>
          <w:tcPr>
            <w:tcW w:w="1620" w:type="dxa"/>
            <w:vAlign w:val="bottom"/>
          </w:tcPr>
          <w:p>
            <w:pPr>
              <w:spacing w:after="0"/>
              <w:rPr>
                <w:sz w:val="24"/>
                <w:szCs w:val="24"/>
                <w:color w:val="auto"/>
              </w:rPr>
            </w:pPr>
          </w:p>
        </w:tc>
      </w:tr>
      <w:tr>
        <w:trPr>
          <w:trHeight w:val="772"/>
        </w:trPr>
        <w:tc>
          <w:tcPr>
            <w:tcW w:w="40" w:type="dxa"/>
            <w:vAlign w:val="bottom"/>
          </w:tcPr>
          <w:p>
            <w:pPr>
              <w:spacing w:after="0"/>
              <w:rPr>
                <w:sz w:val="24"/>
                <w:szCs w:val="24"/>
                <w:color w:val="auto"/>
              </w:rPr>
            </w:pPr>
          </w:p>
        </w:tc>
        <w:tc>
          <w:tcPr>
            <w:tcW w:w="3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ABOUT TOWER SEMICONDUCTOR LTD.</w:t>
              </w:r>
            </w:hyperlink>
          </w:p>
        </w:tc>
        <w:tc>
          <w:tcPr>
            <w:tcW w:w="6520" w:type="dxa"/>
            <w:vAlign w:val="bottom"/>
            <w:gridSpan w:val="4"/>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w:t>
            </w:r>
          </w:p>
        </w:tc>
      </w:tr>
      <w:tr>
        <w:trPr>
          <w:trHeight w:val="250"/>
        </w:trPr>
        <w:tc>
          <w:tcPr>
            <w:tcW w:w="40" w:type="dxa"/>
            <w:vAlign w:val="bottom"/>
          </w:tcPr>
          <w:p>
            <w:pPr>
              <w:spacing w:after="0"/>
              <w:rPr>
                <w:sz w:val="21"/>
                <w:szCs w:val="21"/>
                <w:color w:val="auto"/>
              </w:rPr>
            </w:pPr>
          </w:p>
        </w:tc>
        <w:tc>
          <w:tcPr>
            <w:tcW w:w="12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RISK FACTORS</w:t>
              </w:r>
            </w:hyperlink>
          </w:p>
        </w:tc>
        <w:tc>
          <w:tcPr>
            <w:tcW w:w="8540" w:type="dxa"/>
            <w:vAlign w:val="bottom"/>
            <w:gridSpan w:val="12"/>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w:t>
            </w:r>
          </w:p>
        </w:tc>
      </w:tr>
      <w:tr>
        <w:trPr>
          <w:trHeight w:val="250"/>
        </w:trPr>
        <w:tc>
          <w:tcPr>
            <w:tcW w:w="40" w:type="dxa"/>
            <w:vAlign w:val="bottom"/>
          </w:tcPr>
          <w:p>
            <w:pPr>
              <w:spacing w:after="0"/>
              <w:rPr>
                <w:sz w:val="21"/>
                <w:szCs w:val="21"/>
                <w:color w:val="auto"/>
              </w:rPr>
            </w:pPr>
          </w:p>
        </w:tc>
        <w:tc>
          <w:tcPr>
            <w:tcW w:w="144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CAPITALIZATION</w:t>
              </w:r>
            </w:hyperlink>
          </w:p>
        </w:tc>
        <w:tc>
          <w:tcPr>
            <w:tcW w:w="8320" w:type="dxa"/>
            <w:vAlign w:val="bottom"/>
            <w:gridSpan w:val="10"/>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15</w:t>
            </w:r>
          </w:p>
        </w:tc>
      </w:tr>
      <w:tr>
        <w:trPr>
          <w:trHeight w:val="250"/>
        </w:trPr>
        <w:tc>
          <w:tcPr>
            <w:tcW w:w="40" w:type="dxa"/>
            <w:vAlign w:val="bottom"/>
          </w:tcPr>
          <w:p>
            <w:pPr>
              <w:spacing w:after="0"/>
              <w:rPr>
                <w:sz w:val="21"/>
                <w:szCs w:val="21"/>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USE OF PROCEEDS</w:t>
              </w:r>
            </w:hyperlink>
          </w:p>
        </w:tc>
        <w:tc>
          <w:tcPr>
            <w:tcW w:w="8200" w:type="dxa"/>
            <w:vAlign w:val="bottom"/>
            <w:gridSpan w:val="8"/>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16</w:t>
            </w:r>
          </w:p>
        </w:tc>
      </w:tr>
      <w:tr>
        <w:trPr>
          <w:trHeight w:val="250"/>
        </w:trPr>
        <w:tc>
          <w:tcPr>
            <w:tcW w:w="40" w:type="dxa"/>
            <w:vAlign w:val="bottom"/>
          </w:tcPr>
          <w:p>
            <w:pPr>
              <w:spacing w:after="0"/>
              <w:rPr>
                <w:sz w:val="21"/>
                <w:szCs w:val="21"/>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PLAN OF DISTRIBUTION</w:t>
              </w:r>
            </w:hyperlink>
          </w:p>
        </w:tc>
        <w:tc>
          <w:tcPr>
            <w:tcW w:w="7760" w:type="dxa"/>
            <w:vAlign w:val="bottom"/>
            <w:gridSpan w:val="7"/>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17</w:t>
            </w:r>
          </w:p>
        </w:tc>
      </w:tr>
      <w:tr>
        <w:trPr>
          <w:trHeight w:val="250"/>
        </w:trPr>
        <w:tc>
          <w:tcPr>
            <w:tcW w:w="40" w:type="dxa"/>
            <w:vAlign w:val="bottom"/>
          </w:tcPr>
          <w:p>
            <w:pPr>
              <w:spacing w:after="0"/>
              <w:rPr>
                <w:sz w:val="21"/>
                <w:szCs w:val="21"/>
                <w:color w:val="auto"/>
              </w:rPr>
            </w:pPr>
          </w:p>
        </w:tc>
        <w:tc>
          <w:tcPr>
            <w:tcW w:w="21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SELLING STOCKHOLDERS</w:t>
              </w:r>
            </w:hyperlink>
          </w:p>
        </w:tc>
        <w:tc>
          <w:tcPr>
            <w:tcW w:w="7600" w:type="dxa"/>
            <w:vAlign w:val="bottom"/>
            <w:gridSpan w:val="6"/>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19</w:t>
            </w:r>
          </w:p>
        </w:tc>
      </w:tr>
      <w:tr>
        <w:trPr>
          <w:trHeight w:val="250"/>
        </w:trPr>
        <w:tc>
          <w:tcPr>
            <w:tcW w:w="40" w:type="dxa"/>
            <w:vAlign w:val="bottom"/>
          </w:tcPr>
          <w:p>
            <w:pPr>
              <w:spacing w:after="0"/>
              <w:rPr>
                <w:sz w:val="21"/>
                <w:szCs w:val="21"/>
                <w:color w:val="auto"/>
              </w:rPr>
            </w:pPr>
          </w:p>
        </w:tc>
        <w:tc>
          <w:tcPr>
            <w:tcW w:w="28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DESCRIPTION OF SHARE CAPITAL</w:t>
              </w:r>
            </w:hyperlink>
          </w:p>
        </w:tc>
        <w:tc>
          <w:tcPr>
            <w:tcW w:w="6960" w:type="dxa"/>
            <w:vAlign w:val="bottom"/>
            <w:gridSpan w:val="5"/>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20</w:t>
            </w:r>
          </w:p>
        </w:tc>
      </w:tr>
      <w:tr>
        <w:trPr>
          <w:trHeight w:val="250"/>
        </w:trPr>
        <w:tc>
          <w:tcPr>
            <w:tcW w:w="40" w:type="dxa"/>
            <w:vAlign w:val="bottom"/>
          </w:tcPr>
          <w:p>
            <w:pPr>
              <w:spacing w:after="0"/>
              <w:rPr>
                <w:sz w:val="21"/>
                <w:szCs w:val="21"/>
                <w:color w:val="auto"/>
              </w:rPr>
            </w:pPr>
          </w:p>
        </w:tc>
        <w:tc>
          <w:tcPr>
            <w:tcW w:w="49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FOREIGN EXCHANGE CONTROLS AND OTHER LIMITATIONS</w:t>
              </w:r>
            </w:hyperlink>
          </w:p>
        </w:tc>
        <w:tc>
          <w:tcPr>
            <w:tcW w:w="4820" w:type="dxa"/>
            <w:vAlign w:val="bottom"/>
            <w:gridSpan w:val="3"/>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21</w:t>
            </w:r>
          </w:p>
        </w:tc>
      </w:tr>
      <w:tr>
        <w:trPr>
          <w:trHeight w:val="250"/>
        </w:trPr>
        <w:tc>
          <w:tcPr>
            <w:tcW w:w="40" w:type="dxa"/>
            <w:vAlign w:val="bottom"/>
          </w:tcPr>
          <w:p>
            <w:pPr>
              <w:spacing w:after="0"/>
              <w:rPr>
                <w:sz w:val="21"/>
                <w:szCs w:val="21"/>
                <w:color w:val="auto"/>
              </w:rPr>
            </w:pPr>
          </w:p>
        </w:tc>
        <w:tc>
          <w:tcPr>
            <w:tcW w:w="976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TAXATION</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21</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DIVIDEND POLICY</w:t>
              </w:r>
            </w:hyperlink>
          </w:p>
        </w:tc>
        <w:tc>
          <w:tcPr>
            <w:tcW w:w="8220" w:type="dxa"/>
            <w:vAlign w:val="bottom"/>
            <w:gridSpan w:val="9"/>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23</w:t>
            </w:r>
          </w:p>
        </w:tc>
      </w:tr>
      <w:tr>
        <w:trPr>
          <w:trHeight w:val="250"/>
        </w:trPr>
        <w:tc>
          <w:tcPr>
            <w:tcW w:w="40" w:type="dxa"/>
            <w:vAlign w:val="bottom"/>
          </w:tcPr>
          <w:p>
            <w:pPr>
              <w:spacing w:after="0"/>
              <w:rPr>
                <w:sz w:val="21"/>
                <w:szCs w:val="21"/>
                <w:color w:val="auto"/>
              </w:rPr>
            </w:pPr>
          </w:p>
        </w:tc>
        <w:tc>
          <w:tcPr>
            <w:tcW w:w="14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LEGAL MATTERS</w:t>
              </w:r>
            </w:hyperlink>
          </w:p>
        </w:tc>
        <w:tc>
          <w:tcPr>
            <w:tcW w:w="8340" w:type="dxa"/>
            <w:vAlign w:val="bottom"/>
            <w:gridSpan w:val="11"/>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24</w:t>
            </w:r>
          </w:p>
        </w:tc>
      </w:tr>
      <w:tr>
        <w:trPr>
          <w:trHeight w:val="250"/>
        </w:trPr>
        <w:tc>
          <w:tcPr>
            <w:tcW w:w="40" w:type="dxa"/>
            <w:vAlign w:val="bottom"/>
          </w:tcPr>
          <w:p>
            <w:pPr>
              <w:spacing w:after="0"/>
              <w:rPr>
                <w:sz w:val="21"/>
                <w:szCs w:val="21"/>
                <w:color w:val="auto"/>
              </w:rPr>
            </w:pPr>
          </w:p>
        </w:tc>
        <w:tc>
          <w:tcPr>
            <w:tcW w:w="97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3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8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ENFORCEABILITY OF CIVIL LIABILITIES AND AGENT FOR SERVICE OF PROCESS IN THE UNITED STATES</w:t>
              </w:r>
            </w:hyperlink>
          </w:p>
        </w:tc>
        <w:tc>
          <w:tcPr>
            <w:tcW w:w="1180" w:type="dxa"/>
            <w:vAlign w:val="bottom"/>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24</w:t>
            </w:r>
          </w:p>
        </w:tc>
      </w:tr>
      <w:tr>
        <w:trPr>
          <w:trHeight w:val="250"/>
        </w:trPr>
        <w:tc>
          <w:tcPr>
            <w:tcW w:w="40" w:type="dxa"/>
            <w:vAlign w:val="bottom"/>
          </w:tcPr>
          <w:p>
            <w:pPr>
              <w:spacing w:after="0"/>
              <w:rPr>
                <w:sz w:val="21"/>
                <w:szCs w:val="21"/>
                <w:color w:val="auto"/>
              </w:rPr>
            </w:pPr>
          </w:p>
        </w:tc>
        <w:tc>
          <w:tcPr>
            <w:tcW w:w="97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 INCORPORATION OF INFORMATION BY REFERENCE</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September 30, 2007, Fab 1 is able to achieve capacity levels of approximately 16,000 wafers per month.</w:t>
      </w:r>
    </w:p>
    <w:p>
      <w:pPr>
        <w:sectPr>
          <w:pgSz w:w="11900" w:h="16838" w:orient="portrait"/>
          <w:cols w:equalWidth="0" w:num="1">
            <w:col w:w="11420"/>
          </w:cols>
          <w:pgMar w:left="240" w:top="1239" w:right="239" w:bottom="0" w:gutter="0" w:footer="0" w:header="0"/>
        </w:sectPr>
      </w:pPr>
    </w:p>
    <w:bookmarkStart w:id="7" w:name="page8"/>
    <w:bookmarkEnd w:id="7"/>
    <w:p>
      <w:pPr>
        <w:ind w:right="40" w:firstLine="351"/>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September 30, 2007 was approximately 24,000 wafers per month. Depending on the process technology and product mix, when fully ramped-up we estimate that Fab 2 will be able to achieve capacity levels of up to approximately 40,000 wafers per month.</w:t>
      </w:r>
    </w:p>
    <w:p>
      <w:pPr>
        <w:spacing w:after="0" w:line="17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ordinary share or other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2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Fab 2 production capacity as of September 30, 2007 was approximately 24,000 wafers per month.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is dependent on prevailing and forecasted market conditions and our ability to fund these increases. There can be no assurance when or if we will achieve Fab 2 capacity levels of approximately 40,000 wafers per month. The ramp-up of Fab 2 is a substantial and complex project. If we cannot fund the ramp-up of Fab 2 or otherwise successfully complete the ramp-up of Fab 2, we may be unable to meet our customers’ production demands and as a result we may lose customers and may not attract new ones. In addition, if we do not execute the acquisition, installation and equipping necessary in order to successfully complete the ramp-up of Fab 2, we will not fully utilize the substantial investment made in constructing Fab 2, which will adversely affect our financial results. In order to fully ramp-up Fab 2, we will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We have also obtained credit facilities from our banks and Israel Corp. for an aggregate amount of $60 million, which will be repayable by no later than March 2010. As of September 30, 2007, we did not borrow under these credit facilities. In addition, we cannot assure you that in the event we have liquidity problems we will be successful at negotiating price reductions and arrangements to slow down or postpone payments to our suppliers and service providers, or negotiating revised repayment schedules of our other debt, including our outstanding debentures.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ectPr>
          <w:pgSz w:w="11900" w:h="16838" w:orient="portrait"/>
          <w:cols w:equalWidth="0" w:num="1">
            <w:col w:w="11420"/>
          </w:cols>
          <w:pgMar w:left="240" w:top="131" w:right="239" w:bottom="143" w:gutter="0" w:footer="0" w:header="0"/>
        </w:sectPr>
      </w:pPr>
    </w:p>
    <w:bookmarkStart w:id="8" w:name="page9"/>
    <w:bookmarkEnd w:id="8"/>
    <w:p>
      <w:pPr>
        <w:ind w:right="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and we must increase our capacity levels in order to reduce our losses.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In addition, to reduce our losses, we must increase our capacity levels.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sales. If we do not succeed in operating our facilities at high utilization rates and in increasing our capacity levels, we expect to continue to operate at a loss for the foreseeable future, which may adversely affect our business and company.</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9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September 30, 2007, we received a cumulative amount of approximately $165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September 30, 2007, we have invested approximately $160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may be required to obtain alternative financing sources in order to successfully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financing sources to refund the grants we received and if we do not succeed in finding such financing sources, we may have to cease our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ectPr>
          <w:pgSz w:w="11900" w:h="16838" w:orient="portrait"/>
          <w:cols w:equalWidth="0" w:num="1">
            <w:col w:w="11420"/>
          </w:cols>
          <w:pgMar w:left="240" w:top="125" w:right="239" w:bottom="0" w:gutter="0" w:footer="0" w:header="0"/>
        </w:sectPr>
      </w:pPr>
    </w:p>
    <w:bookmarkStart w:id="9" w:name="page10"/>
    <w:bookmarkEnd w:id="9"/>
    <w:p>
      <w:pPr>
        <w:spacing w:after="0" w:line="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you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that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our current customers and attract additional customers, our business may be adversely affected.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the nine months ended September 30, 2007, approximately 76% of our business was generated by 7 significant customers that contributed 32%, 13%, 8%, 7%, 6%, 5% and 5% of our revenue,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ectPr>
          <w:pgSz w:w="11900" w:h="16880" w:orient="portrait"/>
          <w:cols w:equalWidth="0" w:num="1">
            <w:col w:w="11420"/>
          </w:cols>
          <w:pgMar w:left="240" w:top="374" w:right="239" w:bottom="0" w:gutter="0" w:footer="0" w:header="0"/>
        </w:sectPr>
      </w:pPr>
    </w:p>
    <w:bookmarkStart w:id="10" w:name="page11"/>
    <w:bookmarkEnd w:id="10"/>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September 30, 2007, we had approximately $369 million of bank debt, approximately $156 million of debt in respect of outstanding convertible and non-convertible debentures and may borrow up to an additional $60 million under our September 2007 credit facilities with our banks and Israel Corp. Our current and future indebtedness could have significant negative consequences,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w:t>
      </w:r>
    </w:p>
    <w:p>
      <w:pPr>
        <w:sectPr>
          <w:pgSz w:w="11900" w:h="16877" w:orient="portrait"/>
          <w:cols w:equalWidth="0" w:num="1">
            <w:col w:w="11340"/>
          </w:cols>
          <w:pgMar w:left="240" w:top="131" w:right="319" w:bottom="0" w:gutter="0" w:footer="0" w:header="0"/>
        </w:sectPr>
      </w:pPr>
    </w:p>
    <w:bookmarkStart w:id="11" w:name="page12"/>
    <w:bookmarkEnd w:id="11"/>
    <w:p>
      <w:pPr>
        <w:ind w:right="440"/>
        <w:spacing w:after="0" w:line="259" w:lineRule="auto"/>
        <w:rPr>
          <w:sz w:val="20"/>
          <w:szCs w:val="20"/>
          <w:color w:val="auto"/>
        </w:rPr>
      </w:pPr>
      <w:r>
        <w:rPr>
          <w:rFonts w:ascii="Arial" w:cs="Arial" w:eastAsia="Arial" w:hAnsi="Arial"/>
          <w:sz w:val="18"/>
          <w:szCs w:val="18"/>
          <w:color w:val="auto"/>
        </w:rPr>
        <w:t>Should our banks exceed these limitations, they may limit our ability to borrow other money in the future and may require us to return some or all of our outstanding borrowings (which, under our main facility agreement, were approximately $369 million as of September 30, 2007), which may have a material adverse effect on our business, financial condition and results of operations.</w:t>
      </w:r>
    </w:p>
    <w:p>
      <w:pPr>
        <w:spacing w:after="0" w:line="18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inflation and currency exchange and interest rate fluctuations may increase our cost of operations.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 In addition, the devaluation of the US dollar against the NIS raises our US dollar costs of operation, which is denominated in NIS.</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facilities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facilities as provided for in the credit facility agreements.</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ectPr>
          <w:pgSz w:w="11900" w:h="16838" w:orient="portrait"/>
          <w:cols w:equalWidth="0" w:num="1">
            <w:col w:w="11420"/>
          </w:cols>
          <w:pgMar w:left="240" w:top="131" w:right="239" w:bottom="0" w:gutter="0" w:footer="0" w:header="0"/>
        </w:sectPr>
      </w:pPr>
    </w:p>
    <w:bookmarkStart w:id="12" w:name="page13"/>
    <w:bookmarkEnd w:id="12"/>
    <w:p>
      <w:pPr>
        <w:ind w:left="116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September 30, 2007, we held 63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Investment Center that we received in connection with Fab 1.</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with the Investment Center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312"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66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ectPr>
          <w:pgSz w:w="11900" w:h="16838" w:orient="portrait"/>
          <w:cols w:equalWidth="0" w:num="1">
            <w:col w:w="11400"/>
          </w:cols>
          <w:pgMar w:left="240" w:top="131" w:right="259" w:bottom="0" w:gutter="0" w:footer="0" w:header="0"/>
        </w:sectPr>
      </w:pPr>
    </w:p>
    <w:bookmarkStart w:id="13" w:name="page14"/>
    <w:bookmarkEnd w:id="1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31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92"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As of September 30, 2007, we had approximately 124.0 million ordinary shares outstanding and have outstanding securities convertible or exercisable into up to approximately 263.9 million ordinary shares including: (i) up to 26.5 million ordinary shares issuable upon the conversion of our 2005 outstanding convertible debentures held by some of our major shareholders and others at a conversion rate of $1.10; (ii) 8.3 million warrants issued to our banks with an exercise price of $1.21; (iii) 24.3 million warrants with an exercise price of approximately $1.70; (iv) up to 24.2 million ordinary shares issuable upon the conversion of our 2006 outstanding convertible debentures at a conversion rate of approximately $2.00; (v) 17.5 million warrants with an exercise price of $2.04;</w:t>
      </w:r>
    </w:p>
    <w:p>
      <w:pPr>
        <w:spacing w:after="0" w:line="2" w:lineRule="exact"/>
        <w:rPr>
          <w:sz w:val="20"/>
          <w:szCs w:val="20"/>
          <w:color w:val="auto"/>
        </w:rPr>
      </w:pPr>
    </w:p>
    <w:p>
      <w:pPr>
        <w:ind w:right="180" w:firstLine="8"/>
        <w:spacing w:after="0" w:line="292" w:lineRule="auto"/>
        <w:tabs>
          <w:tab w:leader="none" w:pos="2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5.2 million warrants with an exercise price of approximately $2.30; (vii) 30.8 million employee and director options with a weighted average exercise price of $1.79 (including options granted to our CEO, chairman of the board of directors and directors, which shares are issuable upon the exercise of options are covered by this prospectus); and (viii) 7.1 million ordinary shares issuable upon the conversion of our 2007 convertible debentures, at a conversion rate of approximately $4.30</w:t>
      </w:r>
      <w:r>
        <w:rPr>
          <w:rFonts w:ascii="Arial" w:cs="Arial" w:eastAsia="Arial" w:hAnsi="Arial"/>
          <w:sz w:val="16"/>
          <w:szCs w:val="16"/>
          <w:i w:val="1"/>
          <w:iCs w:val="1"/>
          <w:color w:val="auto"/>
        </w:rPr>
        <w:t>.</w:t>
      </w:r>
      <w:r>
        <w:rPr>
          <w:rFonts w:ascii="Arial" w:cs="Arial" w:eastAsia="Arial" w:hAnsi="Arial"/>
          <w:sz w:val="16"/>
          <w:szCs w:val="16"/>
          <w:color w:val="auto"/>
        </w:rPr>
        <w:t xml:space="preserve"> Additionally, in September 2006, we issued equity equivalent capital notes to our banks and to Israel Corp., which are convertible for no additional consideration, into approximately 52 million and 65.8 million of our ordinary shares, respectively.</w:t>
      </w:r>
    </w:p>
    <w:p>
      <w:pPr>
        <w:spacing w:after="0" w:line="17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also entered into a number of agreements which may result in our issuing large numbers of shares, particularly if we complete the transactions contemplated by these agreements at a time when our share price is low.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Our board of directors further approved the allocation of additional options to be made available for grant to our employees if the total number of employee options, including the options to our CEO, during a 24 month period ending in May 2008 will represent less than 8% of our shares on a fully diluted basis.</w:t>
      </w:r>
    </w:p>
    <w:p>
      <w:pPr>
        <w:spacing w:after="0" w:line="16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undertake additional financings in the future and in connection therewith we may issue shares or securities convertible into shares, which may materially dilute the holdings of our current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Of our approximately 124 million outstanding ordinary shares as of September 30, 2007, approximately 60.5 million are freely tradable and held by non-affiliates under US securities laws. Approximately 18.8 million shares issued in our March 2007 private placement are registered for resale and are therefore freely tradable under US securities laws. In addition, certain of our affiliates (Israel Corp., SanDisk Corporation, Alliance Semiconductor, and Macronix International) hold approximately 44.7 million of our shares, of which (i) approximately 3.3 million are registered for resale and are therefore freely tradable under US securities laws, (ii) approximately 36.3 million are currently eligible for sale subject to the time, volume and manner of sale limitations of Rule 144 promulgated under the US Securities Act of 1933, as amended, and (iii) approximately 5.1 million shares held by SanDisk Corporation, will become eligible for sale subject to the volume and manner of sale limitations of Rule 144 during 2007 and 2008. Shares held by these affiliates are subject to the share transfer restrictions set forth in the shareholders agreement to which they are a party and which remain in effect through January 2008. As of September 30, 2007, up to approximately 26.5 million additional shares issuable upon the conversion of our 2005 convertible debentures are held by non-affiliates or are registered for resale and are therefore freely tradable under US securities laws and approximately 5.5 million shares issuable upon exercise of warrants issued to Israel Corporation and our Banks will become eligible for sale subject to the volume and manner of sale limitations of Rule 144 commencing in September 2008. In addition, (i) approximately 9.2 million shares issuable upon the exercise of warrants we granted to our banks and (ii) approximately 28.2 million shares issuable upon exercise of warrants issued in our March 2007 private placement, are registered for resale and are therefore freely tradable under US securities laws. Additionally, up to: (i) approximately 29.7 million shares issuable upon the conversion and/or exercise of the securities sold in our June 2006 public offering in Israel, (ii)</w:t>
      </w:r>
    </w:p>
    <w:p>
      <w:pPr>
        <w:sectPr>
          <w:pgSz w:w="11900" w:h="16838" w:orient="portrait"/>
          <w:cols w:equalWidth="0" w:num="1">
            <w:col w:w="11420"/>
          </w:cols>
          <w:pgMar w:left="240" w:top="374" w:right="239" w:bottom="0" w:gutter="0" w:footer="0" w:header="0"/>
        </w:sectPr>
      </w:pPr>
    </w:p>
    <w:bookmarkStart w:id="14" w:name="page15"/>
    <w:bookmarkEnd w:id="14"/>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approximately 5.2 million shares issuable upon exercise of warrants sold in private placements completed in November 2006, and (iii) the additional up to approximately 9.8 million ordinary shares which are issuable upon the conversion and/or exercise of warrants sold in our June 2007 private placement and September 2007 public offering in Israel, would be freely tradable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6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80" w:lineRule="exact"/>
        <w:rPr>
          <w:sz w:val="20"/>
          <w:szCs w:val="20"/>
          <w:color w:val="auto"/>
        </w:rPr>
      </w:pPr>
    </w:p>
    <w:p>
      <w:pPr>
        <w:ind w:right="200" w:firstLine="341"/>
        <w:spacing w:after="0" w:line="288" w:lineRule="auto"/>
        <w:rPr>
          <w:sz w:val="20"/>
          <w:szCs w:val="20"/>
          <w:color w:val="auto"/>
        </w:rPr>
      </w:pPr>
      <w:r>
        <w:rPr>
          <w:rFonts w:ascii="Arial" w:cs="Arial" w:eastAsia="Arial" w:hAnsi="Arial"/>
          <w:sz w:val="16"/>
          <w:szCs w:val="16"/>
          <w:color w:val="auto"/>
        </w:rPr>
        <w:t>As of, September 30, 2007 our major wafer partners and Israel Corp. collectively owned approximately 36% of our outstanding shares. In the event Israel Corp. would exercise its equity convertible capital notes, our major wafer partners and Israel Corp. would collectively own approximately 58.2%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payment of the redemption amount on account of our outstanding debentures is subordinated to our indebtedness to our banks and obligations to secured creditors.</w:t>
      </w:r>
    </w:p>
    <w:p>
      <w:pPr>
        <w:spacing w:after="0" w:line="18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$165 million in grants received as of September 30,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credit facility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Although we are limited by the covenants in our credit facility agreement with our banks, we could enter into certain transactions that would increase the amount of our outstanding indebtedness. If new indebtedness is added to our current indebtedness levels, the related risks that we now face could intensify.</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312"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w:t>
      </w:r>
    </w:p>
    <w:p>
      <w:pPr>
        <w:sectPr>
          <w:pgSz w:w="11900" w:h="16948" w:orient="portrait"/>
          <w:cols w:equalWidth="0" w:num="1">
            <w:col w:w="11420"/>
          </w:cols>
          <w:pgMar w:left="240" w:top="131" w:right="239" w:bottom="0" w:gutter="0" w:footer="0" w:header="0"/>
        </w:sectPr>
      </w:pPr>
    </w:p>
    <w:bookmarkStart w:id="15" w:name="page16"/>
    <w:bookmarkEnd w:id="15"/>
    <w:p>
      <w:pPr>
        <w:jc w:val="both"/>
        <w:ind w:right="140"/>
        <w:spacing w:after="0" w:line="306" w:lineRule="auto"/>
        <w:rPr>
          <w:sz w:val="20"/>
          <w:szCs w:val="20"/>
          <w:color w:val="auto"/>
        </w:rPr>
      </w:pPr>
      <w:r>
        <w:rPr>
          <w:rFonts w:ascii="Arial" w:cs="Arial" w:eastAsia="Arial" w:hAnsi="Arial"/>
          <w:sz w:val="16"/>
          <w:szCs w:val="16"/>
          <w:color w:val="auto"/>
        </w:rPr>
        <w:t>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It may be difficult to enforce a US judgment against us, our officers and directors and some of the experts named in this prospectus or to assert US securities law claims in Israel.</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table sets forth our long-term debt, convertible debentures and capitalization as of June 30, 2007 on an actual basis. This table does not give effect to the proceeds we may receive from the exercise of the 19,399,967 options we issued to the selling stockholders and the issuance of shares issuable upon the exercise of such options and was prepared in accordance with the Israeli GAAP. The financial data is derived from our unaudited consolidated financial statements as of June 30,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4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4120" w:type="dxa"/>
            <w:vAlign w:val="bottom"/>
            <w:gridSpan w:val="4"/>
          </w:tcPr>
          <w:p>
            <w:pPr>
              <w:jc w:val="center"/>
              <w:ind w:left="2579"/>
              <w:spacing w:after="0"/>
              <w:rPr>
                <w:sz w:val="20"/>
                <w:szCs w:val="20"/>
                <w:color w:val="auto"/>
              </w:rPr>
            </w:pPr>
            <w:r>
              <w:rPr>
                <w:rFonts w:ascii="Arial" w:cs="Arial" w:eastAsia="Arial" w:hAnsi="Arial"/>
                <w:sz w:val="14"/>
                <w:szCs w:val="14"/>
                <w:b w:val="1"/>
                <w:bCs w:val="1"/>
                <w:color w:val="auto"/>
                <w:w w:val="86"/>
              </w:rPr>
              <w:t>(US dollars in thousands)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2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6,611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Long-term bank debt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360,689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 excluding current maturities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58,609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Long-term customers' advances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42,070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19,441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Shareholders' equity (deficit):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NIS 1.00 par value per share; 800,000,000</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authorized shares, 123,495,958 issued shares* and 122,195,958</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shares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29,283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586,265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Capital notes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176,401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 component of convertible debentures and cumulative stock</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0"/>
              <w:spacing w:after="0"/>
              <w:rPr>
                <w:sz w:val="20"/>
                <w:szCs w:val="20"/>
                <w:color w:val="auto"/>
              </w:rPr>
            </w:pPr>
            <w:r>
              <w:rPr>
                <w:rFonts w:ascii="Arial" w:cs="Arial" w:eastAsia="Arial" w:hAnsi="Arial"/>
                <w:sz w:val="18"/>
                <w:szCs w:val="18"/>
                <w:color w:val="auto"/>
              </w:rPr>
              <w:t>based compensation</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(718,503)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Treasury stock, 1,300,000 shares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capitalization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656,323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131" w:right="239" w:bottom="151" w:gutter="0" w:footer="0" w:header="0"/>
        </w:sectPr>
      </w:pPr>
    </w:p>
    <w:bookmarkStart w:id="16" w:name="page17"/>
    <w:bookmarkEnd w:id="16"/>
    <w:p>
      <w:pPr>
        <w:spacing w:after="0" w:line="13"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1,300,000 treasury shares.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September 30, 2007:</w:t>
      </w:r>
    </w:p>
    <w:p>
      <w:pPr>
        <w:spacing w:after="0" w:line="225" w:lineRule="exact"/>
        <w:rPr>
          <w:sz w:val="20"/>
          <w:szCs w:val="20"/>
          <w:color w:val="auto"/>
        </w:rPr>
      </w:pPr>
    </w:p>
    <w:p>
      <w:pPr>
        <w:ind w:left="1160" w:right="16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15.1 million ordinary shares issuable upon exercise of options granted to employees and directors at a weighted average exercise price of $1.93;</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15,691,877 ordinary shares issuable upon exercise of options granted to our Chief Executive Officer at a weighted average exercise price of $1.65;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896,596 ordinary shares issuable upon exercise of warrants issued to our banks in connection with our credit facility with an exercise price of $6.17 per share exercisable until September 2011;</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6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26,504,222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approximately $2.28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28,207,796 ordinary shares issuable upon exercise of the warrants issued in our March 2007 private placement;</w:t>
      </w:r>
    </w:p>
    <w:p>
      <w:pPr>
        <w:spacing w:after="0" w:line="252" w:lineRule="exact"/>
        <w:rPr>
          <w:rFonts w:ascii="Arial" w:cs="Arial" w:eastAsia="Arial" w:hAnsi="Arial"/>
          <w:sz w:val="18"/>
          <w:szCs w:val="18"/>
          <w:color w:val="auto"/>
        </w:rPr>
      </w:pPr>
    </w:p>
    <w:p>
      <w:pPr>
        <w:ind w:left="1160" w:right="72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7,068,881 ordinary shares issuable upon conversion of our debentures convertible until December 2012, issued in our June 2007 private placement and September 2007 public offering in Israel;</w:t>
      </w:r>
    </w:p>
    <w:p>
      <w:pPr>
        <w:spacing w:after="0" w:line="212"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2,686,444 ordinary shares issuable upon exercise of warrants issued in our June 2007 private placement and September 2007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5,411,764 ordinary shares issuable upon exercise of warrants issued to our banks and Israel Corp. in connection with our September 2007 $60 million credit facilities with an exercise price of $2.04 per share exercisable until March 2010.</w:t>
      </w:r>
    </w:p>
    <w:p>
      <w:pPr>
        <w:spacing w:after="0" w:line="200" w:lineRule="exact"/>
        <w:rPr>
          <w:sz w:val="20"/>
          <w:szCs w:val="20"/>
          <w:color w:val="auto"/>
        </w:rPr>
      </w:pPr>
    </w:p>
    <w:p>
      <w:pPr>
        <w:spacing w:after="0" w:line="229"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securities we may be required to issue in connection with a rights offering and outside investor provisions agreed to in the November 2003 amendment to our facility agreement; (ii) ordinary shares issuable to our banks in January 2011 as a result of the reduction of the interest rate applicable to the quarterly actual interest payments on our outstanding loans and (iii) anti-dilution options that may be granted to our Chief Executive Officer.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will not receive any proceeds from the sale of ordinary shares by the selling stockholders. All net proceeds from the sale of the ordinary shares covered by this prospectus will go to the selling stockholders. Upon exercise by payment of cash of any options whose underlying shares are covered hereby, we will receive the exercise price of the options. If all of such options are exercised for cash, we will receive approximately $33 million. We expect to use the proceeds we receive from the exercise of options, if any, for the purchase of equipment and for general working capital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51"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ectPr>
          <w:pgSz w:w="11900" w:h="16851" w:orient="portrait"/>
          <w:cols w:equalWidth="0" w:num="1">
            <w:col w:w="11420"/>
          </w:cols>
          <w:pgMar w:left="240" w:top="131" w:right="239" w:bottom="0" w:gutter="0" w:footer="0" w:header="0"/>
          <w:type w:val="continuous"/>
        </w:sectPr>
      </w:pPr>
    </w:p>
    <w:bookmarkStart w:id="17" w:name="page18"/>
    <w:bookmarkEnd w:id="17"/>
    <w:p>
      <w:pPr>
        <w:spacing w:after="0" w:line="2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ordinary shares or interests in ordinary shares received after the date of this prospectus from a selling stockholder as a gift, pledge, partnership distribution or other transfer, may, from time to time, sell, transfer or otherwise dispose of any or all of their ordinary shares or interests in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ordinary brokerage transactions and transactions in which the broker-dealer solicits purchasers;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block trades in which the broker-dealer will attempt to sell the shares as agent, but may position and resell a portion of the block as principal to facilitate the transaction;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purchases by a broker-dealer as principal and resale by the broker-dealer for its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an exchange distribution in accordance with the rules of the applicable exchange;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short sales effected after the date the registration statement of which this Prospectus is a part is declared effective by the SEC;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through the writing or settlement of options or other hedging transactions, whether through an options exchange or otherwise;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broker-dealers may agree with the selling stockholders to sell a specified number of such shares at a stipulated price per share;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a combination of any such methods of sale, or any other methods permitted by applicable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ordinary shares in other circumstances, in which case the transferees, pledgees or other successors in interest will be the selling beneficial owners for purposes of this prospectus.</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sale of our ordinary shares or interests therein, the selling stockholders may enter into hedging transactions with broker-dealers or other financial institutions, which may in turn engage in short sales of the ordinary shares in the course of hedging the positions they assume. The selling stockholders may also sell our ordinary shares short and deliver these securities to close out their short positions and to return borrowed shares in connection with such short sales, or loan or pledge the ordinary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aggregate proceeds to the selling stockholders from the sale of the ordinary shares offered by them will be the purchase price of the ordinary shares less discounts or commissions, if any. Each of the selling stockholders reserves the right to accept and, together with their agents from time to time, to reject, in whole or in part, any proposed purchase of ordinary shares to be made directly or through agents. We will not receive any of the proceeds from this offering. Upon any exercise of options by the selling stockholders, however, we will receive the exercise price of the options.</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ordinary shares or interests therein may be deemed to be “underwriters” within the meaning of Section 2(11) of the Securities Act. Any discounts, commissions, concessions or profit they earn on any resale of the shares may be deemed to be underwriting discounts and commissions under the Securities Act. At the time a particular offering of the ordinary shares is made, a prospectus supplement, if required (or if appropriate, a post-effective amendment to this registration statement which includes this prospectus), will be filed, which will set forth the aggregate amount of ordinary shares being offered and the terms of the offering, including the name or names of any broker-dealers or agents, any discounts, commissions and other terms constituting compensation from the selling stockholders and any discount, commissions or concessions allowed or reallowed or paid to broker-dealers.</w:t>
      </w:r>
    </w:p>
    <w:p>
      <w:pPr>
        <w:spacing w:after="0" w:line="17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securities laws of some states,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86"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w:t>
      </w:r>
    </w:p>
    <w:p>
      <w:pPr>
        <w:sectPr>
          <w:pgSz w:w="11900" w:h="16867" w:orient="portrait"/>
          <w:cols w:equalWidth="0" w:num="1">
            <w:col w:w="11420"/>
          </w:cols>
          <w:pgMar w:left="240" w:top="131" w:right="239" w:bottom="0" w:gutter="0" w:footer="0" w:header="0"/>
        </w:sectPr>
      </w:pPr>
    </w:p>
    <w:bookmarkStart w:id="18" w:name="page19"/>
    <w:bookmarkEnd w:id="18"/>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which the shares may be sold pursuant to Rule 144(k) of the Securities Act.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and Exchange Commission Registration Fee</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r>
      <w:tr>
        <w:trPr>
          <w:trHeight w:val="430"/>
        </w:trPr>
        <w:tc>
          <w:tcPr>
            <w:tcW w:w="9960" w:type="dxa"/>
            <w:vAlign w:val="bottom"/>
          </w:tcPr>
          <w:p>
            <w:pPr>
              <w:ind w:left="360"/>
              <w:spacing w:after="0"/>
              <w:rPr>
                <w:sz w:val="20"/>
                <w:szCs w:val="20"/>
                <w:color w:val="auto"/>
              </w:rPr>
            </w:pPr>
            <w:r>
              <w:rPr>
                <w:rFonts w:ascii="Arial" w:cs="Arial" w:eastAsia="Arial" w:hAnsi="Arial"/>
                <w:sz w:val="18"/>
                <w:szCs w:val="18"/>
                <w:color w:val="auto"/>
              </w:rPr>
              <w:t>Legal fees and expenses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24"/>
                <w:szCs w:val="24"/>
                <w:color w:val="auto"/>
              </w:rPr>
            </w:pPr>
          </w:p>
        </w:tc>
      </w:tr>
      <w:tr>
        <w:trPr>
          <w:trHeight w:val="218"/>
        </w:trPr>
        <w:tc>
          <w:tcPr>
            <w:tcW w:w="9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9960" w:type="dxa"/>
            <w:vAlign w:val="bottom"/>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8,677</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selling stockholders acquired, or may hereafter acquire, the ordinary shares being offered hereby pursuant to the exercise of options granted under our CEO Share Option Plan 2005, Chairman Share Option Plan 2006, Non-Employee Directors Share Option Plan 2001 (also referred to as 2001/4 Plan) or our Independent Directors Share Option Plan 2007.</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Mr. Russell C. Ellwanger is our Chief Executive Officer, who also serves as a director, and may be considered an affiliate of our company. Dov Moran is the chairman of our board of directors and Hans Rohrer, Miri Katz, Ron Moskowitz and Kalman Kaufman serve as directors on our board of directors.</w:t>
      </w:r>
    </w:p>
    <w:p>
      <w:pPr>
        <w:spacing w:after="0" w:line="13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Nothing in this Registration Statement shall be construed as an admission that any selling stockholder is the beneficial owner of any of our securities, other than the securities held directly by such party, nor that any selling stockholder or other persons or entities constitute a “group”, for purposes of Section 13(d) of the Exchange Act and the rules promulgated thereunder.</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assumes that each selling stockholder will sell all of the securities owned by it and covered by this prospectus. Information included in the table is based upon information provided by the selling stockholders. Our registration of these securities does not necessarily mean that the selling stockholders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stockholders are broker-dealers or affiliates of broker-dealers.</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Owned Upon</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Completion</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Offering/</w:t>
            </w: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Offering /</w:t>
            </w:r>
          </w:p>
        </w:tc>
        <w:tc>
          <w:tcPr>
            <w:tcW w:w="0" w:type="dxa"/>
            <w:vAlign w:val="bottom"/>
          </w:tcPr>
          <w:p>
            <w:pPr>
              <w:spacing w:after="0"/>
              <w:rPr>
                <w:sz w:val="1"/>
                <w:szCs w:val="1"/>
                <w:color w:val="auto"/>
              </w:rPr>
            </w:pPr>
          </w:p>
        </w:tc>
      </w:tr>
      <w:tr>
        <w:trPr>
          <w:trHeight w:val="284"/>
        </w:trPr>
        <w:tc>
          <w:tcPr>
            <w:tcW w:w="56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 and Address of Selling Stockholder</w:t>
            </w:r>
          </w:p>
        </w:tc>
        <w:tc>
          <w:tcPr>
            <w:tcW w:w="20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80" w:type="dxa"/>
            <w:vAlign w:val="bottom"/>
          </w:tcPr>
          <w:p>
            <w:pPr>
              <w:spacing w:after="0"/>
              <w:rPr>
                <w:sz w:val="24"/>
                <w:szCs w:val="24"/>
                <w:color w:val="auto"/>
              </w:rPr>
            </w:pP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Shares Being Offered</w:t>
            </w:r>
          </w:p>
        </w:tc>
        <w:tc>
          <w:tcPr>
            <w:tcW w:w="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Percentage of Class</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Russell C. Ellwanger</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 Tower Semiconductor Ltd.</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 Box 619, Ramat Gavriel Industrial</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Park, Migdal Haemek 23105, Israel</w:t>
            </w:r>
          </w:p>
        </w:tc>
        <w:tc>
          <w:tcPr>
            <w:tcW w:w="3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15,691,877 / 11.23%</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15,691,877</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4"/>
        </w:trPr>
        <w:tc>
          <w:tcPr>
            <w:tcW w:w="480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c/o INFONE-TECH, 17, Atir Yeda St.,</w:t>
            </w: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Kfar Saba 44643, Israel</w:t>
            </w:r>
          </w:p>
        </w:tc>
        <w:tc>
          <w:tcPr>
            <w:tcW w:w="2900" w:type="dxa"/>
            <w:vAlign w:val="bottom"/>
          </w:tcPr>
          <w:p>
            <w:pPr>
              <w:jc w:val="right"/>
              <w:spacing w:after="0"/>
              <w:rPr>
                <w:sz w:val="20"/>
                <w:szCs w:val="20"/>
                <w:color w:val="auto"/>
              </w:rPr>
            </w:pPr>
            <w:r>
              <w:rPr>
                <w:rFonts w:ascii="Arial" w:cs="Arial" w:eastAsia="Arial" w:hAnsi="Arial"/>
                <w:sz w:val="18"/>
                <w:szCs w:val="18"/>
                <w:color w:val="auto"/>
              </w:rPr>
              <w:t>3,158,090</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w w:val="88"/>
              </w:rPr>
              <w:t>/ 2.48%</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3,158,090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Miri Katz</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 Ophir Katz &amp; Co., Sonol Tower, 9th</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Floor, Menachem Begin Street 52,</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Tel-Aviv Israel</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 0.12%</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150,000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4"/>
        </w:trPr>
        <w:tc>
          <w:tcPr>
            <w:tcW w:w="480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Havatzelet 13, Caesarea 38900 Israel</w:t>
            </w:r>
          </w:p>
        </w:tc>
        <w:tc>
          <w:tcPr>
            <w:tcW w:w="2900" w:type="dxa"/>
            <w:vAlign w:val="bottom"/>
          </w:tcPr>
          <w:p>
            <w:pPr>
              <w:jc w:val="right"/>
              <w:spacing w:after="0"/>
              <w:rPr>
                <w:sz w:val="20"/>
                <w:szCs w:val="20"/>
                <w:color w:val="auto"/>
              </w:rPr>
            </w:pPr>
            <w:r>
              <w:rPr>
                <w:rFonts w:ascii="Arial" w:cs="Arial" w:eastAsia="Arial" w:hAnsi="Arial"/>
                <w:sz w:val="18"/>
                <w:szCs w:val="18"/>
                <w:color w:val="auto"/>
              </w:rPr>
              <w:t>170,000</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w w:val="88"/>
              </w:rPr>
              <w:t>/ 0.14%</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170,000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Hans Rohrer</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 Zetex Semiconductors plc,</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Zetex Technology Park,</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Chadderton, Oldham</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OL9 9LL United Kingdom</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 0.15%</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190,000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4"/>
        </w:trPr>
        <w:tc>
          <w:tcPr>
            <w:tcW w:w="4800" w:type="dxa"/>
            <w:vAlign w:val="bottom"/>
            <w:gridSpan w:val="2"/>
          </w:tcPr>
          <w:p>
            <w:pPr>
              <w:spacing w:after="0"/>
              <w:rPr>
                <w:sz w:val="20"/>
                <w:szCs w:val="20"/>
                <w:color w:val="auto"/>
              </w:rPr>
            </w:pPr>
            <w:r>
              <w:rPr>
                <w:rFonts w:ascii="Arial" w:cs="Arial" w:eastAsia="Arial" w:hAnsi="Arial"/>
                <w:sz w:val="18"/>
                <w:szCs w:val="18"/>
                <w:color w:val="auto"/>
              </w:rPr>
              <w:t>Ron Moskowitz</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30 Hazan, Raanana Israel</w:t>
            </w:r>
          </w:p>
        </w:tc>
        <w:tc>
          <w:tcPr>
            <w:tcW w:w="2900" w:type="dxa"/>
            <w:vAlign w:val="bottom"/>
          </w:tcPr>
          <w:p>
            <w:pPr>
              <w:jc w:val="right"/>
              <w:spacing w:after="0"/>
              <w:rPr>
                <w:sz w:val="20"/>
                <w:szCs w:val="20"/>
                <w:color w:val="auto"/>
              </w:rPr>
            </w:pPr>
            <w:r>
              <w:rPr>
                <w:rFonts w:ascii="Arial" w:cs="Arial" w:eastAsia="Arial" w:hAnsi="Arial"/>
                <w:sz w:val="18"/>
                <w:szCs w:val="18"/>
                <w:color w:val="auto"/>
              </w:rPr>
              <w:t>40,000</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w w:val="88"/>
              </w:rPr>
              <w:t>/ 0.03%</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40,000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-3291205</wp:posOffset>
            </wp:positionV>
            <wp:extent cx="857885"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885" cy="41148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-2056130</wp:posOffset>
            </wp:positionV>
            <wp:extent cx="85788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885" cy="41148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-958850</wp:posOffset>
            </wp:positionV>
            <wp:extent cx="857885"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88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1160" w:hanging="571"/>
        <w:spacing w:after="0"/>
        <w:tabs>
          <w:tab w:leader="none" w:pos="116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Beneficial ownership is calculated as of September 30, 2007 in accordance with General Instruction F. to Form 20-F and is based on 124,033,673</w:t>
      </w:r>
    </w:p>
    <w:p>
      <w:pPr>
        <w:sectPr>
          <w:pgSz w:w="11900" w:h="16868" w:orient="portrait"/>
          <w:cols w:equalWidth="0" w:num="1">
            <w:col w:w="11420"/>
          </w:cols>
          <w:pgMar w:left="240" w:top="131" w:right="239" w:bottom="0" w:gutter="0" w:footer="0" w:header="0"/>
          <w:type w:val="continuous"/>
        </w:sectPr>
      </w:pPr>
    </w:p>
    <w:bookmarkStart w:id="19" w:name="page20"/>
    <w:bookmarkEnd w:id="19"/>
    <w:p>
      <w:pPr>
        <w:ind w:left="1160"/>
        <w:spacing w:after="0"/>
        <w:rPr>
          <w:sz w:val="20"/>
          <w:szCs w:val="20"/>
          <w:color w:val="auto"/>
        </w:rPr>
      </w:pPr>
      <w:r>
        <w:rPr>
          <w:rFonts w:ascii="Arial" w:cs="Arial" w:eastAsia="Arial" w:hAnsi="Arial"/>
          <w:sz w:val="18"/>
          <w:szCs w:val="18"/>
          <w:color w:val="auto"/>
        </w:rPr>
        <w:t>ordinary shares outstanding.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31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of September 30, 2007, 124,033,673 of our ordinary shares were outstanding. The above numbers of outstanding ordinary shares do not include 1.3 million treasury shares held by us through a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29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ectPr>
          <w:pgSz w:w="11900" w:h="16838" w:orient="portrait"/>
          <w:cols w:equalWidth="0" w:num="1">
            <w:col w:w="11420"/>
          </w:cols>
          <w:pgMar w:left="240" w:top="131" w:right="239" w:bottom="0" w:gutter="0" w:footer="0" w:header="0"/>
        </w:sectPr>
      </w:pPr>
    </w:p>
    <w:bookmarkStart w:id="20" w:name="page21"/>
    <w:bookmarkEnd w:id="20"/>
    <w:p>
      <w:pPr>
        <w:ind w:right="6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Israeli Capital Gains Tax</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shares.</w:t>
      </w:r>
    </w:p>
    <w:p>
      <w:pPr>
        <w:spacing w:after="0" w:line="186"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ind w:right="18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with the corporate tax rate reduced gradually from 31% in 2006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2" w:name="page23"/>
    <w:bookmarkEnd w:id="22"/>
    <w:p>
      <w:pPr>
        <w:ind w:left="360"/>
        <w:spacing w:after="0"/>
        <w:rPr>
          <w:sz w:val="20"/>
          <w:szCs w:val="20"/>
          <w:color w:val="auto"/>
        </w:rPr>
      </w:pPr>
      <w:r>
        <w:rPr>
          <w:rFonts w:ascii="Arial" w:cs="Arial" w:eastAsia="Arial" w:hAnsi="Arial"/>
          <w:sz w:val="18"/>
          <w:szCs w:val="18"/>
          <w:color w:val="auto"/>
        </w:rPr>
        <w:t>C. Israeli Tax on Dividend Income</w:t>
      </w:r>
    </w:p>
    <w:p>
      <w:pPr>
        <w:spacing w:after="0" w:line="225"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PFIC Rules</w:t>
      </w:r>
    </w:p>
    <w:p>
      <w:pPr>
        <w:spacing w:after="0" w:line="225"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99"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9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audited consolidated financial statements incorporated in this prospectus by reference from the company’s Annual Report on Form 20-F for the year ended December 31, 2006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filed a registration statement on Form S-8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The following documents filed with the Securities and Exchange Commission by our company are incorporated by reference in this registration statement:</w:t>
      </w:r>
    </w:p>
    <w:p>
      <w:pPr>
        <w:spacing w:after="0" w:line="161"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2006, filed on June 25, 2007, to the extent the information in that report has not been updated or superseded by this prospectus;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June 2007 No. 2 (filed on June 13, 2007).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3 (filed on July 16,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5 (filed on July 26,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2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3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4 (filed on August 20,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(filed on September 10,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No. 3 (filed on September 25,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2007 No. 3 (filed on October 22, 2007).</w:t>
      </w:r>
    </w:p>
    <w:p>
      <w:pPr>
        <w:spacing w:after="0" w:line="252" w:lineRule="exact"/>
        <w:rPr>
          <w:sz w:val="20"/>
          <w:szCs w:val="20"/>
          <w:color w:val="auto"/>
        </w:rPr>
      </w:pPr>
    </w:p>
    <w:p>
      <w:pPr>
        <w:ind w:left="1160" w:right="18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subsequent annual reports filed by our company pursuant to the Exchange Act on Form 20-F prior to the termination of the offering shall be deemed to be incorporated by reference in this prospectus and to be a part hereof from the date of filing of such documents. We may also incorporate any Form 6-K subsequently submitted by us to the Commission prior to the termination of the offering by identifying in such Forms 6-K that they are being incorporated by reference herein, and any Forms 6-K so identified shall be deemed to be incorporated by reference in this prospectus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72"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226060</wp:posOffset>
            </wp:positionV>
            <wp:extent cx="1715135" cy="565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19,399,967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144780</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203835</wp:posOffset>
            </wp:positionV>
            <wp:extent cx="1106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520" w:right="639"/>
        <w:spacing w:after="0" w:line="298" w:lineRule="auto"/>
        <w:rPr>
          <w:sz w:val="20"/>
          <w:szCs w:val="20"/>
          <w:color w:val="auto"/>
        </w:rPr>
      </w:pPr>
      <w:r>
        <w:rPr>
          <w:rFonts w:ascii="Arial" w:cs="Arial" w:eastAsia="Arial" w:hAnsi="Arial"/>
          <w:sz w:val="16"/>
          <w:szCs w:val="16"/>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 __,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Migdal Haemek, Israel, on November 1, 2007.</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their respective capacities and on the respective dates indicated. Each person whose signature appears below, with the exception of Miri Katz, hereby authorizes Russell Ellwanger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Russell Ellwanger, with full power of substitution, attorney-in-fact to sign any amendment and any post-effective amendment to this Registration Statement and to file the same, with exhibits thereto, and other documents in connection therewith.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80" w:type="dxa"/>
            <w:vAlign w:val="bottom"/>
            <w:gridSpan w:val="2"/>
          </w:tcPr>
          <w:p>
            <w:pPr>
              <w:spacing w:after="0"/>
              <w:rPr>
                <w:sz w:val="20"/>
                <w:szCs w:val="20"/>
                <w:color w:val="auto"/>
              </w:rPr>
            </w:pPr>
            <w:r>
              <w:rPr>
                <w:rFonts w:ascii="Arial" w:cs="Arial" w:eastAsia="Arial" w:hAnsi="Arial"/>
                <w:sz w:val="18"/>
                <w:szCs w:val="18"/>
                <w:color w:val="auto"/>
              </w:rPr>
              <w:t>/s/ Dov Moran</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1,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1,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Vice President of Finance and Acting</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1,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Nir Gilad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27" w:name="page28"/>
    <w:bookmarkEnd w:id="27"/>
    <w:p>
      <w:pPr>
        <w:ind w:left="378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Eli Harari</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 Miin Wu</w:t>
            </w:r>
          </w:p>
        </w:tc>
        <w:tc>
          <w:tcPr>
            <w:tcW w:w="302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1520"/>
              <w:spacing w:after="0"/>
              <w:rPr>
                <w:sz w:val="20"/>
                <w:szCs w:val="20"/>
                <w:color w:val="auto"/>
              </w:rPr>
            </w:pPr>
            <w:r>
              <w:rPr>
                <w:rFonts w:ascii="Arial" w:cs="Arial" w:eastAsia="Arial" w:hAnsi="Arial"/>
                <w:sz w:val="18"/>
                <w:szCs w:val="18"/>
                <w:color w:val="auto"/>
                <w:w w:val="87"/>
              </w:rPr>
              <w:t>November 1, 2007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Miin Wu</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Kalman Kaufman</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/s/ Hans Rohrer</w:t>
            </w:r>
          </w:p>
        </w:tc>
        <w:tc>
          <w:tcPr>
            <w:tcW w:w="302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1520"/>
              <w:spacing w:after="0"/>
              <w:rPr>
                <w:sz w:val="20"/>
                <w:szCs w:val="20"/>
                <w:color w:val="auto"/>
              </w:rPr>
            </w:pPr>
            <w:r>
              <w:rPr>
                <w:rFonts w:ascii="Arial" w:cs="Arial" w:eastAsia="Arial" w:hAnsi="Arial"/>
                <w:sz w:val="18"/>
                <w:szCs w:val="18"/>
                <w:color w:val="auto"/>
                <w:w w:val="87"/>
              </w:rPr>
              <w:t>November 1, 2007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Hans Rohrer</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/s/ Miri Katz</w:t>
            </w:r>
          </w:p>
        </w:tc>
        <w:tc>
          <w:tcPr>
            <w:tcW w:w="302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1520"/>
              <w:spacing w:after="0"/>
              <w:rPr>
                <w:sz w:val="20"/>
                <w:szCs w:val="20"/>
                <w:color w:val="auto"/>
              </w:rPr>
            </w:pPr>
            <w:r>
              <w:rPr>
                <w:rFonts w:ascii="Arial" w:cs="Arial" w:eastAsia="Arial" w:hAnsi="Arial"/>
                <w:sz w:val="18"/>
                <w:szCs w:val="18"/>
                <w:color w:val="auto"/>
                <w:w w:val="87"/>
              </w:rPr>
              <w:t>November 1, 2007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Miri Katz</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/s/ Ron Moskowitz</w:t>
            </w:r>
          </w:p>
        </w:tc>
        <w:tc>
          <w:tcPr>
            <w:tcW w:w="302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1520"/>
              <w:spacing w:after="0"/>
              <w:rPr>
                <w:sz w:val="20"/>
                <w:szCs w:val="20"/>
                <w:color w:val="auto"/>
              </w:rPr>
            </w:pPr>
            <w:r>
              <w:rPr>
                <w:rFonts w:ascii="Arial" w:cs="Arial" w:eastAsia="Arial" w:hAnsi="Arial"/>
                <w:sz w:val="18"/>
                <w:szCs w:val="18"/>
                <w:color w:val="auto"/>
                <w:w w:val="87"/>
              </w:rPr>
              <w:t>November 1, 2007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Ron Moskowitz</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140" w:type="dxa"/>
            <w:vAlign w:val="bottom"/>
            <w:gridSpan w:val="2"/>
          </w:tcPr>
          <w:p>
            <w:pPr>
              <w:spacing w:after="0"/>
              <w:rPr>
                <w:sz w:val="20"/>
                <w:szCs w:val="20"/>
                <w:color w:val="auto"/>
              </w:rPr>
            </w:pPr>
            <w:r>
              <w:rPr>
                <w:rFonts w:ascii="Arial" w:cs="Arial" w:eastAsia="Arial" w:hAnsi="Arial"/>
                <w:sz w:val="18"/>
                <w:szCs w:val="18"/>
                <w:color w:val="auto"/>
              </w:rPr>
              <w:t>AUTHORIZED REPRESENTATIVE IN THE UNITED STATES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Tower Semiconductor USA, Inc.</w:t>
            </w:r>
          </w:p>
        </w:tc>
        <w:tc>
          <w:tcPr>
            <w:tcW w:w="3020" w:type="dxa"/>
            <w:vAlign w:val="bottom"/>
          </w:tcPr>
          <w:p>
            <w:pPr>
              <w:spacing w:after="0"/>
              <w:rPr>
                <w:sz w:val="19"/>
                <w:szCs w:val="19"/>
                <w:color w:val="auto"/>
              </w:rPr>
            </w:pPr>
          </w:p>
        </w:tc>
        <w:tc>
          <w:tcPr>
            <w:tcW w:w="2840" w:type="dxa"/>
            <w:vAlign w:val="bottom"/>
          </w:tcPr>
          <w:p>
            <w:pPr>
              <w:ind w:left="1520"/>
              <w:spacing w:after="0"/>
              <w:rPr>
                <w:sz w:val="20"/>
                <w:szCs w:val="20"/>
                <w:color w:val="auto"/>
              </w:rPr>
            </w:pPr>
            <w:r>
              <w:rPr>
                <w:rFonts w:ascii="Arial" w:cs="Arial" w:eastAsia="Arial" w:hAnsi="Arial"/>
                <w:sz w:val="18"/>
                <w:szCs w:val="18"/>
                <w:color w:val="auto"/>
                <w:w w:val="87"/>
              </w:rPr>
              <w:t>November 1, 2007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18"/>
                <w:szCs w:val="18"/>
                <w:color w:val="auto"/>
              </w:rPr>
            </w:pPr>
          </w:p>
        </w:tc>
        <w:tc>
          <w:tcPr>
            <w:tcW w:w="8160" w:type="dxa"/>
            <w:vAlign w:val="bottom"/>
          </w:tcPr>
          <w:p>
            <w:pPr>
              <w:spacing w:after="0"/>
              <w:rPr>
                <w:sz w:val="18"/>
                <w:szCs w:val="18"/>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160" w:type="dxa"/>
            <w:vAlign w:val="bottom"/>
          </w:tcPr>
          <w:p>
            <w:pPr>
              <w:spacing w:after="0"/>
              <w:rPr>
                <w:sz w:val="16"/>
                <w:szCs w:val="16"/>
                <w:color w:val="auto"/>
              </w:rPr>
            </w:pPr>
          </w:p>
        </w:tc>
      </w:tr>
      <w:tr>
        <w:trPr>
          <w:trHeight w:val="471"/>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Articles of Association of the Registrant, approved by shareholders on November 14, 2000, as amended (incorporated by reference to Exhibit</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No. 333-117565.</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Amendment to the Articles of Association of the Registrant (approved by shareholders on September 28, 2006) (incorporated by reference to</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Employee Share Option Plan 2005 (incorporated by reference to Exhibit 4.3 of the 2006 Form S-8)</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Grant Letter to Israeli Employees (incorporated by reference to Exhibit 4.4 of the 2006 Form S-8)</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Grant Letter to U.S. Employees (incorporated by reference to Exhibit 4.5 of the 2006 Form S-8)</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CEO Share Option Plan 2005 (incorporated by reference to Exhibit 4.6 of the 2006 Form S-8)</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Option Grant Letter Agreement - CEO Share Option Plan 2005 from the Registrant to Russell Ellwanger, dated July 15, 2005 (incorporated by</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4.7 of the 2006 Form S-8)</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Option Grant Letter Agreement - CEO Share Option Plan 2005 from the Registrant to Russell Ellwanger, dated September 28, 2006</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4.8 of the 2006 Form S-8)</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4.7</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Option Grant Letter Agreement - CEO Share Option Plan 2005 from Tower Semiconductor USA, Inc. to Russell Ellwanger, dated July 15,</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2005 (incorporated by reference to Exhibit 4.9 of the 2006 Form S-8)</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4.8</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Chairman Share Option Plan 2006</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4.9</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Option Grant Letter Agreement - Chairman Share Option Plan 2006 from the Registrant to Dov Moran, dated December 21, 2006</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4.10</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Independent Directors Share Option Plan 2007</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4.11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Grant Letter for the Independent Directors Share Option Plan 2007</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4.12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Form of Gant Letter for Non-Employee Directors Share Option Plan 2001 (also referred to as the 2001/4 Plan) (incorporated by reference to</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4.9 of the Registration Statement on Form S-8 No. 333-83204)</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67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40" w:type="dxa"/>
            <w:vAlign w:val="bottom"/>
            <w:gridSpan w:val="2"/>
          </w:tcPr>
          <w:p>
            <w:pPr>
              <w:ind w:left="4300"/>
              <w:spacing w:after="0"/>
              <w:rPr>
                <w:sz w:val="20"/>
                <w:szCs w:val="20"/>
                <w:color w:val="auto"/>
              </w:rPr>
            </w:pPr>
            <w:r>
              <w:rPr>
                <w:rFonts w:ascii="Arial" w:cs="Arial" w:eastAsia="Arial" w:hAnsi="Arial"/>
                <w:sz w:val="18"/>
                <w:szCs w:val="18"/>
                <w:color w:val="auto"/>
              </w:rPr>
              <w:t>3</w:t>
            </w:r>
          </w:p>
        </w:tc>
      </w:tr>
      <w:tr>
        <w:trPr>
          <w:trHeight w:val="174"/>
        </w:trPr>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3126105</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4.8</w:t>
      </w:r>
    </w:p>
    <w:p>
      <w:pPr>
        <w:spacing w:after="0" w:line="2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CHAIRMAN SHARE OPTION PLAN 2006</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PLAN UNDER SECTION 102 OF THE INCOME TAX ORDINANCE</w:t>
      </w:r>
    </w:p>
    <w:p>
      <w:pPr>
        <w:spacing w:after="0" w:line="299"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Name and Purpose</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5"/>
          <w:szCs w:val="15"/>
          <w:color w:val="auto"/>
        </w:rPr>
        <w:t>This plan, as amended from time to time, shall be known as the Tower Semiconductor Ltd. Chairman Share Option Plan 2006 (the "</w:t>
      </w:r>
      <w:r>
        <w:rPr>
          <w:rFonts w:ascii="Arial" w:cs="Arial" w:eastAsia="Arial" w:hAnsi="Arial"/>
          <w:sz w:val="15"/>
          <w:szCs w:val="15"/>
          <w:b w:val="1"/>
          <w:bCs w:val="1"/>
          <w:color w:val="auto"/>
        </w:rPr>
        <w:t>Plan</w:t>
      </w:r>
      <w:r>
        <w:rPr>
          <w:rFonts w:ascii="Arial" w:cs="Arial" w:eastAsia="Arial" w:hAnsi="Arial"/>
          <w:sz w:val="15"/>
          <w:szCs w:val="15"/>
          <w:color w:val="auto"/>
        </w:rPr>
        <w:t>").</w:t>
      </w:r>
    </w:p>
    <w:p>
      <w:pPr>
        <w:spacing w:after="0" w:line="252" w:lineRule="exact"/>
        <w:rPr>
          <w:rFonts w:ascii="Arial" w:cs="Arial" w:eastAsia="Arial" w:hAnsi="Arial"/>
          <w:sz w:val="18"/>
          <w:szCs w:val="18"/>
          <w:color w:val="auto"/>
        </w:rPr>
      </w:pPr>
    </w:p>
    <w:p>
      <w:pPr>
        <w:ind w:left="1160" w:right="20" w:hanging="567"/>
        <w:spacing w:after="0" w:line="296"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The purpose and intent of the Plan is to provide incentives to the Chairman of the Board of Directors (the “</w:t>
      </w:r>
      <w:r>
        <w:rPr>
          <w:rFonts w:ascii="Arial" w:cs="Arial" w:eastAsia="Arial" w:hAnsi="Arial"/>
          <w:sz w:val="16"/>
          <w:szCs w:val="16"/>
          <w:b w:val="1"/>
          <w:bCs w:val="1"/>
          <w:color w:val="auto"/>
        </w:rPr>
        <w:t>Chairman</w:t>
      </w:r>
      <w:r>
        <w:rPr>
          <w:rFonts w:ascii="Arial" w:cs="Arial" w:eastAsia="Arial" w:hAnsi="Arial"/>
          <w:sz w:val="16"/>
          <w:szCs w:val="16"/>
          <w:color w:val="auto"/>
        </w:rPr>
        <w:t>”) of Tower Semiconductor Ltd. (the “</w:t>
      </w:r>
      <w:r>
        <w:rPr>
          <w:rFonts w:ascii="Arial" w:cs="Arial" w:eastAsia="Arial" w:hAnsi="Arial"/>
          <w:sz w:val="16"/>
          <w:szCs w:val="16"/>
          <w:b w:val="1"/>
          <w:bCs w:val="1"/>
          <w:color w:val="auto"/>
        </w:rPr>
        <w:t>Company</w:t>
      </w:r>
      <w:r>
        <w:rPr>
          <w:rFonts w:ascii="Arial" w:cs="Arial" w:eastAsia="Arial" w:hAnsi="Arial"/>
          <w:sz w:val="16"/>
          <w:szCs w:val="16"/>
          <w:color w:val="auto"/>
        </w:rPr>
        <w:t>”) by providing him/her with options (“</w:t>
      </w:r>
      <w:r>
        <w:rPr>
          <w:rFonts w:ascii="Arial" w:cs="Arial" w:eastAsia="Arial" w:hAnsi="Arial"/>
          <w:sz w:val="16"/>
          <w:szCs w:val="16"/>
          <w:b w:val="1"/>
          <w:bCs w:val="1"/>
          <w:color w:val="auto"/>
        </w:rPr>
        <w:t>Options</w:t>
      </w:r>
      <w:r>
        <w:rPr>
          <w:rFonts w:ascii="Arial" w:cs="Arial" w:eastAsia="Arial" w:hAnsi="Arial"/>
          <w:sz w:val="16"/>
          <w:szCs w:val="16"/>
          <w:color w:val="auto"/>
        </w:rPr>
        <w:t>”) to purchase ordinary shares (“</w:t>
      </w:r>
      <w:r>
        <w:rPr>
          <w:rFonts w:ascii="Arial" w:cs="Arial" w:eastAsia="Arial" w:hAnsi="Arial"/>
          <w:sz w:val="16"/>
          <w:szCs w:val="16"/>
          <w:b w:val="1"/>
          <w:bCs w:val="1"/>
          <w:color w:val="auto"/>
        </w:rPr>
        <w:t>Ordinary Shares</w:t>
      </w:r>
      <w:r>
        <w:rPr>
          <w:rFonts w:ascii="Arial" w:cs="Arial" w:eastAsia="Arial" w:hAnsi="Arial"/>
          <w:sz w:val="16"/>
          <w:szCs w:val="16"/>
          <w:color w:val="auto"/>
        </w:rPr>
        <w:t>”) of the Company, and was approved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Options under this Plan shall be granted pursuant to the provisions of Section 102 (“</w:t>
      </w:r>
      <w:r>
        <w:rPr>
          <w:rFonts w:ascii="Arial" w:cs="Arial" w:eastAsia="Arial" w:hAnsi="Arial"/>
          <w:sz w:val="16"/>
          <w:szCs w:val="16"/>
          <w:b w:val="1"/>
          <w:bCs w:val="1"/>
          <w:color w:val="auto"/>
        </w:rPr>
        <w:t>Section 102</w:t>
      </w:r>
      <w:r>
        <w:rPr>
          <w:rFonts w:ascii="Arial" w:cs="Arial" w:eastAsia="Arial" w:hAnsi="Arial"/>
          <w:sz w:val="16"/>
          <w:szCs w:val="16"/>
          <w:color w:val="auto"/>
        </w:rPr>
        <w:t>”) of the Israeli Income Tax Ordinance (New Version), 1961 as amended from time to time, the Law Amending the Income Tax Ordinance (Number 132) 2002 (as amended, the “</w:t>
      </w:r>
      <w:r>
        <w:rPr>
          <w:rFonts w:ascii="Arial" w:cs="Arial" w:eastAsia="Arial" w:hAnsi="Arial"/>
          <w:sz w:val="16"/>
          <w:szCs w:val="16"/>
          <w:b w:val="1"/>
          <w:bCs w:val="1"/>
          <w:color w:val="auto"/>
        </w:rPr>
        <w:t>Ordinance</w:t>
      </w:r>
      <w:r>
        <w:rPr>
          <w:rFonts w:ascii="Arial" w:cs="Arial" w:eastAsia="Arial" w:hAnsi="Arial"/>
          <w:sz w:val="16"/>
          <w:szCs w:val="16"/>
          <w:color w:val="auto"/>
        </w:rPr>
        <w:t>”) and the rules promulgated thereunder (the “</w:t>
      </w:r>
      <w:r>
        <w:rPr>
          <w:rFonts w:ascii="Arial" w:cs="Arial" w:eastAsia="Arial" w:hAnsi="Arial"/>
          <w:sz w:val="16"/>
          <w:szCs w:val="16"/>
          <w:b w:val="1"/>
          <w:bCs w:val="1"/>
          <w:color w:val="auto"/>
        </w:rPr>
        <w:t>Rules</w:t>
      </w:r>
      <w:r>
        <w:rPr>
          <w:rFonts w:ascii="Arial" w:cs="Arial" w:eastAsia="Arial" w:hAnsi="Arial"/>
          <w:sz w:val="16"/>
          <w:szCs w:val="16"/>
          <w:color w:val="auto"/>
        </w:rPr>
        <w:t>”).</w:t>
      </w:r>
    </w:p>
    <w:p>
      <w:pPr>
        <w:spacing w:after="0" w:line="18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The Plan shall become effective upon its approval by the Board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258"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Scope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right="120"/>
        <w:spacing w:after="0" w:line="259" w:lineRule="auto"/>
        <w:rPr>
          <w:rFonts w:ascii="Arial" w:cs="Arial" w:eastAsia="Arial" w:hAnsi="Arial"/>
          <w:sz w:val="18"/>
          <w:szCs w:val="18"/>
          <w:color w:val="auto"/>
        </w:rPr>
      </w:pPr>
      <w:r>
        <w:rPr>
          <w:rFonts w:ascii="Arial" w:cs="Arial" w:eastAsia="Arial" w:hAnsi="Arial"/>
          <w:sz w:val="18"/>
          <w:szCs w:val="18"/>
          <w:color w:val="auto"/>
        </w:rPr>
        <w:t>The total number of Options that may be granted under this Plan is 3,158,090 (three million one hundred and fifty eight thousand and ninety), of which all may be granted as 102 Trustee Options (as defined below). Each Option shall be exercisable into one Ordinary Share of the Company (nominal value NIS 1.00 per share) (the “</w:t>
      </w:r>
      <w:r>
        <w:rPr>
          <w:rFonts w:ascii="Arial" w:cs="Arial" w:eastAsia="Arial" w:hAnsi="Arial"/>
          <w:sz w:val="18"/>
          <w:szCs w:val="18"/>
          <w:b w:val="1"/>
          <w:bCs w:val="1"/>
          <w:color w:val="auto"/>
        </w:rPr>
        <w:t>Underlying Share</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Options granted under Section 102</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right="40"/>
        <w:spacing w:after="0" w:line="253" w:lineRule="auto"/>
        <w:rPr>
          <w:rFonts w:ascii="Arial" w:cs="Arial" w:eastAsia="Arial" w:hAnsi="Arial"/>
          <w:sz w:val="18"/>
          <w:szCs w:val="18"/>
          <w:color w:val="auto"/>
        </w:rPr>
      </w:pPr>
      <w:r>
        <w:rPr>
          <w:rFonts w:ascii="Arial" w:cs="Arial" w:eastAsia="Arial" w:hAnsi="Arial"/>
          <w:sz w:val="18"/>
          <w:szCs w:val="18"/>
          <w:color w:val="auto"/>
        </w:rPr>
        <w:t>Options granted pursuant to Section 102(b) shall be either (a) capital gains track options under Section 102(b)(2), in which income resulting from the sale of Underlying Shares is taxed as capital gain (“</w:t>
      </w:r>
      <w:r>
        <w:rPr>
          <w:rFonts w:ascii="Arial" w:cs="Arial" w:eastAsia="Arial" w:hAnsi="Arial"/>
          <w:sz w:val="18"/>
          <w:szCs w:val="18"/>
          <w:b w:val="1"/>
          <w:bCs w:val="1"/>
          <w:color w:val="auto"/>
        </w:rPr>
        <w:t>102 Capital Gains Track Options</w:t>
      </w:r>
      <w:r>
        <w:rPr>
          <w:rFonts w:ascii="Arial" w:cs="Arial" w:eastAsia="Arial" w:hAnsi="Arial"/>
          <w:sz w:val="18"/>
          <w:szCs w:val="18"/>
          <w:color w:val="auto"/>
        </w:rPr>
        <w:t>”), or (b) ordinary income track options under Section 102(b)(1), in which income resulting from the sale of Underlying Shares is taxed as ordinary income (“</w:t>
      </w:r>
      <w:r>
        <w:rPr>
          <w:rFonts w:ascii="Arial" w:cs="Arial" w:eastAsia="Arial" w:hAnsi="Arial"/>
          <w:sz w:val="18"/>
          <w:szCs w:val="18"/>
          <w:b w:val="1"/>
          <w:bCs w:val="1"/>
          <w:color w:val="auto"/>
        </w:rPr>
        <w:t>102 Ordinary Income Track Options</w:t>
      </w:r>
      <w:r>
        <w:rPr>
          <w:rFonts w:ascii="Arial" w:cs="Arial" w:eastAsia="Arial" w:hAnsi="Arial"/>
          <w:sz w:val="18"/>
          <w:szCs w:val="18"/>
          <w:color w:val="auto"/>
        </w:rPr>
        <w:t>”; together with 102 Capital Gains Track Options, “</w:t>
      </w:r>
      <w:r>
        <w:rPr>
          <w:rFonts w:ascii="Arial" w:cs="Arial" w:eastAsia="Arial" w:hAnsi="Arial"/>
          <w:sz w:val="18"/>
          <w:szCs w:val="18"/>
          <w:b w:val="1"/>
          <w:bCs w:val="1"/>
          <w:color w:val="auto"/>
        </w:rPr>
        <w:t>102 Trustee Options</w:t>
      </w:r>
      <w:r>
        <w:rPr>
          <w:rFonts w:ascii="Arial" w:cs="Arial" w:eastAsia="Arial" w:hAnsi="Arial"/>
          <w:sz w:val="18"/>
          <w:szCs w:val="18"/>
          <w:color w:val="auto"/>
        </w:rPr>
        <w:t>”). Pursuant to the Company’s election filed with the Israeli Income Tax Authorities to issue 102 Capital Gains Track Options under the Company’s Employee Share Option Plan 2003/1, the Company may currently grant only 102 Capital Gains Track Options. The Company may change such election, following the approval of the Board, all in accordance with the provisions of Section 102(g) of the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left="572" w:hanging="572"/>
        <w:spacing w:after="0"/>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1152" w:right="140" w:hanging="567"/>
        <w:spacing w:after="0" w:line="262" w:lineRule="auto"/>
        <w:rPr>
          <w:rFonts w:ascii="Arial" w:cs="Arial" w:eastAsia="Arial" w:hAnsi="Arial"/>
          <w:sz w:val="18"/>
          <w:szCs w:val="18"/>
          <w:color w:val="auto"/>
        </w:rPr>
      </w:pPr>
      <w:r>
        <w:rPr>
          <w:rFonts w:ascii="Arial" w:cs="Arial" w:eastAsia="Arial" w:hAnsi="Arial"/>
          <w:sz w:val="18"/>
          <w:szCs w:val="18"/>
          <w:color w:val="auto"/>
        </w:rPr>
        <w:t>4.1. Options may be granted to the Chairman of the Company (referred to as the “</w:t>
      </w:r>
      <w:r>
        <w:rPr>
          <w:rFonts w:ascii="Arial" w:cs="Arial" w:eastAsia="Arial" w:hAnsi="Arial"/>
          <w:sz w:val="18"/>
          <w:szCs w:val="18"/>
          <w:b w:val="1"/>
          <w:bCs w:val="1"/>
          <w:color w:val="auto"/>
        </w:rPr>
        <w:t>Grantee</w:t>
      </w:r>
      <w:r>
        <w:rPr>
          <w:rFonts w:ascii="Arial" w:cs="Arial" w:eastAsia="Arial" w:hAnsi="Arial"/>
          <w:sz w:val="18"/>
          <w:szCs w:val="18"/>
          <w:color w:val="auto"/>
        </w:rPr>
        <w:t>”). The grant of an Option to the Grantee hereunder shall neither entitle such Grantee to participate, nor disqualify him/her from participating, in any other grant of Options pursuant to this Plan or any other share incentive or share option plan of the Company.</w:t>
      </w:r>
    </w:p>
    <w:p>
      <w:pPr>
        <w:spacing w:after="0" w:line="219" w:lineRule="exact"/>
        <w:rPr>
          <w:rFonts w:ascii="Arial" w:cs="Arial" w:eastAsia="Arial" w:hAnsi="Arial"/>
          <w:sz w:val="18"/>
          <w:szCs w:val="18"/>
          <w:color w:val="auto"/>
        </w:rPr>
      </w:pPr>
    </w:p>
    <w:p>
      <w:pPr>
        <w:ind w:left="572" w:hanging="572"/>
        <w:spacing w:after="0"/>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5.1. 102 Trustee Options may be granted from the later of (i) the Effective Date; or (ii) 30 (thirty) days from the filing of this Plan with the Israeli Income Tax Authorities in accordance with applicable law.</w:t>
      </w:r>
    </w:p>
    <w:p>
      <w:pPr>
        <w:spacing w:after="0" w:line="21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5.2.    Options may be granted until 10 (ten) years from the Effective Date.</w:t>
      </w:r>
    </w:p>
    <w:p>
      <w:pPr>
        <w:spacing w:after="0" w:line="252" w:lineRule="exact"/>
        <w:rPr>
          <w:rFonts w:ascii="Arial" w:cs="Arial" w:eastAsia="Arial" w:hAnsi="Arial"/>
          <w:sz w:val="18"/>
          <w:szCs w:val="18"/>
          <w:color w:val="auto"/>
        </w:rPr>
      </w:pPr>
    </w:p>
    <w:p>
      <w:pPr>
        <w:ind w:left="1152" w:right="200" w:hanging="567"/>
        <w:spacing w:after="0" w:line="256" w:lineRule="auto"/>
        <w:rPr>
          <w:rFonts w:ascii="Arial" w:cs="Arial" w:eastAsia="Arial" w:hAnsi="Arial"/>
          <w:sz w:val="18"/>
          <w:szCs w:val="18"/>
          <w:color w:val="auto"/>
        </w:rPr>
      </w:pPr>
      <w:r>
        <w:rPr>
          <w:rFonts w:ascii="Arial" w:cs="Arial" w:eastAsia="Arial" w:hAnsi="Arial"/>
          <w:sz w:val="18"/>
          <w:szCs w:val="18"/>
          <w:color w:val="auto"/>
        </w:rPr>
        <w:t>5.3. Options shall be granted by issuance of an Option letter to the Grantee stating, inter alia, the number of Underlying Shares, the dates when the Options may be exercised, the Option exercise price and such other terms and conditions at the discretion of the Board, provided that they are consistent with this Plan and with applicable law (the “</w:t>
      </w:r>
      <w:r>
        <w:rPr>
          <w:rFonts w:ascii="Arial" w:cs="Arial" w:eastAsia="Arial" w:hAnsi="Arial"/>
          <w:sz w:val="18"/>
          <w:szCs w:val="18"/>
          <w:b w:val="1"/>
          <w:bCs w:val="1"/>
          <w:color w:val="auto"/>
        </w:rPr>
        <w:t>Option Letter</w:t>
      </w:r>
      <w:r>
        <w:rPr>
          <w:rFonts w:ascii="Arial" w:cs="Arial" w:eastAsia="Arial" w:hAnsi="Arial"/>
          <w:sz w:val="18"/>
          <w:szCs w:val="18"/>
          <w:color w:val="auto"/>
        </w:rPr>
        <w:t>”). The Option Letter shall also list the date of grant of the respective Options (the “</w:t>
      </w:r>
      <w:r>
        <w:rPr>
          <w:rFonts w:ascii="Arial" w:cs="Arial" w:eastAsia="Arial" w:hAnsi="Arial"/>
          <w:sz w:val="18"/>
          <w:szCs w:val="18"/>
          <w:b w:val="1"/>
          <w:bCs w:val="1"/>
          <w:color w:val="auto"/>
        </w:rPr>
        <w:t>Date of Grant</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5.4.    The Options will not be listed in any stock exchange and are not transferable (except to the Grantee’s legal heirs or estate).</w:t>
      </w:r>
    </w:p>
    <w:p>
      <w:pPr>
        <w:spacing w:after="0" w:line="252" w:lineRule="exact"/>
        <w:rPr>
          <w:rFonts w:ascii="Arial" w:cs="Arial" w:eastAsia="Arial" w:hAnsi="Arial"/>
          <w:sz w:val="18"/>
          <w:szCs w:val="18"/>
          <w:color w:val="auto"/>
        </w:rPr>
      </w:pPr>
    </w:p>
    <w:p>
      <w:pPr>
        <w:ind w:left="1152" w:hanging="567"/>
        <w:spacing w:after="0" w:line="268" w:lineRule="auto"/>
        <w:rPr>
          <w:rFonts w:ascii="Arial" w:cs="Arial" w:eastAsia="Arial" w:hAnsi="Arial"/>
          <w:sz w:val="18"/>
          <w:szCs w:val="18"/>
          <w:color w:val="auto"/>
        </w:rPr>
      </w:pPr>
      <w:r>
        <w:rPr>
          <w:rFonts w:ascii="Arial" w:cs="Arial" w:eastAsia="Arial" w:hAnsi="Arial"/>
          <w:sz w:val="18"/>
          <w:szCs w:val="18"/>
          <w:color w:val="auto"/>
        </w:rPr>
        <w:t>5.5. The Grantee shall have no right to vote or receive dividends (subject to Section 11.1) or any other rights of a shareholder prior to his/her exercise of the Options and until the issuance of the share certificate evidencing the Underlying Shares.</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6.1.    Options shall vest and become exercisable as set forth in the Option Letter.</w:t>
      </w:r>
    </w:p>
    <w:p>
      <w:pPr>
        <w:spacing w:after="0" w:line="252" w:lineRule="exact"/>
        <w:rPr>
          <w:rFonts w:ascii="Arial" w:cs="Arial" w:eastAsia="Arial" w:hAnsi="Arial"/>
          <w:sz w:val="18"/>
          <w:szCs w:val="18"/>
          <w:color w:val="auto"/>
        </w:rPr>
      </w:pPr>
    </w:p>
    <w:p>
      <w:pPr>
        <w:ind w:left="1152" w:right="40" w:hanging="567"/>
        <w:spacing w:after="0" w:line="256" w:lineRule="auto"/>
        <w:rPr>
          <w:rFonts w:ascii="Arial" w:cs="Arial" w:eastAsia="Arial" w:hAnsi="Arial"/>
          <w:sz w:val="18"/>
          <w:szCs w:val="18"/>
          <w:color w:val="auto"/>
        </w:rPr>
      </w:pPr>
      <w:r>
        <w:rPr>
          <w:rFonts w:ascii="Arial" w:cs="Arial" w:eastAsia="Arial" w:hAnsi="Arial"/>
          <w:sz w:val="18"/>
          <w:szCs w:val="18"/>
          <w:color w:val="auto"/>
        </w:rPr>
        <w:t>6.2. The consideration to be paid for the Underlying Shares, including the method of payment, shall be determined by the Company and may consist entirely of (1) cash, (2) check (provided payment has cleared), or (3) cashless in the case of same day sale. The procedure for exercise of the Options shall be provided to each Grantee together with the Option Letter. The Company may change the procedures for exercise of the Options at its discretion, by giving notice thereof to the Grantee.</w:t>
      </w:r>
    </w:p>
    <w:p>
      <w:pPr>
        <w:spacing w:after="0" w:line="200" w:lineRule="exact"/>
        <w:rPr>
          <w:sz w:val="20"/>
          <w:szCs w:val="20"/>
          <w:color w:val="auto"/>
        </w:rPr>
      </w:pPr>
    </w:p>
    <w:p>
      <w:pPr>
        <w:spacing w:after="0" w:line="24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32"/>
          </w:cols>
          <w:pgMar w:left="248" w:top="131" w:right="319" w:bottom="1440" w:gutter="0" w:footer="0" w:header="0"/>
        </w:sectPr>
      </w:pPr>
    </w:p>
    <w:bookmarkStart w:id="31" w:name="page32"/>
    <w:bookmarkEnd w:id="31"/>
    <w:p>
      <w:pPr>
        <w:ind w:left="1160" w:right="380" w:hanging="566"/>
        <w:spacing w:after="0" w:line="332" w:lineRule="auto"/>
        <w:tabs>
          <w:tab w:leader="none" w:pos="1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any Option has not been exercised within ten (10) years after the Date of Grant (or any shorter period set forth in the Option Letter), such Option shall immediately terminate and all of the Grantee’s interests in and rights to such Option shall immediately expire.</w:t>
      </w:r>
    </w:p>
    <w:p>
      <w:pPr>
        <w:spacing w:after="0" w:line="166"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Options’ Exercise Price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purchase price in $US of each share will be the closing sales price of the Company’s shares as reported by NASDAQ or the principal national securities exchange upon which the Company’s shares are listed or traded on the last market trading day (the “</w:t>
      </w:r>
      <w:r>
        <w:rPr>
          <w:rFonts w:ascii="Arial" w:cs="Arial" w:eastAsia="Arial" w:hAnsi="Arial"/>
          <w:sz w:val="16"/>
          <w:szCs w:val="16"/>
          <w:b w:val="1"/>
          <w:bCs w:val="1"/>
          <w:color w:val="auto"/>
        </w:rPr>
        <w:t>Fair Market Value</w:t>
      </w:r>
      <w:r>
        <w:rPr>
          <w:rFonts w:ascii="Arial" w:cs="Arial" w:eastAsia="Arial" w:hAnsi="Arial"/>
          <w:sz w:val="16"/>
          <w:szCs w:val="16"/>
          <w:color w:val="auto"/>
        </w:rPr>
        <w:t>”) prior to the initial date the Board approved the Option grant, unless otherwise determined by the Board and set forth in the Option Letter.</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avoid doubt, Options designated as 102 Capital Gains Track Options whose exercise price is less than the “102 Fair Market Value”, shall be subject to Section 102(b)(3) of the Ordinance.</w:t>
      </w:r>
    </w:p>
    <w:p>
      <w:pPr>
        <w:spacing w:after="0" w:line="180"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102 Fair Market Value</w:t>
      </w:r>
      <w:r>
        <w:rPr>
          <w:rFonts w:ascii="Arial" w:cs="Arial" w:eastAsia="Arial" w:hAnsi="Arial"/>
          <w:sz w:val="16"/>
          <w:szCs w:val="16"/>
          <w:color w:val="auto"/>
        </w:rPr>
        <w:t>” shall mean with respect to 102 Capital Gains Track Options only, and for the sole purpose of determining tax liability pursuant to Section 102(b)(3) of the Ordinance, the average value of the Company’s shares on the thirty (30) trading days preceding the date of grant.</w:t>
      </w:r>
    </w:p>
    <w:p>
      <w:pPr>
        <w:spacing w:after="0" w:line="134"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Trustee; Required Holding Periods</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1160" w:right="80" w:hanging="567"/>
        <w:spacing w:after="0" w:line="310" w:lineRule="auto"/>
        <w:rPr>
          <w:rFonts w:ascii="Arial" w:cs="Arial" w:eastAsia="Arial" w:hAnsi="Arial"/>
          <w:sz w:val="18"/>
          <w:szCs w:val="18"/>
          <w:color w:val="auto"/>
        </w:rPr>
      </w:pPr>
      <w:r>
        <w:rPr>
          <w:rFonts w:ascii="Arial" w:cs="Arial" w:eastAsia="Arial" w:hAnsi="Arial"/>
          <w:sz w:val="16"/>
          <w:szCs w:val="16"/>
          <w:color w:val="auto"/>
        </w:rPr>
        <w:t xml:space="preserve">8.1. All Options and the Underlying Shares will be held in trust by David H. Schapiro Legal Services (the </w:t>
      </w:r>
      <w:r>
        <w:rPr>
          <w:rFonts w:ascii="Arial" w:cs="Arial" w:eastAsia="Arial" w:hAnsi="Arial"/>
          <w:sz w:val="16"/>
          <w:szCs w:val="16"/>
          <w:b w:val="1"/>
          <w:bCs w:val="1"/>
          <w:color w:val="auto"/>
        </w:rPr>
        <w:t>“Trustee</w:t>
      </w:r>
      <w:r>
        <w:rPr>
          <w:rFonts w:ascii="Arial" w:cs="Arial" w:eastAsia="Arial" w:hAnsi="Arial"/>
          <w:sz w:val="16"/>
          <w:szCs w:val="16"/>
          <w:color w:val="auto"/>
        </w:rPr>
        <w:t>”) (i) in accordance with Section 102 and the regulations, rules, orders and procedures promulgated thereunder with respect to Israeli residents; or (ii) pursuant to the Company’s instructions and all applicable laws with respect to non-Israeli residents (all such Options shall be referred to as the “</w:t>
      </w:r>
      <w:r>
        <w:rPr>
          <w:rFonts w:ascii="Arial" w:cs="Arial" w:eastAsia="Arial" w:hAnsi="Arial"/>
          <w:sz w:val="16"/>
          <w:szCs w:val="16"/>
          <w:b w:val="1"/>
          <w:bCs w:val="1"/>
          <w:color w:val="auto"/>
        </w:rPr>
        <w:t>Trustee Options</w:t>
      </w:r>
      <w:r>
        <w:rPr>
          <w:rFonts w:ascii="Arial" w:cs="Arial" w:eastAsia="Arial" w:hAnsi="Arial"/>
          <w:sz w:val="16"/>
          <w:szCs w:val="16"/>
          <w:color w:val="auto"/>
        </w:rPr>
        <w:t>”).</w:t>
      </w:r>
    </w:p>
    <w:p>
      <w:pPr>
        <w:spacing w:after="0" w:line="184" w:lineRule="exact"/>
        <w:rPr>
          <w:rFonts w:ascii="Arial" w:cs="Arial" w:eastAsia="Arial" w:hAnsi="Arial"/>
          <w:sz w:val="18"/>
          <w:szCs w:val="18"/>
          <w:color w:val="auto"/>
        </w:rPr>
      </w:pPr>
    </w:p>
    <w:p>
      <w:pPr>
        <w:ind w:left="1160" w:right="320" w:hanging="567"/>
        <w:spacing w:after="0" w:line="256" w:lineRule="auto"/>
        <w:rPr>
          <w:rFonts w:ascii="Arial" w:cs="Arial" w:eastAsia="Arial" w:hAnsi="Arial"/>
          <w:sz w:val="18"/>
          <w:szCs w:val="18"/>
          <w:color w:val="auto"/>
        </w:rPr>
      </w:pPr>
      <w:r>
        <w:rPr>
          <w:rFonts w:ascii="Arial" w:cs="Arial" w:eastAsia="Arial" w:hAnsi="Arial"/>
          <w:sz w:val="18"/>
          <w:szCs w:val="18"/>
          <w:color w:val="auto"/>
        </w:rPr>
        <w:t>8.2. The 102 Trustee Options and the Underlying Shares shall be held by the Trustee for the requisite period prescribed by the Ordinance and the Rules, or such other period as may be required (the “</w:t>
      </w:r>
      <w:r>
        <w:rPr>
          <w:rFonts w:ascii="Arial" w:cs="Arial" w:eastAsia="Arial" w:hAnsi="Arial"/>
          <w:sz w:val="18"/>
          <w:szCs w:val="18"/>
          <w:b w:val="1"/>
          <w:bCs w:val="1"/>
          <w:color w:val="auto"/>
        </w:rPr>
        <w:t>Required Holding Period</w:t>
      </w:r>
      <w:r>
        <w:rPr>
          <w:rFonts w:ascii="Arial" w:cs="Arial" w:eastAsia="Arial" w:hAnsi="Arial"/>
          <w:sz w:val="18"/>
          <w:szCs w:val="18"/>
          <w:color w:val="auto"/>
        </w:rPr>
        <w:t>”) and the Grantee shall not be entitled to sell or otherwise dispose of the Underlying Shares purchasable upon the exercise of such 102 Trustee Options during the Required Holding Period, unless permissible and in accordance with the Ordinance and the Rules.</w:t>
      </w:r>
    </w:p>
    <w:p>
      <w:pPr>
        <w:spacing w:after="0" w:line="224" w:lineRule="exact"/>
        <w:rPr>
          <w:rFonts w:ascii="Arial" w:cs="Arial" w:eastAsia="Arial" w:hAnsi="Arial"/>
          <w:sz w:val="18"/>
          <w:szCs w:val="18"/>
          <w:color w:val="auto"/>
        </w:rPr>
      </w:pPr>
    </w:p>
    <w:p>
      <w:pPr>
        <w:ind w:left="1160" w:right="260" w:hanging="567"/>
        <w:spacing w:after="0" w:line="268" w:lineRule="auto"/>
        <w:rPr>
          <w:rFonts w:ascii="Arial" w:cs="Arial" w:eastAsia="Arial" w:hAnsi="Arial"/>
          <w:sz w:val="18"/>
          <w:szCs w:val="18"/>
          <w:color w:val="auto"/>
        </w:rPr>
      </w:pPr>
      <w:r>
        <w:rPr>
          <w:rFonts w:ascii="Arial" w:cs="Arial" w:eastAsia="Arial" w:hAnsi="Arial"/>
          <w:sz w:val="18"/>
          <w:szCs w:val="18"/>
          <w:color w:val="auto"/>
        </w:rPr>
        <w:t>8.3. The Trustee and Grantee shall comply with the applicable laws and the terms and conditions of the Trust Agreement entered into between the Company and the Trustee.</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ind w:left="1152" w:hanging="566"/>
        <w:spacing w:after="0" w:line="294" w:lineRule="auto"/>
        <w:tabs>
          <w:tab w:leader="none" w:pos="113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In the event that the Company issues securities as bonus shares (maniyot hatava) or performs a share split or a similar dissolution, such bonus shares or other similar rights on shares which derive from 102 Trustee Options shall be subject to the provisions of this Section 8 and the Required Holding Period for such bonus shares or other similar rights shall be measured from the commencement of the Required Holding Period for the 102 Trustee Options. All such bonus shares and/or other similar rights shall be held by the Trustee in accordance with Section 102 and the regulations, rules, orders and procedures promulgated thereunder with respect to Israeli residents.</w:t>
      </w:r>
    </w:p>
    <w:p>
      <w:pPr>
        <w:spacing w:after="0" w:line="197" w:lineRule="exact"/>
        <w:rPr>
          <w:sz w:val="20"/>
          <w:szCs w:val="20"/>
          <w:color w:val="auto"/>
        </w:rPr>
      </w:pPr>
    </w:p>
    <w:p>
      <w:pPr>
        <w:ind w:left="1152" w:right="60" w:hanging="566"/>
        <w:spacing w:after="0" w:line="256" w:lineRule="auto"/>
        <w:tabs>
          <w:tab w:leader="none" w:pos="113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Trustee shall not exercise the voting rights vested in the Underlying Shares, unless the Trustee believes, after consulting with the Company’s Compensation and Options Committee (or another committee given such authority by the Board, or in the absence of a committee, the Board) and the Grantees who hold a majority of the issued Options, that said rights should be exercised for the protection of the Grantees as a minority among the Company’s shareholders.</w:t>
      </w:r>
    </w:p>
    <w:p>
      <w:pPr>
        <w:spacing w:after="0" w:line="224"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color w:val="auto"/>
        </w:rPr>
        <w:t>The Company shall be entitled to replace the Trustee with another appointee from time to time and shall notify the Grantee of such replacement.</w:t>
      </w:r>
    </w:p>
    <w:p>
      <w:pPr>
        <w:spacing w:after="0" w:line="252" w:lineRule="exact"/>
        <w:rPr>
          <w:sz w:val="20"/>
          <w:szCs w:val="20"/>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Reserved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567"/>
        <w:spacing w:after="0" w:line="306" w:lineRule="auto"/>
        <w:rPr>
          <w:rFonts w:ascii="Arial" w:cs="Arial" w:eastAsia="Arial" w:hAnsi="Arial"/>
          <w:sz w:val="18"/>
          <w:szCs w:val="18"/>
          <w:color w:val="auto"/>
        </w:rPr>
      </w:pPr>
      <w:r>
        <w:rPr>
          <w:rFonts w:ascii="Arial" w:cs="Arial" w:eastAsia="Arial" w:hAnsi="Arial"/>
          <w:sz w:val="16"/>
          <w:szCs w:val="16"/>
          <w:color w:val="auto"/>
        </w:rPr>
        <w:t>9.1. The Company has reserved 3,158,090 (three million one hundred and fifty eight thousand and ninety) authorized but unissued Ordinary Shares (nominal value NIS 1.00 per share) for purposes of the Plan, subject to adjustments as provided in Section 11 below. If any Options granted under the Plan terminate, expire or otherwise cease to exist, they shall no longer be available for grant under this Plan.</w:t>
      </w:r>
    </w:p>
    <w:p>
      <w:pPr>
        <w:spacing w:after="0" w:line="187" w:lineRule="exact"/>
        <w:rPr>
          <w:rFonts w:ascii="Arial" w:cs="Arial" w:eastAsia="Arial" w:hAnsi="Arial"/>
          <w:sz w:val="18"/>
          <w:szCs w:val="18"/>
          <w:color w:val="auto"/>
        </w:rPr>
      </w:pPr>
    </w:p>
    <w:p>
      <w:pPr>
        <w:ind w:left="1152" w:right="380" w:hanging="567"/>
        <w:spacing w:after="0" w:line="268" w:lineRule="auto"/>
        <w:rPr>
          <w:rFonts w:ascii="Arial" w:cs="Arial" w:eastAsia="Arial" w:hAnsi="Arial"/>
          <w:sz w:val="18"/>
          <w:szCs w:val="18"/>
          <w:color w:val="auto"/>
        </w:rPr>
      </w:pPr>
      <w:r>
        <w:rPr>
          <w:rFonts w:ascii="Arial" w:cs="Arial" w:eastAsia="Arial" w:hAnsi="Arial"/>
          <w:sz w:val="18"/>
          <w:szCs w:val="18"/>
          <w:color w:val="auto"/>
        </w:rPr>
        <w:t>9.2. The Company will maintain a sufficient quantity of Ordinary Shares, NIS 1.00 nominal value, in its registered capital and shall increase said quantity as appropriate to allow for the exercise of the Options under the Plan.</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The Option Letter will include provisions regarding the termination of the Grantee serving as Chairman of the Board and the consequences of such termination on the Grantee’s right to exercise Options.</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52" w:right="40" w:hanging="567"/>
        <w:spacing w:after="0" w:line="318" w:lineRule="auto"/>
        <w:rPr>
          <w:rFonts w:ascii="Arial" w:cs="Arial" w:eastAsia="Arial" w:hAnsi="Arial"/>
          <w:sz w:val="18"/>
          <w:szCs w:val="18"/>
          <w:color w:val="auto"/>
        </w:rPr>
      </w:pPr>
      <w:r>
        <w:rPr>
          <w:rFonts w:ascii="Arial" w:cs="Arial" w:eastAsia="Arial" w:hAnsi="Arial"/>
          <w:sz w:val="15"/>
          <w:szCs w:val="15"/>
          <w:color w:val="auto"/>
        </w:rPr>
        <w:t>11.1. In the event that the Company shall issue any of its Ordinary Shares or other securities as bonus shares (maniyot hatava), each Grantee who has been granted Options as of such date shall, upon exercising his/her Options that have been granted Options as of such date, be entitled to receive, for the purchase price payable upon such exercise, bonus shares at no additional cost, in an amount and of such class, as the Grantee would have received had he been the holder of the Underlying Shares at the time the Company issued such bonus shares. No fractional shares will be issued under this Section. The Company may aggregate and sell all fractional shares and will be entitled to the proceeds of the sale thereof.</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33" w:name="page34"/>
    <w:bookmarkEnd w:id="33"/>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If securities of any kind are offered to the Company’s shareholders by means of a rights offering, the exercise price of the Options will not be</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adjusted, however, the number of Underlying Shares will be increased to take into account the element of economic benefit of the rights issue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(“markiv hahatava”), as is represented by the ratio between the price per share of the Company’s Ordinary Shares on the effective date of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future rights offering and the base price per share of the Company’s Ordinary Shares that is established by the Tel-Aviv Stock Exchange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TASE</w:t>
      </w:r>
      <w:r>
        <w:rPr>
          <w:rFonts w:ascii="Arial" w:cs="Arial" w:eastAsia="Arial" w:hAnsi="Arial"/>
          <w:sz w:val="16"/>
          <w:szCs w:val="16"/>
          <w:color w:val="auto"/>
        </w:rPr>
        <w:t>”) on the following trading day. If the TASE does not establish a base price per share of the Company’s Ordinary Shares, no adjustment in</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number of Underlying Shares issuable upon exercise of the Options will be made with respect to such future rights offering.</w:t>
      </w:r>
    </w:p>
    <w:p>
      <w:pPr>
        <w:spacing w:after="0" w:line="246"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11.3.</w:t>
        <w:tab/>
        <w:t>If the Company consolidates its Ordinary Shares, NIS 1.00 nominal value, into shares with a higher nominal value, or if it splits them into a larger number of shares having a lower nominal value, the number of Underlying Shares issued upon exercise of the Options will be adjusted as appropriate.</w:t>
      </w:r>
    </w:p>
    <w:p>
      <w:pPr>
        <w:spacing w:after="0" w:line="221" w:lineRule="exact"/>
        <w:rPr>
          <w:sz w:val="20"/>
          <w:szCs w:val="20"/>
          <w:color w:val="auto"/>
        </w:rPr>
      </w:pPr>
    </w:p>
    <w:p>
      <w:pPr>
        <w:ind w:left="580" w:right="80" w:hanging="566"/>
        <w:spacing w:after="0" w:line="255" w:lineRule="auto"/>
        <w:tabs>
          <w:tab w:leader="none" w:pos="560" w:val="left"/>
        </w:tabs>
        <w:rPr>
          <w:sz w:val="20"/>
          <w:szCs w:val="20"/>
          <w:color w:val="auto"/>
        </w:rPr>
      </w:pPr>
      <w:r>
        <w:rPr>
          <w:rFonts w:ascii="Arial" w:cs="Arial" w:eastAsia="Arial" w:hAnsi="Arial"/>
          <w:sz w:val="18"/>
          <w:szCs w:val="18"/>
          <w:color w:val="auto"/>
        </w:rPr>
        <w:t>11.4.</w:t>
        <w:tab/>
        <w:t>In the event that the Company is a party to any agreement or arrangement in which the holders of the Company’s ordinary shares are offered the opportunity to exchange their shares for the securities of any other corporation, such as a merger or reorganization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the Company will endeavor to cause such other corporation to issue such securities as those offered to the Company’s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any Grantee who exercises his/her Options, as if said Grantee was the holder of the Underlying Shares on the determining date in connection with the Exchange Transaction.</w:t>
      </w:r>
    </w:p>
    <w:p>
      <w:pPr>
        <w:spacing w:after="0" w:line="224" w:lineRule="exact"/>
        <w:rPr>
          <w:sz w:val="20"/>
          <w:szCs w:val="20"/>
          <w:color w:val="auto"/>
        </w:rPr>
      </w:pPr>
    </w:p>
    <w:p>
      <w:pPr>
        <w:jc w:val="both"/>
        <w:ind w:left="580" w:right="100" w:hanging="566"/>
        <w:spacing w:after="0" w:line="306" w:lineRule="auto"/>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Voluntary Liquidation</w:t>
      </w:r>
      <w:r>
        <w:rPr>
          <w:rFonts w:ascii="Arial" w:cs="Arial" w:eastAsia="Arial" w:hAnsi="Arial"/>
          <w:sz w:val="16"/>
          <w:szCs w:val="16"/>
          <w:color w:val="auto"/>
        </w:rPr>
        <w:t>: In the event of a decision to voluntarily liquidate the Company, each Grantee will be (i) deemed to have exercised his/her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vested and exercisable Options immediately prior to such decision; and (ii) entitled to payment equal to the amount that he/she would receive in liquidation if he/she were a holder of the Underlying Shares immediately prior to the decision to voluntarily liquidate less the exercise price.</w:t>
      </w:r>
    </w:p>
    <w:p>
      <w:pPr>
        <w:spacing w:after="0" w:line="188" w:lineRule="exact"/>
        <w:rPr>
          <w:sz w:val="20"/>
          <w:szCs w:val="20"/>
          <w:color w:val="auto"/>
        </w:rPr>
      </w:pPr>
    </w:p>
    <w:p>
      <w:pPr>
        <w:ind w:left="580" w:right="580" w:hanging="566"/>
        <w:spacing w:after="0" w:line="268" w:lineRule="auto"/>
        <w:tabs>
          <w:tab w:leader="none" w:pos="560" w:val="left"/>
        </w:tabs>
        <w:rPr>
          <w:sz w:val="20"/>
          <w:szCs w:val="20"/>
          <w:color w:val="auto"/>
        </w:rPr>
      </w:pPr>
      <w:r>
        <w:rPr>
          <w:rFonts w:ascii="Arial" w:cs="Arial" w:eastAsia="Arial" w:hAnsi="Arial"/>
          <w:sz w:val="18"/>
          <w:szCs w:val="18"/>
          <w:color w:val="auto"/>
        </w:rPr>
        <w:t>11.6.</w:t>
        <w:tab/>
        <w:t>The Board, or a committee thereof given such authority by the Board, is authorized to implement all adjustments and execute the required calculations, pursuant to the principles in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820" w:top="131" w:right="239" w:bottom="1440" w:gutter="0" w:footer="0" w:header="0"/>
        </w:sectPr>
      </w:pPr>
    </w:p>
    <w:bookmarkStart w:id="34" w:name="page35"/>
    <w:bookmarkEnd w:id="34"/>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Continuation of Service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Neither the Plan nor the Option Letter shall impose any obligation on the Company to continue receiving services from any Grantee.</w:t>
      </w:r>
    </w:p>
    <w:p>
      <w:pPr>
        <w:spacing w:after="0" w:line="279"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proceeds received by the Company from the sale of Underlying Shares will be used for general corporate purposes of the Company or any subsidiary thereof.</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right="160" w:hanging="567"/>
        <w:spacing w:after="0" w:line="290" w:lineRule="auto"/>
        <w:rPr>
          <w:rFonts w:ascii="Arial" w:cs="Arial" w:eastAsia="Arial" w:hAnsi="Arial"/>
          <w:sz w:val="18"/>
          <w:szCs w:val="18"/>
          <w:color w:val="auto"/>
        </w:rPr>
      </w:pPr>
      <w:r>
        <w:rPr>
          <w:rFonts w:ascii="Arial" w:cs="Arial" w:eastAsia="Arial" w:hAnsi="Arial"/>
          <w:sz w:val="16"/>
          <w:szCs w:val="16"/>
          <w:color w:val="auto"/>
        </w:rPr>
        <w:t>14.1. Any tax consequences arising from (i) the grant or exercise of any Option, (ii) the issuance of Underlying Shares and payment therefor, (iii) the sale, transfer or exchange of Underlying Shares, or (iv) any other event or act of the Company or the Grantee hereunder, and any commissions and other expenses related thereto, shall be borne solely by the Grantee. The Company, any of its Subsidiaries and/or the Trustee may withhold any taxes, expenses and commissions as required. The Grantee agrees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the Grantee.</w:t>
      </w:r>
    </w:p>
    <w:p>
      <w:pPr>
        <w:spacing w:after="0" w:line="199" w:lineRule="exact"/>
        <w:rPr>
          <w:rFonts w:ascii="Arial" w:cs="Arial" w:eastAsia="Arial" w:hAnsi="Arial"/>
          <w:sz w:val="18"/>
          <w:szCs w:val="18"/>
          <w:color w:val="auto"/>
        </w:rPr>
      </w:pPr>
    </w:p>
    <w:p>
      <w:pPr>
        <w:ind w:left="1152" w:hanging="567"/>
        <w:spacing w:after="0" w:line="259" w:lineRule="auto"/>
        <w:rPr>
          <w:rFonts w:ascii="Arial" w:cs="Arial" w:eastAsia="Arial" w:hAnsi="Arial"/>
          <w:sz w:val="18"/>
          <w:szCs w:val="18"/>
          <w:color w:val="auto"/>
        </w:rPr>
      </w:pPr>
      <w:r>
        <w:rPr>
          <w:rFonts w:ascii="Arial" w:cs="Arial" w:eastAsia="Arial" w:hAnsi="Arial"/>
          <w:sz w:val="18"/>
          <w:szCs w:val="18"/>
          <w:color w:val="auto"/>
        </w:rPr>
        <w:t>14.2. The Grantee will confirm in writing that he/she (1) understands that the Options are granted pursuant to the Plan under Section 102 and the Code, as applicable, (2) is aware of the taxation track that applies thereto, and (3) undertakes not to exercise the Options prior to the end of the Required Holding Period, unless otherwise permitted.</w:t>
      </w:r>
    </w:p>
    <w:p>
      <w:pPr>
        <w:spacing w:after="0" w:line="221"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15.1.   The Plan will be administered by the Board, or, at the Board’s discretion, a committee thereof, subject to applicable law.</w:t>
      </w:r>
    </w:p>
    <w:p>
      <w:pPr>
        <w:spacing w:after="0" w:line="252" w:lineRule="exact"/>
        <w:rPr>
          <w:rFonts w:ascii="Arial" w:cs="Arial" w:eastAsia="Arial" w:hAnsi="Arial"/>
          <w:sz w:val="18"/>
          <w:szCs w:val="18"/>
          <w:color w:val="auto"/>
        </w:rPr>
      </w:pPr>
    </w:p>
    <w:p>
      <w:pPr>
        <w:ind w:left="1152" w:right="60" w:hanging="567"/>
        <w:spacing w:after="0" w:line="268" w:lineRule="auto"/>
        <w:rPr>
          <w:rFonts w:ascii="Arial" w:cs="Arial" w:eastAsia="Arial" w:hAnsi="Arial"/>
          <w:sz w:val="18"/>
          <w:szCs w:val="18"/>
          <w:color w:val="auto"/>
        </w:rPr>
      </w:pPr>
      <w:r>
        <w:rPr>
          <w:rFonts w:ascii="Arial" w:cs="Arial" w:eastAsia="Arial" w:hAnsi="Arial"/>
          <w:sz w:val="18"/>
          <w:szCs w:val="18"/>
          <w:color w:val="auto"/>
        </w:rPr>
        <w:t>15.2. No member of the Board or a committee thereof shall be liable for any action or determination made in good faith with respect to the Plan or any Option granted hereunder.</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Subject to applicable law, the Board may, at any time, terminate or amend the Plan in any respect.</w:t>
      </w: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35" w:name="page36"/>
    <w:bookmarkEnd w:id="35"/>
    <w:p>
      <w:pPr>
        <w:ind w:left="572" w:hanging="572"/>
        <w:spacing w:after="0"/>
        <w:tabs>
          <w:tab w:leader="none" w:pos="5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The Plan and all instruments issued hereunder in connection with Options granted pursuant to Section 102 shall be governed by, and interpreted in accordance with, the laws of the State of Israel.</w:t>
      </w:r>
    </w:p>
    <w:p>
      <w:pPr>
        <w:spacing w:after="0" w:line="200" w:lineRule="exact"/>
        <w:rPr>
          <w:sz w:val="20"/>
          <w:szCs w:val="20"/>
          <w:color w:val="auto"/>
        </w:rPr>
      </w:pPr>
    </w:p>
    <w:p>
      <w:pPr>
        <w:spacing w:after="0" w:line="22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9493885</wp:posOffset>
            </wp:positionV>
            <wp:extent cx="72675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872"/>
          </w:cols>
          <w:pgMar w:left="248" w:top="131" w:right="7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4.9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Grant Letter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Grant of Options – Chairman Share Option Plan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Dear: Mr. Dov Moran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Tower Semiconductor Ltd. (the “Company”) is pleased to grant you, subject to the receipt of the Company’s shareholders’ approval, options (“Options”) to purchase up to 3,158,090 (three million one hundred and fifty eight thousand and ninety) Ordinary Shares, nominal value NIS 1.00 each, of the Company (the “Shares”), pursuant to the Chairman Share Option Plan 2006 of the Company (the “Plan”), as of the date of the shareholders of the Company approve the grant of Options to you (the “Date of Grant”). Capitalized terms not defined in this letter agreement (this “Option Agreement”) shall have the meaning ascribed to them in the Plan or in the Agreement dated as of December 21, 2006, by and between the Company and you (the “Chairman Agreement”).</w:t>
      </w:r>
    </w:p>
    <w:p>
      <w:pPr>
        <w:spacing w:after="0" w:line="17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grant and issuance of Options pursuant to this Option Agreement is subject to the receipt of all the approvals required under Section 102 of the Income Tax Ordinance (“Section 102”). The Options will therefore be issued to the Trustee, as such term is defined in the Plan. The Options are granted as 102 Capital Gains Track Options.</w:t>
      </w:r>
    </w:p>
    <w:p>
      <w:pPr>
        <w:spacing w:after="0" w:line="194" w:lineRule="exact"/>
        <w:rPr>
          <w:sz w:val="20"/>
          <w:szCs w:val="20"/>
          <w:color w:val="auto"/>
        </w:rPr>
      </w:pPr>
    </w:p>
    <w:p>
      <w:pPr>
        <w:jc w:val="both"/>
        <w:ind w:right="20" w:firstLine="348"/>
        <w:spacing w:after="0" w:line="283" w:lineRule="auto"/>
        <w:rPr>
          <w:sz w:val="20"/>
          <w:szCs w:val="20"/>
          <w:color w:val="auto"/>
        </w:rPr>
      </w:pPr>
      <w:r>
        <w:rPr>
          <w:rFonts w:ascii="Arial" w:cs="Arial" w:eastAsia="Arial" w:hAnsi="Arial"/>
          <w:sz w:val="16"/>
          <w:szCs w:val="16"/>
          <w:color w:val="auto"/>
        </w:rPr>
        <w:t>The exercise price of each Option shall be the closing price of the Ordinary Shares on the Nasdaq Global Market on the trading day immediately preceding the Date of Grant (but no less than the nominal value per Share). The terms and conditions set forth in this Option Agreement are subject to and supplemented by the terms and conditions set forth in the Plan, a copy of which is attached hereto. You are urged to review the Plan and shall be deemed to be fully aware of all the terms and conditions governing the Options set forth in the Plan. By your signature below, you agree to be bound by the terms and conditions of the Plan.</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Notwithstanding the above, in the event of any contradiction between the terms of this Option Agreement and the terms of the Plan, the terms of this Option Agreement shall prevail.</w:t>
      </w:r>
    </w:p>
    <w:p>
      <w:pPr>
        <w:spacing w:after="0" w:line="192"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Options granted pursuant to this Option Agreement will be issued once you sign and return to the Company: (I) this Option Agreement, (II) the attached Declaration, and (III) any other form which is required under Section 102 and which will be provided to you by the Company.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the Options is subject to the main terms and conditions set out below. Other terms and conditions of the Options are set out in the Plan.</w:t>
      </w:r>
    </w:p>
    <w:p>
      <w:pPr>
        <w:spacing w:after="0" w:line="242"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Issuance of Options.</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Options are hereby issued to the Trustee for your benefit, subject to the terms and conditions hereunder.</w:t>
      </w:r>
    </w:p>
    <w:p>
      <w:pPr>
        <w:spacing w:after="0" w:line="27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Options will not be listed on any stock exchange and are not transferable (except to your legal heirs or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Period of Exercise.</w:t>
      </w:r>
    </w:p>
    <w:p>
      <w:pPr>
        <w:spacing w:after="0" w:line="258" w:lineRule="exact"/>
        <w:rPr>
          <w:rFonts w:ascii="Arial" w:cs="Arial" w:eastAsia="Arial" w:hAnsi="Arial"/>
          <w:sz w:val="18"/>
          <w:szCs w:val="18"/>
          <w:b w:val="1"/>
          <w:bCs w:val="1"/>
          <w:color w:val="auto"/>
        </w:rPr>
      </w:pPr>
    </w:p>
    <w:p>
      <w:pPr>
        <w:ind w:left="1160" w:hanging="567"/>
        <w:spacing w:after="0" w:line="370"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5"/>
          <w:szCs w:val="15"/>
          <w:u w:val="single" w:color="auto"/>
          <w:color w:val="auto"/>
        </w:rPr>
        <w:t>Vesting Schedule</w:t>
      </w:r>
      <w:r>
        <w:rPr>
          <w:rFonts w:ascii="Arial" w:cs="Arial" w:eastAsia="Arial" w:hAnsi="Arial"/>
          <w:sz w:val="15"/>
          <w:szCs w:val="15"/>
          <w:color w:val="auto"/>
        </w:rPr>
        <w:t>. Subject to the terms and conditions of the Plan and this Option Agreement (including Section 2.6 below), the Options granted</w:t>
      </w:r>
      <w:r>
        <w:rPr>
          <w:rFonts w:ascii="Arial" w:cs="Arial" w:eastAsia="Arial" w:hAnsi="Arial"/>
          <w:sz w:val="15"/>
          <w:szCs w:val="15"/>
          <w:u w:val="single" w:color="auto"/>
          <w:color w:val="auto"/>
        </w:rPr>
        <w:t xml:space="preserve"> </w:t>
      </w:r>
      <w:r>
        <w:rPr>
          <w:rFonts w:ascii="Arial" w:cs="Arial" w:eastAsia="Arial" w:hAnsi="Arial"/>
          <w:sz w:val="15"/>
          <w:szCs w:val="15"/>
          <w:color w:val="auto"/>
        </w:rPr>
        <w:t>pursuant to this Option Agreement shall become exercisable (vest) over a period of four years in accordance with the following vesting schedule:</w:t>
      </w:r>
    </w:p>
    <w:p>
      <w:pPr>
        <w:spacing w:after="0" w:line="144" w:lineRule="exact"/>
        <w:rPr>
          <w:rFonts w:ascii="Arial" w:cs="Arial" w:eastAsia="Arial" w:hAnsi="Arial"/>
          <w:sz w:val="18"/>
          <w:szCs w:val="18"/>
          <w:b w:val="1"/>
          <w:bCs w:val="1"/>
          <w:color w:val="auto"/>
        </w:rPr>
      </w:pPr>
    </w:p>
    <w:p>
      <w:pPr>
        <w:ind w:left="1400" w:hanging="244"/>
        <w:spacing w:after="0"/>
        <w:tabs>
          <w:tab w:leader="none" w:pos="14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25% of the Options shall vest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anniversary of the Date of Grant (the “First Vesting Date”);</w:t>
      </w:r>
    </w:p>
    <w:p>
      <w:pPr>
        <w:spacing w:after="0" w:line="165" w:lineRule="exact"/>
        <w:rPr>
          <w:rFonts w:ascii="Arial" w:cs="Arial" w:eastAsia="Arial" w:hAnsi="Arial"/>
          <w:sz w:val="18"/>
          <w:szCs w:val="18"/>
          <w:color w:val="auto"/>
        </w:rPr>
      </w:pPr>
    </w:p>
    <w:p>
      <w:pPr>
        <w:ind w:left="1160" w:right="140" w:hanging="4"/>
        <w:spacing w:after="0" w:line="268" w:lineRule="auto"/>
        <w:tabs>
          <w:tab w:leader="none" w:pos="14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remaining 75% of the Options shall vest over the 3 years following the First Vesting Date as follows: 6.25% of the Options shall vest on each 3 month anniversary of the First Vesting Date.</w:t>
      </w:r>
    </w:p>
    <w:p>
      <w:pPr>
        <w:spacing w:after="0" w:line="200" w:lineRule="exact"/>
        <w:rPr>
          <w:sz w:val="20"/>
          <w:szCs w:val="20"/>
          <w:color w:val="auto"/>
        </w:rPr>
      </w:pP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any fractions, the number of Options that vest shall be rounded down to the nearest whole number and on the last vesting date the aggregate of all such fractions shall also vest, provided that the total number of Options that vest pursuant to this Option Agreement does not exceed the maximum number of Options granted pursuant to this Option Agreement.</w:t>
      </w:r>
    </w:p>
    <w:p>
      <w:pPr>
        <w:spacing w:after="0" w:line="194" w:lineRule="exact"/>
        <w:rPr>
          <w:sz w:val="20"/>
          <w:szCs w:val="20"/>
          <w:color w:val="auto"/>
        </w:rPr>
      </w:pPr>
    </w:p>
    <w:p>
      <w:pPr>
        <w:ind w:left="1160" w:right="300" w:hanging="566"/>
        <w:spacing w:after="0" w:line="26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above Options will vest, and subject to the terms hereof, become exercisable, only if on the date of vesting you serve as Chairman of the Board of Directors of the Company.</w:t>
      </w:r>
    </w:p>
    <w:p>
      <w:pPr>
        <w:spacing w:after="0" w:line="213" w:lineRule="exact"/>
        <w:rPr>
          <w:sz w:val="20"/>
          <w:szCs w:val="20"/>
          <w:color w:val="auto"/>
        </w:rPr>
      </w:pPr>
    </w:p>
    <w:p>
      <w:pPr>
        <w:ind w:left="1160" w:right="100" w:hanging="566"/>
        <w:spacing w:after="0" w:line="259" w:lineRule="auto"/>
        <w:tabs>
          <w:tab w:leader="none" w:pos="11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Other than as set forth in applicable law and Section 2.5 below, vested Options may be exercised in whole or in part, at any time within a period of ten (10) years from the Date of Grant (the “Exercise Period”). Any Option not exercised within the Exercise Period shall lapse and become void and unexercisable.</w:t>
      </w:r>
    </w:p>
    <w:p>
      <w:pPr>
        <w:spacing w:after="0" w:line="221" w:lineRule="exact"/>
        <w:rPr>
          <w:sz w:val="20"/>
          <w:szCs w:val="20"/>
          <w:color w:val="auto"/>
        </w:rPr>
      </w:pPr>
    </w:p>
    <w:p>
      <w:pPr>
        <w:ind w:left="1160" w:right="20" w:hanging="566"/>
        <w:spacing w:after="0" w:line="268" w:lineRule="auto"/>
        <w:tabs>
          <w:tab w:leader="none" w:pos="11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Company will come to an agreement with you as to how to value the Ordinary Shares of the Company in the event that they are not publicly traded at the time of an option exercise.</w:t>
      </w:r>
    </w:p>
    <w:p>
      <w:pPr>
        <w:spacing w:after="0" w:line="213" w:lineRule="exact"/>
        <w:rPr>
          <w:sz w:val="20"/>
          <w:szCs w:val="20"/>
          <w:color w:val="auto"/>
        </w:rPr>
      </w:pPr>
    </w:p>
    <w:p>
      <w:pPr>
        <w:ind w:left="1160" w:right="220" w:hanging="566"/>
        <w:spacing w:after="0" w:line="256" w:lineRule="auto"/>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In the event of the termination of the Chairman Agreement other than for Cause (as defined in the Chairman Agreement) all unvested Options shall immediately expire and all vested Options shall be exercisable within a 24-month period following termination, subject to Section 2.3 above. In the event of the termination of the Chairman Agreement for Cause, all vested and unvested Options shall immediately expire and become unexercisable.</w:t>
      </w:r>
    </w:p>
    <w:p>
      <w:pPr>
        <w:spacing w:after="0" w:line="224" w:lineRule="exact"/>
        <w:rPr>
          <w:sz w:val="20"/>
          <w:szCs w:val="20"/>
          <w:color w:val="auto"/>
        </w:rPr>
      </w:pPr>
    </w:p>
    <w:p>
      <w:pPr>
        <w:ind w:left="1160" w:right="40" w:hanging="566"/>
        <w:spacing w:after="0" w:line="290" w:lineRule="auto"/>
        <w:tabs>
          <w:tab w:leader="none" w:pos="11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Notwithstanding anything to the contrary in the Plan, upon the consummation of a sale of all or substantially all of the shares and/or assets of the Company to any party (other than a transaction in which the shareholders of the Company immediately prior to the consummation thereof maintain the direct or indirect voting control of the surviving entity or directly or indirectly control the purchaser immediately following such transaction), all Options that were to vest over the next 12 months from the date such transaction is consummated shall vest and become exercisable immediately prior to the date such transaction is consummated and the balance of the Options shall vest 12 months earlier than otherwise contemplated pursuant to their original vesting schedule and terms, provided that you are serving as Chairman of the Board of Directors of the Company at such time and that the Chairman Agreement has not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8" w:name="page39"/>
    <w:bookmarkEnd w:id="38"/>
    <w:p>
      <w:pPr>
        <w:ind w:left="1152" w:right="100" w:hanging="566"/>
        <w:spacing w:after="0" w:line="370" w:lineRule="auto"/>
        <w:tabs>
          <w:tab w:leader="none" w:pos="113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 xml:space="preserve">The procedure for exercise of the Options shall be as detailed on the intranet website of the Company </w:t>
      </w:r>
      <w:r>
        <w:rPr>
          <w:rFonts w:ascii="Arial" w:cs="Arial" w:eastAsia="Arial" w:hAnsi="Arial"/>
          <w:sz w:val="15"/>
          <w:szCs w:val="15"/>
          <w:u w:val="single" w:color="auto"/>
          <w:color w:val="auto"/>
        </w:rPr>
        <w:t>(www.towersemi.com</w:t>
      </w:r>
      <w:r>
        <w:rPr>
          <w:rFonts w:ascii="Arial" w:cs="Arial" w:eastAsia="Arial" w:hAnsi="Arial"/>
          <w:sz w:val="15"/>
          <w:szCs w:val="15"/>
          <w:color w:val="auto"/>
        </w:rPr>
        <w:t>). However, the Company may change the procedure for exercise of the Options at its discretion. The Company will notify you of any changes in the procedure.</w:t>
      </w:r>
    </w:p>
    <w:p>
      <w:pPr>
        <w:spacing w:after="0" w:line="14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There shall be no restrictions on the resale of Shares by you, except as imposed by applicable laws, including applicable securities laws.</w:t>
      </w:r>
    </w:p>
    <w:p>
      <w:pPr>
        <w:spacing w:after="0" w:line="246" w:lineRule="exact"/>
        <w:rPr>
          <w:sz w:val="20"/>
          <w:szCs w:val="20"/>
          <w:color w:val="auto"/>
        </w:rPr>
      </w:pPr>
    </w:p>
    <w:p>
      <w:pPr>
        <w:ind w:left="572" w:hanging="572"/>
        <w:spacing w:after="0"/>
        <w:tabs>
          <w:tab w:leader="none" w:pos="5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8" w:lineRule="exact"/>
        <w:rPr>
          <w:rFonts w:ascii="Arial" w:cs="Arial" w:eastAsia="Arial" w:hAnsi="Arial"/>
          <w:sz w:val="18"/>
          <w:szCs w:val="18"/>
          <w:b w:val="1"/>
          <w:bCs w:val="1"/>
          <w:color w:val="auto"/>
        </w:rPr>
      </w:pPr>
    </w:p>
    <w:p>
      <w:pPr>
        <w:ind w:left="572"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Any notice or other communication required or permitted hereunder shall be in writing and shall be delivered personally, sent by facsimile transmission, electronic mail or certified, registered or express mail, postage prepaid. Any such notice shall be deemed given when so delivered personally, sent by facsimile transmission or electronic mail or, if mailed, three days after the date of deposit in the Israeli mail,</w:t>
      </w:r>
    </w:p>
    <w:p>
      <w:pPr>
        <w:spacing w:after="0" w:line="187" w:lineRule="exact"/>
        <w:rPr>
          <w:rFonts w:ascii="Arial" w:cs="Arial" w:eastAsia="Arial" w:hAnsi="Arial"/>
          <w:sz w:val="18"/>
          <w:szCs w:val="18"/>
          <w:b w:val="1"/>
          <w:bCs w:val="1"/>
          <w:color w:val="auto"/>
        </w:rPr>
      </w:pPr>
    </w:p>
    <w:p>
      <w:pPr>
        <w:ind w:left="1712" w:hanging="564"/>
        <w:spacing w:after="0"/>
        <w:tabs>
          <w:tab w:leader="none" w:pos="17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to you, at your address, fax number or e-mail listed beneath your signature below;</w:t>
      </w:r>
    </w:p>
    <w:p>
      <w:pPr>
        <w:spacing w:after="0" w:line="252" w:lineRule="exact"/>
        <w:rPr>
          <w:rFonts w:ascii="Arial" w:cs="Arial" w:eastAsia="Arial" w:hAnsi="Arial"/>
          <w:sz w:val="18"/>
          <w:szCs w:val="18"/>
          <w:color w:val="auto"/>
        </w:rPr>
      </w:pPr>
    </w:p>
    <w:p>
      <w:pPr>
        <w:ind w:left="1712" w:hanging="564"/>
        <w:spacing w:after="0"/>
        <w:tabs>
          <w:tab w:leader="none" w:pos="17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to the Company: Human Resources Department, Tower Semiconductor, P.O. Box 619, Migdal Ha’emek, Israel;</w:t>
      </w:r>
    </w:p>
    <w:p>
      <w:pPr>
        <w:spacing w:after="0" w:line="252" w:lineRule="exact"/>
        <w:rPr>
          <w:rFonts w:ascii="Arial" w:cs="Arial" w:eastAsia="Arial" w:hAnsi="Arial"/>
          <w:sz w:val="18"/>
          <w:szCs w:val="18"/>
          <w:color w:val="auto"/>
        </w:rPr>
      </w:pPr>
    </w:p>
    <w:p>
      <w:pPr>
        <w:ind w:left="1712" w:hanging="564"/>
        <w:spacing w:after="0"/>
        <w:tabs>
          <w:tab w:leader="none" w:pos="17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with respect to Option exercise procedures: www.tamirfishman.com or Tel: +972-3-6849282 Fax: +972-3-6853773</w:t>
      </w:r>
    </w:p>
    <w:p>
      <w:pPr>
        <w:spacing w:after="0" w:line="15" w:lineRule="exact"/>
        <w:rPr>
          <w:rFonts w:ascii="Arial" w:cs="Arial" w:eastAsia="Arial" w:hAnsi="Arial"/>
          <w:sz w:val="18"/>
          <w:szCs w:val="18"/>
          <w:color w:val="auto"/>
        </w:rPr>
      </w:pPr>
    </w:p>
    <w:p>
      <w:pPr>
        <w:ind w:left="1712"/>
        <w:spacing w:after="0"/>
        <w:rPr>
          <w:rFonts w:ascii="Arial" w:cs="Arial" w:eastAsia="Arial" w:hAnsi="Arial"/>
          <w:sz w:val="18"/>
          <w:szCs w:val="18"/>
          <w:color w:val="auto"/>
        </w:rPr>
      </w:pPr>
      <w:r>
        <w:rPr>
          <w:rFonts w:ascii="Arial" w:cs="Arial" w:eastAsia="Arial" w:hAnsi="Arial"/>
          <w:sz w:val="18"/>
          <w:szCs w:val="18"/>
          <w:color w:val="auto"/>
        </w:rPr>
        <w:t>Email: sop@tamfish.com</w:t>
      </w:r>
    </w:p>
    <w:p>
      <w:pPr>
        <w:spacing w:after="0" w:line="266" w:lineRule="exact"/>
        <w:rPr>
          <w:rFonts w:ascii="Arial" w:cs="Arial" w:eastAsia="Arial" w:hAnsi="Arial"/>
          <w:sz w:val="18"/>
          <w:szCs w:val="18"/>
          <w:color w:val="auto"/>
        </w:rPr>
      </w:pPr>
    </w:p>
    <w:p>
      <w:pPr>
        <w:ind w:left="572" w:hanging="572"/>
        <w:spacing w:after="0"/>
        <w:tabs>
          <w:tab w:leader="none" w:pos="5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p>
    <w:p>
      <w:pPr>
        <w:spacing w:after="0" w:line="258" w:lineRule="exact"/>
        <w:rPr>
          <w:rFonts w:ascii="Arial" w:cs="Arial" w:eastAsia="Arial" w:hAnsi="Arial"/>
          <w:sz w:val="18"/>
          <w:szCs w:val="18"/>
          <w:b w:val="1"/>
          <w:bCs w:val="1"/>
          <w:color w:val="auto"/>
        </w:rPr>
      </w:pPr>
    </w:p>
    <w:p>
      <w:pPr>
        <w:ind w:left="57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delay or failure on the part of any party hereto to insist, in any one instance or more, upon strict performance of any of the terms or conditions of this Option Agreement, or to exercise any right or privilege herein conferred shall not be construed as a waiver of any such terms, conditions, rights or privileges but the same shall continue and remain in full force and effect.</w:t>
      </w:r>
    </w:p>
    <w:p>
      <w:pPr>
        <w:spacing w:after="0" w:line="215" w:lineRule="exact"/>
        <w:rPr>
          <w:rFonts w:ascii="Arial" w:cs="Arial" w:eastAsia="Arial" w:hAnsi="Arial"/>
          <w:sz w:val="18"/>
          <w:szCs w:val="18"/>
          <w:b w:val="1"/>
          <w:bCs w:val="1"/>
          <w:color w:val="auto"/>
        </w:rPr>
      </w:pPr>
    </w:p>
    <w:p>
      <w:pPr>
        <w:ind w:left="572" w:hanging="572"/>
        <w:spacing w:after="0"/>
        <w:tabs>
          <w:tab w:leader="none" w:pos="5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p>
    <w:p>
      <w:pPr>
        <w:spacing w:after="0" w:line="258" w:lineRule="exact"/>
        <w:rPr>
          <w:rFonts w:ascii="Arial" w:cs="Arial" w:eastAsia="Arial" w:hAnsi="Arial"/>
          <w:sz w:val="18"/>
          <w:szCs w:val="18"/>
          <w:b w:val="1"/>
          <w:bCs w:val="1"/>
          <w:color w:val="auto"/>
        </w:rPr>
      </w:pPr>
    </w:p>
    <w:p>
      <w:pPr>
        <w:ind w:left="57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This Option Agreement shall be governed by, and interpreted in accordance with, the laws of the State of Israel. The District Court in Tel Aviv shall have exclusive jurisdiction to settle any disputes that may arise out of or in connection with this Option Agreement and that, accordingly, any suit, action or proceeding arising out of or in connection with this Option Agreement may be brought in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39" w:name="page40"/>
    <w:bookmarkEnd w:id="39"/>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w:t>
      </w:r>
    </w:p>
    <w:p>
      <w:pPr>
        <w:spacing w:after="0" w:line="258" w:lineRule="exact"/>
        <w:rPr>
          <w:rFonts w:ascii="Arial" w:cs="Arial" w:eastAsia="Arial" w:hAnsi="Arial"/>
          <w:sz w:val="18"/>
          <w:szCs w:val="18"/>
          <w:b w:val="1"/>
          <w:bCs w:val="1"/>
          <w:color w:val="auto"/>
        </w:rPr>
      </w:pPr>
    </w:p>
    <w:p>
      <w:pPr>
        <w:ind w:left="580"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terms and conditions of this Option Agreement shall be subject to and contingent upon the approval of the shareholders of the Company and no Option may be exercised until such time as the approval by the Company’s shareholders shall have been received.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 Mr. Dov Moran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21, 2006</w:t>
      </w:r>
    </w:p>
    <w:p>
      <w:pPr>
        <w:spacing w:after="0" w:line="211" w:lineRule="exact"/>
        <w:rPr>
          <w:sz w:val="20"/>
          <w:szCs w:val="20"/>
          <w:color w:val="auto"/>
        </w:rPr>
      </w:pPr>
    </w:p>
    <w:p>
      <w:pPr>
        <w:sectPr>
          <w:pgSz w:w="11900" w:h="16838" w:orient="portrait"/>
          <w:cols w:equalWidth="0" w:num="2">
            <w:col w:w="8900" w:space="720"/>
            <w:col w:w="180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Grantee signature: _____________________</w:t>
      </w:r>
    </w:p>
    <w:p>
      <w:pPr>
        <w:sectPr>
          <w:pgSz w:w="11900" w:h="16838" w:orient="portrait"/>
          <w:cols w:equalWidth="0" w:num="1">
            <w:col w:w="11420"/>
          </w:cols>
          <w:pgMar w:left="240" w:top="125"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Grantee Israeli Identity Number:</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Grantee address, fax number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Grantee Declaration</w:t>
      </w:r>
    </w:p>
    <w:p>
      <w:pPr>
        <w:spacing w:after="0" w:line="312"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the undersigned, confirm that the contents of this Option Agreement, dated December 21, 2006 are acceptable and agreed to by me.</w:t>
      </w:r>
    </w:p>
    <w:p>
      <w:pPr>
        <w:spacing w:after="0" w:line="225" w:lineRule="exact"/>
        <w:rPr>
          <w:rFonts w:ascii="Arial" w:cs="Arial" w:eastAsia="Arial" w:hAnsi="Arial"/>
          <w:sz w:val="18"/>
          <w:szCs w:val="18"/>
          <w:color w:val="auto"/>
        </w:rPr>
      </w:pPr>
    </w:p>
    <w:p>
      <w:pPr>
        <w:ind w:right="20" w:firstLine="8"/>
        <w:spacing w:after="0" w:line="254" w:lineRule="auto"/>
        <w:tabs>
          <w:tab w:leader="none" w:pos="3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tax consequences arising from (i) the grant or exercise of any Option, (ii) the issuance of Underlying Shares and payment therefor, (iii) the sale, transfer or exchange of Underlying Shares, or (iv) any other event or act of mine or of the Company hereunder, and any commissions and other expenses related thereto, shall be borne solely by me. The Company, any of its subsidiaries and/or the Trustee may withhold any taxes, expenses and commissions as required. I agree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me.</w:t>
      </w:r>
    </w:p>
    <w:p>
      <w:pPr>
        <w:spacing w:after="0" w:line="198" w:lineRule="exact"/>
        <w:rPr>
          <w:rFonts w:ascii="Arial" w:cs="Arial" w:eastAsia="Arial" w:hAnsi="Arial"/>
          <w:sz w:val="18"/>
          <w:szCs w:val="18"/>
          <w:color w:val="auto"/>
        </w:rPr>
      </w:pPr>
    </w:p>
    <w:p>
      <w:pPr>
        <w:ind w:right="60" w:firstLine="8"/>
        <w:spacing w:after="0" w:line="256" w:lineRule="auto"/>
        <w:tabs>
          <w:tab w:leader="none" w:pos="3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acknowledge and agree that in the event the Company issues securities as bonus shares or performs a share split or a similar dissolution, such bonus shares or other similar rights on the shares granted to me pursuant to this Option Agreement, shall be transferred by the Company to the Trustee, and the terms and provisions of the Ordinance and the Rules (as such terms are defined below) shall apply to the bonus shares and/or other similar rights, as shall the Trustee’s undertakings under the Agreement between the Trustee and the Company.</w:t>
      </w:r>
    </w:p>
    <w:p>
      <w:pPr>
        <w:spacing w:after="0" w:line="197" w:lineRule="exact"/>
        <w:rPr>
          <w:rFonts w:ascii="Arial" w:cs="Arial" w:eastAsia="Arial" w:hAnsi="Arial"/>
          <w:sz w:val="18"/>
          <w:szCs w:val="18"/>
          <w:color w:val="auto"/>
        </w:rPr>
      </w:pPr>
    </w:p>
    <w:p>
      <w:pPr>
        <w:ind w:firstLine="8"/>
        <w:spacing w:after="0" w:line="286" w:lineRule="auto"/>
        <w:tabs>
          <w:tab w:leader="none" w:pos="3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may result in adverse tax consequences for me. I further acknowledge that each of the Company, brokers effecting transactions relating to my options and the Trustee (as defined in the Plan) is under no obligation to inform me as to whether a particular transaction I may consider effecting complies with the provisions of Section 102 of the Ordinance or the rules promulgated thereunder.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41" w:name="page42"/>
    <w:bookmarkEnd w:id="41"/>
    <w:p>
      <w:pPr>
        <w:ind w:left="-8" w:right="60" w:firstLine="8"/>
        <w:spacing w:after="0" w:line="288" w:lineRule="auto"/>
        <w:tabs>
          <w:tab w:leader="none" w:pos="34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Appointment of a Trustee</w:t>
      </w:r>
      <w:r>
        <w:rPr>
          <w:rFonts w:ascii="Arial" w:cs="Arial" w:eastAsia="Arial" w:hAnsi="Arial"/>
          <w:sz w:val="16"/>
          <w:szCs w:val="16"/>
          <w:color w:val="auto"/>
        </w:rPr>
        <w:t>. I acknowledge that the Trustee has been appointed to administer my options in accordance with Section 102 of the Ordinance and the Income Tax Rules (Tax Benefits Regarding the Grant of Options to Employees), 2003 (the “Rules”) and pursuant to an agreement between the Company and the Trustee that may be amended from time to time (the “Trust Agreement”). In accordance with the terms of this Option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 (c) 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the Plan, certain of the functions related to the administration of my options may be performed by the Company.</w:t>
      </w:r>
    </w:p>
    <w:p>
      <w:pPr>
        <w:spacing w:after="0" w:line="173" w:lineRule="exact"/>
        <w:rPr>
          <w:rFonts w:ascii="Arial" w:cs="Arial" w:eastAsia="Arial" w:hAnsi="Arial"/>
          <w:sz w:val="16"/>
          <w:szCs w:val="16"/>
          <w:color w:val="auto"/>
        </w:rPr>
      </w:pPr>
    </w:p>
    <w:p>
      <w:pPr>
        <w:ind w:left="-8" w:right="40" w:firstLine="8"/>
        <w:spacing w:after="0" w:line="290" w:lineRule="auto"/>
        <w:tabs>
          <w:tab w:leader="none" w:pos="34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Required Holding Period</w:t>
      </w:r>
      <w:r>
        <w:rPr>
          <w:rFonts w:ascii="Arial" w:cs="Arial" w:eastAsia="Arial" w:hAnsi="Arial"/>
          <w:sz w:val="16"/>
          <w:szCs w:val="16"/>
          <w:color w:val="auto"/>
        </w:rPr>
        <w:t>. In accepting this grant, I acknowledge that unless otherwise permitted by the Israeli tax authorities, the Rules as of the Option Date, prohibit me from selling my Shares during a period of twenty-four months from the date the grant took place as my options are subject to the “capital gains track” as set forth in Section 102(b)(2) of the Ordinance (the “Capital Gains Track”).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a sale of the Shares during the Required Holding Period will forfeit my right to receive the tax benefits of the Capital Gains Track and the income derived from the exercise of the Options and the sale of the Shares will be taxed as ordinary income (and not at the reduced capital gains tax rate, if applicable) and will be generally subject to National Insurance and Health Tax.</w:t>
      </w:r>
    </w:p>
    <w:p>
      <w:pPr>
        <w:spacing w:after="0" w:line="172" w:lineRule="exact"/>
        <w:rPr>
          <w:rFonts w:ascii="Arial" w:cs="Arial" w:eastAsia="Arial" w:hAnsi="Arial"/>
          <w:sz w:val="16"/>
          <w:szCs w:val="16"/>
          <w:color w:val="auto"/>
        </w:rPr>
      </w:pPr>
    </w:p>
    <w:p>
      <w:pPr>
        <w:ind w:left="-8" w:firstLine="8"/>
        <w:spacing w:after="0" w:line="256" w:lineRule="auto"/>
        <w:tabs>
          <w:tab w:leader="none" w:pos="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other than any claim or right I may have pursuant to any written agreement between myself and the Company.</w:t>
      </w:r>
    </w:p>
    <w:p>
      <w:pPr>
        <w:spacing w:after="0" w:line="197" w:lineRule="exact"/>
        <w:rPr>
          <w:rFonts w:ascii="Arial" w:cs="Arial" w:eastAsia="Arial" w:hAnsi="Arial"/>
          <w:sz w:val="18"/>
          <w:szCs w:val="18"/>
          <w:color w:val="auto"/>
        </w:rPr>
      </w:pPr>
    </w:p>
    <w:p>
      <w:pPr>
        <w:ind w:left="-8" w:right="200" w:firstLine="8"/>
        <w:spacing w:after="0" w:line="298" w:lineRule="auto"/>
        <w:tabs>
          <w:tab w:leader="none" w:pos="3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am aware that pursuant to Section 102(b)(3) of the Ordinance if my options are issued with an exercise price lower than the average closing price of the Company’s shares on the 30 (thirty) trading days preceding the issuance of the options, a part of any benefit ultimately derived from the exercise of the Options and the sale of the Shares, generally up to the amount equivalent to the difference between these prices, will be taxed as ordinary income and not at the reduced capital gains tax rate and generally will be subject to National Insurance and Health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347" w:right="239" w:bottom="1440" w:gutter="0" w:footer="0" w:header="0"/>
        </w:sectPr>
      </w:pPr>
    </w:p>
    <w:bookmarkStart w:id="42" w:name="page43"/>
    <w:bookmarkEnd w:id="42"/>
    <w:p>
      <w:pPr>
        <w:ind w:right="560" w:firstLine="8"/>
        <w:spacing w:after="0" w:line="268" w:lineRule="auto"/>
        <w:tabs>
          <w:tab w:leader="none" w:pos="35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Transfer of Information</w:t>
      </w:r>
      <w:r>
        <w:rPr>
          <w:rFonts w:ascii="Arial" w:cs="Arial" w:eastAsia="Arial" w:hAnsi="Arial"/>
          <w:sz w:val="18"/>
          <w:szCs w:val="18"/>
          <w:color w:val="auto"/>
        </w:rPr>
        <w:t>. I hereby consent to the transfer of information that the Company is required to report to the tax authorities and to the Trustee relating to the Options in accordance with the provisions of Section 102 of the Ordinance and the Rules.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Name of Grantee: Mr. Dov Moran</w:t>
            </w:r>
          </w:p>
        </w:tc>
        <w:tc>
          <w:tcPr>
            <w:tcW w:w="7360" w:type="dxa"/>
            <w:vAlign w:val="bottom"/>
          </w:tcPr>
          <w:p>
            <w:pPr>
              <w:ind w:left="1660"/>
              <w:spacing w:after="0"/>
              <w:rPr>
                <w:sz w:val="20"/>
                <w:szCs w:val="20"/>
                <w:color w:val="auto"/>
              </w:rPr>
            </w:pPr>
            <w:r>
              <w:rPr>
                <w:rFonts w:ascii="Arial" w:cs="Arial" w:eastAsia="Arial" w:hAnsi="Arial"/>
                <w:sz w:val="18"/>
                <w:szCs w:val="18"/>
                <w:color w:val="auto"/>
              </w:rPr>
              <w:t>Signature: ___________</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ID Number:</w:t>
            </w:r>
          </w:p>
        </w:tc>
        <w:tc>
          <w:tcPr>
            <w:tcW w:w="7360" w:type="dxa"/>
            <w:vAlign w:val="bottom"/>
          </w:tcPr>
          <w:p>
            <w:pPr>
              <w:ind w:left="1660"/>
              <w:spacing w:after="0"/>
              <w:rPr>
                <w:sz w:val="20"/>
                <w:szCs w:val="20"/>
                <w:color w:val="auto"/>
              </w:rPr>
            </w:pPr>
            <w:r>
              <w:rPr>
                <w:rFonts w:ascii="Arial" w:cs="Arial" w:eastAsia="Arial" w:hAnsi="Arial"/>
                <w:sz w:val="18"/>
                <w:szCs w:val="18"/>
                <w:color w:val="auto"/>
              </w:rPr>
              <w:t>Date: December 21, 2006</w:t>
            </w:r>
          </w:p>
        </w:tc>
      </w:tr>
      <w:tr>
        <w:trPr>
          <w:trHeight w:val="417"/>
        </w:trPr>
        <w:tc>
          <w:tcPr>
            <w:tcW w:w="40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61"/>
        </w:trPr>
        <w:tc>
          <w:tcPr>
            <w:tcW w:w="4060" w:type="dxa"/>
            <w:vAlign w:val="bottom"/>
            <w:shd w:val="clear" w:color="auto" w:fill="808080"/>
          </w:tcPr>
          <w:p>
            <w:pPr>
              <w:spacing w:after="0"/>
              <w:rPr>
                <w:sz w:val="5"/>
                <w:szCs w:val="5"/>
                <w:color w:val="auto"/>
              </w:rPr>
            </w:pPr>
          </w:p>
        </w:tc>
        <w:tc>
          <w:tcPr>
            <w:tcW w:w="73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9215120</wp:posOffset>
            </wp:positionV>
            <wp:extent cx="72675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4.10</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DIRECTORS SHARE OPTION PLAN 2007</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PLAN UNDER SECTION 102 OF THE INCOME TAX ORDINANCE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UNITED STATES INTERNAL REVENUE CODE OF 1986</w:t>
      </w:r>
    </w:p>
    <w:p>
      <w:pPr>
        <w:spacing w:after="0" w:line="286"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Name and Purpose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60" w:right="240" w:hanging="567"/>
        <w:spacing w:after="0" w:line="268" w:lineRule="auto"/>
        <w:rPr>
          <w:rFonts w:ascii="Arial" w:cs="Arial" w:eastAsia="Arial" w:hAnsi="Arial"/>
          <w:sz w:val="18"/>
          <w:szCs w:val="18"/>
          <w:color w:val="auto"/>
        </w:rPr>
      </w:pPr>
      <w:r>
        <w:rPr>
          <w:rFonts w:ascii="Arial" w:cs="Arial" w:eastAsia="Arial" w:hAnsi="Arial"/>
          <w:sz w:val="18"/>
          <w:szCs w:val="18"/>
          <w:color w:val="auto"/>
        </w:rPr>
        <w:t>1.1This plan, as amended from time to time, shall be known as the Tower Semiconductor Ltd. Independent Directors Share Option Plan 2007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1160" w:right="120" w:hanging="567"/>
        <w:spacing w:after="0" w:line="291"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The purpose and intent of the Plan is to provide incentives to directors of Tower Semiconductor Ltd. (the “</w:t>
      </w:r>
      <w:r>
        <w:rPr>
          <w:rFonts w:ascii="Arial" w:cs="Arial" w:eastAsia="Arial" w:hAnsi="Arial"/>
          <w:sz w:val="16"/>
          <w:szCs w:val="16"/>
          <w:b w:val="1"/>
          <w:bCs w:val="1"/>
          <w:color w:val="auto"/>
        </w:rPr>
        <w:t>Company</w:t>
      </w:r>
      <w:r>
        <w:rPr>
          <w:rFonts w:ascii="Arial" w:cs="Arial" w:eastAsia="Arial" w:hAnsi="Arial"/>
          <w:sz w:val="16"/>
          <w:szCs w:val="16"/>
          <w:color w:val="auto"/>
        </w:rPr>
        <w:t>”) , who are not affiliated with its major shareholders, who are not a major shareholder and are not employees of the Company (each an “</w:t>
      </w:r>
      <w:r>
        <w:rPr>
          <w:rFonts w:ascii="Arial" w:cs="Arial" w:eastAsia="Arial" w:hAnsi="Arial"/>
          <w:sz w:val="16"/>
          <w:szCs w:val="16"/>
          <w:b w:val="1"/>
          <w:bCs w:val="1"/>
          <w:color w:val="auto"/>
        </w:rPr>
        <w:t>Independent Director</w:t>
      </w:r>
      <w:r>
        <w:rPr>
          <w:rFonts w:ascii="Arial" w:cs="Arial" w:eastAsia="Arial" w:hAnsi="Arial"/>
          <w:sz w:val="16"/>
          <w:szCs w:val="16"/>
          <w:color w:val="auto"/>
        </w:rPr>
        <w:t>”), by providing such Independent Directors with options (“</w:t>
      </w:r>
      <w:r>
        <w:rPr>
          <w:rFonts w:ascii="Arial" w:cs="Arial" w:eastAsia="Arial" w:hAnsi="Arial"/>
          <w:sz w:val="16"/>
          <w:szCs w:val="16"/>
          <w:b w:val="1"/>
          <w:bCs w:val="1"/>
          <w:color w:val="auto"/>
        </w:rPr>
        <w:t>Options</w:t>
      </w:r>
      <w:r>
        <w:rPr>
          <w:rFonts w:ascii="Arial" w:cs="Arial" w:eastAsia="Arial" w:hAnsi="Arial"/>
          <w:sz w:val="16"/>
          <w:szCs w:val="16"/>
          <w:color w:val="auto"/>
        </w:rPr>
        <w:t>”) to purchase ordinary shares (“</w:t>
      </w:r>
      <w:r>
        <w:rPr>
          <w:rFonts w:ascii="Arial" w:cs="Arial" w:eastAsia="Arial" w:hAnsi="Arial"/>
          <w:sz w:val="16"/>
          <w:szCs w:val="16"/>
          <w:b w:val="1"/>
          <w:bCs w:val="1"/>
          <w:color w:val="auto"/>
        </w:rPr>
        <w:t>Ordinary Shares</w:t>
      </w:r>
      <w:r>
        <w:rPr>
          <w:rFonts w:ascii="Arial" w:cs="Arial" w:eastAsia="Arial" w:hAnsi="Arial"/>
          <w:sz w:val="16"/>
          <w:szCs w:val="16"/>
          <w:color w:val="auto"/>
        </w:rPr>
        <w:t>”) of the Company, and was approved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Options under this Plan may be granted either (i) pursuant to the provisions of Section 102 (“</w:t>
      </w:r>
      <w:r>
        <w:rPr>
          <w:rFonts w:ascii="Arial" w:cs="Arial" w:eastAsia="Arial" w:hAnsi="Arial"/>
          <w:sz w:val="16"/>
          <w:szCs w:val="16"/>
          <w:b w:val="1"/>
          <w:bCs w:val="1"/>
          <w:color w:val="auto"/>
        </w:rPr>
        <w:t>Section 102</w:t>
      </w:r>
      <w:r>
        <w:rPr>
          <w:rFonts w:ascii="Arial" w:cs="Arial" w:eastAsia="Arial" w:hAnsi="Arial"/>
          <w:sz w:val="16"/>
          <w:szCs w:val="16"/>
          <w:color w:val="auto"/>
        </w:rPr>
        <w:t>”) of the Israeli Income Tax Ordinance (New Version), 1961 as amended from time to time, the Law Amending the Income Tax Ordinance (Number 132) 2002 (as amended, the “</w:t>
      </w:r>
      <w:r>
        <w:rPr>
          <w:rFonts w:ascii="Arial" w:cs="Arial" w:eastAsia="Arial" w:hAnsi="Arial"/>
          <w:sz w:val="16"/>
          <w:szCs w:val="16"/>
          <w:b w:val="1"/>
          <w:bCs w:val="1"/>
          <w:color w:val="auto"/>
        </w:rPr>
        <w:t>Ordinance</w:t>
      </w:r>
      <w:r>
        <w:rPr>
          <w:rFonts w:ascii="Arial" w:cs="Arial" w:eastAsia="Arial" w:hAnsi="Arial"/>
          <w:sz w:val="16"/>
          <w:szCs w:val="16"/>
          <w:color w:val="auto"/>
        </w:rPr>
        <w:t>”) and the rules promulgated thereunder (the “</w:t>
      </w:r>
      <w:r>
        <w:rPr>
          <w:rFonts w:ascii="Arial" w:cs="Arial" w:eastAsia="Arial" w:hAnsi="Arial"/>
          <w:sz w:val="16"/>
          <w:szCs w:val="16"/>
          <w:b w:val="1"/>
          <w:bCs w:val="1"/>
          <w:color w:val="auto"/>
        </w:rPr>
        <w:t>Rules</w:t>
      </w:r>
      <w:r>
        <w:rPr>
          <w:rFonts w:ascii="Arial" w:cs="Arial" w:eastAsia="Arial" w:hAnsi="Arial"/>
          <w:sz w:val="16"/>
          <w:szCs w:val="16"/>
          <w:color w:val="auto"/>
        </w:rPr>
        <w:t>”); or (ii) pursuant to the United States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194"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5"/>
          <w:szCs w:val="15"/>
          <w:color w:val="auto"/>
        </w:rPr>
        <w:t xml:space="preserve">The Plan shall become effective upon its approval by the Company’s shareholders (the </w:t>
      </w:r>
      <w:r>
        <w:rPr>
          <w:rFonts w:ascii="Arial" w:cs="Arial" w:eastAsia="Arial" w:hAnsi="Arial"/>
          <w:sz w:val="15"/>
          <w:szCs w:val="15"/>
          <w:b w:val="1"/>
          <w:bCs w:val="1"/>
          <w:color w:val="auto"/>
        </w:rPr>
        <w:t>“Effective Date</w:t>
      </w:r>
      <w:r>
        <w:rPr>
          <w:rFonts w:ascii="Arial" w:cs="Arial" w:eastAsia="Arial" w:hAnsi="Arial"/>
          <w:sz w:val="15"/>
          <w:szCs w:val="15"/>
          <w:color w:val="auto"/>
        </w:rPr>
        <w:t>”).</w:t>
      </w:r>
    </w:p>
    <w:p>
      <w:pPr>
        <w:spacing w:after="0" w:line="258"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Scope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right="220"/>
        <w:spacing w:after="0" w:line="268" w:lineRule="auto"/>
        <w:rPr>
          <w:rFonts w:ascii="Arial" w:cs="Arial" w:eastAsia="Arial" w:hAnsi="Arial"/>
          <w:sz w:val="18"/>
          <w:szCs w:val="18"/>
          <w:color w:val="auto"/>
        </w:rPr>
      </w:pPr>
      <w:r>
        <w:rPr>
          <w:rFonts w:ascii="Arial" w:cs="Arial" w:eastAsia="Arial" w:hAnsi="Arial"/>
          <w:sz w:val="18"/>
          <w:szCs w:val="18"/>
          <w:color w:val="auto"/>
        </w:rPr>
        <w:t>The total number of Options that may be granted under this Plan is 900,000. Each Option shall be exercisable into one Ordinary Share of the Company (nominal value NIS 1.00 per share) (the “</w:t>
      </w:r>
      <w:r>
        <w:rPr>
          <w:rFonts w:ascii="Arial" w:cs="Arial" w:eastAsia="Arial" w:hAnsi="Arial"/>
          <w:sz w:val="18"/>
          <w:szCs w:val="18"/>
          <w:b w:val="1"/>
          <w:bCs w:val="1"/>
          <w:color w:val="auto"/>
        </w:rPr>
        <w:t>Underlying Share</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Options granted under Section 102</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right="40"/>
        <w:spacing w:after="0" w:line="253" w:lineRule="auto"/>
        <w:rPr>
          <w:rFonts w:ascii="Arial" w:cs="Arial" w:eastAsia="Arial" w:hAnsi="Arial"/>
          <w:sz w:val="18"/>
          <w:szCs w:val="18"/>
          <w:color w:val="auto"/>
        </w:rPr>
      </w:pPr>
      <w:r>
        <w:rPr>
          <w:rFonts w:ascii="Arial" w:cs="Arial" w:eastAsia="Arial" w:hAnsi="Arial"/>
          <w:sz w:val="18"/>
          <w:szCs w:val="18"/>
          <w:color w:val="auto"/>
        </w:rPr>
        <w:t>Options granted pursuant to Section 102(b) shall be either (a) capital gains track options under Section 102(b)(2), in which income resulting from the sale of Underlying Shares is taxed as capital gain (“</w:t>
      </w:r>
      <w:r>
        <w:rPr>
          <w:rFonts w:ascii="Arial" w:cs="Arial" w:eastAsia="Arial" w:hAnsi="Arial"/>
          <w:sz w:val="18"/>
          <w:szCs w:val="18"/>
          <w:b w:val="1"/>
          <w:bCs w:val="1"/>
          <w:color w:val="auto"/>
        </w:rPr>
        <w:t>102 Capital Gains Track Options</w:t>
      </w:r>
      <w:r>
        <w:rPr>
          <w:rFonts w:ascii="Arial" w:cs="Arial" w:eastAsia="Arial" w:hAnsi="Arial"/>
          <w:sz w:val="18"/>
          <w:szCs w:val="18"/>
          <w:color w:val="auto"/>
        </w:rPr>
        <w:t>”), or (b) ordinary income track options under Section 102(b)(1), in which income resulting from the sale of Underlying Shares is taxed as ordinary income (“</w:t>
      </w:r>
      <w:r>
        <w:rPr>
          <w:rFonts w:ascii="Arial" w:cs="Arial" w:eastAsia="Arial" w:hAnsi="Arial"/>
          <w:sz w:val="18"/>
          <w:szCs w:val="18"/>
          <w:b w:val="1"/>
          <w:bCs w:val="1"/>
          <w:color w:val="auto"/>
        </w:rPr>
        <w:t>102 Ordinary Income Track Options</w:t>
      </w:r>
      <w:r>
        <w:rPr>
          <w:rFonts w:ascii="Arial" w:cs="Arial" w:eastAsia="Arial" w:hAnsi="Arial"/>
          <w:sz w:val="18"/>
          <w:szCs w:val="18"/>
          <w:color w:val="auto"/>
        </w:rPr>
        <w:t xml:space="preserve">”; together with 102 Capital Gains Track Options, </w:t>
      </w:r>
      <w:r>
        <w:rPr>
          <w:rFonts w:ascii="Arial" w:cs="Arial" w:eastAsia="Arial" w:hAnsi="Arial"/>
          <w:sz w:val="18"/>
          <w:szCs w:val="18"/>
          <w:b w:val="1"/>
          <w:bCs w:val="1"/>
          <w:color w:val="auto"/>
        </w:rPr>
        <w:t>“102 Trustee Options</w:t>
      </w:r>
      <w:r>
        <w:rPr>
          <w:rFonts w:ascii="Arial" w:cs="Arial" w:eastAsia="Arial" w:hAnsi="Arial"/>
          <w:sz w:val="18"/>
          <w:szCs w:val="18"/>
          <w:color w:val="auto"/>
        </w:rPr>
        <w:t>”). Pursuant to the Company’s election filed with the Israeli Income Tax Authorities to issue 102 Capital Gains Track Options under the Company’s Employee Share Option Plan 2003/1, the Company may currently grant only 102 Capital Gains Track Options. The Company may change such election, following the approval of the Board, all in accordance with the provisions of Section 102(g) of the Ordinance.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left="572" w:hanging="572"/>
        <w:spacing w:after="0"/>
        <w:tabs>
          <w:tab w:leader="none" w:pos="5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Options granted under the Code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Options granted to US residents shall be Non-qualified Stock Options.</w:t>
      </w:r>
    </w:p>
    <w:p>
      <w:pPr>
        <w:spacing w:after="0" w:line="279" w:lineRule="exact"/>
        <w:rPr>
          <w:rFonts w:ascii="Arial" w:cs="Arial" w:eastAsia="Arial" w:hAnsi="Arial"/>
          <w:sz w:val="18"/>
          <w:szCs w:val="18"/>
          <w:color w:val="auto"/>
        </w:rPr>
      </w:pPr>
    </w:p>
    <w:p>
      <w:pPr>
        <w:ind w:left="572" w:hanging="572"/>
        <w:spacing w:after="0"/>
        <w:tabs>
          <w:tab w:leader="none" w:pos="5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1152" w:right="80" w:hanging="567"/>
        <w:spacing w:after="0" w:line="262" w:lineRule="auto"/>
        <w:rPr>
          <w:rFonts w:ascii="Arial" w:cs="Arial" w:eastAsia="Arial" w:hAnsi="Arial"/>
          <w:sz w:val="18"/>
          <w:szCs w:val="18"/>
          <w:color w:val="auto"/>
        </w:rPr>
      </w:pPr>
      <w:r>
        <w:rPr>
          <w:rFonts w:ascii="Arial" w:cs="Arial" w:eastAsia="Arial" w:hAnsi="Arial"/>
          <w:sz w:val="18"/>
          <w:szCs w:val="18"/>
          <w:color w:val="auto"/>
        </w:rPr>
        <w:t>5.1. On the Effective Date (also the “</w:t>
      </w:r>
      <w:r>
        <w:rPr>
          <w:rFonts w:ascii="Arial" w:cs="Arial" w:eastAsia="Arial" w:hAnsi="Arial"/>
          <w:sz w:val="18"/>
          <w:szCs w:val="18"/>
          <w:b w:val="1"/>
          <w:bCs w:val="1"/>
          <w:color w:val="auto"/>
        </w:rPr>
        <w:t>Initial Grant Date</w:t>
      </w:r>
      <w:r>
        <w:rPr>
          <w:rFonts w:ascii="Arial" w:cs="Arial" w:eastAsia="Arial" w:hAnsi="Arial"/>
          <w:sz w:val="18"/>
          <w:szCs w:val="18"/>
          <w:color w:val="auto"/>
        </w:rPr>
        <w:t>”), each Independent Director, shall be granted such number of Options that shall equal one hundred and fifty thousand (150,000) less the number of options to purchase Ordinary Shares held by such Independent Director as of the Initial Grant Date and which, as of the Initial Grant Date, have not vested.</w:t>
      </w:r>
    </w:p>
    <w:p>
      <w:pPr>
        <w:spacing w:after="0" w:line="219" w:lineRule="exact"/>
        <w:rPr>
          <w:rFonts w:ascii="Arial" w:cs="Arial" w:eastAsia="Arial" w:hAnsi="Arial"/>
          <w:sz w:val="18"/>
          <w:szCs w:val="18"/>
          <w:color w:val="auto"/>
        </w:rPr>
      </w:pPr>
    </w:p>
    <w:p>
      <w:pPr>
        <w:ind w:left="1152" w:hanging="567"/>
        <w:spacing w:after="0" w:line="335" w:lineRule="auto"/>
        <w:rPr>
          <w:rFonts w:ascii="Arial" w:cs="Arial" w:eastAsia="Arial" w:hAnsi="Arial"/>
          <w:sz w:val="18"/>
          <w:szCs w:val="18"/>
          <w:color w:val="auto"/>
        </w:rPr>
      </w:pPr>
      <w:r>
        <w:rPr>
          <w:rFonts w:ascii="Arial" w:cs="Arial" w:eastAsia="Arial" w:hAnsi="Arial"/>
          <w:sz w:val="15"/>
          <w:szCs w:val="15"/>
          <w:color w:val="auto"/>
        </w:rPr>
        <w:t>5.2. In the event that, after the Initial Grant Date, a new Independent Director is appointed in any manner prescribed by the Company’s Articles of Association (the date of such appointment, the “</w:t>
      </w:r>
      <w:r>
        <w:rPr>
          <w:rFonts w:ascii="Arial" w:cs="Arial" w:eastAsia="Arial" w:hAnsi="Arial"/>
          <w:sz w:val="15"/>
          <w:szCs w:val="15"/>
          <w:b w:val="1"/>
          <w:bCs w:val="1"/>
          <w:color w:val="auto"/>
        </w:rPr>
        <w:t>Subsequent Grant Date</w:t>
      </w:r>
      <w:r>
        <w:rPr>
          <w:rFonts w:ascii="Arial" w:cs="Arial" w:eastAsia="Arial" w:hAnsi="Arial"/>
          <w:sz w:val="15"/>
          <w:szCs w:val="15"/>
          <w:color w:val="auto"/>
        </w:rPr>
        <w:t>”), each such Independent Director shall, in the absence of a decision by the Board to the contrary, be granted one hundred and fifty thousand (150,000) Options to purchase Ordinary Shares (“</w:t>
      </w:r>
      <w:r>
        <w:rPr>
          <w:rFonts w:ascii="Arial" w:cs="Arial" w:eastAsia="Arial" w:hAnsi="Arial"/>
          <w:sz w:val="15"/>
          <w:szCs w:val="15"/>
          <w:b w:val="1"/>
          <w:bCs w:val="1"/>
          <w:color w:val="auto"/>
        </w:rPr>
        <w:t>Subsequent Options</w:t>
      </w:r>
      <w:r>
        <w:rPr>
          <w:rFonts w:ascii="Arial" w:cs="Arial" w:eastAsia="Arial" w:hAnsi="Arial"/>
          <w:sz w:val="15"/>
          <w:szCs w:val="15"/>
          <w:color w:val="auto"/>
        </w:rPr>
        <w:t>”).</w:t>
      </w:r>
    </w:p>
    <w:p>
      <w:pPr>
        <w:spacing w:after="0" w:line="163" w:lineRule="exact"/>
        <w:rPr>
          <w:rFonts w:ascii="Arial" w:cs="Arial" w:eastAsia="Arial" w:hAnsi="Arial"/>
          <w:sz w:val="18"/>
          <w:szCs w:val="18"/>
          <w:color w:val="auto"/>
        </w:rPr>
      </w:pPr>
    </w:p>
    <w:p>
      <w:pPr>
        <w:ind w:left="1152" w:right="120" w:hanging="567"/>
        <w:spacing w:after="0" w:line="262" w:lineRule="auto"/>
        <w:rPr>
          <w:rFonts w:ascii="Arial" w:cs="Arial" w:eastAsia="Arial" w:hAnsi="Arial"/>
          <w:sz w:val="18"/>
          <w:szCs w:val="18"/>
          <w:color w:val="auto"/>
        </w:rPr>
      </w:pPr>
      <w:r>
        <w:rPr>
          <w:rFonts w:ascii="Arial" w:cs="Arial" w:eastAsia="Arial" w:hAnsi="Arial"/>
          <w:sz w:val="18"/>
          <w:szCs w:val="18"/>
          <w:color w:val="auto"/>
        </w:rPr>
        <w:t>5.3. Upon each 36 month anniversary of a previous grant of options to an Independent Director under this Plan (each a “</w:t>
      </w:r>
      <w:r>
        <w:rPr>
          <w:rFonts w:ascii="Arial" w:cs="Arial" w:eastAsia="Arial" w:hAnsi="Arial"/>
          <w:sz w:val="18"/>
          <w:szCs w:val="18"/>
          <w:b w:val="1"/>
          <w:bCs w:val="1"/>
          <w:color w:val="auto"/>
        </w:rPr>
        <w:t>Tenure Grant Date</w:t>
      </w:r>
      <w:r>
        <w:rPr>
          <w:rFonts w:ascii="Arial" w:cs="Arial" w:eastAsia="Arial" w:hAnsi="Arial"/>
          <w:sz w:val="18"/>
          <w:szCs w:val="18"/>
          <w:color w:val="auto"/>
        </w:rPr>
        <w:t>”), each such Independent Director shall, in the absence of a decision by the Board to the contrary, be granted an additional one hundred and fifty thousand (150,000) Options (“</w:t>
      </w:r>
      <w:r>
        <w:rPr>
          <w:rFonts w:ascii="Arial" w:cs="Arial" w:eastAsia="Arial" w:hAnsi="Arial"/>
          <w:sz w:val="18"/>
          <w:szCs w:val="18"/>
          <w:b w:val="1"/>
          <w:bCs w:val="1"/>
          <w:color w:val="auto"/>
        </w:rPr>
        <w:t>Tenure Options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152" w:right="100" w:hanging="567"/>
        <w:spacing w:after="0" w:line="262" w:lineRule="auto"/>
        <w:rPr>
          <w:rFonts w:ascii="Arial" w:cs="Arial" w:eastAsia="Arial" w:hAnsi="Arial"/>
          <w:sz w:val="18"/>
          <w:szCs w:val="18"/>
          <w:color w:val="auto"/>
        </w:rPr>
      </w:pPr>
      <w:r>
        <w:rPr>
          <w:rFonts w:ascii="Arial" w:cs="Arial" w:eastAsia="Arial" w:hAnsi="Arial"/>
          <w:sz w:val="18"/>
          <w:szCs w:val="18"/>
          <w:color w:val="auto"/>
        </w:rPr>
        <w:t>5.4. Other than as set forth above, the grant of an Option to an Independent Director (each referred to as a “</w:t>
      </w:r>
      <w:r>
        <w:rPr>
          <w:rFonts w:ascii="Arial" w:cs="Arial" w:eastAsia="Arial" w:hAnsi="Arial"/>
          <w:sz w:val="18"/>
          <w:szCs w:val="18"/>
          <w:b w:val="1"/>
          <w:bCs w:val="1"/>
          <w:color w:val="auto"/>
        </w:rPr>
        <w:t>Grantee</w:t>
      </w:r>
      <w:r>
        <w:rPr>
          <w:rFonts w:ascii="Arial" w:cs="Arial" w:eastAsia="Arial" w:hAnsi="Arial"/>
          <w:sz w:val="18"/>
          <w:szCs w:val="18"/>
          <w:color w:val="auto"/>
        </w:rPr>
        <w:t>”) hereunder shall neither entitle such Grantee to participate, nor disqualify him/her from participating, in any other grant of Options pursuant to this Plan or any other share incentive or share option plan of the Company.</w:t>
      </w:r>
    </w:p>
    <w:p>
      <w:pPr>
        <w:spacing w:after="0" w:line="219" w:lineRule="exact"/>
        <w:rPr>
          <w:rFonts w:ascii="Arial" w:cs="Arial" w:eastAsia="Arial" w:hAnsi="Arial"/>
          <w:sz w:val="18"/>
          <w:szCs w:val="18"/>
          <w:color w:val="auto"/>
        </w:rPr>
      </w:pPr>
    </w:p>
    <w:p>
      <w:pPr>
        <w:ind w:left="572" w:hanging="572"/>
        <w:spacing w:after="0"/>
        <w:tabs>
          <w:tab w:leader="none" w:pos="5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right="320" w:hanging="567"/>
        <w:spacing w:after="0" w:line="268" w:lineRule="auto"/>
        <w:rPr>
          <w:rFonts w:ascii="Arial" w:cs="Arial" w:eastAsia="Arial" w:hAnsi="Arial"/>
          <w:sz w:val="18"/>
          <w:szCs w:val="18"/>
          <w:color w:val="auto"/>
        </w:rPr>
      </w:pPr>
      <w:r>
        <w:rPr>
          <w:rFonts w:ascii="Arial" w:cs="Arial" w:eastAsia="Arial" w:hAnsi="Arial"/>
          <w:sz w:val="18"/>
          <w:szCs w:val="18"/>
          <w:color w:val="auto"/>
        </w:rPr>
        <w:t>6.1. 102 Trustee Options may be granted from the later of (i) the Effective Date; or (ii) 30 (thirty) days from the filing of this Plan with the Israeli Income Tax Authorities in accordance with applicable law.</w:t>
      </w:r>
    </w:p>
    <w:p>
      <w:pPr>
        <w:spacing w:after="0" w:line="21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6.2.    Options granted under the Code may be granted from the Effective Date.</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6.3.    Options may be granted until 10 (ten) years from the Effective Date.</w:t>
      </w:r>
    </w:p>
    <w:p>
      <w:pPr>
        <w:spacing w:after="0" w:line="200" w:lineRule="exact"/>
        <w:rPr>
          <w:sz w:val="20"/>
          <w:szCs w:val="20"/>
          <w:color w:val="auto"/>
        </w:rPr>
      </w:pPr>
    </w:p>
    <w:p>
      <w:pPr>
        <w:spacing w:after="0" w:line="26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45" w:name="page46"/>
    <w:bookmarkEnd w:id="45"/>
    <w:p>
      <w:pPr>
        <w:ind w:left="1160" w:right="300" w:hanging="566"/>
        <w:spacing w:after="0" w:line="256" w:lineRule="auto"/>
        <w:tabs>
          <w:tab w:leader="none" w:pos="1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Options shall be granted by issuance of an Option letter to a Grantee stating, inter alia, the number of Underlying Shares, the dates when the Options may be exercised, the Option exercise price and such other terms and conditions at the discretion of the Board, provided that they are consistent with this Plan and with applicable law (the “</w:t>
      </w:r>
      <w:r>
        <w:rPr>
          <w:rFonts w:ascii="Arial" w:cs="Arial" w:eastAsia="Arial" w:hAnsi="Arial"/>
          <w:sz w:val="18"/>
          <w:szCs w:val="18"/>
          <w:b w:val="1"/>
          <w:bCs w:val="1"/>
          <w:color w:val="auto"/>
        </w:rPr>
        <w:t>Option Letter</w:t>
      </w:r>
      <w:r>
        <w:rPr>
          <w:rFonts w:ascii="Arial" w:cs="Arial" w:eastAsia="Arial" w:hAnsi="Arial"/>
          <w:sz w:val="18"/>
          <w:szCs w:val="18"/>
          <w:color w:val="auto"/>
        </w:rPr>
        <w:t>”). The Option Letter shall also list the date of grant of the respective Options (the “</w:t>
      </w:r>
      <w:r>
        <w:rPr>
          <w:rFonts w:ascii="Arial" w:cs="Arial" w:eastAsia="Arial" w:hAnsi="Arial"/>
          <w:sz w:val="18"/>
          <w:szCs w:val="18"/>
          <w:b w:val="1"/>
          <w:bCs w:val="1"/>
          <w:color w:val="auto"/>
        </w:rPr>
        <w:t>Date of Grant</w:t>
      </w:r>
      <w:r>
        <w:rPr>
          <w:rFonts w:ascii="Arial" w:cs="Arial" w:eastAsia="Arial" w:hAnsi="Arial"/>
          <w:sz w:val="18"/>
          <w:szCs w:val="18"/>
          <w:color w:val="auto"/>
        </w:rPr>
        <w:t>”).</w:t>
      </w:r>
    </w:p>
    <w:p>
      <w:pPr>
        <w:spacing w:after="0" w:line="224"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color w:val="auto"/>
        </w:rPr>
        <w:t>The Options will not be listed in any stock exchange and are not transferable (except to a Grantee’s legal heirs or estate).</w:t>
      </w:r>
    </w:p>
    <w:p>
      <w:pPr>
        <w:spacing w:after="0" w:line="252" w:lineRule="exact"/>
        <w:rPr>
          <w:sz w:val="20"/>
          <w:szCs w:val="20"/>
          <w:color w:val="auto"/>
        </w:rPr>
      </w:pPr>
    </w:p>
    <w:p>
      <w:pPr>
        <w:ind w:left="1160" w:right="120" w:hanging="566"/>
        <w:spacing w:after="0" w:line="268" w:lineRule="auto"/>
        <w:tabs>
          <w:tab w:leader="none" w:pos="11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Grantees shall have no right to vote or receive dividends (subject to Section 12.1) or any other rights of a shareholder prior to his/her exercise of the Options and until the issuance of the share certificate evidencing the Underlying Shares.</w:t>
      </w:r>
    </w:p>
    <w:p>
      <w:pPr>
        <w:spacing w:after="0" w:line="213"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7.1.    Options shall vest and become exercisable as set forth in the Option Letter.</w:t>
      </w:r>
    </w:p>
    <w:p>
      <w:pPr>
        <w:spacing w:after="0" w:line="252" w:lineRule="exact"/>
        <w:rPr>
          <w:rFonts w:ascii="Arial" w:cs="Arial" w:eastAsia="Arial" w:hAnsi="Arial"/>
          <w:sz w:val="18"/>
          <w:szCs w:val="18"/>
          <w:color w:val="auto"/>
        </w:rPr>
      </w:pPr>
    </w:p>
    <w:p>
      <w:pPr>
        <w:ind w:left="1160" w:right="100" w:hanging="567"/>
        <w:spacing w:after="0" w:line="256" w:lineRule="auto"/>
        <w:rPr>
          <w:rFonts w:ascii="Arial" w:cs="Arial" w:eastAsia="Arial" w:hAnsi="Arial"/>
          <w:sz w:val="18"/>
          <w:szCs w:val="18"/>
          <w:color w:val="auto"/>
        </w:rPr>
      </w:pPr>
      <w:r>
        <w:rPr>
          <w:rFonts w:ascii="Arial" w:cs="Arial" w:eastAsia="Arial" w:hAnsi="Arial"/>
          <w:sz w:val="18"/>
          <w:szCs w:val="18"/>
          <w:color w:val="auto"/>
        </w:rPr>
        <w:t>7.2. The consideration to be paid for the Underlying Shares, including the method of payment, shall be determined by the Company and may consist entirely of (1) cash, (2) check (provided payment has cleared), or (3) cashless in the case of same day sale. The procedure for exercise of the Options shall be provided to each Grantee together with the Option Letter. The Company may change the procedures for exercise of the Options at its discretion, by giving notice thereof to the Grantees.</w:t>
      </w:r>
    </w:p>
    <w:p>
      <w:pPr>
        <w:spacing w:after="0" w:line="224" w:lineRule="exact"/>
        <w:rPr>
          <w:rFonts w:ascii="Arial" w:cs="Arial" w:eastAsia="Arial" w:hAnsi="Arial"/>
          <w:sz w:val="18"/>
          <w:szCs w:val="18"/>
          <w:color w:val="auto"/>
        </w:rPr>
      </w:pPr>
    </w:p>
    <w:p>
      <w:pPr>
        <w:ind w:left="1160" w:right="60" w:hanging="567"/>
        <w:spacing w:after="0" w:line="259" w:lineRule="auto"/>
        <w:rPr>
          <w:rFonts w:ascii="Arial" w:cs="Arial" w:eastAsia="Arial" w:hAnsi="Arial"/>
          <w:sz w:val="18"/>
          <w:szCs w:val="18"/>
          <w:color w:val="auto"/>
        </w:rPr>
      </w:pPr>
      <w:r>
        <w:rPr>
          <w:rFonts w:ascii="Arial" w:cs="Arial" w:eastAsia="Arial" w:hAnsi="Arial"/>
          <w:sz w:val="18"/>
          <w:szCs w:val="18"/>
          <w:color w:val="auto"/>
        </w:rPr>
        <w:t>7.3. Unless earlier terminated in accordance with Section 11 below, if any Option has not been exercised within ten (10) years after the date on which the Initial Options, Subsequent Options and Tenure Options, as applicable, first vested, such Option shall immediately terminate and all of such Grantee’s interests in and rights to such Option shall immediately expire.</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Options’ Exercise Price:</w:t>
      </w:r>
    </w:p>
    <w:p>
      <w:pPr>
        <w:spacing w:after="0" w:line="200" w:lineRule="exact"/>
        <w:rPr>
          <w:sz w:val="20"/>
          <w:szCs w:val="20"/>
          <w:color w:val="auto"/>
        </w:rPr>
      </w:pPr>
    </w:p>
    <w:p>
      <w:pPr>
        <w:spacing w:after="0" w:line="26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purchase price in $US of each share will be the closing sales price of the Company’s shares as reported by NASDAQ or the principal national securities exchange upon which the Company’s shares are listed or traded on the last market trading day prior to the Initial Grant Date, Subsequent Grant Date or Tenure Grant Date, as applicable (but no less than the nominal value of the Underlying Shares), unless otherwise determined by the Board and set forth in the Option Letter.</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avoid doubt, Options designated as 102 Capital Gains Track Options whose exercise price is less than the “102 Fair Market Value” (as defined below), shall be subject to Section 102(b)(3) of the Ordinance.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ind w:right="4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102 Fair Market Value</w:t>
      </w:r>
      <w:r>
        <w:rPr>
          <w:rFonts w:ascii="Arial" w:cs="Arial" w:eastAsia="Arial" w:hAnsi="Arial"/>
          <w:sz w:val="16"/>
          <w:szCs w:val="16"/>
          <w:color w:val="auto"/>
        </w:rPr>
        <w:t>” shall mean with respect to 102 Capital Gains Track Options only, and for the sole purpose of determining tax liability pursuant to Section 102(b)(3) of the Ordinance, the average value of the Company’s shares on the thirty (30) trading days preceding the Date of Grant.</w:t>
      </w:r>
    </w:p>
    <w:p>
      <w:pPr>
        <w:spacing w:after="0" w:line="134"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Trustee; Required Holding Periods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60" w:right="260" w:hanging="567"/>
        <w:spacing w:after="0" w:line="256" w:lineRule="auto"/>
        <w:rPr>
          <w:rFonts w:ascii="Arial" w:cs="Arial" w:eastAsia="Arial" w:hAnsi="Arial"/>
          <w:sz w:val="18"/>
          <w:szCs w:val="18"/>
          <w:color w:val="auto"/>
        </w:rPr>
      </w:pPr>
      <w:r>
        <w:rPr>
          <w:rFonts w:ascii="Arial" w:cs="Arial" w:eastAsia="Arial" w:hAnsi="Arial"/>
          <w:sz w:val="18"/>
          <w:szCs w:val="18"/>
          <w:color w:val="auto"/>
        </w:rPr>
        <w:t>9.1. All 102 Trustee Options and the Ordinary Shares underlying such Options will be held in trust by David H. Schapiro Legal Services (the “</w:t>
      </w:r>
      <w:r>
        <w:rPr>
          <w:rFonts w:ascii="Arial" w:cs="Arial" w:eastAsia="Arial" w:hAnsi="Arial"/>
          <w:sz w:val="18"/>
          <w:szCs w:val="18"/>
          <w:b w:val="1"/>
          <w:bCs w:val="1"/>
          <w:color w:val="auto"/>
        </w:rPr>
        <w:t>Trustee</w:t>
      </w:r>
      <w:r>
        <w:rPr>
          <w:rFonts w:ascii="Arial" w:cs="Arial" w:eastAsia="Arial" w:hAnsi="Arial"/>
          <w:sz w:val="18"/>
          <w:szCs w:val="18"/>
          <w:color w:val="auto"/>
        </w:rPr>
        <w:t>”) in accordance with Section 102 and the regulations, rules, orders and procedures promulgated thereunder with respect to Israeli residents; in addition, the Board may choose to deposit non-102 Trustee Options and/or the Ordinary Shares underlying such Options with the Trustee.</w:t>
      </w:r>
    </w:p>
    <w:p>
      <w:pPr>
        <w:spacing w:after="0" w:line="224" w:lineRule="exact"/>
        <w:rPr>
          <w:rFonts w:ascii="Arial" w:cs="Arial" w:eastAsia="Arial" w:hAnsi="Arial"/>
          <w:sz w:val="18"/>
          <w:szCs w:val="18"/>
          <w:color w:val="auto"/>
        </w:rPr>
      </w:pPr>
    </w:p>
    <w:p>
      <w:pPr>
        <w:ind w:left="1160" w:right="380" w:hanging="567"/>
        <w:spacing w:after="0" w:line="256" w:lineRule="auto"/>
        <w:rPr>
          <w:rFonts w:ascii="Arial" w:cs="Arial" w:eastAsia="Arial" w:hAnsi="Arial"/>
          <w:sz w:val="18"/>
          <w:szCs w:val="18"/>
          <w:color w:val="auto"/>
        </w:rPr>
      </w:pPr>
      <w:r>
        <w:rPr>
          <w:rFonts w:ascii="Arial" w:cs="Arial" w:eastAsia="Arial" w:hAnsi="Arial"/>
          <w:sz w:val="18"/>
          <w:szCs w:val="18"/>
          <w:color w:val="auto"/>
        </w:rPr>
        <w:t>9.2. The 102 Trustee Options and the Underlying Shares shall be held by the Trustee for the requisite period prescribed by the Ordinance and the Rules, or such other period as may be required (the “</w:t>
      </w:r>
      <w:r>
        <w:rPr>
          <w:rFonts w:ascii="Arial" w:cs="Arial" w:eastAsia="Arial" w:hAnsi="Arial"/>
          <w:sz w:val="18"/>
          <w:szCs w:val="18"/>
          <w:b w:val="1"/>
          <w:bCs w:val="1"/>
          <w:color w:val="auto"/>
        </w:rPr>
        <w:t>Required Holding Period</w:t>
      </w:r>
      <w:r>
        <w:rPr>
          <w:rFonts w:ascii="Arial" w:cs="Arial" w:eastAsia="Arial" w:hAnsi="Arial"/>
          <w:sz w:val="18"/>
          <w:szCs w:val="18"/>
          <w:color w:val="auto"/>
        </w:rPr>
        <w:t>”) and the Grantees shall not be entitled to sell or otherwise dispose of the Underlying Shares purchasable upon the exercise of such 102 Trustee Options during the Required Holding Period, unless permissible and in accordance with the Ordinance and the Rules.</w:t>
      </w:r>
    </w:p>
    <w:p>
      <w:pPr>
        <w:spacing w:after="0" w:line="224" w:lineRule="exact"/>
        <w:rPr>
          <w:rFonts w:ascii="Arial" w:cs="Arial" w:eastAsia="Arial" w:hAnsi="Arial"/>
          <w:sz w:val="18"/>
          <w:szCs w:val="18"/>
          <w:color w:val="auto"/>
        </w:rPr>
      </w:pPr>
    </w:p>
    <w:p>
      <w:pPr>
        <w:ind w:left="1160" w:right="200" w:hanging="567"/>
        <w:spacing w:after="0" w:line="268" w:lineRule="auto"/>
        <w:rPr>
          <w:rFonts w:ascii="Arial" w:cs="Arial" w:eastAsia="Arial" w:hAnsi="Arial"/>
          <w:sz w:val="18"/>
          <w:szCs w:val="18"/>
          <w:color w:val="auto"/>
        </w:rPr>
      </w:pPr>
      <w:r>
        <w:rPr>
          <w:rFonts w:ascii="Arial" w:cs="Arial" w:eastAsia="Arial" w:hAnsi="Arial"/>
          <w:sz w:val="18"/>
          <w:szCs w:val="18"/>
          <w:color w:val="auto"/>
        </w:rPr>
        <w:t>9.3. The Trustee and each Grantee shall comply with the applicable laws and the terms and conditions of the Trust Agreement entered into between the Company and the Trustee.</w:t>
      </w:r>
    </w:p>
    <w:p>
      <w:pPr>
        <w:spacing w:after="0" w:line="212" w:lineRule="exact"/>
        <w:rPr>
          <w:rFonts w:ascii="Arial" w:cs="Arial" w:eastAsia="Arial" w:hAnsi="Arial"/>
          <w:sz w:val="18"/>
          <w:szCs w:val="18"/>
          <w:color w:val="auto"/>
        </w:rPr>
      </w:pPr>
    </w:p>
    <w:p>
      <w:pPr>
        <w:ind w:left="1160" w:hanging="567"/>
        <w:spacing w:after="0" w:line="294" w:lineRule="auto"/>
        <w:rPr>
          <w:rFonts w:ascii="Arial" w:cs="Arial" w:eastAsia="Arial" w:hAnsi="Arial"/>
          <w:sz w:val="18"/>
          <w:szCs w:val="18"/>
          <w:color w:val="auto"/>
        </w:rPr>
      </w:pPr>
      <w:r>
        <w:rPr>
          <w:rFonts w:ascii="Arial" w:cs="Arial" w:eastAsia="Arial" w:hAnsi="Arial"/>
          <w:sz w:val="16"/>
          <w:szCs w:val="16"/>
          <w:color w:val="auto"/>
        </w:rPr>
        <w:t>9.4. In the event that the Company issues securities as bonus shares (maniyot hatava) or performs a share split or a similar dissolution, such bonus shares or other similar rights on shares which derive from 102 Trustee Options shall be subject to the provisions of this Section 9 and the Required Holding Period for such bonus shares or other similar rights shall be measured from the commencement of the Required Holding Period for the 102 Trustee Options. All such bonus shares and/or other similar rights shall be held by the Trustee in accordance with Section 102 and the regulations, rules, orders and procedures promulgated thereunder with respect to Israeli residents.</w:t>
      </w:r>
    </w:p>
    <w:p>
      <w:pPr>
        <w:spacing w:after="0" w:line="196" w:lineRule="exact"/>
        <w:rPr>
          <w:rFonts w:ascii="Arial" w:cs="Arial" w:eastAsia="Arial" w:hAnsi="Arial"/>
          <w:sz w:val="18"/>
          <w:szCs w:val="18"/>
          <w:color w:val="auto"/>
        </w:rPr>
      </w:pPr>
    </w:p>
    <w:p>
      <w:pPr>
        <w:ind w:left="1160" w:right="60" w:hanging="567"/>
        <w:spacing w:after="0" w:line="256" w:lineRule="auto"/>
        <w:rPr>
          <w:rFonts w:ascii="Arial" w:cs="Arial" w:eastAsia="Arial" w:hAnsi="Arial"/>
          <w:sz w:val="18"/>
          <w:szCs w:val="18"/>
          <w:color w:val="auto"/>
        </w:rPr>
      </w:pPr>
      <w:r>
        <w:rPr>
          <w:rFonts w:ascii="Arial" w:cs="Arial" w:eastAsia="Arial" w:hAnsi="Arial"/>
          <w:sz w:val="18"/>
          <w:szCs w:val="18"/>
          <w:color w:val="auto"/>
        </w:rPr>
        <w:t>9.5. The Trustee shall not exercise the voting rights vested in the Underlying Shares, unless the Trustee believes, after consulting with the Company’s Compensation and Options Committee (or another committee given such authority by the Board, or in the absence of a committee, the Board) and the Grantees who hold a majority of the issued Options, that said rights should be exercised for the protection of the Grantees as a minority among the Company’s shareholders.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left="572"/>
        <w:spacing w:after="0"/>
        <w:tabs>
          <w:tab w:leader="none" w:pos="1132"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color w:val="auto"/>
        </w:rPr>
        <w:t>The Company shall be entitled to replace the Trustee with another appointee from time to time and shall notify the Grantees of such replacement.</w:t>
      </w:r>
    </w:p>
    <w:p>
      <w:pPr>
        <w:spacing w:after="0" w:line="252" w:lineRule="exact"/>
        <w:rPr>
          <w:sz w:val="20"/>
          <w:szCs w:val="20"/>
          <w:color w:val="auto"/>
        </w:rPr>
      </w:pPr>
    </w:p>
    <w:p>
      <w:pPr>
        <w:ind w:left="572" w:hanging="572"/>
        <w:spacing w:after="0"/>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Reserved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567"/>
        <w:spacing w:after="0" w:line="259" w:lineRule="auto"/>
        <w:rPr>
          <w:rFonts w:ascii="Arial" w:cs="Arial" w:eastAsia="Arial" w:hAnsi="Arial"/>
          <w:sz w:val="18"/>
          <w:szCs w:val="18"/>
          <w:color w:val="auto"/>
        </w:rPr>
      </w:pPr>
      <w:r>
        <w:rPr>
          <w:rFonts w:ascii="Arial" w:cs="Arial" w:eastAsia="Arial" w:hAnsi="Arial"/>
          <w:sz w:val="18"/>
          <w:szCs w:val="18"/>
          <w:color w:val="auto"/>
        </w:rPr>
        <w:t>10.1. The Company has reserved 900,000 authorized but unissued Ordinary Shares (nominal value NIS 1.00 per share) for purposes of the Plan, subject to adjustments as provided in Section 12 below. If any Options granted under the Plan terminate, expire or otherwise cease to exist, they shall be available for re-grant under this Plan.</w:t>
      </w:r>
    </w:p>
    <w:p>
      <w:pPr>
        <w:spacing w:after="0" w:line="221" w:lineRule="exact"/>
        <w:rPr>
          <w:rFonts w:ascii="Arial" w:cs="Arial" w:eastAsia="Arial" w:hAnsi="Arial"/>
          <w:sz w:val="18"/>
          <w:szCs w:val="18"/>
          <w:color w:val="auto"/>
        </w:rPr>
      </w:pPr>
    </w:p>
    <w:p>
      <w:pPr>
        <w:ind w:left="1152" w:right="400" w:hanging="567"/>
        <w:spacing w:after="0" w:line="268" w:lineRule="auto"/>
        <w:rPr>
          <w:rFonts w:ascii="Arial" w:cs="Arial" w:eastAsia="Arial" w:hAnsi="Arial"/>
          <w:sz w:val="18"/>
          <w:szCs w:val="18"/>
          <w:color w:val="auto"/>
        </w:rPr>
      </w:pPr>
      <w:r>
        <w:rPr>
          <w:rFonts w:ascii="Arial" w:cs="Arial" w:eastAsia="Arial" w:hAnsi="Arial"/>
          <w:sz w:val="18"/>
          <w:szCs w:val="18"/>
          <w:color w:val="auto"/>
        </w:rPr>
        <w:t>10.2. The Company will maintain a sufficient quantity of Ordinary Shares, NIS 1.00 nominal value, in its registered capital and shall increase said quantity as appropriate to allow for the exercise of the Options under the Plan.</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Unless set forth otherwise in the Option Letter:</w:t>
      </w:r>
    </w:p>
    <w:p>
      <w:pPr>
        <w:spacing w:after="0" w:line="279" w:lineRule="exact"/>
        <w:rPr>
          <w:rFonts w:ascii="Arial" w:cs="Arial" w:eastAsia="Arial" w:hAnsi="Arial"/>
          <w:sz w:val="18"/>
          <w:szCs w:val="18"/>
          <w:color w:val="auto"/>
        </w:rPr>
      </w:pPr>
    </w:p>
    <w:p>
      <w:pPr>
        <w:ind w:left="1152" w:right="120" w:hanging="567"/>
        <w:spacing w:after="0" w:line="306" w:lineRule="auto"/>
        <w:rPr>
          <w:rFonts w:ascii="Arial" w:cs="Arial" w:eastAsia="Arial" w:hAnsi="Arial"/>
          <w:sz w:val="18"/>
          <w:szCs w:val="18"/>
          <w:color w:val="auto"/>
        </w:rPr>
      </w:pPr>
      <w:r>
        <w:rPr>
          <w:rFonts w:ascii="Arial" w:cs="Arial" w:eastAsia="Arial" w:hAnsi="Arial"/>
          <w:sz w:val="16"/>
          <w:szCs w:val="16"/>
          <w:color w:val="auto"/>
        </w:rPr>
        <w:t>11.1. Upon resignation or removal (other than for Cause (as defined below)) of a Grantee from the Board or failure of a Grantee to be reelected by the shareholders of the Company as a director of the Company: (i) any vested Initial Option, Subsequent Option and/or Tenure Option will expire two (2) years from such date; and (ii) any unvested Initial Options, Subsequent Options and Tenure Options shall immediately expire.</w:t>
      </w:r>
    </w:p>
    <w:p>
      <w:pPr>
        <w:spacing w:after="0" w:line="187" w:lineRule="exact"/>
        <w:rPr>
          <w:rFonts w:ascii="Arial" w:cs="Arial" w:eastAsia="Arial" w:hAnsi="Arial"/>
          <w:sz w:val="18"/>
          <w:szCs w:val="18"/>
          <w:color w:val="auto"/>
        </w:rPr>
      </w:pPr>
    </w:p>
    <w:p>
      <w:pPr>
        <w:ind w:left="1152" w:right="420" w:hanging="567"/>
        <w:spacing w:after="0" w:line="268" w:lineRule="auto"/>
        <w:rPr>
          <w:rFonts w:ascii="Arial" w:cs="Arial" w:eastAsia="Arial" w:hAnsi="Arial"/>
          <w:sz w:val="18"/>
          <w:szCs w:val="18"/>
          <w:color w:val="auto"/>
        </w:rPr>
      </w:pPr>
      <w:r>
        <w:rPr>
          <w:rFonts w:ascii="Arial" w:cs="Arial" w:eastAsia="Arial" w:hAnsi="Arial"/>
          <w:sz w:val="18"/>
          <w:szCs w:val="18"/>
          <w:color w:val="auto"/>
        </w:rPr>
        <w:t>11.2. Upon removal of a Grantee from the Board for Cause, all vested and unvested Initial Options, Subsequent Options and Tenure Options shall immediately expire.</w:t>
      </w:r>
    </w:p>
    <w:p>
      <w:pPr>
        <w:spacing w:after="0" w:line="206" w:lineRule="exact"/>
        <w:rPr>
          <w:rFonts w:ascii="Arial" w:cs="Arial" w:eastAsia="Arial" w:hAnsi="Arial"/>
          <w:sz w:val="18"/>
          <w:szCs w:val="18"/>
          <w:color w:val="auto"/>
        </w:rPr>
      </w:pPr>
    </w:p>
    <w:p>
      <w:pPr>
        <w:jc w:val="both"/>
        <w:ind w:left="572" w:right="100"/>
        <w:spacing w:after="0" w:line="310"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exist if a Grantee: (i) engages in willful misconduct or acts in bad faith including, without limitation, a breach of fiduciary duties or duties of care to the Company; (ii) commits or is convicted of a felony or any other criminal act involving moral turpitude; or (iii) commits any act or omission that constitutes “cause” under the laws of the primary jurisdiction in which the Company conducts its business at the time of such act or omission.</w:t>
      </w:r>
    </w:p>
    <w:p>
      <w:pPr>
        <w:spacing w:after="0" w:line="184" w:lineRule="exact"/>
        <w:rPr>
          <w:rFonts w:ascii="Arial" w:cs="Arial" w:eastAsia="Arial" w:hAnsi="Arial"/>
          <w:sz w:val="18"/>
          <w:szCs w:val="18"/>
          <w:color w:val="auto"/>
        </w:rPr>
      </w:pPr>
    </w:p>
    <w:p>
      <w:pPr>
        <w:ind w:left="572" w:hanging="572"/>
        <w:spacing w:after="0"/>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right="60" w:hanging="567"/>
        <w:spacing w:after="0" w:line="294" w:lineRule="auto"/>
        <w:rPr>
          <w:rFonts w:ascii="Arial" w:cs="Arial" w:eastAsia="Arial" w:hAnsi="Arial"/>
          <w:sz w:val="18"/>
          <w:szCs w:val="18"/>
          <w:color w:val="auto"/>
        </w:rPr>
      </w:pPr>
      <w:r>
        <w:rPr>
          <w:rFonts w:ascii="Arial" w:cs="Arial" w:eastAsia="Arial" w:hAnsi="Arial"/>
          <w:sz w:val="16"/>
          <w:szCs w:val="16"/>
          <w:color w:val="auto"/>
        </w:rPr>
        <w:t>12.1. In the event that the Company shall issue any of its Ordinary Shares or other securities as bonus shares (maniyot hatava), each Grantee who has been granted Options as of such date shall, upon exercising his/her Options, be entitled to receive, for the purchase price payable upon such exercise, bonus shares at no additional cost, in an amount and of such class, as the Grantees would have received had they been the holders of the Underlying Shares at the time the Company issued such bonus shares. No fractional shares will be issued under this Section. The Company may aggregate and sell all fractional shares and will be entitled to the proceeds of the sale thereof.</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48" w:name="page49"/>
    <w:bookmarkEnd w:id="48"/>
    <w:p>
      <w:pPr>
        <w:ind w:right="40" w:hanging="566"/>
        <w:spacing w:after="0" w:line="291" w:lineRule="auto"/>
        <w:rPr>
          <w:sz w:val="20"/>
          <w:szCs w:val="20"/>
          <w:color w:val="auto"/>
        </w:rPr>
      </w:pPr>
      <w:r>
        <w:rPr>
          <w:rFonts w:ascii="Arial" w:cs="Arial" w:eastAsia="Arial" w:hAnsi="Arial"/>
          <w:sz w:val="18"/>
          <w:szCs w:val="18"/>
          <w:color w:val="auto"/>
        </w:rPr>
        <w:t>12.2.</w:t>
      </w:r>
      <w:r>
        <w:rPr>
          <w:sz w:val="20"/>
          <w:szCs w:val="20"/>
          <w:color w:val="auto"/>
        </w:rPr>
        <w:t xml:space="preserve"> </w:t>
      </w:r>
      <w:r>
        <w:rPr>
          <w:rFonts w:ascii="Arial" w:cs="Arial" w:eastAsia="Arial" w:hAnsi="Arial"/>
          <w:sz w:val="16"/>
          <w:szCs w:val="16"/>
          <w:color w:val="auto"/>
        </w:rPr>
        <w:t xml:space="preserve">If securities of any kind are offered to the Company’s shareholders by means of a rights offering, the exercise price of the Options will not be adjusted, however, the number of Underlying Shares will be increased to take into account the element of economic benefit of the rights issue (“markiv hahatava”), as is represented by the ratio between the price per share of the Company’s Ordinary Shares on the effective date of the future rights offering and the base price per share of the Company’s Ordinary Shares that is established by the Tel-Aviv Stock Exchange (the </w:t>
      </w:r>
      <w:r>
        <w:rPr>
          <w:rFonts w:ascii="Arial" w:cs="Arial" w:eastAsia="Arial" w:hAnsi="Arial"/>
          <w:sz w:val="16"/>
          <w:szCs w:val="16"/>
          <w:b w:val="1"/>
          <w:bCs w:val="1"/>
          <w:color w:val="auto"/>
        </w:rPr>
        <w:t>“TASE</w:t>
      </w:r>
      <w:r>
        <w:rPr>
          <w:rFonts w:ascii="Arial" w:cs="Arial" w:eastAsia="Arial" w:hAnsi="Arial"/>
          <w:sz w:val="16"/>
          <w:szCs w:val="16"/>
          <w:color w:val="auto"/>
        </w:rPr>
        <w:t>”) on the following trading day. If the TASE does not establish a base price per share of the Company’s Ordinary Shares, no adjustment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Underlying Shares issuable upon exercise of the Options will be made with respect to such future rights offering.</w:t>
      </w:r>
    </w:p>
    <w:p>
      <w:pPr>
        <w:spacing w:after="0" w:line="201" w:lineRule="exact"/>
        <w:rPr>
          <w:sz w:val="20"/>
          <w:szCs w:val="20"/>
          <w:color w:val="auto"/>
        </w:rPr>
      </w:pPr>
    </w:p>
    <w:p>
      <w:pPr>
        <w:ind w:hanging="566"/>
        <w:spacing w:after="0" w:line="259" w:lineRule="auto"/>
        <w:rPr>
          <w:sz w:val="20"/>
          <w:szCs w:val="20"/>
          <w:color w:val="auto"/>
        </w:rPr>
      </w:pPr>
      <w:r>
        <w:rPr>
          <w:rFonts w:ascii="Arial" w:cs="Arial" w:eastAsia="Arial" w:hAnsi="Arial"/>
          <w:sz w:val="18"/>
          <w:szCs w:val="18"/>
          <w:color w:val="auto"/>
        </w:rPr>
        <w:t>12.3.</w:t>
      </w:r>
      <w:r>
        <w:rPr>
          <w:sz w:val="20"/>
          <w:szCs w:val="20"/>
          <w:color w:val="auto"/>
        </w:rPr>
        <w:t xml:space="preserve"> </w:t>
      </w:r>
      <w:r>
        <w:rPr>
          <w:rFonts w:ascii="Arial" w:cs="Arial" w:eastAsia="Arial" w:hAnsi="Arial"/>
          <w:sz w:val="18"/>
          <w:szCs w:val="18"/>
          <w:color w:val="auto"/>
        </w:rPr>
        <w:t>If the Company consolidates its Ordinary Shares, NIS 1.00 nominal value, into shares with a higher nominal value, or if it splits them into a larger number of shares having a lower nominal value, the number of Underlying Shares issued upon exercise of the Options will be adjusted as appropriate.</w:t>
      </w:r>
    </w:p>
    <w:p>
      <w:pPr>
        <w:spacing w:after="0" w:line="221" w:lineRule="exact"/>
        <w:rPr>
          <w:sz w:val="20"/>
          <w:szCs w:val="20"/>
          <w:color w:val="auto"/>
        </w:rPr>
      </w:pPr>
    </w:p>
    <w:p>
      <w:pPr>
        <w:ind w:right="80" w:hanging="566"/>
        <w:spacing w:after="0" w:line="255" w:lineRule="auto"/>
        <w:rPr>
          <w:sz w:val="20"/>
          <w:szCs w:val="20"/>
          <w:color w:val="auto"/>
        </w:rPr>
      </w:pPr>
      <w:r>
        <w:rPr>
          <w:rFonts w:ascii="Arial" w:cs="Arial" w:eastAsia="Arial" w:hAnsi="Arial"/>
          <w:sz w:val="18"/>
          <w:szCs w:val="18"/>
          <w:color w:val="auto"/>
        </w:rPr>
        <w:t>12.4.</w:t>
      </w:r>
      <w:r>
        <w:rPr>
          <w:sz w:val="20"/>
          <w:szCs w:val="20"/>
          <w:color w:val="auto"/>
        </w:rPr>
        <w:t xml:space="preserve"> </w:t>
      </w:r>
      <w:r>
        <w:rPr>
          <w:rFonts w:ascii="Arial" w:cs="Arial" w:eastAsia="Arial" w:hAnsi="Arial"/>
          <w:sz w:val="18"/>
          <w:szCs w:val="18"/>
          <w:color w:val="auto"/>
        </w:rPr>
        <w:t>In the event that the Company is a party to any agreement or arrangement in which the holders of the Company’s ordinary shares are offered the opportunity to exchange their shares for the securities of any other corporation, such as a merger or reorganization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the Company will endeavor to cause such other corporation to issue such securities as those offered to the Company’s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any Grantee who exercises his/her Options, as if said Grantee was the holder of the Underlying Shares on the determining date in connection with the Exchange Transaction.</w:t>
      </w:r>
    </w:p>
    <w:p>
      <w:pPr>
        <w:spacing w:after="0" w:line="224" w:lineRule="exact"/>
        <w:rPr>
          <w:sz w:val="20"/>
          <w:szCs w:val="20"/>
          <w:color w:val="auto"/>
        </w:rPr>
      </w:pPr>
    </w:p>
    <w:p>
      <w:pPr>
        <w:jc w:val="both"/>
        <w:ind w:right="100" w:hanging="566"/>
        <w:spacing w:after="0" w:line="306" w:lineRule="auto"/>
        <w:rPr>
          <w:sz w:val="20"/>
          <w:szCs w:val="20"/>
          <w:color w:val="auto"/>
        </w:rPr>
      </w:pPr>
      <w:r>
        <w:rPr>
          <w:rFonts w:ascii="Arial" w:cs="Arial" w:eastAsia="Arial" w:hAnsi="Arial"/>
          <w:sz w:val="18"/>
          <w:szCs w:val="18"/>
          <w:color w:val="auto"/>
        </w:rPr>
        <w:t>12.5.</w:t>
      </w:r>
      <w:r>
        <w:rPr>
          <w:sz w:val="20"/>
          <w:szCs w:val="20"/>
          <w:color w:val="auto"/>
        </w:rPr>
        <w:t xml:space="preserve"> </w:t>
      </w:r>
      <w:r>
        <w:rPr>
          <w:rFonts w:ascii="Arial" w:cs="Arial" w:eastAsia="Arial" w:hAnsi="Arial"/>
          <w:sz w:val="16"/>
          <w:szCs w:val="16"/>
          <w:u w:val="single" w:color="auto"/>
          <w:color w:val="auto"/>
        </w:rPr>
        <w:t>Voluntary Liquidation</w:t>
      </w:r>
      <w:r>
        <w:rPr>
          <w:rFonts w:ascii="Arial" w:cs="Arial" w:eastAsia="Arial" w:hAnsi="Arial"/>
          <w:sz w:val="16"/>
          <w:szCs w:val="16"/>
          <w:color w:val="auto"/>
        </w:rPr>
        <w:t>: In the event of a decision to voluntarily liquidate the Company, each Grantee will be (i) deemed to have exercised his/her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vested and exercisable Options immediately prior to such decision; and (ii) entitled to payment equal to the amount that he/she would receive in liquidation if he/she were a holder of the Underlying Shares immediately prior to the decision to voluntarily liquidate less the exercise price.</w:t>
      </w:r>
    </w:p>
    <w:p>
      <w:pPr>
        <w:spacing w:after="0" w:line="188" w:lineRule="exact"/>
        <w:rPr>
          <w:sz w:val="20"/>
          <w:szCs w:val="20"/>
          <w:color w:val="auto"/>
        </w:rPr>
      </w:pPr>
    </w:p>
    <w:p>
      <w:pPr>
        <w:ind w:right="80" w:hanging="566"/>
        <w:spacing w:after="0" w:line="268" w:lineRule="auto"/>
        <w:rPr>
          <w:sz w:val="20"/>
          <w:szCs w:val="20"/>
          <w:color w:val="auto"/>
        </w:rPr>
      </w:pPr>
      <w:r>
        <w:rPr>
          <w:rFonts w:ascii="Arial" w:cs="Arial" w:eastAsia="Arial" w:hAnsi="Arial"/>
          <w:sz w:val="18"/>
          <w:szCs w:val="18"/>
          <w:color w:val="auto"/>
        </w:rPr>
        <w:t>12.6.</w:t>
      </w:r>
      <w:r>
        <w:rPr>
          <w:sz w:val="20"/>
          <w:szCs w:val="20"/>
          <w:color w:val="auto"/>
        </w:rPr>
        <w:t xml:space="preserve"> </w:t>
      </w:r>
      <w:r>
        <w:rPr>
          <w:rFonts w:ascii="Arial" w:cs="Arial" w:eastAsia="Arial" w:hAnsi="Arial"/>
          <w:sz w:val="18"/>
          <w:szCs w:val="18"/>
          <w:color w:val="auto"/>
        </w:rPr>
        <w:t>The Board, or a committee thereof, is authorized to implement all adjustments and execute the required calculations, pursuant to the principles in this Section 12.</w:t>
      </w:r>
    </w:p>
    <w:p>
      <w:pPr>
        <w:spacing w:after="0" w:line="200" w:lineRule="exact"/>
        <w:rPr>
          <w:sz w:val="20"/>
          <w:szCs w:val="20"/>
          <w:color w:val="auto"/>
        </w:r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60"/>
          </w:cols>
          <w:pgMar w:left="1400" w:top="131" w:right="239" w:bottom="1440" w:gutter="0" w:footer="0" w:header="0"/>
        </w:sectPr>
      </w:pPr>
    </w:p>
    <w:bookmarkStart w:id="49" w:name="page50"/>
    <w:bookmarkEnd w:id="49"/>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Continuation of Service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right="560"/>
        <w:spacing w:after="0" w:line="268" w:lineRule="auto"/>
        <w:rPr>
          <w:rFonts w:ascii="Arial" w:cs="Arial" w:eastAsia="Arial" w:hAnsi="Arial"/>
          <w:sz w:val="18"/>
          <w:szCs w:val="18"/>
          <w:color w:val="auto"/>
        </w:rPr>
      </w:pPr>
      <w:r>
        <w:rPr>
          <w:rFonts w:ascii="Arial" w:cs="Arial" w:eastAsia="Arial" w:hAnsi="Arial"/>
          <w:sz w:val="18"/>
          <w:szCs w:val="18"/>
          <w:color w:val="auto"/>
        </w:rPr>
        <w:t>Neither the Plan nor the Option Letter shall impose any obligation on the Company to continue receiving services from a Grantee or to appoint or nominate the Grantee as a director of the Company.</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The proceeds received by the Company from the sale of Underlying Shares will be used for general corporate purposes of the Company or any subsidiary thereof.</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right="100" w:hanging="567"/>
        <w:spacing w:after="0" w:line="253" w:lineRule="auto"/>
        <w:rPr>
          <w:rFonts w:ascii="Arial" w:cs="Arial" w:eastAsia="Arial" w:hAnsi="Arial"/>
          <w:sz w:val="18"/>
          <w:szCs w:val="18"/>
          <w:color w:val="auto"/>
        </w:rPr>
      </w:pPr>
      <w:r>
        <w:rPr>
          <w:rFonts w:ascii="Arial" w:cs="Arial" w:eastAsia="Arial" w:hAnsi="Arial"/>
          <w:sz w:val="18"/>
          <w:szCs w:val="18"/>
          <w:color w:val="auto"/>
        </w:rPr>
        <w:t>15.1. Any tax consequences arising from (i) the grant or exercise of any Option, (ii) the issuance of Underlying Shares and payment therefor, (iii) the sale, transfer or exchange of Underlying Shares, or (iv) any other event or act of the Company or Grantees hereunder, and any commissions and other expenses related thereto, shall be borne solely by the Grantees. The Company, any of its Subsidiaries and/or the Trustee may withhold any taxes, expenses and commissions as required. The Grantees agree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the Grantees.</w:t>
      </w:r>
    </w:p>
    <w:p>
      <w:pPr>
        <w:spacing w:after="0" w:line="228" w:lineRule="exact"/>
        <w:rPr>
          <w:rFonts w:ascii="Arial" w:cs="Arial" w:eastAsia="Arial" w:hAnsi="Arial"/>
          <w:sz w:val="18"/>
          <w:szCs w:val="18"/>
          <w:color w:val="auto"/>
        </w:rPr>
      </w:pPr>
    </w:p>
    <w:p>
      <w:pPr>
        <w:ind w:left="1152" w:right="140" w:hanging="567"/>
        <w:spacing w:after="0" w:line="259" w:lineRule="auto"/>
        <w:rPr>
          <w:rFonts w:ascii="Arial" w:cs="Arial" w:eastAsia="Arial" w:hAnsi="Arial"/>
          <w:sz w:val="18"/>
          <w:szCs w:val="18"/>
          <w:color w:val="auto"/>
        </w:rPr>
      </w:pPr>
      <w:r>
        <w:rPr>
          <w:rFonts w:ascii="Arial" w:cs="Arial" w:eastAsia="Arial" w:hAnsi="Arial"/>
          <w:sz w:val="18"/>
          <w:szCs w:val="18"/>
          <w:color w:val="auto"/>
        </w:rPr>
        <w:t>15.2. The Grantees will confirm in writing that they (1) understand that the Options are granted pursuant to the Plan under Section 102 and the Code, as applicable, (2) are aware of the taxation track that applies thereto, and (3) undertake not to exercise the Options prior to the end of the Required Holding Period, unless otherwise permitted.</w:t>
      </w:r>
    </w:p>
    <w:p>
      <w:pPr>
        <w:spacing w:after="0" w:line="221"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16.1.   The Plan will be administered by the Board, or, at the Board’s discretion, a committee thereof.</w:t>
      </w:r>
    </w:p>
    <w:p>
      <w:pPr>
        <w:spacing w:after="0" w:line="252" w:lineRule="exact"/>
        <w:rPr>
          <w:rFonts w:ascii="Arial" w:cs="Arial" w:eastAsia="Arial" w:hAnsi="Arial"/>
          <w:sz w:val="18"/>
          <w:szCs w:val="18"/>
          <w:color w:val="auto"/>
        </w:rPr>
      </w:pPr>
    </w:p>
    <w:p>
      <w:pPr>
        <w:ind w:left="1152" w:right="240" w:hanging="567"/>
        <w:spacing w:after="0" w:line="268" w:lineRule="auto"/>
        <w:rPr>
          <w:rFonts w:ascii="Arial" w:cs="Arial" w:eastAsia="Arial" w:hAnsi="Arial"/>
          <w:sz w:val="18"/>
          <w:szCs w:val="18"/>
          <w:color w:val="auto"/>
        </w:rPr>
      </w:pPr>
      <w:r>
        <w:rPr>
          <w:rFonts w:ascii="Arial" w:cs="Arial" w:eastAsia="Arial" w:hAnsi="Arial"/>
          <w:sz w:val="18"/>
          <w:szCs w:val="18"/>
          <w:color w:val="auto"/>
        </w:rPr>
        <w:t>16.2. No member of the Board, or a committee thereof, shall be liable for any action or determination made in good faith with respect to the Plan or any Option granted hereunder.</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Subject to applicable law, the Board may, at any time, terminate or amend the Plan in any respect.</w:t>
      </w: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50" w:name="page51"/>
    <w:bookmarkEnd w:id="50"/>
    <w:p>
      <w:pPr>
        <w:ind w:left="572" w:hanging="572"/>
        <w:spacing w:after="0"/>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567"/>
        <w:spacing w:after="0" w:line="268" w:lineRule="auto"/>
        <w:rPr>
          <w:rFonts w:ascii="Arial" w:cs="Arial" w:eastAsia="Arial" w:hAnsi="Arial"/>
          <w:sz w:val="18"/>
          <w:szCs w:val="18"/>
          <w:color w:val="auto"/>
        </w:rPr>
      </w:pPr>
      <w:r>
        <w:rPr>
          <w:rFonts w:ascii="Arial" w:cs="Arial" w:eastAsia="Arial" w:hAnsi="Arial"/>
          <w:sz w:val="18"/>
          <w:szCs w:val="18"/>
          <w:color w:val="auto"/>
        </w:rPr>
        <w:t>18.1. The Plan and all instruments issued hereunder in connection with Options granted pursuant to Section 102 shall be governed by, and interpreted in accordance with, the laws of the State of Israel.</w:t>
      </w:r>
    </w:p>
    <w:p>
      <w:pPr>
        <w:spacing w:after="0" w:line="212" w:lineRule="exact"/>
        <w:rPr>
          <w:rFonts w:ascii="Arial" w:cs="Arial" w:eastAsia="Arial" w:hAnsi="Arial"/>
          <w:sz w:val="18"/>
          <w:szCs w:val="18"/>
          <w:color w:val="auto"/>
        </w:rPr>
      </w:pPr>
    </w:p>
    <w:p>
      <w:pPr>
        <w:ind w:left="1152" w:right="20" w:hanging="567"/>
        <w:spacing w:after="0" w:line="268" w:lineRule="auto"/>
        <w:rPr>
          <w:rFonts w:ascii="Arial" w:cs="Arial" w:eastAsia="Arial" w:hAnsi="Arial"/>
          <w:sz w:val="18"/>
          <w:szCs w:val="18"/>
          <w:color w:val="auto"/>
        </w:rPr>
      </w:pPr>
      <w:r>
        <w:rPr>
          <w:rFonts w:ascii="Arial" w:cs="Arial" w:eastAsia="Arial" w:hAnsi="Arial"/>
          <w:sz w:val="18"/>
          <w:szCs w:val="18"/>
          <w:color w:val="auto"/>
        </w:rPr>
        <w:t>18.2. The Plan and all instruments issued hereunder in connection with Options granted pursuant to the Code shall be governed by, and interpreted in accordance with, the laws of the State of California.</w:t>
      </w:r>
    </w:p>
    <w:p>
      <w:pPr>
        <w:spacing w:after="0" w:line="200" w:lineRule="exact"/>
        <w:rPr>
          <w:sz w:val="20"/>
          <w:szCs w:val="20"/>
          <w:color w:val="auto"/>
        </w:rPr>
      </w:pPr>
    </w:p>
    <w:p>
      <w:pPr>
        <w:spacing w:after="0" w:line="22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9065260</wp:posOffset>
            </wp:positionV>
            <wp:extent cx="72675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52"/>
          </w:cols>
          <w:pgMar w:left="248" w:top="131" w:right="399" w:bottom="1440" w:gutter="0" w:footer="0" w:header="0"/>
        </w:sectPr>
      </w:pPr>
    </w:p>
    <w:bookmarkStart w:id="51" w:name="page52"/>
    <w:bookmarkEnd w:id="51"/>
    <w:p>
      <w:pPr>
        <w:ind w:left="10520"/>
        <w:spacing w:after="0"/>
        <w:rPr>
          <w:sz w:val="20"/>
          <w:szCs w:val="20"/>
          <w:color w:val="auto"/>
        </w:rPr>
      </w:pPr>
      <w:r>
        <w:rPr>
          <w:rFonts w:ascii="Arial" w:cs="Arial" w:eastAsia="Arial" w:hAnsi="Arial"/>
          <w:sz w:val="16"/>
          <w:szCs w:val="16"/>
          <w:b w:val="1"/>
          <w:bCs w:val="1"/>
          <w:u w:val="single" w:color="auto"/>
          <w:color w:val="auto"/>
        </w:rPr>
        <w:t>Exhibit 4.11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Grant Letter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Grant of Options – Independent Directors Share Option Plan 2007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Dear: [________]</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Tower Semiconductor Ltd. (the “Company”) is pleased to grant you options (“Options”) to purchase up to one hundred and fifty thousand (xxx) Ordinary Shares, nominal value NIS 1.00 each, of the Company (the “Shares”), pursuant to the Independent Directors Share Option Plan 2007 of the Company (the “Plan”), as of [ ] (the “Date of Grant”). Capitalized terms not defined in this letter agreement (this “Option Agreement”) shall have the meaning ascribed to them in the Plan.</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grant and issuance of Options pursuant to this Option Agreement is subject to the receipt of all the approvals required under Section 102 of the Income Tax Ordinance (“Section 102”). The Options will therefore be issued to the Trustee. The Options are granted as 102 Capital Gains Track Options.</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exercise price of each Option shall be $[ ] (but no less than the nominal value per Share). The terms and conditions set forth in this Option Agreement are subject to and supplemented by the terms and conditions set forth in the Plan, a copy of which is attached hereto. You are urged to review the Plan and shall be deemed to be fully aware of all the terms and conditions governing the Options set forth in the Plan. By your signature below, you agree to be bound by the terms and conditions of the Plan. Notwithstanding the above, in the event of any contradiction between the terms of this Option Agreement and the terms of the Plan, the terms of this Option Agreement shall prevail.</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Options granted pursuant to this Option Agreement will be issued once you sign and return to the Company: (I) this Option Agreement, (II) the attached Declaration, and (III) any other form which is required under Section 102 and which will be provided to you by the Company.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the Options is subject to the main terms and conditions set out below. Other terms and conditions of the Options are set out in the Plan.</w:t>
      </w:r>
    </w:p>
    <w:p>
      <w:pPr>
        <w:spacing w:after="0" w:line="242"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Issuance of Options.</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Options are hereby issued to the Trustee for your benefit, subject to the terms and conditions hereunder.</w:t>
      </w:r>
    </w:p>
    <w:p>
      <w:pPr>
        <w:spacing w:after="0" w:line="27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Options will not be listed on any stock exchange and are not transferable (except to your legal heirs or estate).</w:t>
      </w:r>
    </w:p>
    <w:p>
      <w:pPr>
        <w:spacing w:after="0" w:line="273" w:lineRule="exact"/>
        <w:rPr>
          <w:rFonts w:ascii="Arial" w:cs="Arial" w:eastAsia="Arial" w:hAnsi="Arial"/>
          <w:sz w:val="18"/>
          <w:szCs w:val="18"/>
          <w:b w:val="1"/>
          <w:bCs w:val="1"/>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Period of Exercise.</w:t>
      </w:r>
    </w:p>
    <w:p>
      <w:pPr>
        <w:spacing w:after="0" w:line="258" w:lineRule="exact"/>
        <w:rPr>
          <w:rFonts w:ascii="Arial" w:cs="Arial" w:eastAsia="Arial" w:hAnsi="Arial"/>
          <w:sz w:val="18"/>
          <w:szCs w:val="18"/>
          <w:b w:val="1"/>
          <w:bCs w:val="1"/>
          <w:color w:val="auto"/>
        </w:rPr>
      </w:pPr>
    </w:p>
    <w:p>
      <w:pPr>
        <w:ind w:left="1160" w:right="600" w:hanging="567"/>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Vesting Schedule</w:t>
      </w:r>
      <w:r>
        <w:rPr>
          <w:rFonts w:ascii="Arial" w:cs="Arial" w:eastAsia="Arial" w:hAnsi="Arial"/>
          <w:sz w:val="16"/>
          <w:szCs w:val="16"/>
          <w:color w:val="auto"/>
        </w:rPr>
        <w:t>. Subject to the terms and conditions of the Plan and this Option Agreement, the Options granted pursuant to this Option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shall become exercisable (vest) over a period of three (3) years in accordance with the following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left="820" w:hanging="244"/>
        <w:spacing w:after="0"/>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one third (1/3) of the Options shall vest on the twelve (12) month anniversary of the Date of Grant (the “First Vesting Date”); and thereafter</w:t>
      </w:r>
    </w:p>
    <w:p>
      <w:pPr>
        <w:spacing w:after="0" w:line="302" w:lineRule="exact"/>
        <w:rPr>
          <w:rFonts w:ascii="Arial" w:cs="Arial" w:eastAsia="Arial" w:hAnsi="Arial"/>
          <w:sz w:val="16"/>
          <w:szCs w:val="16"/>
          <w:color w:val="auto"/>
        </w:rPr>
      </w:pPr>
    </w:p>
    <w:p>
      <w:pPr>
        <w:ind w:left="820" w:hanging="244"/>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 twenty-fourth (1/24) of the Options shall vest on a monthly basis until fully vested.</w:t>
      </w:r>
    </w:p>
    <w:p>
      <w:pPr>
        <w:spacing w:after="0" w:line="279"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In the event of any fractions, the number of Options that vest shall be rounded down to the nearest whole number and on the last vesting date the aggregate of all such fractions shall also vest, provided that the total number of Options that vest pursuant to this Option Agreement does not exceed the maximum number of Options granted pursuant to this Option Agreement.</w:t>
      </w:r>
    </w:p>
    <w:p>
      <w:pPr>
        <w:spacing w:after="0" w:line="221"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above Options will vest, and subject to the terms hereof, become exercisable, only if on the date of vesting you serve as member of the Board of Directors of the Company (the “Board”).</w:t>
      </w:r>
    </w:p>
    <w:p>
      <w:pPr>
        <w:spacing w:after="0" w:line="213" w:lineRule="exact"/>
        <w:rPr>
          <w:sz w:val="20"/>
          <w:szCs w:val="20"/>
          <w:color w:val="auto"/>
        </w:rPr>
      </w:pPr>
    </w:p>
    <w:p>
      <w:pPr>
        <w:jc w:val="both"/>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Other than as set forth in applicable law and subject to the terms hereof, vested Options may be exercised in whole or in part, at any time within a period of ten (10) years from the First Vesting Date (the “Exercise Period”). Any Option not exercised within the Exercise Period shall lapse and become void and unexercisable.</w:t>
      </w:r>
    </w:p>
    <w:p>
      <w:pPr>
        <w:spacing w:after="0" w:line="221" w:lineRule="exact"/>
        <w:rPr>
          <w:sz w:val="20"/>
          <w:szCs w:val="20"/>
          <w:color w:val="auto"/>
        </w:rPr>
      </w:pPr>
    </w:p>
    <w:p>
      <w:pPr>
        <w:ind w:left="580" w:right="80" w:hanging="566"/>
        <w:spacing w:after="0" w:line="268"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Company will come to an agreement with you as to how to value the Ordinary Shares of the Company in the event that they are not publicly traded at the time of an Option exercise.</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Upon resignation or removal from the Board or failure to be reelected by the shareholders of the Company to the Board subsequent to the Date of</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 the Options will be treated as follows:</w:t>
      </w:r>
    </w:p>
    <w:p>
      <w:pPr>
        <w:spacing w:after="0" w:line="246" w:lineRule="exact"/>
        <w:rPr>
          <w:sz w:val="20"/>
          <w:szCs w:val="20"/>
          <w:color w:val="auto"/>
        </w:rPr>
      </w:pPr>
    </w:p>
    <w:p>
      <w:pPr>
        <w:ind w:left="1100" w:hanging="524"/>
        <w:spacing w:after="0"/>
        <w:tabs>
          <w:tab w:leader="none" w:pos="11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resignation or removal (other than for Cause) from the Board or failure to be reelected by the shareholders of the Company to the</w:t>
      </w:r>
    </w:p>
    <w:p>
      <w:pPr>
        <w:spacing w:after="0" w:line="38" w:lineRule="exact"/>
        <w:rPr>
          <w:rFonts w:ascii="Arial" w:cs="Arial" w:eastAsia="Arial" w:hAnsi="Arial"/>
          <w:sz w:val="16"/>
          <w:szCs w:val="16"/>
          <w:color w:val="auto"/>
        </w:rPr>
      </w:pPr>
    </w:p>
    <w:p>
      <w:pPr>
        <w:ind w:left="580" w:right="820"/>
        <w:spacing w:after="0" w:line="261" w:lineRule="auto"/>
        <w:rPr>
          <w:rFonts w:ascii="Arial" w:cs="Arial" w:eastAsia="Arial" w:hAnsi="Arial"/>
          <w:sz w:val="16"/>
          <w:szCs w:val="16"/>
          <w:color w:val="auto"/>
        </w:rPr>
      </w:pPr>
      <w:r>
        <w:rPr>
          <w:rFonts w:ascii="Arial" w:cs="Arial" w:eastAsia="Arial" w:hAnsi="Arial"/>
          <w:sz w:val="18"/>
          <w:szCs w:val="18"/>
          <w:color w:val="auto"/>
        </w:rPr>
        <w:t>Board: (a) any vested Options shall expire and become unexercisable two (2) years from such date; and (b) any unvested Options shall immediately expire.</w:t>
      </w:r>
    </w:p>
    <w:p>
      <w:pPr>
        <w:spacing w:after="0" w:line="218" w:lineRule="exact"/>
        <w:rPr>
          <w:rFonts w:ascii="Arial" w:cs="Arial" w:eastAsia="Arial" w:hAnsi="Arial"/>
          <w:sz w:val="16"/>
          <w:szCs w:val="16"/>
          <w:color w:val="auto"/>
        </w:rPr>
      </w:pPr>
    </w:p>
    <w:p>
      <w:pPr>
        <w:ind w:left="1140" w:hanging="56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removal from the Board for Cause, all vested and unvested Options shall immediately expire.</w:t>
      </w:r>
    </w:p>
    <w:p>
      <w:pPr>
        <w:spacing w:after="0" w:line="252" w:lineRule="exact"/>
        <w:rPr>
          <w:sz w:val="20"/>
          <w:szCs w:val="20"/>
          <w:color w:val="auto"/>
        </w:rPr>
      </w:pPr>
    </w:p>
    <w:p>
      <w:pPr>
        <w:ind w:left="580" w:right="60" w:hanging="566"/>
        <w:spacing w:after="0" w:line="259"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The procedure for exercise of the Options will be provided to you by the Company upon request or can be obtained at www.tamirfishman.com or by telephone: +972-3-6849282 or by email: </w:t>
      </w:r>
      <w:r>
        <w:rPr>
          <w:rFonts w:ascii="Arial" w:cs="Arial" w:eastAsia="Arial" w:hAnsi="Arial"/>
          <w:sz w:val="18"/>
          <w:szCs w:val="18"/>
          <w:u w:val="single" w:color="auto"/>
          <w:color w:val="auto"/>
        </w:rPr>
        <w:t>sop@tamfish.com</w:t>
      </w:r>
      <w:r>
        <w:rPr>
          <w:rFonts w:ascii="Arial" w:cs="Arial" w:eastAsia="Arial" w:hAnsi="Arial"/>
          <w:sz w:val="18"/>
          <w:szCs w:val="18"/>
          <w:color w:val="auto"/>
        </w:rPr>
        <w:t>. The Company may change the procedure for exercise of the Options at its discretion. The Company will notify you of any changes in the procedure.</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There shall be no restrictions on the resale of Shares by you, except as imposed by applicable laws, including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274955</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820" w:top="131" w:right="239" w:bottom="1440" w:gutter="0" w:footer="0" w:header="0"/>
        </w:sectPr>
      </w:pPr>
    </w:p>
    <w:bookmarkStart w:id="53" w:name="page54"/>
    <w:bookmarkEnd w:id="53"/>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8" w:lineRule="exact"/>
        <w:rPr>
          <w:rFonts w:ascii="Arial" w:cs="Arial" w:eastAsia="Arial" w:hAnsi="Arial"/>
          <w:sz w:val="18"/>
          <w:szCs w:val="18"/>
          <w:b w:val="1"/>
          <w:bCs w:val="1"/>
          <w:color w:val="auto"/>
        </w:rPr>
      </w:pPr>
    </w:p>
    <w:p>
      <w:pPr>
        <w:ind w:left="58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Any notice or other communication required or permitted hereunder shall be in writing and shall be delivered personally, sent by facsimile transmission, electronic mail or certified, registered or express mail, postage prepaid. Any such notice shall be deemed given when so delivered personally, sent by facsimile transmission or electronic mail or, if mailed, three days after the date of deposit in the Israeli mail,</w:t>
      </w:r>
    </w:p>
    <w:p>
      <w:pPr>
        <w:spacing w:after="0" w:line="187"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to you, at your address, fax number or e-mail listed beneath your signature below;</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to the Company: Human Resources Department, Tower Semiconductor, P.O. Box 619, Migdal Ha’emek, Israel;</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with respect to Option exercise procedures: www.tamirfishman.com or Tel: +972-3-6849282 Fax: +972-3-6853773</w:t>
      </w:r>
    </w:p>
    <w:p>
      <w:pPr>
        <w:spacing w:after="0" w:line="1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Email: sop@tamfish.com</w:t>
      </w:r>
    </w:p>
    <w:p>
      <w:pPr>
        <w:spacing w:after="0" w:line="239"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p>
    <w:p>
      <w:pPr>
        <w:spacing w:after="0" w:line="258" w:lineRule="exact"/>
        <w:rPr>
          <w:rFonts w:ascii="Arial" w:cs="Arial" w:eastAsia="Arial" w:hAnsi="Arial"/>
          <w:sz w:val="18"/>
          <w:szCs w:val="18"/>
          <w:b w:val="1"/>
          <w:bCs w:val="1"/>
          <w:color w:val="auto"/>
        </w:rPr>
      </w:pPr>
    </w:p>
    <w:p>
      <w:pPr>
        <w:ind w:left="58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delay or failure on the part of any party hereto to insist, in any one instance or more, upon strict performance of any of the terms or conditions of this Option Agreement, or to exercise any right or privilege herein conferred shall not be construed as a waiver of any such terms, conditions, rights or privileges but the same shall continue and remain in full force and effect.</w:t>
      </w:r>
    </w:p>
    <w:p>
      <w:pPr>
        <w:spacing w:after="0" w:line="215" w:lineRule="exact"/>
        <w:rPr>
          <w:rFonts w:ascii="Arial" w:cs="Arial" w:eastAsia="Arial" w:hAnsi="Arial"/>
          <w:sz w:val="18"/>
          <w:szCs w:val="18"/>
          <w:b w:val="1"/>
          <w:bCs w:val="1"/>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p>
    <w:p>
      <w:pPr>
        <w:spacing w:after="0" w:line="258" w:lineRule="exact"/>
        <w:rPr>
          <w:rFonts w:ascii="Arial" w:cs="Arial" w:eastAsia="Arial" w:hAnsi="Arial"/>
          <w:sz w:val="18"/>
          <w:szCs w:val="18"/>
          <w:b w:val="1"/>
          <w:bCs w:val="1"/>
          <w:color w:val="auto"/>
        </w:rPr>
      </w:pPr>
    </w:p>
    <w:p>
      <w:pPr>
        <w:ind w:left="58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This Option Agreement shall be governed by, and interpreted in accordance with, the laws of the State of Israel. The District Court in Tel Aviv shall have exclusive jurisdiction to settle any disputes that may arise out of or in connection with this Option Agreement and that, accordingly, any suit, action or proceeding arising out of or in connection with this Option Agreement may be brought in such court.</w:t>
      </w:r>
    </w:p>
    <w:p>
      <w:pPr>
        <w:spacing w:after="0" w:line="181" w:lineRule="exact"/>
        <w:rPr>
          <w:rFonts w:ascii="Arial" w:cs="Arial" w:eastAsia="Arial" w:hAnsi="Arial"/>
          <w:sz w:val="18"/>
          <w:szCs w:val="18"/>
          <w:b w:val="1"/>
          <w:bCs w:val="1"/>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w:t>
      </w:r>
    </w:p>
    <w:p>
      <w:pPr>
        <w:spacing w:after="0" w:line="258" w:lineRule="exact"/>
        <w:rPr>
          <w:rFonts w:ascii="Arial" w:cs="Arial" w:eastAsia="Arial" w:hAnsi="Arial"/>
          <w:sz w:val="18"/>
          <w:szCs w:val="18"/>
          <w:b w:val="1"/>
          <w:bCs w:val="1"/>
          <w:color w:val="auto"/>
        </w:rPr>
      </w:pPr>
    </w:p>
    <w:p>
      <w:pPr>
        <w:ind w:left="580"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terms and conditions of this Option Agreement shall be subject to and contingent upon the approval of the shareholders of the Company and no Option may be exercised until such time as the approval by the Company’s shareholders shall have been received.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7160" w:type="dxa"/>
            <w:vAlign w:val="bottom"/>
          </w:tcPr>
          <w:p>
            <w:pPr>
              <w:ind w:left="1460"/>
              <w:spacing w:after="0"/>
              <w:rPr>
                <w:sz w:val="20"/>
                <w:szCs w:val="20"/>
                <w:color w:val="auto"/>
              </w:rPr>
            </w:pPr>
            <w:r>
              <w:rPr>
                <w:rFonts w:ascii="Arial" w:cs="Arial" w:eastAsia="Arial" w:hAnsi="Arial"/>
                <w:sz w:val="18"/>
                <w:szCs w:val="18"/>
                <w:color w:val="auto"/>
              </w:rPr>
              <w:t>Sincerely,</w:t>
            </w:r>
          </w:p>
        </w:tc>
      </w:tr>
      <w:tr>
        <w:trPr>
          <w:trHeight w:val="432"/>
        </w:trPr>
        <w:tc>
          <w:tcPr>
            <w:tcW w:w="4260" w:type="dxa"/>
            <w:vAlign w:val="bottom"/>
          </w:tcPr>
          <w:p>
            <w:pPr>
              <w:spacing w:after="0"/>
              <w:rPr>
                <w:sz w:val="24"/>
                <w:szCs w:val="24"/>
                <w:color w:val="auto"/>
              </w:rPr>
            </w:pPr>
          </w:p>
        </w:tc>
        <w:tc>
          <w:tcPr>
            <w:tcW w:w="7160" w:type="dxa"/>
            <w:vAlign w:val="bottom"/>
          </w:tcPr>
          <w:p>
            <w:pPr>
              <w:ind w:left="1460"/>
              <w:spacing w:after="0"/>
              <w:rPr>
                <w:sz w:val="20"/>
                <w:szCs w:val="20"/>
                <w:color w:val="auto"/>
              </w:rPr>
            </w:pPr>
            <w:r>
              <w:rPr>
                <w:rFonts w:ascii="Arial" w:cs="Arial" w:eastAsia="Arial" w:hAnsi="Arial"/>
                <w:sz w:val="18"/>
                <w:szCs w:val="18"/>
                <w:color w:val="auto"/>
              </w:rPr>
              <w:t>Tower Semiconductor Ltd.</w:t>
            </w:r>
          </w:p>
        </w:tc>
      </w:tr>
      <w:tr>
        <w:trPr>
          <w:trHeight w:val="675"/>
        </w:trPr>
        <w:tc>
          <w:tcPr>
            <w:tcW w:w="4260" w:type="dxa"/>
            <w:vAlign w:val="bottom"/>
          </w:tcPr>
          <w:p>
            <w:pPr>
              <w:spacing w:after="0"/>
              <w:rPr>
                <w:sz w:val="20"/>
                <w:szCs w:val="20"/>
                <w:color w:val="auto"/>
              </w:rPr>
            </w:pPr>
            <w:r>
              <w:rPr>
                <w:rFonts w:ascii="Arial" w:cs="Arial" w:eastAsia="Arial" w:hAnsi="Arial"/>
                <w:sz w:val="18"/>
                <w:szCs w:val="18"/>
                <w:color w:val="auto"/>
              </w:rPr>
              <w:t>Name of Grantee: ___________________</w:t>
            </w:r>
          </w:p>
        </w:tc>
        <w:tc>
          <w:tcPr>
            <w:tcW w:w="7160" w:type="dxa"/>
            <w:vAlign w:val="bottom"/>
          </w:tcPr>
          <w:p>
            <w:pPr>
              <w:ind w:left="420"/>
              <w:spacing w:after="0"/>
              <w:rPr>
                <w:sz w:val="20"/>
                <w:szCs w:val="20"/>
                <w:color w:val="auto"/>
              </w:rPr>
            </w:pPr>
            <w:r>
              <w:rPr>
                <w:rFonts w:ascii="Arial" w:cs="Arial" w:eastAsia="Arial" w:hAnsi="Arial"/>
                <w:sz w:val="18"/>
                <w:szCs w:val="18"/>
                <w:color w:val="auto"/>
              </w:rPr>
              <w:t>Date: ______________</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Grantee signature: _____________________</w:t>
            </w:r>
          </w:p>
        </w:tc>
        <w:tc>
          <w:tcPr>
            <w:tcW w:w="7160" w:type="dxa"/>
            <w:vAlign w:val="bottom"/>
          </w:tcPr>
          <w:p>
            <w:pPr>
              <w:spacing w:after="0"/>
              <w:rPr>
                <w:sz w:val="24"/>
                <w:szCs w:val="24"/>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w w:val="98"/>
              </w:rPr>
              <w:t>Grantee Israeli Identity Number: _________________</w:t>
            </w:r>
          </w:p>
        </w:tc>
        <w:tc>
          <w:tcPr>
            <w:tcW w:w="7160" w:type="dxa"/>
            <w:vAlign w:val="bottom"/>
          </w:tcPr>
          <w:p>
            <w:pPr>
              <w:spacing w:after="0"/>
              <w:rPr>
                <w:sz w:val="24"/>
                <w:szCs w:val="24"/>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Grantee address, fax number: ____________</w:t>
            </w:r>
          </w:p>
        </w:tc>
        <w:tc>
          <w:tcPr>
            <w:tcW w:w="7160" w:type="dxa"/>
            <w:vAlign w:val="bottom"/>
          </w:tcPr>
          <w:p>
            <w:pPr>
              <w:spacing w:after="0"/>
              <w:rPr>
                <w:sz w:val="24"/>
                <w:szCs w:val="24"/>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Fax: ______________ Email: __________________</w:t>
            </w:r>
          </w:p>
        </w:tc>
        <w:tc>
          <w:tcPr>
            <w:tcW w:w="7160" w:type="dxa"/>
            <w:vAlign w:val="bottom"/>
          </w:tcPr>
          <w:p>
            <w:pPr>
              <w:spacing w:after="0"/>
              <w:rPr>
                <w:sz w:val="24"/>
                <w:szCs w:val="24"/>
                <w:color w:val="auto"/>
              </w:rPr>
            </w:pPr>
          </w:p>
        </w:tc>
      </w:tr>
      <w:tr>
        <w:trPr>
          <w:trHeight w:val="174"/>
        </w:trPr>
        <w:tc>
          <w:tcPr>
            <w:tcW w:w="4260" w:type="dxa"/>
            <w:vAlign w:val="bottom"/>
          </w:tcPr>
          <w:p>
            <w:pPr>
              <w:spacing w:after="0"/>
              <w:rPr>
                <w:sz w:val="15"/>
                <w:szCs w:val="15"/>
                <w:color w:val="auto"/>
              </w:rPr>
            </w:pPr>
          </w:p>
        </w:tc>
        <w:tc>
          <w:tcPr>
            <w:tcW w:w="7160" w:type="dxa"/>
            <w:vAlign w:val="bottom"/>
          </w:tcPr>
          <w:p>
            <w:pPr>
              <w:spacing w:after="0"/>
              <w:rPr>
                <w:sz w:val="15"/>
                <w:szCs w:val="15"/>
                <w:color w:val="auto"/>
              </w:rPr>
            </w:pPr>
          </w:p>
        </w:tc>
      </w:tr>
      <w:tr>
        <w:trPr>
          <w:trHeight w:val="61"/>
        </w:trPr>
        <w:tc>
          <w:tcPr>
            <w:tcW w:w="426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Grantee Declaration</w:t>
      </w:r>
    </w:p>
    <w:p>
      <w:pPr>
        <w:spacing w:after="0" w:line="312"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the undersigned, confirm that the contents of this Option Agreement, dated [__________] are acceptable and agreed to by me.</w:t>
      </w:r>
    </w:p>
    <w:p>
      <w:pPr>
        <w:spacing w:after="0" w:line="225" w:lineRule="exact"/>
        <w:rPr>
          <w:rFonts w:ascii="Arial" w:cs="Arial" w:eastAsia="Arial" w:hAnsi="Arial"/>
          <w:sz w:val="18"/>
          <w:szCs w:val="18"/>
          <w:color w:val="auto"/>
        </w:rPr>
      </w:pPr>
    </w:p>
    <w:p>
      <w:pPr>
        <w:ind w:right="140" w:firstLine="8"/>
        <w:spacing w:after="0" w:line="254" w:lineRule="auto"/>
        <w:tabs>
          <w:tab w:leader="none" w:pos="3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tax consequences arising from (i) the grant or exercise of any Option, (ii) the issuance of Shares and payment therefor, (iii) the sale, transfer or exchange of Shares, or (iv) any other event or act of mine or of the Company hereunder, and any commissions and other expenses related thereto, shall be borne solely by me. The Company, any of its subsidiaries and/or the Trustee may withhold any taxes, expenses and commissions as required. I agree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me.</w:t>
      </w:r>
    </w:p>
    <w:p>
      <w:pPr>
        <w:spacing w:after="0" w:line="198" w:lineRule="exact"/>
        <w:rPr>
          <w:rFonts w:ascii="Arial" w:cs="Arial" w:eastAsia="Arial" w:hAnsi="Arial"/>
          <w:sz w:val="18"/>
          <w:szCs w:val="18"/>
          <w:color w:val="auto"/>
        </w:rPr>
      </w:pPr>
    </w:p>
    <w:p>
      <w:pPr>
        <w:ind w:right="60" w:firstLine="8"/>
        <w:spacing w:after="0" w:line="298" w:lineRule="auto"/>
        <w:tabs>
          <w:tab w:leader="none" w:pos="3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acknowledge and agree that in the event the Company issues securities as bonus shares or performs a share split or a similar dissolution, such bonus shares or other similar rights on the shares granted to me pursuant to this Option Agreement, shall be transferred by the Company to the Trustee, and the terms and provisions of the Ordinance and the Rules (as such terms are defined below) shall apply to the bonus shares and/or other similar rights, as shall the Trustee’s undertakings under the Agreement between the Trustee and the Company, as amended from time to time (the “Trust Agreement”).</w:t>
      </w:r>
    </w:p>
    <w:p>
      <w:pPr>
        <w:spacing w:after="0" w:line="166" w:lineRule="exact"/>
        <w:rPr>
          <w:rFonts w:ascii="Arial" w:cs="Arial" w:eastAsia="Arial" w:hAnsi="Arial"/>
          <w:sz w:val="16"/>
          <w:szCs w:val="16"/>
          <w:color w:val="auto"/>
        </w:rPr>
      </w:pPr>
    </w:p>
    <w:p>
      <w:pPr>
        <w:ind w:right="60" w:firstLine="8"/>
        <w:spacing w:after="0" w:line="286" w:lineRule="auto"/>
        <w:tabs>
          <w:tab w:leader="none" w:pos="3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which deviates from the rules set forth in Section 102 of the Ordinance or in regulations promulgated thereunder may result in adverse tax consequences for me. I further acknowledge that each of the Company, brokers effecting transactions relating to my Options and the Trustee is under no obligation to inform me as to whether a particular transaction I may consider effecting complies with the provisions of Section 102 of the Ordinance or the rules promulgated thereunder.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pacing w:after="0" w:line="181" w:lineRule="exact"/>
        <w:rPr>
          <w:rFonts w:ascii="Arial" w:cs="Arial" w:eastAsia="Arial" w:hAnsi="Arial"/>
          <w:sz w:val="16"/>
          <w:szCs w:val="16"/>
          <w:color w:val="auto"/>
        </w:rPr>
      </w:pPr>
    </w:p>
    <w:p>
      <w:pPr>
        <w:ind w:firstLine="8"/>
        <w:spacing w:after="0" w:line="288" w:lineRule="auto"/>
        <w:tabs>
          <w:tab w:leader="none" w:pos="35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Appointment of a Trustee</w:t>
      </w:r>
      <w:r>
        <w:rPr>
          <w:rFonts w:ascii="Arial" w:cs="Arial" w:eastAsia="Arial" w:hAnsi="Arial"/>
          <w:sz w:val="16"/>
          <w:szCs w:val="16"/>
          <w:color w:val="auto"/>
        </w:rPr>
        <w:t>. I acknowledge that the Trustee has been appointed to administer my Options in accordance with Section 102 of the Ordinance and the Income Tax Rules (Tax Benefits Regarding the Grant of Options to Employees), 2003 (the “Rules”) and pursuant the Trust Agreement. In accordance with the terms of this Option Agreement and the Trust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 (c) provide the Israeli tax authorities with a report regarding the grant of Options under the Plan, within ninety (90) days from the Grant Date in accordance with the Rules. Any fees associated with the exercise of my Options, including as may be specified in the Trust Agreement, will be borne solely by me. In accordance with the approval granted by the Israel tax authorities in connection with the Plan, certain of the functions related to the administration of my Options may be performed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5" w:name="page56"/>
    <w:bookmarkEnd w:id="55"/>
    <w:p>
      <w:pPr>
        <w:ind w:right="80" w:firstLine="8"/>
        <w:spacing w:after="0" w:line="289" w:lineRule="auto"/>
        <w:tabs>
          <w:tab w:leader="none" w:pos="35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Required Holding Period</w:t>
      </w:r>
      <w:r>
        <w:rPr>
          <w:rFonts w:ascii="Arial" w:cs="Arial" w:eastAsia="Arial" w:hAnsi="Arial"/>
          <w:sz w:val="16"/>
          <w:szCs w:val="16"/>
          <w:color w:val="auto"/>
        </w:rPr>
        <w:t>. In accepting this grant, I acknowledge that unless otherwise permitted by the Israeli tax authorities, the Rules as of the Date of Grant, prohibit me from selling my Shares during a period of twenty-four months from the date the grant took place as my Options are subject to the “capital gains track” as set forth in Section 102(b)(2) of the Ordinance (the “Required Holding Period” and “Capital Gains Track”, respectively).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a sale of the Shares during the Required Holding Period will forfeit my right to receive the tax benefits of the Capital Gains Track and the income derived from the exercise of the Options and the sale of the Shares will be taxed as ordinary income (and not at the reduced capital gains tax rate, if applicable) and will be generally subject to National Insurance and Health Tax.</w:t>
      </w:r>
    </w:p>
    <w:p>
      <w:pPr>
        <w:spacing w:after="0" w:line="172" w:lineRule="exact"/>
        <w:rPr>
          <w:rFonts w:ascii="Arial" w:cs="Arial" w:eastAsia="Arial" w:hAnsi="Arial"/>
          <w:sz w:val="16"/>
          <w:szCs w:val="16"/>
          <w:color w:val="auto"/>
        </w:rPr>
      </w:pPr>
    </w:p>
    <w:p>
      <w:pPr>
        <w:ind w:firstLine="8"/>
        <w:spacing w:after="0" w:line="256" w:lineRule="auto"/>
        <w:tabs>
          <w:tab w:leader="none" w:pos="3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other than any claim or right I may have pursuant to any written agreement between myself and the Company.</w:t>
      </w:r>
    </w:p>
    <w:p>
      <w:pPr>
        <w:spacing w:after="0" w:line="197" w:lineRule="exact"/>
        <w:rPr>
          <w:rFonts w:ascii="Arial" w:cs="Arial" w:eastAsia="Arial" w:hAnsi="Arial"/>
          <w:sz w:val="18"/>
          <w:szCs w:val="18"/>
          <w:color w:val="auto"/>
        </w:rPr>
      </w:pPr>
    </w:p>
    <w:p>
      <w:pPr>
        <w:ind w:right="160" w:firstLine="8"/>
        <w:spacing w:after="0" w:line="298" w:lineRule="auto"/>
        <w:tabs>
          <w:tab w:leader="none" w:pos="3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am aware that pursuant to Section 102(b)(3) of the Ordinance if my Options are issued with an exercise price lower than the average closing price of the Company’s shares on the 30 (thirty) trading days preceding the issuance of the Options, a part of any benefit ultimately derived from the exercise of the Options and the sale of the Shares, generally up to the amount equivalent to the difference between these prices, will be taxed as ordinary income and not at the reduced capital gains tax rate and generally will be subject to National Insurance and Health Tax.</w:t>
      </w:r>
    </w:p>
    <w:p>
      <w:pPr>
        <w:spacing w:after="0" w:line="166" w:lineRule="exact"/>
        <w:rPr>
          <w:rFonts w:ascii="Arial" w:cs="Arial" w:eastAsia="Arial" w:hAnsi="Arial"/>
          <w:sz w:val="16"/>
          <w:szCs w:val="16"/>
          <w:color w:val="auto"/>
        </w:rPr>
      </w:pPr>
    </w:p>
    <w:p>
      <w:pPr>
        <w:ind w:right="560" w:firstLine="8"/>
        <w:spacing w:after="0" w:line="268" w:lineRule="auto"/>
        <w:tabs>
          <w:tab w:leader="none" w:pos="35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Transfer of Information</w:t>
      </w:r>
      <w:r>
        <w:rPr>
          <w:rFonts w:ascii="Arial" w:cs="Arial" w:eastAsia="Arial" w:hAnsi="Arial"/>
          <w:sz w:val="18"/>
          <w:szCs w:val="18"/>
          <w:color w:val="auto"/>
        </w:rPr>
        <w:t>. I hereby consent to the transfer of information that the Company is required to report to the tax authorities and to the Trustee relating to the Options in accordance with the provisions of Section 102 of the Ordinance and the Rules.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Name of Grantee: _______________</w:t>
            </w:r>
          </w:p>
        </w:tc>
        <w:tc>
          <w:tcPr>
            <w:tcW w:w="7240" w:type="dxa"/>
            <w:vAlign w:val="bottom"/>
          </w:tcPr>
          <w:p>
            <w:pPr>
              <w:ind w:left="1540"/>
              <w:spacing w:after="0"/>
              <w:rPr>
                <w:sz w:val="20"/>
                <w:szCs w:val="20"/>
                <w:color w:val="auto"/>
              </w:rPr>
            </w:pPr>
            <w:r>
              <w:rPr>
                <w:rFonts w:ascii="Arial" w:cs="Arial" w:eastAsia="Arial" w:hAnsi="Arial"/>
                <w:sz w:val="18"/>
                <w:szCs w:val="18"/>
                <w:color w:val="auto"/>
              </w:rPr>
              <w:t>Signature: ___________</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ID Number: ____________</w:t>
            </w:r>
          </w:p>
        </w:tc>
        <w:tc>
          <w:tcPr>
            <w:tcW w:w="7240" w:type="dxa"/>
            <w:vAlign w:val="bottom"/>
          </w:tcPr>
          <w:p>
            <w:pPr>
              <w:ind w:left="1540"/>
              <w:spacing w:after="0"/>
              <w:rPr>
                <w:sz w:val="20"/>
                <w:szCs w:val="20"/>
                <w:color w:val="auto"/>
              </w:rPr>
            </w:pPr>
            <w:r>
              <w:rPr>
                <w:rFonts w:ascii="Arial" w:cs="Arial" w:eastAsia="Arial" w:hAnsi="Arial"/>
                <w:sz w:val="18"/>
                <w:szCs w:val="18"/>
                <w:color w:val="auto"/>
              </w:rPr>
              <w:t>Date: ____________</w:t>
            </w:r>
          </w:p>
        </w:tc>
      </w:tr>
      <w:tr>
        <w:trPr>
          <w:trHeight w:val="417"/>
        </w:trPr>
        <w:tc>
          <w:tcPr>
            <w:tcW w:w="41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61"/>
        </w:trPr>
        <w:tc>
          <w:tcPr>
            <w:tcW w:w="4180" w:type="dxa"/>
            <w:vAlign w:val="bottom"/>
            <w:shd w:val="clear" w:color="auto" w:fill="808080"/>
          </w:tcPr>
          <w:p>
            <w:pPr>
              <w:spacing w:after="0"/>
              <w:rPr>
                <w:sz w:val="5"/>
                <w:szCs w:val="5"/>
                <w:color w:val="auto"/>
              </w:rPr>
            </w:pPr>
          </w:p>
        </w:tc>
        <w:tc>
          <w:tcPr>
            <w:tcW w:w="72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6607810</wp:posOffset>
            </wp:positionV>
            <wp:extent cx="72675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 10556</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S-8</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19,399,967 of its Ordinary Shares, par value New Israeli Shekel 1.00 per share that may be issued pursuant to options that have been, or may hereafter be, granted pursuant to the Employee Share Option Plan 2005, CEO Share Option Plan 2005, Chairman Share Option Plan 2006 and Independent Directors Share Option Plan 2007 (the “Plans”) (the “Option Shares”).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the basis of such investigation as we have deemed necessary, we are of the opinion that the Option Shares have been duly and validly authorized for issuance and, when issued upon due exercise of options granted or hereafter granted under the Plans in accordance with the provisions of the Plans and the related option agreements (including payment of the option exercise price provided for therein), will be fully paid and non-assessable.</w:t>
      </w:r>
    </w:p>
    <w:p>
      <w:pPr>
        <w:spacing w:after="0" w:line="16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5390515</wp:posOffset>
            </wp:positionV>
            <wp:extent cx="72675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S-8 (pertaining to the Employee Share Option Plan 2005, CEO Share Option Plan 2005, Chairman Share Option Plan 2006 and Independent Directors Share Option Plan 2007 of Tower Semiconductor Ltd. (the “Company”) and the registration of 19,399,967 ordinary shares of the Company) of our report dated February 7, 2007, relating to the consolidated financial statements of the Company, appearing in the annual report on Form 20-F of the Company for the year ended December 31,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decimal"/>
      <w:start w:val="3"/>
    </w:lvl>
  </w:abstractNum>
  <w:abstractNum w:abstractNumId="2">
    <w:nsid w:val="2901D82"/>
    <w:multiLevelType w:val="hybridMultilevel"/>
    <w:lvl w:ilvl="0">
      <w:lvlJc w:val="left"/>
      <w:lvlText w:val="\emdash "/>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2"/>
    </w:lvl>
    <w:lvl w:ilvl="1">
      <w:lvlJc w:val="left"/>
      <w:lvlText w:val="(%2)"/>
      <w:numFmt w:val="lowerLetter"/>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š"/>
      <w:numFmt w:val="bullet"/>
      <w:start w:val="1"/>
    </w:lvl>
  </w:abstractNum>
  <w:abstractNum w:abstractNumId="7">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lvl w:ilvl="3">
      <w:lvlJc w:val="left"/>
      <w:lvlText w:val="%4."/>
      <w:numFmt w:val="upperLetter"/>
      <w:start w:val="1"/>
    </w:lvl>
  </w:abstractNum>
  <w:abstractNum w:abstractNumId="10">
    <w:nsid w:val="4516DDE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1">
    <w:nsid w:val="3006C83E"/>
    <w:multiLevelType w:val="hybridMultilevel"/>
    <w:lvl w:ilvl="0">
      <w:lvlJc w:val="left"/>
      <w:lvlText w:val="\emdash "/>
      <w:numFmt w:val="bullet"/>
      <w:start w:val="1"/>
    </w:lvl>
  </w:abstractNum>
  <w:abstractNum w:abstractNumId="12">
    <w:nsid w:val="614FD4A1"/>
    <w:multiLevelType w:val="hybridMultilevel"/>
    <w:lvl w:ilvl="0">
      <w:lvlJc w:val="left"/>
      <w:lvlText w:val="\emdash "/>
      <w:numFmt w:val="bullet"/>
      <w:start w:val="1"/>
    </w:lvl>
  </w:abstractNum>
  <w:abstractNum w:abstractNumId="13">
    <w:nsid w:val="419AC241"/>
    <w:multiLevelType w:val="hybridMultilevel"/>
    <w:lvl w:ilvl="0">
      <w:lvlJc w:val="left"/>
      <w:lvlText w:val="\emdash "/>
      <w:numFmt w:val="bullet"/>
      <w:start w:val="1"/>
    </w:lvl>
  </w:abstractNum>
  <w:abstractNum w:abstractNumId="14">
    <w:nsid w:val="5577F8E1"/>
    <w:multiLevelType w:val="hybridMultilevel"/>
    <w:lvl w:ilvl="0">
      <w:lvlJc w:val="left"/>
      <w:lvlText w:val="\emdash "/>
      <w:numFmt w:val="bullet"/>
      <w:start w:val="1"/>
    </w:lvl>
  </w:abstractNum>
  <w:abstractNum w:abstractNumId="15">
    <w:nsid w:val="440BADFC"/>
    <w:multiLevelType w:val="hybridMultilevel"/>
    <w:lvl w:ilvl="0">
      <w:lvlJc w:val="left"/>
      <w:lvlText w:val="\emdash "/>
      <w:numFmt w:val="bullet"/>
      <w:start w:val="1"/>
    </w:lvl>
  </w:abstractNum>
  <w:abstractNum w:abstractNumId="16">
    <w:nsid w:val="5072367"/>
    <w:multiLevelType w:val="hybridMultilevel"/>
    <w:lvl w:ilvl="0">
      <w:lvlJc w:val="left"/>
      <w:lvlText w:val="\emdash "/>
      <w:numFmt w:val="bullet"/>
      <w:start w:val="1"/>
    </w:lvl>
  </w:abstractNum>
  <w:abstractNum w:abstractNumId="17">
    <w:nsid w:val="3804823E"/>
    <w:multiLevelType w:val="hybridMultilevel"/>
    <w:lvl w:ilvl="0">
      <w:lvlJc w:val="left"/>
      <w:lvlText w:val="\emdash "/>
      <w:numFmt w:val="bullet"/>
      <w:start w:val="1"/>
    </w:lvl>
  </w:abstractNum>
  <w:abstractNum w:abstractNumId="18">
    <w:nsid w:val="77465F01"/>
    <w:multiLevelType w:val="hybridMultilevel"/>
    <w:lvl w:ilvl="0">
      <w:lvlJc w:val="left"/>
      <w:lvlText w:val="\emdash "/>
      <w:numFmt w:val="bullet"/>
      <w:start w:val="1"/>
    </w:lvl>
  </w:abstractNum>
  <w:abstractNum w:abstractNumId="19">
    <w:nsid w:val="7724C67E"/>
    <w:multiLevelType w:val="hybridMultilevel"/>
    <w:lvl w:ilvl="0">
      <w:lvlJc w:val="left"/>
      <w:lvlText w:val="\emdash "/>
      <w:numFmt w:val="bullet"/>
      <w:start w:val="1"/>
    </w:lvl>
  </w:abstractNum>
  <w:abstractNum w:abstractNumId="20">
    <w:nsid w:val="5C482A97"/>
    <w:multiLevelType w:val="hybridMultilevel"/>
    <w:lvl w:ilvl="0">
      <w:lvlJc w:val="left"/>
      <w:lvlText w:val="(%1)"/>
      <w:numFmt w:val="lowerRoman"/>
      <w:start w:val="6"/>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1)"/>
      <w:numFmt w:val="lowerRoman"/>
      <w:start w:val="7"/>
    </w:lvl>
  </w:abstractNum>
  <w:abstractNum w:abstractNumId="24">
    <w:nsid w:val="2D517796"/>
    <w:multiLevelType w:val="hybridMultilevel"/>
    <w:lvl w:ilvl="0">
      <w:lvlJc w:val="left"/>
      <w:lvlText w:val="\endash "/>
      <w:numFmt w:val="bullet"/>
      <w:start w:val="1"/>
    </w:lvl>
  </w:abstractNum>
  <w:abstractNum w:abstractNumId="25">
    <w:nsid w:val="580BD78F"/>
    <w:multiLevelType w:val="hybridMultilevel"/>
    <w:lvl w:ilvl="0">
      <w:lvlJc w:val="left"/>
      <w:lvlText w:val="1"/>
      <w:numFmt w:val="bullet"/>
      <w:start w:val="1"/>
    </w:lvl>
  </w:abstractNum>
  <w:abstractNum w:abstractNumId="26">
    <w:nsid w:val="153EA438"/>
    <w:multiLevelType w:val="hybridMultilevel"/>
    <w:lvl w:ilvl="0">
      <w:lvlJc w:val="left"/>
      <w:lvlText w:val="\emdash "/>
      <w:numFmt w:val="bullet"/>
      <w:start w:val="1"/>
    </w:lvl>
  </w:abstractNum>
  <w:abstractNum w:abstractNumId="27">
    <w:nsid w:val="3855585C"/>
    <w:multiLevelType w:val="hybridMultilevel"/>
    <w:lvl w:ilvl="0">
      <w:lvlJc w:val="left"/>
      <w:lvlText w:val="\emdash "/>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4"/>
    </w:lvl>
  </w:abstractNum>
  <w:abstractNum w:abstractNumId="30">
    <w:nsid w:val="2A487CB0"/>
    <w:multiLevelType w:val="hybridMultilevel"/>
    <w:lvl w:ilvl="0">
      <w:lvlJc w:val="left"/>
      <w:lvlText w:val="%1."/>
      <w:numFmt w:val="decimal"/>
      <w:start w:val="7"/>
    </w:lvl>
  </w:abstractNum>
  <w:abstractNum w:abstractNumId="31">
    <w:nsid w:val="1D4ED43B"/>
    <w:multiLevelType w:val="hybridMultilevel"/>
    <w:lvl w:ilvl="0">
      <w:lvlJc w:val="left"/>
      <w:lvlText w:val="%1."/>
      <w:numFmt w:val="decimal"/>
      <w:start w:val="8"/>
    </w:lvl>
  </w:abstractNum>
  <w:abstractNum w:abstractNumId="32">
    <w:nsid w:val="725A06FB"/>
    <w:multiLevelType w:val="hybridMultilevel"/>
    <w:lvl w:ilvl="0">
      <w:lvlJc w:val="left"/>
      <w:lvlText w:val="%1."/>
      <w:numFmt w:val="decimal"/>
      <w:start w:val="9"/>
    </w:lvl>
  </w:abstractNum>
  <w:abstractNum w:abstractNumId="33">
    <w:nsid w:val="2CD89A32"/>
    <w:multiLevelType w:val="hybridMultilevel"/>
    <w:lvl w:ilvl="0">
      <w:lvlJc w:val="left"/>
      <w:lvlText w:val="%1."/>
      <w:numFmt w:val="decimal"/>
      <w:start w:val="12"/>
    </w:lvl>
  </w:abstractNum>
  <w:abstractNum w:abstractNumId="34">
    <w:nsid w:val="57E4CCAF"/>
    <w:multiLevelType w:val="hybridMultilevel"/>
    <w:lvl w:ilvl="0">
      <w:lvlJc w:val="left"/>
      <w:lvlText w:val="%1."/>
      <w:numFmt w:val="decimal"/>
      <w:start w:val="17"/>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lvl w:ilvl="1">
      <w:lvlJc w:val="left"/>
      <w:lvlText w:val="(%2)"/>
      <w:numFmt w:val="lowerLetter"/>
      <w:start w:val="1"/>
    </w:lvl>
  </w:abstractNum>
  <w:abstractNum w:abstractNumId="37">
    <w:nsid w:val="542289EC"/>
    <w:multiLevelType w:val="hybridMultilevel"/>
    <w:lvl w:ilvl="0">
      <w:lvlJc w:val="left"/>
      <w:lvlText w:val="%1."/>
      <w:numFmt w:val="decimal"/>
      <w:start w:val="3"/>
    </w:lvl>
    <w:lvl w:ilvl="1">
      <w:lvlJc w:val="left"/>
      <w:lvlText w:val="(%2)"/>
      <w:numFmt w:val="lowerLetter"/>
      <w:start w:val="1"/>
    </w:lvl>
  </w:abstractNum>
  <w:abstractNum w:abstractNumId="38">
    <w:nsid w:val="6DE91B18"/>
    <w:multiLevelType w:val="hybridMultilevel"/>
    <w:lvl w:ilvl="0">
      <w:lvlJc w:val="left"/>
      <w:lvlText w:val="%1."/>
      <w:numFmt w:val="decimal"/>
      <w:start w:val="6"/>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5"/>
    </w:lvl>
  </w:abstractNum>
  <w:abstractNum w:abstractNumId="41">
    <w:nsid w:val="32FFF902"/>
    <w:multiLevelType w:val="hybridMultilevel"/>
    <w:lvl w:ilvl="0">
      <w:lvlJc w:val="left"/>
      <w:lvlText w:val="%1."/>
      <w:numFmt w:val="decimal"/>
      <w:start w:val="9"/>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4"/>
    </w:lvl>
  </w:abstractNum>
  <w:abstractNum w:abstractNumId="44">
    <w:nsid w:val="749ABB43"/>
    <w:multiLevelType w:val="hybridMultilevel"/>
    <w:lvl w:ilvl="0">
      <w:lvlJc w:val="left"/>
      <w:lvlText w:val="%1."/>
      <w:numFmt w:val="decimal"/>
      <w:start w:val="7"/>
    </w:lvl>
  </w:abstractNum>
  <w:abstractNum w:abstractNumId="45">
    <w:nsid w:val="3DC240FB"/>
    <w:multiLevelType w:val="hybridMultilevel"/>
    <w:lvl w:ilvl="0">
      <w:lvlJc w:val="left"/>
      <w:lvlText w:val="%1."/>
      <w:numFmt w:val="decimal"/>
      <w:start w:val="9"/>
    </w:lvl>
  </w:abstractNum>
  <w:abstractNum w:abstractNumId="46">
    <w:nsid w:val="1BA026FA"/>
    <w:multiLevelType w:val="hybridMultilevel"/>
    <w:lvl w:ilvl="0">
      <w:lvlJc w:val="left"/>
      <w:lvlText w:val="%1."/>
      <w:numFmt w:val="decimal"/>
      <w:start w:val="10"/>
    </w:lvl>
  </w:abstractNum>
  <w:abstractNum w:abstractNumId="47">
    <w:nsid w:val="79A1DEAA"/>
    <w:multiLevelType w:val="hybridMultilevel"/>
    <w:lvl w:ilvl="0">
      <w:lvlJc w:val="left"/>
      <w:lvlText w:val="%1."/>
      <w:numFmt w:val="decimal"/>
      <w:start w:val="13"/>
    </w:lvl>
  </w:abstractNum>
  <w:abstractNum w:abstractNumId="48">
    <w:nsid w:val="75C6C33A"/>
    <w:multiLevelType w:val="hybridMultilevel"/>
    <w:lvl w:ilvl="0">
      <w:lvlJc w:val="left"/>
      <w:lvlText w:val="%1."/>
      <w:numFmt w:val="decimal"/>
      <w:start w:val="18"/>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decimal"/>
      <w:start w:val="3"/>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2019-12-14T03:37:58Z</dcterms:created>
  <dcterms:modified xsi:type="dcterms:W3CDTF">2019-12-14T03:37:58Z</dcterms:modified>
</cp:coreProperties>
</file>