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_______________</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SCHEDULE 13D/A</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_______________</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180" w:type="dxa"/>
        <w:tblCellMar>
          <w:top w:w="0" w:type="dxa"/>
          <w:left w:w="0" w:type="dxa"/>
          <w:bottom w:w="0" w:type="dxa"/>
          <w:right w:w="0" w:type="dxa"/>
        </w:tblCellMar>
      </w:tblPr>
      <w:tr>
        <w:trPr>
          <w:trHeight w:val="242"/>
        </w:trPr>
        <w:tc>
          <w:tcPr>
            <w:tcW w:w="530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(Name of Issuer)</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ORDINARY SHARES, NIS 1.00 PAR VALUE PER SHARE</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M87915100</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134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(TitleofClassofSecurities)</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300" w:type="dxa"/>
            <w:vAlign w:val="bottom"/>
            <w:vMerge w:val="continue"/>
          </w:tcPr>
          <w:p>
            <w:pPr>
              <w:spacing w:after="0"/>
              <w:rPr>
                <w:sz w:val="22"/>
                <w:szCs w:val="22"/>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(CUSIP Number)</w:t>
            </w:r>
          </w:p>
        </w:tc>
        <w:tc>
          <w:tcPr>
            <w:tcW w:w="0" w:type="dxa"/>
            <w:vAlign w:val="bottom"/>
          </w:tcPr>
          <w:p>
            <w:pPr>
              <w:spacing w:after="0"/>
              <w:rPr>
                <w:sz w:val="1"/>
                <w:szCs w:val="1"/>
                <w:color w:val="auto"/>
              </w:rPr>
            </w:pPr>
          </w:p>
        </w:tc>
      </w:tr>
      <w:tr>
        <w:trPr>
          <w:trHeight w:val="242"/>
        </w:trPr>
        <w:tc>
          <w:tcPr>
            <w:tcW w:w="530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Mr. Zvi Ephrat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1009"/>
              <w:spacing w:after="0"/>
              <w:rPr>
                <w:sz w:val="20"/>
                <w:szCs w:val="20"/>
                <w:color w:val="auto"/>
              </w:rPr>
            </w:pPr>
            <w:r>
              <w:rPr>
                <w:rFonts w:ascii="Courier New" w:cs="Courier New" w:eastAsia="Courier New" w:hAnsi="Courier New"/>
                <w:sz w:val="14"/>
                <w:szCs w:val="14"/>
                <w:color w:val="auto"/>
              </w:rPr>
              <w:t>I. Gornitzky &amp; Co.</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929"/>
              <w:spacing w:after="0"/>
              <w:rPr>
                <w:sz w:val="20"/>
                <w:szCs w:val="20"/>
                <w:color w:val="auto"/>
              </w:rPr>
            </w:pPr>
            <w:r>
              <w:rPr>
                <w:rFonts w:ascii="Courier New" w:cs="Courier New" w:eastAsia="Courier New" w:hAnsi="Courier New"/>
                <w:sz w:val="14"/>
                <w:szCs w:val="14"/>
                <w:color w:val="auto"/>
              </w:rPr>
              <w:t>45 Rothschild Boulevard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Tel-Aviv 65784</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1689"/>
              <w:spacing w:after="0"/>
              <w:rPr>
                <w:sz w:val="20"/>
                <w:szCs w:val="20"/>
                <w:color w:val="auto"/>
              </w:rPr>
            </w:pPr>
            <w:r>
              <w:rPr>
                <w:rFonts w:ascii="Courier New" w:cs="Courier New" w:eastAsia="Courier New" w:hAnsi="Courier New"/>
                <w:sz w:val="14"/>
                <w:szCs w:val="14"/>
                <w:color w:val="auto"/>
              </w:rPr>
              <w:t>Israel</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972-3-710-9191</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00" w:type="dxa"/>
            <w:vAlign w:val="bottom"/>
          </w:tcPr>
          <w:p>
            <w:pPr>
              <w:jc w:val="right"/>
              <w:spacing w:after="0"/>
              <w:rPr>
                <w:sz w:val="20"/>
                <w:szCs w:val="20"/>
                <w:color w:val="auto"/>
              </w:rPr>
            </w:pPr>
            <w:r>
              <w:rPr>
                <w:rFonts w:ascii="Courier New" w:cs="Courier New" w:eastAsia="Courier New" w:hAnsi="Courier New"/>
                <w:sz w:val="14"/>
                <w:szCs w:val="14"/>
                <w:color w:val="auto"/>
              </w:rPr>
              <w:t>(Name, Address and Telephone Number of Person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4540"/>
        <w:spacing w:after="0"/>
        <w:rPr>
          <w:sz w:val="20"/>
          <w:szCs w:val="20"/>
          <w:color w:val="auto"/>
        </w:rPr>
      </w:pPr>
      <w:r>
        <w:rPr>
          <w:rFonts w:ascii="Courier New" w:cs="Courier New" w:eastAsia="Courier New" w:hAnsi="Courier New"/>
          <w:sz w:val="14"/>
          <w:szCs w:val="14"/>
          <w:color w:val="auto"/>
        </w:rPr>
        <w:t>Authorized to Receive Notices and Communications)</w:t>
      </w:r>
    </w:p>
    <w:p>
      <w:pPr>
        <w:spacing w:after="0" w:line="14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March 11, 2002</w:t>
      </w:r>
    </w:p>
    <w:p>
      <w:pPr>
        <w:spacing w:after="0" w:line="3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which Requires Filing of this Statement)</w:t>
      </w:r>
    </w:p>
    <w:p>
      <w:pPr>
        <w:spacing w:after="0" w:line="147" w:lineRule="exact"/>
        <w:rPr>
          <w:sz w:val="24"/>
          <w:szCs w:val="24"/>
          <w:color w:val="auto"/>
        </w:rPr>
      </w:pPr>
    </w:p>
    <w:p>
      <w:pPr>
        <w:ind w:right="4720"/>
        <w:spacing w:after="0" w:line="292"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56" w:lineRule="exact"/>
        <w:rPr>
          <w:sz w:val="24"/>
          <w:szCs w:val="24"/>
          <w:color w:val="auto"/>
        </w:rPr>
      </w:pPr>
    </w:p>
    <w:p>
      <w:pPr>
        <w:ind w:right="4640"/>
        <w:spacing w:after="0" w:line="313" w:lineRule="auto"/>
        <w:rPr>
          <w:sz w:val="20"/>
          <w:szCs w:val="20"/>
          <w:color w:val="auto"/>
        </w:rPr>
      </w:pPr>
      <w:r>
        <w:rPr>
          <w:rFonts w:ascii="Courier New" w:cs="Courier New" w:eastAsia="Courier New" w:hAnsi="Courier New"/>
          <w:sz w:val="14"/>
          <w:szCs w:val="14"/>
          <w:color w:val="auto"/>
        </w:rPr>
        <w:t>Note: Schedules filed in paper format shall include a signed original and five copies of the schedule, including all exhibits. See Rule 13d-7 for other parties to whom copies are to be sent.</w:t>
      </w:r>
    </w:p>
    <w:p>
      <w:pPr>
        <w:spacing w:after="0" w:line="42"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(Continued on following pages)</w:t>
      </w:r>
    </w:p>
    <w:p>
      <w:pPr>
        <w:spacing w:after="0" w:line="3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(Page 1 of 5 Pages)</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940" w:type="dxa"/>
            <w:vAlign w:val="bottom"/>
            <w:vMerge w:val="restart"/>
          </w:tcPr>
          <w:p>
            <w:pPr>
              <w:spacing w:after="0"/>
              <w:rPr>
                <w:sz w:val="20"/>
                <w:szCs w:val="20"/>
                <w:color w:val="auto"/>
              </w:rPr>
            </w:pPr>
            <w:r>
              <w:rPr>
                <w:rFonts w:ascii="Courier New" w:cs="Courier New" w:eastAsia="Courier New" w:hAnsi="Courier New"/>
                <w:sz w:val="28"/>
                <w:szCs w:val="28"/>
                <w:color w:val="auto"/>
                <w:w w:val="77"/>
                <w:vertAlign w:val="subscript"/>
              </w:rPr>
              <w:t>CUSIP</w:t>
            </w:r>
            <w:r>
              <w:rPr>
                <w:rFonts w:ascii="Courier New" w:cs="Courier New" w:eastAsia="Courier New" w:hAnsi="Courier New"/>
                <w:sz w:val="14"/>
                <w:szCs w:val="14"/>
                <w:color w:val="auto"/>
                <w:w w:val="77"/>
              </w:rPr>
              <w:t>----------------------------------</w:t>
            </w:r>
            <w:r>
              <w:rPr>
                <w:rFonts w:ascii="Courier New" w:cs="Courier New" w:eastAsia="Courier New" w:hAnsi="Courier New"/>
                <w:sz w:val="28"/>
                <w:szCs w:val="28"/>
                <w:color w:val="auto"/>
                <w:w w:val="77"/>
                <w:vertAlign w:val="subscript"/>
              </w:rPr>
              <w:t>No.</w:t>
            </w:r>
          </w:p>
        </w:tc>
        <w:tc>
          <w:tcPr>
            <w:tcW w:w="43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80"/>
                <w:vertAlign w:val="subscript"/>
              </w:rPr>
              <w:t>M87915</w:t>
            </w: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-10-0</w:t>
            </w:r>
          </w:p>
        </w:tc>
        <w:tc>
          <w:tcPr>
            <w:tcW w:w="8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13D</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Page 2 of 5</w:t>
            </w:r>
          </w:p>
        </w:tc>
        <w:tc>
          <w:tcPr>
            <w:tcW w:w="0" w:type="dxa"/>
            <w:vAlign w:val="bottom"/>
          </w:tcPr>
          <w:p>
            <w:pPr>
              <w:spacing w:after="0"/>
              <w:rPr>
                <w:sz w:val="1"/>
                <w:szCs w:val="1"/>
                <w:color w:val="auto"/>
              </w:rPr>
            </w:pPr>
          </w:p>
        </w:tc>
      </w:tr>
      <w:tr>
        <w:trPr>
          <w:trHeight w:val="242"/>
        </w:trPr>
        <w:tc>
          <w:tcPr>
            <w:tcW w:w="7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86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6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NAMES OF</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REPORTING PERSONS:</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ZVI EPHRAT</w:t>
            </w:r>
          </w:p>
        </w:tc>
      </w:tr>
      <w:tr>
        <w:trPr>
          <w:trHeight w:val="166"/>
        </w:trPr>
        <w:tc>
          <w:tcPr>
            <w:tcW w:w="620" w:type="dxa"/>
            <w:vAlign w:val="bottom"/>
          </w:tcPr>
          <w:p>
            <w:pPr>
              <w:spacing w:after="0"/>
              <w:rPr>
                <w:sz w:val="14"/>
                <w:szCs w:val="14"/>
                <w:color w:val="auto"/>
              </w:rPr>
            </w:pPr>
          </w:p>
        </w:tc>
        <w:tc>
          <w:tcPr>
            <w:tcW w:w="370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I.R.S. IDENTIFICATION NOS.</w:t>
            </w:r>
          </w:p>
        </w:tc>
        <w:tc>
          <w:tcPr>
            <w:tcW w:w="1460" w:type="dxa"/>
            <w:vAlign w:val="bottom"/>
          </w:tcPr>
          <w:p>
            <w:pPr>
              <w:spacing w:after="0"/>
              <w:rPr>
                <w:sz w:val="14"/>
                <w:szCs w:val="14"/>
                <w:color w:val="auto"/>
              </w:rPr>
            </w:pPr>
          </w:p>
        </w:tc>
      </w:tr>
      <w:tr>
        <w:trPr>
          <w:trHeight w:val="192"/>
        </w:trPr>
        <w:tc>
          <w:tcPr>
            <w:tcW w:w="620" w:type="dxa"/>
            <w:vAlign w:val="bottom"/>
          </w:tcPr>
          <w:p>
            <w:pPr>
              <w:spacing w:after="0"/>
              <w:rPr>
                <w:sz w:val="16"/>
                <w:szCs w:val="16"/>
                <w:color w:val="auto"/>
              </w:rPr>
            </w:pPr>
          </w:p>
        </w:tc>
        <w:tc>
          <w:tcPr>
            <w:tcW w:w="1240" w:type="dxa"/>
            <w:vAlign w:val="bottom"/>
          </w:tcPr>
          <w:p>
            <w:pPr>
              <w:ind w:left="500"/>
              <w:spacing w:after="0"/>
              <w:rPr>
                <w:sz w:val="20"/>
                <w:szCs w:val="20"/>
                <w:color w:val="auto"/>
              </w:rPr>
            </w:pPr>
            <w:r>
              <w:rPr>
                <w:rFonts w:ascii="Courier New" w:cs="Courier New" w:eastAsia="Courier New" w:hAnsi="Courier New"/>
                <w:sz w:val="14"/>
                <w:szCs w:val="14"/>
                <w:color w:val="auto"/>
              </w:rPr>
              <w:t>OF ABOVE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000000000</w:t>
            </w:r>
          </w:p>
        </w:tc>
        <w:tc>
          <w:tcPr>
            <w:tcW w:w="1460" w:type="dxa"/>
            <w:vAlign w:val="bottom"/>
          </w:tcPr>
          <w:p>
            <w:pPr>
              <w:spacing w:after="0"/>
              <w:rPr>
                <w:sz w:val="16"/>
                <w:szCs w:val="16"/>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w w:val="94"/>
              </w:rPr>
              <w:t>-</w:t>
            </w:r>
          </w:p>
        </w:tc>
        <w:tc>
          <w:tcPr>
            <w:tcW w:w="11400" w:type="dxa"/>
            <w:vAlign w:val="bottom"/>
            <w:gridSpan w:val="3"/>
          </w:tcPr>
          <w:p>
            <w:pPr>
              <w:ind w:left="40"/>
              <w:spacing w:after="0" w:line="140" w:lineRule="exact"/>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6920" w:type="dxa"/>
            <w:vAlign w:val="bottom"/>
          </w:tcPr>
          <w:p>
            <w:pPr>
              <w:ind w:left="500"/>
              <w:spacing w:after="0"/>
              <w:rPr>
                <w:sz w:val="20"/>
                <w:szCs w:val="20"/>
                <w:color w:val="auto"/>
              </w:rPr>
            </w:pPr>
            <w:r>
              <w:rPr>
                <w:rFonts w:ascii="Courier New" w:cs="Courier New" w:eastAsia="Courier New" w:hAnsi="Courier New"/>
                <w:sz w:val="14"/>
                <w:szCs w:val="14"/>
                <w:color w:val="auto"/>
              </w:rPr>
              <w:t>CHECK THE APPROPRIATE BOX IF A MEMBER OF A GROUP:</w:t>
            </w:r>
          </w:p>
        </w:tc>
        <w:tc>
          <w:tcPr>
            <w:tcW w:w="3140" w:type="dxa"/>
            <w:vAlign w:val="bottom"/>
          </w:tcPr>
          <w:p>
            <w:pPr>
              <w:ind w:left="2200"/>
              <w:spacing w:after="0"/>
              <w:rPr>
                <w:sz w:val="20"/>
                <w:szCs w:val="20"/>
                <w:color w:val="auto"/>
              </w:rPr>
            </w:pPr>
            <w:r>
              <w:rPr>
                <w:rFonts w:ascii="Courier New" w:cs="Courier New" w:eastAsia="Courier New" w:hAnsi="Courier New"/>
                <w:sz w:val="14"/>
                <w:szCs w:val="14"/>
                <w:color w:val="auto"/>
              </w:rPr>
              <w:t>(a) [ ]</w:t>
            </w:r>
          </w:p>
        </w:tc>
        <w:tc>
          <w:tcPr>
            <w:tcW w:w="0" w:type="dxa"/>
            <w:vAlign w:val="bottom"/>
          </w:tcPr>
          <w:p>
            <w:pPr>
              <w:spacing w:after="0"/>
              <w:rPr>
                <w:sz w:val="1"/>
                <w:szCs w:val="1"/>
                <w:color w:val="auto"/>
              </w:rPr>
            </w:pPr>
          </w:p>
        </w:tc>
      </w:tr>
      <w:tr>
        <w:trPr>
          <w:trHeight w:val="166"/>
        </w:trPr>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13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140" w:type="dxa"/>
            <w:vAlign w:val="bottom"/>
          </w:tcPr>
          <w:p>
            <w:pPr>
              <w:ind w:left="2200"/>
              <w:spacing w:after="0"/>
              <w:rPr>
                <w:sz w:val="20"/>
                <w:szCs w:val="20"/>
                <w:color w:val="auto"/>
              </w:rPr>
            </w:pPr>
            <w:r>
              <w:rPr>
                <w:rFonts w:ascii="Courier New" w:cs="Courier New" w:eastAsia="Courier New" w:hAnsi="Courier New"/>
                <w:sz w:val="14"/>
                <w:szCs w:val="14"/>
                <w:color w:val="auto"/>
              </w:rPr>
              <w:t>(b) [X]</w:t>
            </w:r>
          </w:p>
        </w:tc>
        <w:tc>
          <w:tcPr>
            <w:tcW w:w="0" w:type="dxa"/>
            <w:vAlign w:val="bottom"/>
          </w:tcPr>
          <w:p>
            <w:pPr>
              <w:spacing w:after="0"/>
              <w:rPr>
                <w:sz w:val="1"/>
                <w:szCs w:val="1"/>
                <w:color w:val="auto"/>
              </w:rPr>
            </w:pPr>
          </w:p>
        </w:tc>
      </w:tr>
      <w:tr>
        <w:trPr>
          <w:trHeight w:val="192"/>
        </w:trPr>
        <w:tc>
          <w:tcPr>
            <w:tcW w:w="140" w:type="dxa"/>
            <w:vAlign w:val="bottom"/>
            <w:vMerge w:val="continue"/>
          </w:tcPr>
          <w:p>
            <w:pPr>
              <w:spacing w:after="0"/>
              <w:rPr>
                <w:sz w:val="16"/>
                <w:szCs w:val="16"/>
                <w:color w:val="auto"/>
              </w:rPr>
            </w:pPr>
          </w:p>
        </w:tc>
        <w:tc>
          <w:tcPr>
            <w:tcW w:w="11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bl>
    <w:p>
      <w:pPr>
        <w:ind w:left="1980" w:hanging="1110"/>
        <w:spacing w:after="0"/>
        <w:tabs>
          <w:tab w:leader="none" w:pos="198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USE ONLY</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860"/>
        <w:spacing w:after="0"/>
        <w:tabs>
          <w:tab w:leader="none" w:pos="1960" w:val="left"/>
          <w:tab w:leader="none" w:pos="50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SOURCE OF FUNDS:</w:t>
      </w:r>
      <w:r>
        <w:rPr>
          <w:sz w:val="20"/>
          <w:szCs w:val="20"/>
          <w:color w:val="auto"/>
        </w:rPr>
        <w:tab/>
      </w:r>
      <w:r>
        <w:rPr>
          <w:rFonts w:ascii="Courier New" w:cs="Courier New" w:eastAsia="Courier New" w:hAnsi="Courier New"/>
          <w:sz w:val="13"/>
          <w:szCs w:val="13"/>
          <w:color w:val="auto"/>
        </w:rPr>
        <w:t>00</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860"/>
        <w:spacing w:after="0"/>
        <w:tabs>
          <w:tab w:leader="none" w:pos="1960" w:val="left"/>
          <w:tab w:leader="none" w:pos="1092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CHECK BOX IF DISCLOSURE OF LEGAL PROCEEDINGS IS REQUIRED PURSUANT TO ITEM 2(d) OR 2(e):</w:t>
      </w:r>
      <w:r>
        <w:rPr>
          <w:sz w:val="20"/>
          <w:szCs w:val="20"/>
          <w:color w:val="auto"/>
        </w:rPr>
        <w:tab/>
      </w: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4"/>
          <w:szCs w:val="24"/>
          <w:color w:val="auto"/>
        </w:rPr>
      </w:pPr>
    </w:p>
    <w:p>
      <w:pPr>
        <w:ind w:left="860"/>
        <w:spacing w:after="0"/>
        <w:tabs>
          <w:tab w:leader="none" w:pos="1960" w:val="left"/>
          <w:tab w:leader="none" w:pos="576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4"/>
          <w:szCs w:val="14"/>
          <w:color w:val="auto"/>
        </w:rPr>
        <w:t>ISRAEL</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SOLE VOTING POWER:</w:t>
            </w:r>
          </w:p>
        </w:tc>
        <w:tc>
          <w:tcPr>
            <w:tcW w:w="426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SHARED VOTING POWER:</w:t>
            </w:r>
          </w:p>
        </w:tc>
        <w:tc>
          <w:tcPr>
            <w:tcW w:w="426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OWNED BY</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428"/>
              <w:spacing w:after="0"/>
              <w:rPr>
                <w:sz w:val="20"/>
                <w:szCs w:val="20"/>
                <w:color w:val="auto"/>
              </w:rPr>
            </w:pPr>
            <w:r>
              <w:rPr>
                <w:rFonts w:ascii="Courier New" w:cs="Courier New" w:eastAsia="Courier New" w:hAnsi="Courier New"/>
                <w:sz w:val="14"/>
                <w:szCs w:val="14"/>
                <w:color w:val="auto"/>
              </w:rPr>
              <w:t>EACH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SOLE DISPOSITIVE POWER:</w:t>
            </w:r>
          </w:p>
        </w:tc>
        <w:tc>
          <w:tcPr>
            <w:tcW w:w="426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15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REPORTING</w:t>
            </w:r>
          </w:p>
        </w:tc>
        <w:tc>
          <w:tcPr>
            <w:tcW w:w="89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90"/>
        </w:trPr>
        <w:tc>
          <w:tcPr>
            <w:tcW w:w="1560" w:type="dxa"/>
            <w:vAlign w:val="bottom"/>
            <w:vMerge w:val="restart"/>
          </w:tcPr>
          <w:p>
            <w:pPr>
              <w:jc w:val="center"/>
              <w:ind w:right="528"/>
              <w:spacing w:after="0"/>
              <w:rPr>
                <w:sz w:val="20"/>
                <w:szCs w:val="20"/>
                <w:color w:val="auto"/>
              </w:rPr>
            </w:pPr>
            <w:r>
              <w:rPr>
                <w:rFonts w:ascii="Courier New" w:cs="Courier New" w:eastAsia="Courier New" w:hAnsi="Courier New"/>
                <w:sz w:val="14"/>
                <w:szCs w:val="14"/>
                <w:color w:val="auto"/>
              </w:rPr>
              <w:t>PERSON WITH</w:t>
            </w:r>
          </w:p>
        </w:tc>
        <w:tc>
          <w:tcPr>
            <w:tcW w:w="8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560" w:type="dxa"/>
            <w:vAlign w:val="bottom"/>
            <w:vMerge w:val="continue"/>
          </w:tcPr>
          <w:p>
            <w:pPr>
              <w:spacing w:after="0"/>
              <w:rPr>
                <w:sz w:val="21"/>
                <w:szCs w:val="21"/>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620" w:type="dxa"/>
            <w:vAlign w:val="bottom"/>
          </w:tcPr>
          <w:p>
            <w:pPr>
              <w:ind w:left="220"/>
              <w:spacing w:after="0"/>
              <w:rPr>
                <w:sz w:val="20"/>
                <w:szCs w:val="20"/>
                <w:color w:val="auto"/>
              </w:rPr>
            </w:pPr>
            <w:r>
              <w:rPr>
                <w:rFonts w:ascii="Courier New" w:cs="Courier New" w:eastAsia="Courier New" w:hAnsi="Courier New"/>
                <w:sz w:val="14"/>
                <w:szCs w:val="14"/>
                <w:color w:val="auto"/>
              </w:rPr>
              <w:t>SHARED DISPOSITIVE POWER:</w:t>
            </w:r>
          </w:p>
        </w:tc>
        <w:tc>
          <w:tcPr>
            <w:tcW w:w="426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4"/>
          <w:szCs w:val="24"/>
          <w:color w:val="auto"/>
        </w:rPr>
      </w:pPr>
    </w:p>
    <w:p>
      <w:pPr>
        <w:ind w:left="780"/>
        <w:spacing w:after="0"/>
        <w:tabs>
          <w:tab w:leader="none" w:pos="1960" w:val="left"/>
          <w:tab w:leader="none" w:pos="83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AGGREGATE AMOUNT BENEFICIALLY OWNED BY REPORTING PERSON:</w:t>
      </w:r>
      <w:r>
        <w:rPr>
          <w:sz w:val="20"/>
          <w:szCs w:val="20"/>
          <w:color w:val="auto"/>
        </w:rPr>
        <w:tab/>
      </w:r>
      <w:r>
        <w:rPr>
          <w:rFonts w:ascii="Courier New" w:cs="Courier New" w:eastAsia="Courier New" w:hAnsi="Courier New"/>
          <w:sz w:val="13"/>
          <w:szCs w:val="13"/>
          <w:color w:val="auto"/>
        </w:rPr>
        <w:t>0</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780"/>
        <w:spacing w:after="0"/>
        <w:tabs>
          <w:tab w:leader="none" w:pos="1960" w:val="left"/>
          <w:tab w:leader="none" w:pos="109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CHECK BOX IF THE AGGREGATE AMOUNT IN ROW (11) EXCLUDES CERTAIN SHARES:</w:t>
      </w:r>
      <w:r>
        <w:rPr>
          <w:sz w:val="20"/>
          <w:szCs w:val="20"/>
          <w:color w:val="auto"/>
        </w:rPr>
        <w:tab/>
      </w: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4"/>
          <w:szCs w:val="24"/>
          <w:color w:val="auto"/>
        </w:rPr>
      </w:pPr>
    </w:p>
    <w:p>
      <w:pPr>
        <w:ind w:left="780"/>
        <w:spacing w:after="0"/>
        <w:tabs>
          <w:tab w:leader="none" w:pos="1960" w:val="left"/>
          <w:tab w:leader="none" w:pos="1006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PERCENT OF CLASS REPRESENTED BY AMOUNT IN ROW (11):</w:t>
      </w:r>
      <w:r>
        <w:rPr>
          <w:sz w:val="20"/>
          <w:szCs w:val="20"/>
          <w:color w:val="auto"/>
        </w:rPr>
        <w:tab/>
      </w:r>
      <w:r>
        <w:rPr>
          <w:rFonts w:ascii="Courier New" w:cs="Courier New" w:eastAsia="Courier New" w:hAnsi="Courier New"/>
          <w:sz w:val="14"/>
          <w:szCs w:val="14"/>
          <w:color w:val="auto"/>
        </w:rPr>
        <w:t>0%</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 w:lineRule="exact"/>
        <w:rPr>
          <w:sz w:val="24"/>
          <w:szCs w:val="24"/>
          <w:color w:val="auto"/>
        </w:rPr>
      </w:pPr>
    </w:p>
    <w:p>
      <w:pPr>
        <w:ind w:left="780"/>
        <w:spacing w:after="0"/>
        <w:tabs>
          <w:tab w:leader="none" w:pos="1960" w:val="left"/>
          <w:tab w:leader="none" w:pos="57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TYPE OF REPORTING PERSON:</w:t>
      </w:r>
      <w:r>
        <w:rPr>
          <w:sz w:val="20"/>
          <w:szCs w:val="20"/>
          <w:color w:val="auto"/>
        </w:rPr>
        <w:tab/>
      </w:r>
      <w:r>
        <w:rPr>
          <w:rFonts w:ascii="Courier New" w:cs="Courier New" w:eastAsia="Courier New" w:hAnsi="Courier New"/>
          <w:sz w:val="14"/>
          <w:szCs w:val="14"/>
          <w:color w:val="auto"/>
        </w:rPr>
        <w:t>IN</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1540"/>
          </w:cols>
          <w:pgMar w:left="220" w:top="204" w:right="139" w:bottom="0" w:gutter="0" w:footer="0" w:header="0"/>
        </w:sectPr>
      </w:pPr>
    </w:p>
    <w:bookmarkStart w:id="1" w:name="page2"/>
    <w:bookmarkEnd w:id="1"/>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12" w:right="1440" w:bottom="1440" w:gutter="0" w:footer="0" w:header="0"/>
        </w:sectPr>
      </w:pPr>
    </w:p>
    <w:bookmarkStart w:id="2" w:name="page3"/>
    <w:bookmarkEnd w:id="2"/>
    <w:p>
      <w:pPr>
        <w:ind w:right="3339"/>
        <w:spacing w:after="0" w:line="266" w:lineRule="auto"/>
        <w:rPr>
          <w:sz w:val="20"/>
          <w:szCs w:val="20"/>
          <w:color w:val="auto"/>
        </w:rPr>
      </w:pPr>
      <w:r>
        <w:rPr>
          <w:rFonts w:ascii="Courier New" w:cs="Courier New" w:eastAsia="Courier New" w:hAnsi="Courier New"/>
          <w:sz w:val="14"/>
          <w:szCs w:val="14"/>
          <w:color w:val="auto"/>
        </w:rPr>
        <w:t>This Amendment No.1 (this "Amendment") to Schedule 13D (the "Schedule 13D") is being filed on behalf of Mr. Zvi Ephrat ("Ephrat") solely to reflect a change in Ephrat's beneficial ownership of the ordinary shares, NIS 1.00 par value per share (the "Ordinary Shares") of Tower Semiconductor Ltd. ("Tower"), which terminates Ephrat's obligation to report his beneficial ownership. Pursuant to Rule 13d-2(e) of the Securities Exchange Act of 1934, as amended, this Amendment amends but does not restate the entire text of the Schedule 13D. Unless otherwise indicated, capitalized terms used herein and not otherwise defined herein shall have the meanings ascribed to such terms in the Schedule 13D.</w:t>
      </w:r>
    </w:p>
    <w:p>
      <w:pPr>
        <w:spacing w:after="0" w:line="7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SOURCE AND AMOUNT OF FUNDS OR OTHER CONSIDERATION.</w:t>
      </w:r>
    </w:p>
    <w:p>
      <w:pPr>
        <w:spacing w:after="0" w:line="173" w:lineRule="exact"/>
        <w:rPr>
          <w:sz w:val="20"/>
          <w:szCs w:val="20"/>
          <w:color w:val="auto"/>
        </w:rPr>
      </w:pPr>
    </w:p>
    <w:p>
      <w:pPr>
        <w:ind w:right="3339" w:firstLine="947"/>
        <w:spacing w:after="0" w:line="264" w:lineRule="auto"/>
        <w:rPr>
          <w:sz w:val="20"/>
          <w:szCs w:val="20"/>
          <w:color w:val="auto"/>
        </w:rPr>
      </w:pPr>
      <w:r>
        <w:rPr>
          <w:rFonts w:ascii="Courier New" w:cs="Courier New" w:eastAsia="Courier New" w:hAnsi="Courier New"/>
          <w:sz w:val="14"/>
          <w:szCs w:val="14"/>
          <w:color w:val="auto"/>
        </w:rPr>
        <w:t>On January 25, 2001, Ephrat entered into a Trustee Nomination Letter pursuant to which Ephrat was nominated as a trustee with respect to a certain amount of Ordinary Shares owned by Israel Corporation Ltd. ("Israel Corporation") or by its controlled subsidiary, Hashkahon Investment Company Ltd., which subsequently changed its name to Israel Corporation Technologies (ICTech) Ltd. ("ICTech"). On March 11, 2002, Ephrat was informed by ICTech that the aggregate number of Ordinary Shares held by the Tower Investors exceeded the aggregate number of Ordinary Shares held by ICTech. Accordingly, on such date and pursuant to the Trustee Nomination Letter, Ephrat ceased to beneficially own any Ordinary Shares of Tower.</w:t>
      </w:r>
    </w:p>
    <w:p>
      <w:pPr>
        <w:spacing w:after="0" w:line="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PURPOSE OF TRANSACTION.</w:t>
      </w:r>
    </w:p>
    <w:p>
      <w:pPr>
        <w:spacing w:after="0" w:line="173" w:lineRule="exact"/>
        <w:rPr>
          <w:sz w:val="20"/>
          <w:szCs w:val="20"/>
          <w:color w:val="auto"/>
        </w:rPr>
      </w:pPr>
    </w:p>
    <w:p>
      <w:pPr>
        <w:ind w:right="3339" w:firstLine="947"/>
        <w:spacing w:after="0" w:line="259" w:lineRule="auto"/>
        <w:rPr>
          <w:sz w:val="20"/>
          <w:szCs w:val="20"/>
          <w:color w:val="auto"/>
        </w:rPr>
      </w:pPr>
      <w:r>
        <w:rPr>
          <w:rFonts w:ascii="Courier New" w:cs="Courier New" w:eastAsia="Courier New" w:hAnsi="Courier New"/>
          <w:sz w:val="14"/>
          <w:szCs w:val="14"/>
          <w:color w:val="auto"/>
        </w:rPr>
        <w:t>Effective as of January 26, 2001, Israel Corporation granted to Ephrat, as Trustee, certain rights and obligations with respect to the voting of a certain amount of the Ordinary Shares held by Israel Corporation or its controlled subsidiary, ICTech. Pursuant to the terms of the Trustee Nomination Letter, for so long as Tower were to continue to owe money to Bank Hapoalim, B.M. and Bank Leumi Le'Israel Ltd. (the "Banks") pursuant to the Facility Agreement, dated January 18, 2001, between Tower and the Banks, the number of Ordinary Shares owned by Israel Corporation in excess of the aggregate number of Ordinary Shares held by the Tower Investors from time to time (the "Excess Shares") was to be voted by Ephrat in the manner previously disclosed in the Schedule 13D. On March 11, 2002, Ephrat was informed by ICTech that the aggregate number of Ordinary Shares held by the Tower Investors exceeded the aggregate number of Ordinary Shares held by ICTech. Accordingly, on such date and pursuant to the Trustee Nomination Letter, Ephrat ceased to be the beneficial owner of any Ordinary Shares of Tower.</w:t>
      </w:r>
    </w:p>
    <w:p>
      <w:pPr>
        <w:spacing w:after="0" w:line="2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 IN SECURITIES OF THE ISSUER.</w:t>
      </w:r>
    </w:p>
    <w:p>
      <w:pPr>
        <w:spacing w:after="0" w:line="173" w:lineRule="exact"/>
        <w:rPr>
          <w:sz w:val="20"/>
          <w:szCs w:val="20"/>
          <w:color w:val="auto"/>
        </w:rPr>
      </w:pPr>
    </w:p>
    <w:p>
      <w:pPr>
        <w:ind w:right="3679" w:firstLine="956"/>
        <w:spacing w:after="0" w:line="313" w:lineRule="auto"/>
        <w:tabs>
          <w:tab w:leader="none" w:pos="129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11, 2002, Ephrat does not beneficially own any securities of Tower or presently have any right to acquire any securities of Tower.</w:t>
      </w:r>
    </w:p>
    <w:p>
      <w:pPr>
        <w:spacing w:after="0" w:line="42" w:lineRule="exact"/>
        <w:rPr>
          <w:rFonts w:ascii="Courier New" w:cs="Courier New" w:eastAsia="Courier New" w:hAnsi="Courier New"/>
          <w:sz w:val="14"/>
          <w:szCs w:val="14"/>
          <w:color w:val="auto"/>
        </w:rPr>
      </w:pPr>
    </w:p>
    <w:p>
      <w:pPr>
        <w:ind w:right="3339" w:firstLine="956"/>
        <w:spacing w:after="0" w:line="292" w:lineRule="auto"/>
        <w:tabs>
          <w:tab w:leader="none" w:pos="129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Ephrat currently has no power to vote or direct the vote of any securities of Tower. Israel Corporation has the sole power to vote or direct the vote of all the Tower Ordinary Shares held thereby or by ICTech and the sole power to dispose or to direct the disposition of all of such Ordinary Shares.</w:t>
      </w:r>
    </w:p>
    <w:p>
      <w:pPr>
        <w:spacing w:after="0" w:line="5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 The response to Item 5(a) is repeated and incorporated herein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25" w:right="1440" w:bottom="1440" w:gutter="0" w:footer="0" w:header="0"/>
        </w:sectPr>
      </w:pPr>
    </w:p>
    <w:bookmarkStart w:id="3" w:name="page4"/>
    <w:bookmarkEnd w:id="3"/>
    <w:p>
      <w:pPr>
        <w:ind w:left="780" w:right="3519" w:hanging="774"/>
        <w:spacing w:after="0" w:line="375" w:lineRule="auto"/>
        <w:tabs>
          <w:tab w:leader="none" w:pos="760" w:val="left"/>
        </w:tabs>
        <w:rPr>
          <w:sz w:val="20"/>
          <w:szCs w:val="20"/>
          <w:color w:val="auto"/>
        </w:rPr>
      </w:pPr>
      <w:r>
        <w:rPr>
          <w:rFonts w:ascii="Courier New" w:cs="Courier New" w:eastAsia="Courier New" w:hAnsi="Courier New"/>
          <w:sz w:val="14"/>
          <w:szCs w:val="14"/>
          <w:color w:val="auto"/>
        </w:rPr>
        <w:t>ITEM 6.</w:t>
        <w:tab/>
        <w:t>CONTRACTS, ARRANGEMENTS, UNDERSTANDINGS OF RELATIONSHIPS WITH RESPECT TO SECURITIES OF THE ISSUER.</w:t>
      </w:r>
    </w:p>
    <w:p>
      <w:pPr>
        <w:spacing w:after="0" w:line="1" w:lineRule="exact"/>
        <w:rPr>
          <w:sz w:val="20"/>
          <w:szCs w:val="20"/>
          <w:color w:val="auto"/>
        </w:rPr>
      </w:pPr>
    </w:p>
    <w:p>
      <w:pPr>
        <w:ind w:right="3339" w:firstLine="947"/>
        <w:spacing w:after="0" w:line="268" w:lineRule="auto"/>
        <w:rPr>
          <w:sz w:val="20"/>
          <w:szCs w:val="20"/>
          <w:color w:val="auto"/>
        </w:rPr>
      </w:pPr>
      <w:r>
        <w:rPr>
          <w:rFonts w:ascii="Courier New" w:cs="Courier New" w:eastAsia="Courier New" w:hAnsi="Courier New"/>
          <w:sz w:val="14"/>
          <w:szCs w:val="14"/>
          <w:color w:val="auto"/>
        </w:rPr>
        <w:t>Other than the Trustee Nomination Letter and the termination thereof described above and incorporated herein in its entirety by reference, to the knowledge of Ephrat, there are no contracts, arrangements, understandings or relationships (legal or otherwise) between Ephrat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5" w:right="1440" w:bottom="1440" w:gutter="0" w:footer="0" w:header="0"/>
        </w:sectPr>
      </w:pPr>
    </w:p>
    <w:bookmarkStart w:id="4" w:name="page5"/>
    <w:bookmarkEnd w:id="4"/>
    <w:p>
      <w:pPr>
        <w:ind w:left="3100"/>
        <w:spacing w:after="0"/>
        <w:rPr>
          <w:sz w:val="20"/>
          <w:szCs w:val="20"/>
          <w:color w:val="auto"/>
        </w:rPr>
      </w:pPr>
      <w:r>
        <w:rPr>
          <w:rFonts w:ascii="Courier New" w:cs="Courier New" w:eastAsia="Courier New" w:hAnsi="Courier New"/>
          <w:sz w:val="14"/>
          <w:szCs w:val="14"/>
          <w:color w:val="auto"/>
        </w:rPr>
        <w:t>SIGNATURE</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right="3339" w:firstLine="947"/>
        <w:spacing w:after="0" w:line="313"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the information set forth in this statement is true, complete and correct.</w:t>
      </w:r>
    </w:p>
    <w:p>
      <w:pPr>
        <w:spacing w:after="0" w:line="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January 9, 2003</w:t>
      </w:r>
    </w:p>
    <w:p>
      <w:pPr>
        <w:spacing w:after="0" w:line="33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 Zvi Ephrat</w:t>
      </w:r>
    </w:p>
    <w:p>
      <w:pPr>
        <w:spacing w:after="0" w:line="3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Zvi Ephrat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sectPr>
      <w:pgSz w:w="11900" w:h="16838" w:orient="portrait"/>
      <w:cols w:equalWidth="0" w:num="1">
        <w:col w:w="10239"/>
      </w:cols>
      <w:pgMar w:left="220" w:top="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2019-12-14T04:18:39Z</dcterms:created>
  <dcterms:modified xsi:type="dcterms:W3CDTF">2019-12-14T04:18:39Z</dcterms:modified>
</cp:coreProperties>
</file>