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9"/>
        <w:spacing w:after="0"/>
        <w:rPr>
          <w:sz w:val="20"/>
          <w:szCs w:val="20"/>
          <w:color w:val="auto"/>
        </w:rPr>
      </w:pPr>
      <w:r>
        <w:rPr>
          <w:rFonts w:ascii="Courier New" w:cs="Courier New" w:eastAsia="Courier New" w:hAnsi="Courier New"/>
          <w:sz w:val="16"/>
          <w:szCs w:val="16"/>
          <w:color w:val="auto"/>
        </w:rPr>
        <w:t>FORM 6-K</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For the month of November 2006 No. 5</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TOWER SEMICONDUCTOR LTD.</w:t>
      </w:r>
    </w:p>
    <w:p>
      <w:pPr>
        <w:spacing w:after="0" w:line="2"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(Translation of registrant's name into English)</w:t>
      </w:r>
    </w:p>
    <w:p>
      <w:pPr>
        <w:spacing w:after="0" w:line="186"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RAMAT GAVRIEL INDUSTRIAL PARK</w:t>
      </w:r>
    </w:p>
    <w:p>
      <w:pPr>
        <w:spacing w:after="0" w:line="2"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P.O. BOX 619, MIGDAL HAEMEK, ISRAEL 23105</w:t>
      </w:r>
    </w:p>
    <w:p>
      <w:pPr>
        <w:spacing w:after="0" w:line="2"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88" w:lineRule="exact"/>
        <w:rPr>
          <w:sz w:val="24"/>
          <w:szCs w:val="24"/>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Form 20-F or Form 40-F.</w:t>
      </w:r>
    </w:p>
    <w:p>
      <w:pPr>
        <w:spacing w:after="0" w:line="186" w:lineRule="exact"/>
        <w:rPr>
          <w:sz w:val="24"/>
          <w:szCs w:val="24"/>
          <w:color w:val="auto"/>
        </w:rPr>
      </w:pPr>
    </w:p>
    <w:p>
      <w:pPr>
        <w:ind w:left="2380"/>
        <w:spacing w:after="0"/>
        <w:tabs>
          <w:tab w:leader="none" w:pos="4080" w:val="left"/>
        </w:tabs>
        <w:rPr>
          <w:sz w:val="20"/>
          <w:szCs w:val="20"/>
          <w:color w:val="auto"/>
        </w:rPr>
      </w:pPr>
      <w:r>
        <w:rPr>
          <w:rFonts w:ascii="Courier New" w:cs="Courier New" w:eastAsia="Courier New" w:hAnsi="Courier New"/>
          <w:sz w:val="16"/>
          <w:szCs w:val="16"/>
          <w:color w:val="auto"/>
        </w:rPr>
        <w:t>Form 20-F [X]</w:t>
      </w:r>
      <w:r>
        <w:rPr>
          <w:sz w:val="20"/>
          <w:szCs w:val="20"/>
          <w:color w:val="auto"/>
        </w:rPr>
        <w:tab/>
      </w:r>
      <w:r>
        <w:rPr>
          <w:rFonts w:ascii="Courier New" w:cs="Courier New" w:eastAsia="Courier New" w:hAnsi="Courier New"/>
          <w:sz w:val="15"/>
          <w:szCs w:val="15"/>
          <w:color w:val="auto"/>
        </w:rPr>
        <w:t>Form 40-F [_]</w:t>
      </w:r>
    </w:p>
    <w:p>
      <w:pPr>
        <w:spacing w:after="0" w:line="188" w:lineRule="exact"/>
        <w:rPr>
          <w:sz w:val="24"/>
          <w:szCs w:val="24"/>
          <w:color w:val="auto"/>
        </w:rPr>
      </w:pPr>
    </w:p>
    <w:p>
      <w:pPr>
        <w:ind w:right="2599" w:firstLine="477"/>
        <w:spacing w:after="0" w:line="265"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8" w:lineRule="exact"/>
        <w:rPr>
          <w:sz w:val="24"/>
          <w:szCs w:val="24"/>
          <w:color w:val="auto"/>
        </w:rPr>
      </w:pPr>
    </w:p>
    <w:p>
      <w:pPr>
        <w:ind w:left="2960"/>
        <w:spacing w:after="0"/>
        <w:tabs>
          <w:tab w:leader="none" w:pos="4080" w:val="left"/>
        </w:tabs>
        <w:rPr>
          <w:sz w:val="20"/>
          <w:szCs w:val="20"/>
          <w:color w:val="auto"/>
        </w:rPr>
      </w:pPr>
      <w:r>
        <w:rPr>
          <w:rFonts w:ascii="Courier New" w:cs="Courier New" w:eastAsia="Courier New" w:hAnsi="Courier New"/>
          <w:sz w:val="16"/>
          <w:szCs w:val="16"/>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On November 7, 2006, the Registrant announced its financial results for the three and nine month periods ended September 30, 2006. Attached hereto the press release.</w:t>
      </w:r>
    </w:p>
    <w:p>
      <w:pPr>
        <w:spacing w:after="0" w:line="190" w:lineRule="exact"/>
        <w:rPr>
          <w:sz w:val="24"/>
          <w:szCs w:val="24"/>
          <w:color w:val="auto"/>
        </w:rPr>
      </w:pPr>
    </w:p>
    <w:p>
      <w:pPr>
        <w:ind w:right="3359" w:firstLine="477"/>
        <w:spacing w:after="0" w:line="271" w:lineRule="auto"/>
        <w:rPr>
          <w:sz w:val="20"/>
          <w:szCs w:val="20"/>
          <w:color w:val="auto"/>
        </w:rPr>
      </w:pPr>
      <w:r>
        <w:rPr>
          <w:rFonts w:ascii="Courier New" w:cs="Courier New" w:eastAsia="Courier New" w:hAnsi="Courier New"/>
          <w:sz w:val="15"/>
          <w:szCs w:val="15"/>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20" w:right="1440" w:bottom="1440" w:gutter="0" w:footer="0" w:header="0"/>
        </w:sectPr>
      </w:pPr>
    </w:p>
    <w:bookmarkStart w:id="1" w:name="page2"/>
    <w:bookmarkEnd w:id="1"/>
    <w:p>
      <w:pPr>
        <w:jc w:val="center"/>
        <w:ind w:right="2599"/>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0"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848"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7, 2006</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Nati Somekh Gilboa</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 Somekh Gilboa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ectPr>
          <w:pgSz w:w="11900" w:h="16838" w:orient="portrait"/>
          <w:cols w:equalWidth="0" w:num="2">
            <w:col w:w="3860" w:space="720"/>
            <w:col w:w="5639"/>
          </w:cols>
          <w:pgMar w:left="240" w:top="848" w:right="1440" w:bottom="1440" w:gutter="0" w:footer="0" w:header="0"/>
          <w:type w:val="continuous"/>
        </w:sectPr>
      </w:pPr>
    </w:p>
    <w:bookmarkStart w:id="2" w:name="page3"/>
    <w:bookmarkEnd w:id="2"/>
    <w:p>
      <w:pPr>
        <w:jc w:val="center"/>
        <w:ind w:right="2599"/>
        <w:spacing w:after="0"/>
        <w:rPr>
          <w:sz w:val="20"/>
          <w:szCs w:val="20"/>
          <w:color w:val="auto"/>
        </w:rPr>
      </w:pPr>
      <w:r>
        <w:rPr>
          <w:rFonts w:ascii="Courier New" w:cs="Courier New" w:eastAsia="Courier New" w:hAnsi="Courier New"/>
          <w:sz w:val="16"/>
          <w:szCs w:val="16"/>
          <w:color w:val="auto"/>
        </w:rPr>
        <w:t>TOWER SEMICONDUCTOR ANNOUNCES RECORD SALES</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OF $51.5M FOR THIRD QUARTER 2006</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THIRD SEQUENTIAL QUARTER OF RECORD SALES, A 2.5 TIMES YEAR TO YEAR</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INCREASE Q3'06 VS Q3'05 WITH FURTHER GROWTH GUIDED FOR Q4'06</w:t>
      </w:r>
    </w:p>
    <w:p>
      <w:pPr>
        <w:spacing w:after="0" w:line="188"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MIGDAL HAEMEK, Israel - November 7, 2006 - Tower Semiconductor Ltd. (NASDAQ: TSEM; TASE: TSEM), a pure-play independent specialty foundry, today announced third quarter 2006 results.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HIGHLIGHTS:</w:t>
      </w:r>
    </w:p>
    <w:p>
      <w:pPr>
        <w:spacing w:after="0" w:line="188" w:lineRule="exact"/>
        <w:rPr>
          <w:sz w:val="20"/>
          <w:szCs w:val="20"/>
          <w:color w:val="auto"/>
        </w:rPr>
      </w:pPr>
    </w:p>
    <w:p>
      <w:pPr>
        <w:ind w:left="960" w:right="2679" w:hanging="485"/>
        <w:spacing w:after="0" w:line="239"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Achieved record sales of $51.5 million, a 2.5X year to year increase, as compared with third quarter 2005</w:t>
      </w:r>
    </w:p>
    <w:p>
      <w:pPr>
        <w:spacing w:after="0" w:line="189" w:lineRule="exact"/>
        <w:rPr>
          <w:rFonts w:ascii="Courier New" w:cs="Courier New" w:eastAsia="Courier New" w:hAnsi="Courier New"/>
          <w:sz w:val="16"/>
          <w:szCs w:val="16"/>
          <w:color w:val="auto"/>
        </w:rPr>
      </w:pPr>
    </w:p>
    <w:p>
      <w:pPr>
        <w:ind w:left="960" w:right="3059" w:hanging="485"/>
        <w:spacing w:after="0" w:line="239"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Achieved fourth consecutive quarter of positive EBITDA and EBITDA growth</w:t>
      </w:r>
    </w:p>
    <w:p>
      <w:pPr>
        <w:spacing w:after="0" w:line="189" w:lineRule="exact"/>
        <w:rPr>
          <w:rFonts w:ascii="Courier New" w:cs="Courier New" w:eastAsia="Courier New" w:hAnsi="Courier New"/>
          <w:sz w:val="16"/>
          <w:szCs w:val="16"/>
          <w:color w:val="auto"/>
        </w:rPr>
      </w:pPr>
    </w:p>
    <w:p>
      <w:pPr>
        <w:ind w:left="960" w:right="2679" w:hanging="485"/>
        <w:spacing w:after="0" w:line="239"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Announced expansion of 0.13-micron manufacturing capacity with volume production purchase commitment by SanDisk Corporation</w:t>
      </w:r>
    </w:p>
    <w:p>
      <w:pPr>
        <w:spacing w:after="0" w:line="189" w:lineRule="exact"/>
        <w:rPr>
          <w:rFonts w:ascii="Courier New" w:cs="Courier New" w:eastAsia="Courier New" w:hAnsi="Courier New"/>
          <w:sz w:val="16"/>
          <w:szCs w:val="16"/>
          <w:color w:val="auto"/>
        </w:rPr>
      </w:pPr>
    </w:p>
    <w:p>
      <w:pPr>
        <w:ind w:left="960" w:right="2879" w:hanging="485"/>
        <w:spacing w:after="0" w:line="239"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Signed long-term foundry agreement with International Rectifier for volume manufacturing</w:t>
      </w:r>
    </w:p>
    <w:p>
      <w:pPr>
        <w:spacing w:after="0" w:line="189" w:lineRule="exact"/>
        <w:rPr>
          <w:rFonts w:ascii="Courier New" w:cs="Courier New" w:eastAsia="Courier New" w:hAnsi="Courier New"/>
          <w:sz w:val="16"/>
          <w:szCs w:val="16"/>
          <w:color w:val="auto"/>
        </w:rPr>
      </w:pPr>
    </w:p>
    <w:p>
      <w:pPr>
        <w:ind w:left="960" w:right="3359" w:hanging="485"/>
        <w:spacing w:after="0" w:line="239"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Selected by Atheros Communications to produce its latest RF on standard digital CMOS, wireless LAN 802.11g chip</w:t>
      </w:r>
    </w:p>
    <w:p>
      <w:pPr>
        <w:spacing w:after="0" w:line="189" w:lineRule="exact"/>
        <w:rPr>
          <w:rFonts w:ascii="Courier New" w:cs="Courier New" w:eastAsia="Courier New" w:hAnsi="Courier New"/>
          <w:sz w:val="16"/>
          <w:szCs w:val="16"/>
          <w:color w:val="auto"/>
        </w:rPr>
      </w:pPr>
    </w:p>
    <w:p>
      <w:pPr>
        <w:ind w:left="960" w:right="2779" w:hanging="485"/>
        <w:spacing w:after="0" w:line="239"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Announced image sensor volume agreement with SuperPix, Tower's first volume agreement in China.</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reported total sales of $51.5 million, representing a 2.5 times increase as compared with the $20.6 million reported in the third quarter of 2005 and an increase of 15% over the $44.6 million reported in the second quarter of 2006. The 2006 third quarter net income was $39.5 million, or $0.46 per share, which included a one-time gain of $80.1 million, resulting from the recently announced closing of the bank restructuring deal, and depreciation and amortization expenses of $38.2 million. Loss for the third quarter of 2006, excluding the above described one-time gain of $80.1 million, would have been $40.6 million, or ($0.48) per shares, including depreciation and amortization expenses of $38.2 million, as compared with loss for the third quarter of 2005 which was $55.4 million, or ($0.83) per share, including $36.9 million depreciation and amortization expenses.</w:t>
      </w:r>
    </w:p>
    <w:p>
      <w:pPr>
        <w:spacing w:after="0" w:line="191"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"We continue to execute on our business plan, as represented by achieving a significant milestone of higher than $50 million in quarterly sales", said Russell Ellwanger, chief executive officer, Tower Semiconductor. "We are encouraged that our business model and diversified customer base has enabled us to guide for continued growth for the fourth quarter of 2006. Building upon the several major agreements signed and announced during the third quarter, we are optimistic about further growth throughout 2007."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OUTLOOK:</w:t>
      </w:r>
    </w:p>
    <w:p>
      <w:pPr>
        <w:spacing w:after="0" w:line="188"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Tower expects continued growth in the fourth quarter of 2006 and forecasts sales of $53 to $57 million.</w:t>
      </w:r>
    </w:p>
    <w:p>
      <w:pPr>
        <w:sectPr>
          <w:pgSz w:w="11900" w:h="16838" w:orient="portrait"/>
          <w:cols w:equalWidth="0" w:num="1">
            <w:col w:w="10219"/>
          </w:cols>
          <w:pgMar w:left="240" w:top="84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THIRD QUARTER 2006 FINANCIAL RESULTS CONFERENCE CALL AND WEB CAST</w:t>
      </w:r>
    </w:p>
    <w:p>
      <w:pPr>
        <w:spacing w:after="0" w:line="188"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Tower will host a conference call to discuss these results on Tuesday, November 7, 2006, at 11:00 a.m. Eastern Daylight Time / 6 p.m. Israel time. To participate, please call: 1-866-527-8676 (U.S. toll-free number) or</w:t>
      </w:r>
    </w:p>
    <w:p>
      <w:pPr>
        <w:spacing w:after="0" w:line="6"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972-3-918-0609 (international) and mention ID code: TOWER. Callers in Israel are invited to call locally 03-918-0609. The conference call will also be web cast live at http://www.earnings.com and at www.towersemi.com and will be available thereafter on both websites for replay for 90 days, starting at 2:00 p.m. Eastern Daylight Time on the day of the call.</w:t>
      </w:r>
    </w:p>
    <w:p>
      <w:pPr>
        <w:spacing w:after="0" w:line="18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As used in this release, the term EBITDA consists of loss, according to GAAP (Generally Accepted Accounting Principles), excluding interest and financing expenses (net), tax and depreciation and amortization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ABOUT TOWER SEMICONDUCTOR LTD.</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Fab 1 has process technologies from 1.0 to 0.35 micron and can produce up to 16,000 150mm wafers per month. Fab 2 features 0.18 and 0.13-micron, standard and specialized process technologies, and has the current capacity of up to 15,000 200mm wafers per month. Tower's Web site is located at http://www.towersemi.com.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Tower Semiconductor</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Ilanit Vudinsky, +972 4 650 6434</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ilanitvu@towersemi.com</w:t>
      </w:r>
    </w:p>
    <w:p>
      <w:pPr>
        <w:sectPr>
          <w:pgSz w:w="11900" w:h="16838" w:orient="portrait"/>
          <w:cols w:equalWidth="0" w:num="1">
            <w:col w:w="10219"/>
          </w:cols>
          <w:pgMar w:left="240" w:top="84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SAFE HARBOR</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operate the company in the short-term and raising the funds required to implement the current ramp up plan and complete Fab 2, (iii) the cyclical nature of the semiconductor industry and the resulting periodic overcapacity, fluctuations in operating results, future average selling price erosion that may be more severe than our expectations, (iv) operating our facilities at satisfactory utilization rates which is critical in order to cover the high level of fixed costs associated with operating a foundry, (v) our ability to satisfy certain of the covenants stipulated in our amended facility agreement, (vi) our ability to capitalize on increases in demand for foundry services, (vii) meeting the conditions to receive Israeli government grants and tax benefits approved for Fab 2 and obtaining the approval of the Israeli Investment Center for a new expansion program, (viii) attracting additional customers, (ix) not receiving orders from our wafer partners, customers and technology providers, (x) failing to maintain and develop our technology processes and services, (xi) competing effectively, (xii) our large amount of debt and our ability to repay our debt on a timely basis, (xiii) achieving acceptable device yields, product performance and delivery times, (xiv) the timely development, internal qualification and customer acceptance of new processes and products and (xv) business interruption due to terror attacks, including the current effect of the military situation, earthquakes, and other acts of God.</w:t>
      </w:r>
    </w:p>
    <w:p>
      <w:pPr>
        <w:spacing w:after="0" w:line="200"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F-1, F-3 and 6-K, as were filed with the Securities and Exchange Commission and the Israel Securities Authority. Future results may differ materially from those previously reported. We do not intend to update, and expressly disclaim any obligation to update, the information contained in this release.</w:t>
      </w:r>
    </w:p>
    <w:p>
      <w:pPr>
        <w:sectPr>
          <w:pgSz w:w="11900" w:h="16838" w:orient="portrait"/>
          <w:cols w:equalWidth="0" w:num="1">
            <w:col w:w="10219"/>
          </w:cols>
          <w:pgMar w:left="240" w:top="848" w:right="1440" w:bottom="1440" w:gutter="0" w:footer="0" w:header="0"/>
        </w:sectPr>
      </w:pPr>
    </w:p>
    <w:bookmarkStart w:id="5" w:name="page6"/>
    <w:bookmarkEnd w:id="5"/>
    <w:p>
      <w:pPr>
        <w:jc w:val="center"/>
        <w:ind w:right="2499"/>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40" w:type="dxa"/>
            <w:vAlign w:val="bottom"/>
          </w:tcPr>
          <w:p>
            <w:pPr>
              <w:ind w:left="2760"/>
              <w:spacing w:after="0"/>
              <w:rPr>
                <w:sz w:val="20"/>
                <w:szCs w:val="20"/>
                <w:color w:val="auto"/>
              </w:rPr>
            </w:pPr>
            <w:r>
              <w:rPr>
                <w:rFonts w:ascii="Courier New" w:cs="Courier New" w:eastAsia="Courier New" w:hAnsi="Courier New"/>
                <w:sz w:val="16"/>
                <w:szCs w:val="16"/>
                <w:color w:val="auto"/>
              </w:rPr>
              <w:t>(DOLLARS IN THOUSANDS)</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734"/>
        </w:trPr>
        <w:tc>
          <w:tcPr>
            <w:tcW w:w="6240" w:type="dxa"/>
            <w:vAlign w:val="bottom"/>
          </w:tcPr>
          <w:p>
            <w:pPr>
              <w:spacing w:after="0"/>
              <w:rPr>
                <w:sz w:val="24"/>
                <w:szCs w:val="24"/>
                <w:color w:val="auto"/>
              </w:rPr>
            </w:pP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SEPTEMBER 30,</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624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2006</w:t>
            </w:r>
          </w:p>
        </w:tc>
        <w:tc>
          <w:tcPr>
            <w:tcW w:w="340" w:type="dxa"/>
            <w:vAlign w:val="bottom"/>
          </w:tcPr>
          <w:p>
            <w:pPr>
              <w:spacing w:after="0"/>
              <w:rPr>
                <w:sz w:val="15"/>
                <w:szCs w:val="15"/>
                <w:color w:val="auto"/>
              </w:rPr>
            </w:pPr>
          </w:p>
        </w:tc>
        <w:tc>
          <w:tcPr>
            <w:tcW w:w="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2005</w:t>
            </w:r>
          </w:p>
        </w:tc>
      </w:tr>
      <w:tr>
        <w:trPr>
          <w:trHeight w:val="183"/>
        </w:trPr>
        <w:tc>
          <w:tcPr>
            <w:tcW w:w="624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6240" w:type="dxa"/>
            <w:vAlign w:val="bottom"/>
          </w:tcPr>
          <w:p>
            <w:pPr>
              <w:spacing w:after="0"/>
              <w:rPr>
                <w:sz w:val="20"/>
                <w:szCs w:val="20"/>
                <w:color w:val="auto"/>
              </w:rPr>
            </w:pPr>
            <w:r>
              <w:rPr>
                <w:rFonts w:ascii="Courier New" w:cs="Courier New" w:eastAsia="Courier New" w:hAnsi="Courier New"/>
                <w:sz w:val="16"/>
                <w:szCs w:val="16"/>
                <w:color w:val="auto"/>
              </w:rPr>
              <w:t>A S S E T 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7"/>
        </w:trPr>
        <w:tc>
          <w:tcPr>
            <w:tcW w:w="6240" w:type="dxa"/>
            <w:vAlign w:val="bottom"/>
          </w:tcPr>
          <w:p>
            <w:pPr>
              <w:ind w:left="480"/>
              <w:spacing w:after="0"/>
              <w:rPr>
                <w:sz w:val="20"/>
                <w:szCs w:val="20"/>
                <w:color w:val="auto"/>
              </w:rPr>
            </w:pPr>
            <w:r>
              <w:rPr>
                <w:rFonts w:ascii="Courier New" w:cs="Courier New" w:eastAsia="Courier New" w:hAnsi="Courier New"/>
                <w:sz w:val="16"/>
                <w:szCs w:val="16"/>
                <w:color w:val="auto"/>
              </w:rPr>
              <w:t>CURRENT ASSETS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6240" w:type="dxa"/>
            <w:vAlign w:val="bottom"/>
          </w:tcPr>
          <w:p>
            <w:pPr>
              <w:ind w:left="760"/>
              <w:spacing w:after="0"/>
              <w:rPr>
                <w:sz w:val="20"/>
                <w:szCs w:val="20"/>
                <w:color w:val="auto"/>
              </w:rPr>
            </w:pPr>
            <w:r>
              <w:rPr>
                <w:rFonts w:ascii="Courier New" w:cs="Courier New" w:eastAsia="Courier New" w:hAnsi="Courier New"/>
                <w:sz w:val="16"/>
                <w:szCs w:val="16"/>
                <w:color w:val="auto"/>
              </w:rPr>
              <w:t>CASH AND CASH EQUIVALENTS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61,746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7,337</w:t>
            </w:r>
          </w:p>
        </w:tc>
      </w:tr>
      <w:tr>
        <w:trPr>
          <w:trHeight w:val="183"/>
        </w:trPr>
        <w:tc>
          <w:tcPr>
            <w:tcW w:w="6240" w:type="dxa"/>
            <w:vAlign w:val="bottom"/>
          </w:tcPr>
          <w:p>
            <w:pPr>
              <w:ind w:left="760"/>
              <w:spacing w:after="0"/>
              <w:rPr>
                <w:sz w:val="20"/>
                <w:szCs w:val="20"/>
                <w:color w:val="auto"/>
              </w:rPr>
            </w:pPr>
            <w:r>
              <w:rPr>
                <w:rFonts w:ascii="Courier New" w:cs="Courier New" w:eastAsia="Courier New" w:hAnsi="Courier New"/>
                <w:sz w:val="16"/>
                <w:szCs w:val="16"/>
                <w:color w:val="auto"/>
              </w:rPr>
              <w:t>DESIGNATED CASH AND SHORT-TERM INTEREST-BEARING DEPOSITS</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31,661</w:t>
            </w:r>
          </w:p>
        </w:tc>
      </w:tr>
      <w:tr>
        <w:trPr>
          <w:trHeight w:val="183"/>
        </w:trPr>
        <w:tc>
          <w:tcPr>
            <w:tcW w:w="6240" w:type="dxa"/>
            <w:vAlign w:val="bottom"/>
          </w:tcPr>
          <w:p>
            <w:pPr>
              <w:ind w:left="760"/>
              <w:spacing w:after="0"/>
              <w:rPr>
                <w:sz w:val="20"/>
                <w:szCs w:val="20"/>
                <w:color w:val="auto"/>
              </w:rPr>
            </w:pPr>
            <w:r>
              <w:rPr>
                <w:rFonts w:ascii="Courier New" w:cs="Courier New" w:eastAsia="Courier New" w:hAnsi="Courier New"/>
                <w:sz w:val="16"/>
                <w:szCs w:val="16"/>
                <w:color w:val="auto"/>
              </w:rPr>
              <w:t>TRADE ACCOUNTS RECEIVABLE</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25,636</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16,776</w:t>
            </w:r>
          </w:p>
        </w:tc>
      </w:tr>
      <w:tr>
        <w:trPr>
          <w:trHeight w:val="183"/>
        </w:trPr>
        <w:tc>
          <w:tcPr>
            <w:tcW w:w="6240" w:type="dxa"/>
            <w:vAlign w:val="bottom"/>
          </w:tcPr>
          <w:p>
            <w:pPr>
              <w:ind w:left="760"/>
              <w:spacing w:after="0"/>
              <w:rPr>
                <w:sz w:val="20"/>
                <w:szCs w:val="20"/>
                <w:color w:val="auto"/>
              </w:rPr>
            </w:pPr>
            <w:r>
              <w:rPr>
                <w:rFonts w:ascii="Courier New" w:cs="Courier New" w:eastAsia="Courier New" w:hAnsi="Courier New"/>
                <w:sz w:val="16"/>
                <w:szCs w:val="16"/>
                <w:color w:val="auto"/>
              </w:rPr>
              <w:t>OTHER RECEIVABLES</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12,807</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9,043</w:t>
            </w:r>
          </w:p>
        </w:tc>
      </w:tr>
      <w:tr>
        <w:trPr>
          <w:trHeight w:val="183"/>
        </w:trPr>
        <w:tc>
          <w:tcPr>
            <w:tcW w:w="6240" w:type="dxa"/>
            <w:vAlign w:val="bottom"/>
          </w:tcPr>
          <w:p>
            <w:pPr>
              <w:ind w:left="760"/>
              <w:spacing w:after="0"/>
              <w:rPr>
                <w:sz w:val="20"/>
                <w:szCs w:val="20"/>
                <w:color w:val="auto"/>
              </w:rPr>
            </w:pPr>
            <w:r>
              <w:rPr>
                <w:rFonts w:ascii="Courier New" w:cs="Courier New" w:eastAsia="Courier New" w:hAnsi="Courier New"/>
                <w:sz w:val="16"/>
                <w:szCs w:val="16"/>
                <w:color w:val="auto"/>
              </w:rPr>
              <w:t>INVENTORIES</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38,519</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24,376</w:t>
            </w:r>
          </w:p>
        </w:tc>
      </w:tr>
      <w:tr>
        <w:trPr>
          <w:trHeight w:val="183"/>
        </w:trPr>
        <w:tc>
          <w:tcPr>
            <w:tcW w:w="6240" w:type="dxa"/>
            <w:vAlign w:val="bottom"/>
          </w:tcPr>
          <w:p>
            <w:pPr>
              <w:ind w:left="760"/>
              <w:spacing w:after="0"/>
              <w:rPr>
                <w:sz w:val="20"/>
                <w:szCs w:val="20"/>
                <w:color w:val="auto"/>
              </w:rPr>
            </w:pPr>
            <w:r>
              <w:rPr>
                <w:rFonts w:ascii="Courier New" w:cs="Courier New" w:eastAsia="Courier New" w:hAnsi="Courier New"/>
                <w:sz w:val="16"/>
                <w:szCs w:val="16"/>
                <w:color w:val="auto"/>
              </w:rPr>
              <w:t>OTHER CURRENT ASSETS</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1,737</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1,048</w:t>
            </w:r>
          </w:p>
        </w:tc>
      </w:tr>
      <w:tr>
        <w:trPr>
          <w:trHeight w:val="183"/>
        </w:trPr>
        <w:tc>
          <w:tcPr>
            <w:tcW w:w="624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240" w:type="dxa"/>
            <w:vAlign w:val="bottom"/>
          </w:tcPr>
          <w:p>
            <w:pPr>
              <w:jc w:val="right"/>
              <w:ind w:right="3201"/>
              <w:spacing w:after="0"/>
              <w:rPr>
                <w:sz w:val="20"/>
                <w:szCs w:val="20"/>
                <w:color w:val="auto"/>
              </w:rPr>
            </w:pPr>
            <w:r>
              <w:rPr>
                <w:rFonts w:ascii="Courier New" w:cs="Courier New" w:eastAsia="Courier New" w:hAnsi="Courier New"/>
                <w:sz w:val="16"/>
                <w:szCs w:val="16"/>
                <w:color w:val="auto"/>
              </w:rPr>
              <w:t>TOTAL CURRENT ASSETS</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140,445</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90,241</w:t>
            </w:r>
          </w:p>
        </w:tc>
      </w:tr>
      <w:tr>
        <w:trPr>
          <w:trHeight w:val="183"/>
        </w:trPr>
        <w:tc>
          <w:tcPr>
            <w:tcW w:w="624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550"/>
        </w:trPr>
        <w:tc>
          <w:tcPr>
            <w:tcW w:w="6240" w:type="dxa"/>
            <w:vAlign w:val="bottom"/>
          </w:tcPr>
          <w:p>
            <w:pPr>
              <w:ind w:left="480"/>
              <w:spacing w:after="0"/>
              <w:rPr>
                <w:sz w:val="20"/>
                <w:szCs w:val="20"/>
                <w:color w:val="auto"/>
              </w:rPr>
            </w:pPr>
            <w:r>
              <w:rPr>
                <w:rFonts w:ascii="Courier New" w:cs="Courier New" w:eastAsia="Courier New" w:hAnsi="Courier New"/>
                <w:sz w:val="16"/>
                <w:szCs w:val="16"/>
                <w:color w:val="auto"/>
              </w:rPr>
              <w:t>PROPERTY AND EQUIPMENT, NET</w:t>
            </w:r>
          </w:p>
        </w:tc>
        <w:tc>
          <w:tcPr>
            <w:tcW w:w="48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522,018</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510,645</w:t>
            </w:r>
          </w:p>
        </w:tc>
      </w:tr>
      <w:tr>
        <w:trPr>
          <w:trHeight w:val="183"/>
        </w:trPr>
        <w:tc>
          <w:tcPr>
            <w:tcW w:w="624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6240" w:type="dxa"/>
            <w:vAlign w:val="bottom"/>
          </w:tcPr>
          <w:p>
            <w:pPr>
              <w:ind w:left="480"/>
              <w:spacing w:after="0"/>
              <w:rPr>
                <w:sz w:val="20"/>
                <w:szCs w:val="20"/>
                <w:color w:val="auto"/>
              </w:rPr>
            </w:pPr>
            <w:r>
              <w:rPr>
                <w:rFonts w:ascii="Courier New" w:cs="Courier New" w:eastAsia="Courier New" w:hAnsi="Courier New"/>
                <w:sz w:val="16"/>
                <w:szCs w:val="16"/>
                <w:color w:val="auto"/>
              </w:rPr>
              <w:t>OTHER ASSETS, NET</w:t>
            </w:r>
          </w:p>
        </w:tc>
        <w:tc>
          <w:tcPr>
            <w:tcW w:w="48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50,748</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77,800</w:t>
            </w:r>
          </w:p>
        </w:tc>
      </w:tr>
      <w:tr>
        <w:trPr>
          <w:trHeight w:val="183"/>
        </w:trPr>
        <w:tc>
          <w:tcPr>
            <w:tcW w:w="624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6240" w:type="dxa"/>
            <w:vAlign w:val="bottom"/>
          </w:tcPr>
          <w:p>
            <w:pPr>
              <w:ind w:left="1340"/>
              <w:spacing w:after="0"/>
              <w:rPr>
                <w:sz w:val="20"/>
                <w:szCs w:val="20"/>
                <w:color w:val="auto"/>
              </w:rPr>
            </w:pPr>
            <w:r>
              <w:rPr>
                <w:rFonts w:ascii="Courier New" w:cs="Courier New" w:eastAsia="Courier New" w:hAnsi="Courier New"/>
                <w:sz w:val="16"/>
                <w:szCs w:val="16"/>
                <w:color w:val="auto"/>
              </w:rPr>
              <w:t>TOTAL ASSETS</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$ 713,211</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$ 678,686</w:t>
            </w:r>
          </w:p>
        </w:tc>
      </w:tr>
      <w:tr>
        <w:trPr>
          <w:trHeight w:val="183"/>
        </w:trPr>
        <w:tc>
          <w:tcPr>
            <w:tcW w:w="624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624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7"/>
        </w:trPr>
        <w:tc>
          <w:tcPr>
            <w:tcW w:w="6240" w:type="dxa"/>
            <w:vAlign w:val="bottom"/>
          </w:tcPr>
          <w:p>
            <w:pPr>
              <w:ind w:left="480"/>
              <w:spacing w:after="0"/>
              <w:rPr>
                <w:sz w:val="20"/>
                <w:szCs w:val="20"/>
                <w:color w:val="auto"/>
              </w:rPr>
            </w:pPr>
            <w:r>
              <w:rPr>
                <w:rFonts w:ascii="Courier New" w:cs="Courier New" w:eastAsia="Courier New" w:hAnsi="Courier New"/>
                <w:sz w:val="16"/>
                <w:szCs w:val="16"/>
                <w:color w:val="auto"/>
              </w:rPr>
              <w:t>CURRENT LIABILITIES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6240" w:type="dxa"/>
            <w:vAlign w:val="bottom"/>
          </w:tcPr>
          <w:p>
            <w:pPr>
              <w:ind w:left="760"/>
              <w:spacing w:after="0"/>
              <w:rPr>
                <w:sz w:val="20"/>
                <w:szCs w:val="20"/>
                <w:color w:val="auto"/>
              </w:rPr>
            </w:pPr>
            <w:r>
              <w:rPr>
                <w:rFonts w:ascii="Courier New" w:cs="Courier New" w:eastAsia="Courier New" w:hAnsi="Courier New"/>
                <w:sz w:val="16"/>
                <w:szCs w:val="16"/>
                <w:color w:val="auto"/>
              </w:rPr>
              <w:t>CURRENT MATURITIES OF LONG-TERM DEBT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21,103</w:t>
            </w:r>
          </w:p>
        </w:tc>
      </w:tr>
      <w:tr>
        <w:trPr>
          <w:trHeight w:val="183"/>
        </w:trPr>
        <w:tc>
          <w:tcPr>
            <w:tcW w:w="6240" w:type="dxa"/>
            <w:vAlign w:val="bottom"/>
          </w:tcPr>
          <w:p>
            <w:pPr>
              <w:ind w:left="760"/>
              <w:spacing w:after="0"/>
              <w:rPr>
                <w:sz w:val="20"/>
                <w:szCs w:val="20"/>
                <w:color w:val="auto"/>
              </w:rPr>
            </w:pPr>
            <w:r>
              <w:rPr>
                <w:rFonts w:ascii="Courier New" w:cs="Courier New" w:eastAsia="Courier New" w:hAnsi="Courier New"/>
                <w:sz w:val="16"/>
                <w:szCs w:val="16"/>
                <w:color w:val="auto"/>
              </w:rPr>
              <w:t>CURRENT MATURITIES OF CONVERTIBLE DEBENTURES</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6,522</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6,453</w:t>
            </w:r>
          </w:p>
        </w:tc>
      </w:tr>
      <w:tr>
        <w:trPr>
          <w:trHeight w:val="183"/>
        </w:trPr>
        <w:tc>
          <w:tcPr>
            <w:tcW w:w="6240" w:type="dxa"/>
            <w:vAlign w:val="bottom"/>
          </w:tcPr>
          <w:p>
            <w:pPr>
              <w:ind w:left="760"/>
              <w:spacing w:after="0"/>
              <w:rPr>
                <w:sz w:val="20"/>
                <w:szCs w:val="20"/>
                <w:color w:val="auto"/>
              </w:rPr>
            </w:pPr>
            <w:r>
              <w:rPr>
                <w:rFonts w:ascii="Courier New" w:cs="Courier New" w:eastAsia="Courier New" w:hAnsi="Courier New"/>
                <w:sz w:val="16"/>
                <w:szCs w:val="16"/>
                <w:color w:val="auto"/>
              </w:rPr>
              <w:t>TRADE ACCOUNTS PAYABLE</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59,687</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59,741</w:t>
            </w:r>
          </w:p>
        </w:tc>
      </w:tr>
      <w:tr>
        <w:trPr>
          <w:trHeight w:val="183"/>
        </w:trPr>
        <w:tc>
          <w:tcPr>
            <w:tcW w:w="6240" w:type="dxa"/>
            <w:vAlign w:val="bottom"/>
          </w:tcPr>
          <w:p>
            <w:pPr>
              <w:ind w:left="760"/>
              <w:spacing w:after="0"/>
              <w:rPr>
                <w:sz w:val="20"/>
                <w:szCs w:val="20"/>
                <w:color w:val="auto"/>
              </w:rPr>
            </w:pPr>
            <w:r>
              <w:rPr>
                <w:rFonts w:ascii="Courier New" w:cs="Courier New" w:eastAsia="Courier New" w:hAnsi="Courier New"/>
                <w:sz w:val="16"/>
                <w:szCs w:val="16"/>
                <w:color w:val="auto"/>
              </w:rPr>
              <w:t>OTHER CURRENT LIABILITIES</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15,354</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8,972</w:t>
            </w:r>
          </w:p>
        </w:tc>
      </w:tr>
      <w:tr>
        <w:trPr>
          <w:trHeight w:val="183"/>
        </w:trPr>
        <w:tc>
          <w:tcPr>
            <w:tcW w:w="624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240" w:type="dxa"/>
            <w:vAlign w:val="bottom"/>
          </w:tcPr>
          <w:p>
            <w:pPr>
              <w:ind w:left="1340"/>
              <w:spacing w:after="0"/>
              <w:rPr>
                <w:sz w:val="20"/>
                <w:szCs w:val="20"/>
                <w:color w:val="auto"/>
              </w:rPr>
            </w:pPr>
            <w:r>
              <w:rPr>
                <w:rFonts w:ascii="Courier New" w:cs="Courier New" w:eastAsia="Courier New" w:hAnsi="Courier New"/>
                <w:sz w:val="16"/>
                <w:szCs w:val="16"/>
                <w:color w:val="auto"/>
              </w:rPr>
              <w:t>TOTAL CURRENT LIABILITIES</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81,563</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96,269</w:t>
            </w:r>
          </w:p>
        </w:tc>
      </w:tr>
      <w:tr>
        <w:trPr>
          <w:trHeight w:val="367"/>
        </w:trPr>
        <w:tc>
          <w:tcPr>
            <w:tcW w:w="6240" w:type="dxa"/>
            <w:vAlign w:val="bottom"/>
          </w:tcPr>
          <w:p>
            <w:pPr>
              <w:ind w:left="480"/>
              <w:spacing w:after="0"/>
              <w:rPr>
                <w:sz w:val="20"/>
                <w:szCs w:val="20"/>
                <w:color w:val="auto"/>
              </w:rPr>
            </w:pPr>
            <w:r>
              <w:rPr>
                <w:rFonts w:ascii="Courier New" w:cs="Courier New" w:eastAsia="Courier New" w:hAnsi="Courier New"/>
                <w:sz w:val="16"/>
                <w:szCs w:val="16"/>
                <w:color w:val="auto"/>
              </w:rPr>
              <w:t>LONG-TERM DEBT</w:t>
            </w:r>
          </w:p>
        </w:tc>
        <w:tc>
          <w:tcPr>
            <w:tcW w:w="48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355,138</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497,000</w:t>
            </w:r>
          </w:p>
        </w:tc>
      </w:tr>
      <w:tr>
        <w:trPr>
          <w:trHeight w:val="367"/>
        </w:trPr>
        <w:tc>
          <w:tcPr>
            <w:tcW w:w="6240" w:type="dxa"/>
            <w:vAlign w:val="bottom"/>
          </w:tcPr>
          <w:p>
            <w:pPr>
              <w:ind w:left="480"/>
              <w:spacing w:after="0"/>
              <w:rPr>
                <w:sz w:val="20"/>
                <w:szCs w:val="20"/>
                <w:color w:val="auto"/>
              </w:rPr>
            </w:pPr>
            <w:r>
              <w:rPr>
                <w:rFonts w:ascii="Courier New" w:cs="Courier New" w:eastAsia="Courier New" w:hAnsi="Courier New"/>
                <w:sz w:val="16"/>
                <w:szCs w:val="16"/>
                <w:color w:val="auto"/>
              </w:rPr>
              <w:t>CONVERTIBLE DEBENTURES</w:t>
            </w:r>
          </w:p>
        </w:tc>
        <w:tc>
          <w:tcPr>
            <w:tcW w:w="48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61,657</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19,358</w:t>
            </w:r>
          </w:p>
        </w:tc>
      </w:tr>
      <w:tr>
        <w:trPr>
          <w:trHeight w:val="367"/>
        </w:trPr>
        <w:tc>
          <w:tcPr>
            <w:tcW w:w="6240" w:type="dxa"/>
            <w:vAlign w:val="bottom"/>
          </w:tcPr>
          <w:p>
            <w:pPr>
              <w:ind w:left="480"/>
              <w:spacing w:after="0"/>
              <w:rPr>
                <w:sz w:val="20"/>
                <w:szCs w:val="20"/>
                <w:color w:val="auto"/>
              </w:rPr>
            </w:pPr>
            <w:r>
              <w:rPr>
                <w:rFonts w:ascii="Courier New" w:cs="Courier New" w:eastAsia="Courier New" w:hAnsi="Courier New"/>
                <w:sz w:val="16"/>
                <w:szCs w:val="16"/>
                <w:color w:val="auto"/>
              </w:rPr>
              <w:t>LONG-TERM LIABILITY IN RESPECT</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6240" w:type="dxa"/>
            <w:vAlign w:val="bottom"/>
          </w:tcPr>
          <w:p>
            <w:pPr>
              <w:jc w:val="right"/>
              <w:ind w:right="3201"/>
              <w:spacing w:after="0"/>
              <w:rPr>
                <w:sz w:val="20"/>
                <w:szCs w:val="20"/>
                <w:color w:val="auto"/>
              </w:rPr>
            </w:pPr>
            <w:r>
              <w:rPr>
                <w:rFonts w:ascii="Courier New" w:cs="Courier New" w:eastAsia="Courier New" w:hAnsi="Courier New"/>
                <w:sz w:val="16"/>
                <w:szCs w:val="16"/>
                <w:color w:val="auto"/>
              </w:rPr>
              <w:t>OF CUSTOMERS' ADVANCES</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50,004</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59,621</w:t>
            </w:r>
          </w:p>
        </w:tc>
      </w:tr>
      <w:tr>
        <w:trPr>
          <w:trHeight w:val="367"/>
        </w:trPr>
        <w:tc>
          <w:tcPr>
            <w:tcW w:w="6240" w:type="dxa"/>
            <w:vAlign w:val="bottom"/>
          </w:tcPr>
          <w:p>
            <w:pPr>
              <w:ind w:left="480"/>
              <w:spacing w:after="0"/>
              <w:rPr>
                <w:sz w:val="20"/>
                <w:szCs w:val="20"/>
                <w:color w:val="auto"/>
              </w:rPr>
            </w:pPr>
            <w:r>
              <w:rPr>
                <w:rFonts w:ascii="Courier New" w:cs="Courier New" w:eastAsia="Courier New" w:hAnsi="Courier New"/>
                <w:sz w:val="16"/>
                <w:szCs w:val="16"/>
                <w:color w:val="auto"/>
              </w:rPr>
              <w:t>OTHER LONG-TERM LIABILITIES</w:t>
            </w:r>
          </w:p>
        </w:tc>
        <w:tc>
          <w:tcPr>
            <w:tcW w:w="48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15,547</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11,012</w:t>
            </w:r>
          </w:p>
        </w:tc>
      </w:tr>
      <w:tr>
        <w:trPr>
          <w:trHeight w:val="183"/>
        </w:trPr>
        <w:tc>
          <w:tcPr>
            <w:tcW w:w="624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240" w:type="dxa"/>
            <w:vAlign w:val="bottom"/>
          </w:tcPr>
          <w:p>
            <w:pPr>
              <w:ind w:left="1340"/>
              <w:spacing w:after="0"/>
              <w:rPr>
                <w:sz w:val="20"/>
                <w:szCs w:val="20"/>
                <w:color w:val="auto"/>
              </w:rPr>
            </w:pPr>
            <w:r>
              <w:rPr>
                <w:rFonts w:ascii="Courier New" w:cs="Courier New" w:eastAsia="Courier New" w:hAnsi="Courier New"/>
                <w:sz w:val="16"/>
                <w:szCs w:val="16"/>
                <w:color w:val="auto"/>
              </w:rPr>
              <w:t>TOTAL LIABILITIES</w:t>
            </w:r>
          </w:p>
        </w:tc>
        <w:tc>
          <w:tcPr>
            <w:tcW w:w="4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563,909</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683,260</w:t>
            </w:r>
          </w:p>
        </w:tc>
      </w:tr>
      <w:tr>
        <w:trPr>
          <w:trHeight w:val="183"/>
        </w:trPr>
        <w:tc>
          <w:tcPr>
            <w:tcW w:w="624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6240" w:type="dxa"/>
            <w:vAlign w:val="bottom"/>
          </w:tcPr>
          <w:p>
            <w:pPr>
              <w:ind w:left="480"/>
              <w:spacing w:after="0"/>
              <w:rPr>
                <w:sz w:val="20"/>
                <w:szCs w:val="20"/>
                <w:color w:val="auto"/>
              </w:rPr>
            </w:pPr>
            <w:r>
              <w:rPr>
                <w:rFonts w:ascii="Courier New" w:cs="Courier New" w:eastAsia="Courier New" w:hAnsi="Courier New"/>
                <w:sz w:val="16"/>
                <w:szCs w:val="16"/>
                <w:color w:val="auto"/>
              </w:rPr>
              <w:t>CONVERTIBLE DEBENTURES</w:t>
            </w:r>
          </w:p>
        </w:tc>
        <w:tc>
          <w:tcPr>
            <w:tcW w:w="48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25,493</w:t>
            </w:r>
          </w:p>
        </w:tc>
      </w:tr>
      <w:tr>
        <w:trPr>
          <w:trHeight w:val="183"/>
        </w:trPr>
        <w:tc>
          <w:tcPr>
            <w:tcW w:w="624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6240" w:type="dxa"/>
            <w:vAlign w:val="bottom"/>
          </w:tcPr>
          <w:p>
            <w:pPr>
              <w:ind w:left="480"/>
              <w:spacing w:after="0"/>
              <w:rPr>
                <w:sz w:val="20"/>
                <w:szCs w:val="20"/>
                <w:color w:val="auto"/>
              </w:rPr>
            </w:pPr>
            <w:r>
              <w:rPr>
                <w:rFonts w:ascii="Courier New" w:cs="Courier New" w:eastAsia="Courier New" w:hAnsi="Courier New"/>
                <w:sz w:val="16"/>
                <w:szCs w:val="16"/>
                <w:color w:val="auto"/>
              </w:rPr>
              <w:t>SHAREHOLDERS' EQUITY (DEFICIT)</w:t>
            </w:r>
          </w:p>
        </w:tc>
        <w:tc>
          <w:tcPr>
            <w:tcW w:w="48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149,302</w:t>
            </w:r>
          </w:p>
        </w:tc>
        <w:tc>
          <w:tcPr>
            <w:tcW w:w="34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(30,067)</w:t>
            </w:r>
          </w:p>
        </w:tc>
      </w:tr>
      <w:tr>
        <w:trPr>
          <w:trHeight w:val="183"/>
        </w:trPr>
        <w:tc>
          <w:tcPr>
            <w:tcW w:w="624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6240" w:type="dxa"/>
            <w:vAlign w:val="bottom"/>
          </w:tcPr>
          <w:p>
            <w:pPr>
              <w:ind w:left="134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$ 713,211</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$ 678,686</w:t>
            </w:r>
          </w:p>
        </w:tc>
      </w:tr>
      <w:tr>
        <w:trPr>
          <w:trHeight w:val="183"/>
        </w:trPr>
        <w:tc>
          <w:tcPr>
            <w:tcW w:w="624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65" w:right="1440" w:bottom="1440" w:gutter="0" w:footer="0" w:header="0"/>
        </w:sectPr>
      </w:pPr>
    </w:p>
    <w:bookmarkStart w:id="6" w:name="page7"/>
    <w:bookmarkEnd w:id="6"/>
    <w:p>
      <w:pPr>
        <w:jc w:val="center"/>
        <w:ind w:right="3798"/>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2" w:lineRule="exact"/>
        <w:rPr>
          <w:sz w:val="20"/>
          <w:szCs w:val="20"/>
          <w:color w:val="auto"/>
        </w:rPr>
      </w:pPr>
    </w:p>
    <w:p>
      <w:pPr>
        <w:jc w:val="center"/>
        <w:ind w:right="3798"/>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730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rPr>
              <w:t>(dollars in thousands, except share data and per share data)</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917"/>
        </w:trPr>
        <w:tc>
          <w:tcPr>
            <w:tcW w:w="5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60" w:type="dxa"/>
            <w:vAlign w:val="bottom"/>
            <w:gridSpan w:val="3"/>
          </w:tcPr>
          <w:p>
            <w:pPr>
              <w:jc w:val="right"/>
              <w:ind w:right="821"/>
              <w:spacing w:after="0"/>
              <w:rPr>
                <w:sz w:val="20"/>
                <w:szCs w:val="20"/>
                <w:color w:val="auto"/>
              </w:rPr>
            </w:pPr>
            <w:r>
              <w:rPr>
                <w:rFonts w:ascii="Courier New" w:cs="Courier New" w:eastAsia="Courier New" w:hAnsi="Courier New"/>
                <w:sz w:val="16"/>
                <w:szCs w:val="16"/>
                <w:color w:val="auto"/>
              </w:rPr>
              <w:t>NINE MONTHS ENDED</w:t>
            </w:r>
          </w:p>
        </w:tc>
        <w:tc>
          <w:tcPr>
            <w:tcW w:w="480" w:type="dxa"/>
            <w:vAlign w:val="bottom"/>
          </w:tcPr>
          <w:p>
            <w:pPr>
              <w:spacing w:after="0"/>
              <w:rPr>
                <w:sz w:val="24"/>
                <w:szCs w:val="24"/>
                <w:color w:val="auto"/>
              </w:rPr>
            </w:pPr>
          </w:p>
        </w:tc>
        <w:tc>
          <w:tcPr>
            <w:tcW w:w="242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5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1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30,</w:t>
            </w:r>
          </w:p>
        </w:tc>
        <w:tc>
          <w:tcPr>
            <w:tcW w:w="48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c>
          <w:tcPr>
            <w:tcW w:w="740" w:type="dxa"/>
            <w:vAlign w:val="bottom"/>
          </w:tcPr>
          <w:p>
            <w:pPr>
              <w:spacing w:after="0"/>
              <w:rPr>
                <w:sz w:val="15"/>
                <w:szCs w:val="15"/>
                <w:color w:val="auto"/>
              </w:rPr>
            </w:pPr>
          </w:p>
        </w:tc>
      </w:tr>
      <w:tr>
        <w:trPr>
          <w:trHeight w:val="183"/>
        </w:trPr>
        <w:tc>
          <w:tcPr>
            <w:tcW w:w="5380" w:type="dxa"/>
            <w:vAlign w:val="bottom"/>
          </w:tcPr>
          <w:p>
            <w:pPr>
              <w:spacing w:after="0"/>
              <w:rPr>
                <w:sz w:val="15"/>
                <w:szCs w:val="15"/>
                <w:color w:val="auto"/>
              </w:rPr>
            </w:pPr>
          </w:p>
        </w:tc>
        <w:tc>
          <w:tcPr>
            <w:tcW w:w="3240" w:type="dxa"/>
            <w:vAlign w:val="bottom"/>
            <w:gridSpan w:val="4"/>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90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2006</w:t>
            </w:r>
          </w:p>
        </w:tc>
        <w:tc>
          <w:tcPr>
            <w:tcW w:w="140" w:type="dxa"/>
            <w:vAlign w:val="bottom"/>
          </w:tcPr>
          <w:p>
            <w:pPr>
              <w:spacing w:after="0"/>
              <w:rPr>
                <w:sz w:val="15"/>
                <w:szCs w:val="15"/>
                <w:color w:val="auto"/>
              </w:rPr>
            </w:pPr>
          </w:p>
        </w:tc>
        <w:tc>
          <w:tcPr>
            <w:tcW w:w="11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2005</w:t>
            </w:r>
          </w:p>
        </w:tc>
        <w:tc>
          <w:tcPr>
            <w:tcW w:w="480" w:type="dxa"/>
            <w:vAlign w:val="bottom"/>
          </w:tcPr>
          <w:p>
            <w:pPr>
              <w:spacing w:after="0"/>
              <w:rPr>
                <w:sz w:val="15"/>
                <w:szCs w:val="15"/>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2006</w:t>
            </w:r>
          </w:p>
        </w:tc>
        <w:tc>
          <w:tcPr>
            <w:tcW w:w="520" w:type="dxa"/>
            <w:vAlign w:val="bottom"/>
          </w:tcPr>
          <w:p>
            <w:pPr>
              <w:spacing w:after="0"/>
              <w:rPr>
                <w:sz w:val="15"/>
                <w:szCs w:val="15"/>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2005</w:t>
            </w:r>
          </w:p>
        </w:tc>
      </w:tr>
      <w:tr>
        <w:trPr>
          <w:trHeight w:val="183"/>
        </w:trPr>
        <w:tc>
          <w:tcPr>
            <w:tcW w:w="5380" w:type="dxa"/>
            <w:vAlign w:val="bottom"/>
          </w:tcPr>
          <w:p>
            <w:pPr>
              <w:spacing w:after="0"/>
              <w:rPr>
                <w:sz w:val="15"/>
                <w:szCs w:val="15"/>
                <w:color w:val="auto"/>
              </w:rPr>
            </w:pP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SALES</w:t>
            </w: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$ 131,933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62,928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51,503</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20,553</w:t>
            </w:r>
          </w:p>
        </w:tc>
      </w:tr>
      <w:tr>
        <w:trPr>
          <w:trHeight w:val="183"/>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REVENUES RELATED TO A JOINT DEVELOPMENT AGREEMENT</w:t>
            </w:r>
          </w:p>
        </w:tc>
        <w:tc>
          <w:tcPr>
            <w:tcW w:w="480" w:type="dxa"/>
            <w:vAlign w:val="bottom"/>
          </w:tcPr>
          <w:p>
            <w:pPr>
              <w:spacing w:after="0"/>
              <w:rPr>
                <w:sz w:val="15"/>
                <w:szCs w:val="15"/>
                <w:color w:val="auto"/>
              </w:rPr>
            </w:pPr>
          </w:p>
        </w:tc>
        <w:tc>
          <w:tcPr>
            <w:tcW w:w="14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8,000</w:t>
            </w:r>
          </w:p>
        </w:tc>
        <w:tc>
          <w:tcPr>
            <w:tcW w:w="480" w:type="dxa"/>
            <w:vAlign w:val="bottom"/>
          </w:tcPr>
          <w:p>
            <w:pPr>
              <w:spacing w:after="0"/>
              <w:rPr>
                <w:sz w:val="15"/>
                <w:szCs w:val="15"/>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380" w:type="dxa"/>
            <w:vAlign w:val="bottom"/>
          </w:tcPr>
          <w:p>
            <w:pPr>
              <w:spacing w:after="0"/>
              <w:rPr>
                <w:sz w:val="15"/>
                <w:szCs w:val="15"/>
                <w:color w:val="auto"/>
              </w:rPr>
            </w:pP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131,933</w:t>
            </w:r>
          </w:p>
        </w:tc>
        <w:tc>
          <w:tcPr>
            <w:tcW w:w="14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70,928</w:t>
            </w:r>
          </w:p>
        </w:tc>
        <w:tc>
          <w:tcPr>
            <w:tcW w:w="480" w:type="dxa"/>
            <w:vAlign w:val="bottom"/>
          </w:tcPr>
          <w:p>
            <w:pPr>
              <w:spacing w:after="0"/>
              <w:rPr>
                <w:sz w:val="15"/>
                <w:szCs w:val="15"/>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51,503</w:t>
            </w:r>
          </w:p>
        </w:tc>
        <w:tc>
          <w:tcPr>
            <w:tcW w:w="52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20,553</w:t>
            </w:r>
          </w:p>
        </w:tc>
      </w:tr>
      <w:tr>
        <w:trPr>
          <w:trHeight w:val="367"/>
        </w:trPr>
        <w:tc>
          <w:tcPr>
            <w:tcW w:w="538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480" w:type="dxa"/>
            <w:vAlign w:val="bottom"/>
          </w:tcPr>
          <w:p>
            <w:pPr>
              <w:spacing w:after="0"/>
              <w:rPr>
                <w:sz w:val="24"/>
                <w:szCs w:val="24"/>
                <w:color w:val="auto"/>
              </w:rPr>
            </w:pPr>
          </w:p>
        </w:tc>
        <w:tc>
          <w:tcPr>
            <w:tcW w:w="14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194,666</w:t>
            </w:r>
          </w:p>
        </w:tc>
        <w:tc>
          <w:tcPr>
            <w:tcW w:w="140" w:type="dxa"/>
            <w:vAlign w:val="bottom"/>
          </w:tcPr>
          <w:p>
            <w:pPr>
              <w:spacing w:after="0"/>
              <w:rPr>
                <w:sz w:val="24"/>
                <w:szCs w:val="24"/>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179,598</w:t>
            </w:r>
          </w:p>
        </w:tc>
        <w:tc>
          <w:tcPr>
            <w:tcW w:w="480" w:type="dxa"/>
            <w:vAlign w:val="bottom"/>
          </w:tcPr>
          <w:p>
            <w:pPr>
              <w:spacing w:after="0"/>
              <w:rPr>
                <w:sz w:val="24"/>
                <w:szCs w:val="24"/>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68,244</w:t>
            </w:r>
          </w:p>
        </w:tc>
        <w:tc>
          <w:tcPr>
            <w:tcW w:w="52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57,130</w:t>
            </w:r>
          </w:p>
        </w:tc>
      </w:tr>
      <w:tr>
        <w:trPr>
          <w:trHeight w:val="183"/>
        </w:trPr>
        <w:tc>
          <w:tcPr>
            <w:tcW w:w="5380" w:type="dxa"/>
            <w:vAlign w:val="bottom"/>
          </w:tcPr>
          <w:p>
            <w:pPr>
              <w:spacing w:after="0"/>
              <w:rPr>
                <w:sz w:val="15"/>
                <w:szCs w:val="15"/>
                <w:color w:val="auto"/>
              </w:rPr>
            </w:pP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GROSS LOSS</w:t>
            </w:r>
          </w:p>
        </w:tc>
        <w:tc>
          <w:tcPr>
            <w:tcW w:w="480" w:type="dxa"/>
            <w:vAlign w:val="bottom"/>
          </w:tcPr>
          <w:p>
            <w:pPr>
              <w:spacing w:after="0"/>
              <w:rPr>
                <w:sz w:val="24"/>
                <w:szCs w:val="24"/>
                <w:color w:val="auto"/>
              </w:rPr>
            </w:pP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(62,733)</w:t>
            </w:r>
          </w:p>
        </w:tc>
        <w:tc>
          <w:tcPr>
            <w:tcW w:w="140" w:type="dxa"/>
            <w:vAlign w:val="bottom"/>
          </w:tcPr>
          <w:p>
            <w:pPr>
              <w:spacing w:after="0"/>
              <w:rPr>
                <w:sz w:val="24"/>
                <w:szCs w:val="24"/>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(108,670)</w:t>
            </w:r>
          </w:p>
        </w:tc>
        <w:tc>
          <w:tcPr>
            <w:tcW w:w="480" w:type="dxa"/>
            <w:vAlign w:val="bottom"/>
          </w:tcPr>
          <w:p>
            <w:pPr>
              <w:spacing w:after="0"/>
              <w:rPr>
                <w:sz w:val="24"/>
                <w:szCs w:val="24"/>
                <w:color w:val="auto"/>
              </w:rPr>
            </w:pPr>
          </w:p>
        </w:tc>
        <w:tc>
          <w:tcPr>
            <w:tcW w:w="11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(16,741)</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(36,577)</w:t>
            </w:r>
          </w:p>
        </w:tc>
      </w:tr>
      <w:tr>
        <w:trPr>
          <w:trHeight w:val="183"/>
        </w:trPr>
        <w:tc>
          <w:tcPr>
            <w:tcW w:w="5380" w:type="dxa"/>
            <w:vAlign w:val="bottom"/>
          </w:tcPr>
          <w:p>
            <w:pPr>
              <w:spacing w:after="0"/>
              <w:rPr>
                <w:sz w:val="15"/>
                <w:szCs w:val="15"/>
                <w:color w:val="auto"/>
              </w:rPr>
            </w:pP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7"/>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RESEARCH AND DEVELOPMENT</w:t>
            </w:r>
          </w:p>
        </w:tc>
        <w:tc>
          <w:tcPr>
            <w:tcW w:w="480" w:type="dxa"/>
            <w:vAlign w:val="bottom"/>
          </w:tcPr>
          <w:p>
            <w:pPr>
              <w:spacing w:after="0"/>
              <w:rPr>
                <w:sz w:val="24"/>
                <w:szCs w:val="24"/>
                <w:color w:val="auto"/>
              </w:rPr>
            </w:pPr>
          </w:p>
        </w:tc>
        <w:tc>
          <w:tcPr>
            <w:tcW w:w="14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11,107</w:t>
            </w:r>
          </w:p>
        </w:tc>
        <w:tc>
          <w:tcPr>
            <w:tcW w:w="140" w:type="dxa"/>
            <w:vAlign w:val="bottom"/>
          </w:tcPr>
          <w:p>
            <w:pPr>
              <w:spacing w:after="0"/>
              <w:rPr>
                <w:sz w:val="24"/>
                <w:szCs w:val="24"/>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12,849</w:t>
            </w:r>
          </w:p>
        </w:tc>
        <w:tc>
          <w:tcPr>
            <w:tcW w:w="480" w:type="dxa"/>
            <w:vAlign w:val="bottom"/>
          </w:tcPr>
          <w:p>
            <w:pPr>
              <w:spacing w:after="0"/>
              <w:rPr>
                <w:sz w:val="24"/>
                <w:szCs w:val="24"/>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4,179</w:t>
            </w:r>
          </w:p>
        </w:tc>
        <w:tc>
          <w:tcPr>
            <w:tcW w:w="52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4,200</w:t>
            </w:r>
          </w:p>
        </w:tc>
      </w:tr>
      <w:tr>
        <w:trPr>
          <w:trHeight w:val="183"/>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MARKETING, GENERAL AND ADMINISTRATIVE</w:t>
            </w:r>
          </w:p>
        </w:tc>
        <w:tc>
          <w:tcPr>
            <w:tcW w:w="480" w:type="dxa"/>
            <w:vAlign w:val="bottom"/>
          </w:tcPr>
          <w:p>
            <w:pPr>
              <w:spacing w:after="0"/>
              <w:rPr>
                <w:sz w:val="15"/>
                <w:szCs w:val="15"/>
                <w:color w:val="auto"/>
              </w:rPr>
            </w:pPr>
          </w:p>
        </w:tc>
        <w:tc>
          <w:tcPr>
            <w:tcW w:w="14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18,106</w:t>
            </w:r>
          </w:p>
        </w:tc>
        <w:tc>
          <w:tcPr>
            <w:tcW w:w="14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13,481</w:t>
            </w:r>
          </w:p>
        </w:tc>
        <w:tc>
          <w:tcPr>
            <w:tcW w:w="480" w:type="dxa"/>
            <w:vAlign w:val="bottom"/>
          </w:tcPr>
          <w:p>
            <w:pPr>
              <w:spacing w:after="0"/>
              <w:rPr>
                <w:sz w:val="15"/>
                <w:szCs w:val="15"/>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7,308</w:t>
            </w:r>
          </w:p>
        </w:tc>
        <w:tc>
          <w:tcPr>
            <w:tcW w:w="52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4,715</w:t>
            </w:r>
          </w:p>
        </w:tc>
      </w:tr>
      <w:tr>
        <w:trPr>
          <w:trHeight w:val="183"/>
        </w:trPr>
        <w:tc>
          <w:tcPr>
            <w:tcW w:w="5380" w:type="dxa"/>
            <w:vAlign w:val="bottom"/>
          </w:tcPr>
          <w:p>
            <w:pPr>
              <w:spacing w:after="0"/>
              <w:rPr>
                <w:sz w:val="15"/>
                <w:szCs w:val="15"/>
                <w:color w:val="auto"/>
              </w:rPr>
            </w:pP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29,213</w:t>
            </w:r>
          </w:p>
        </w:tc>
        <w:tc>
          <w:tcPr>
            <w:tcW w:w="140" w:type="dxa"/>
            <w:vAlign w:val="bottom"/>
          </w:tcPr>
          <w:p>
            <w:pPr>
              <w:spacing w:after="0"/>
              <w:rPr>
                <w:sz w:val="24"/>
                <w:szCs w:val="24"/>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26,330</w:t>
            </w:r>
          </w:p>
        </w:tc>
        <w:tc>
          <w:tcPr>
            <w:tcW w:w="480" w:type="dxa"/>
            <w:vAlign w:val="bottom"/>
          </w:tcPr>
          <w:p>
            <w:pPr>
              <w:spacing w:after="0"/>
              <w:rPr>
                <w:sz w:val="24"/>
                <w:szCs w:val="24"/>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11,487</w:t>
            </w:r>
          </w:p>
        </w:tc>
        <w:tc>
          <w:tcPr>
            <w:tcW w:w="52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8,915</w:t>
            </w:r>
          </w:p>
        </w:tc>
      </w:tr>
      <w:tr>
        <w:trPr>
          <w:trHeight w:val="183"/>
        </w:trPr>
        <w:tc>
          <w:tcPr>
            <w:tcW w:w="5380" w:type="dxa"/>
            <w:vAlign w:val="bottom"/>
          </w:tcPr>
          <w:p>
            <w:pPr>
              <w:spacing w:after="0"/>
              <w:rPr>
                <w:sz w:val="15"/>
                <w:szCs w:val="15"/>
                <w:color w:val="auto"/>
              </w:rPr>
            </w:pP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OPERATING LOSS</w:t>
            </w:r>
          </w:p>
        </w:tc>
        <w:tc>
          <w:tcPr>
            <w:tcW w:w="480" w:type="dxa"/>
            <w:vAlign w:val="bottom"/>
          </w:tcPr>
          <w:p>
            <w:pPr>
              <w:spacing w:after="0"/>
              <w:rPr>
                <w:sz w:val="24"/>
                <w:szCs w:val="24"/>
                <w:color w:val="auto"/>
              </w:rPr>
            </w:pP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(91,946)</w:t>
            </w:r>
          </w:p>
        </w:tc>
        <w:tc>
          <w:tcPr>
            <w:tcW w:w="140" w:type="dxa"/>
            <w:vAlign w:val="bottom"/>
          </w:tcPr>
          <w:p>
            <w:pPr>
              <w:spacing w:after="0"/>
              <w:rPr>
                <w:sz w:val="24"/>
                <w:szCs w:val="24"/>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(135,000)</w:t>
            </w:r>
          </w:p>
        </w:tc>
        <w:tc>
          <w:tcPr>
            <w:tcW w:w="480" w:type="dxa"/>
            <w:vAlign w:val="bottom"/>
          </w:tcPr>
          <w:p>
            <w:pPr>
              <w:spacing w:after="0"/>
              <w:rPr>
                <w:sz w:val="24"/>
                <w:szCs w:val="24"/>
                <w:color w:val="auto"/>
              </w:rPr>
            </w:pPr>
          </w:p>
        </w:tc>
        <w:tc>
          <w:tcPr>
            <w:tcW w:w="11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(28,228)</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(45,492)</w:t>
            </w:r>
          </w:p>
        </w:tc>
      </w:tr>
      <w:tr>
        <w:trPr>
          <w:trHeight w:val="367"/>
        </w:trPr>
        <w:tc>
          <w:tcPr>
            <w:tcW w:w="5380" w:type="dxa"/>
            <w:vAlign w:val="bottom"/>
          </w:tcPr>
          <w:p>
            <w:pPr>
              <w:spacing w:after="0"/>
              <w:rPr>
                <w:sz w:val="20"/>
                <w:szCs w:val="20"/>
                <w:color w:val="auto"/>
              </w:rPr>
            </w:pPr>
            <w:r>
              <w:rPr>
                <w:rFonts w:ascii="Courier New" w:cs="Courier New" w:eastAsia="Courier New" w:hAnsi="Courier New"/>
                <w:sz w:val="16"/>
                <w:szCs w:val="16"/>
                <w:color w:val="auto"/>
              </w:rPr>
              <w:t>FINANCING EXPENSE, NET</w:t>
            </w:r>
          </w:p>
        </w:tc>
        <w:tc>
          <w:tcPr>
            <w:tcW w:w="480" w:type="dxa"/>
            <w:vAlign w:val="bottom"/>
          </w:tcPr>
          <w:p>
            <w:pPr>
              <w:spacing w:after="0"/>
              <w:rPr>
                <w:sz w:val="24"/>
                <w:szCs w:val="24"/>
                <w:color w:val="auto"/>
              </w:rPr>
            </w:pP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(37,957)</w:t>
            </w:r>
          </w:p>
        </w:tc>
        <w:tc>
          <w:tcPr>
            <w:tcW w:w="140" w:type="dxa"/>
            <w:vAlign w:val="bottom"/>
          </w:tcPr>
          <w:p>
            <w:pPr>
              <w:spacing w:after="0"/>
              <w:rPr>
                <w:sz w:val="24"/>
                <w:szCs w:val="24"/>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(25,428)</w:t>
            </w:r>
          </w:p>
        </w:tc>
        <w:tc>
          <w:tcPr>
            <w:tcW w:w="480" w:type="dxa"/>
            <w:vAlign w:val="bottom"/>
          </w:tcPr>
          <w:p>
            <w:pPr>
              <w:spacing w:after="0"/>
              <w:rPr>
                <w:sz w:val="24"/>
                <w:szCs w:val="24"/>
                <w:color w:val="auto"/>
              </w:rPr>
            </w:pPr>
          </w:p>
        </w:tc>
        <w:tc>
          <w:tcPr>
            <w:tcW w:w="11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(12,382)</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(9,900)</w:t>
            </w:r>
          </w:p>
        </w:tc>
      </w:tr>
      <w:tr>
        <w:trPr>
          <w:trHeight w:val="367"/>
        </w:trPr>
        <w:tc>
          <w:tcPr>
            <w:tcW w:w="5380" w:type="dxa"/>
            <w:vAlign w:val="bottom"/>
          </w:tcPr>
          <w:p>
            <w:pPr>
              <w:spacing w:after="0"/>
              <w:rPr>
                <w:sz w:val="20"/>
                <w:szCs w:val="20"/>
                <w:color w:val="auto"/>
              </w:rPr>
            </w:pPr>
            <w:r>
              <w:rPr>
                <w:rFonts w:ascii="Courier New" w:cs="Courier New" w:eastAsia="Courier New" w:hAnsi="Courier New"/>
                <w:sz w:val="16"/>
                <w:szCs w:val="16"/>
                <w:color w:val="auto"/>
              </w:rPr>
              <w:t>GAIN ON DEBT RESTRUCTURING</w:t>
            </w:r>
          </w:p>
        </w:tc>
        <w:tc>
          <w:tcPr>
            <w:tcW w:w="480" w:type="dxa"/>
            <w:vAlign w:val="bottom"/>
          </w:tcPr>
          <w:p>
            <w:pPr>
              <w:spacing w:after="0"/>
              <w:rPr>
                <w:sz w:val="24"/>
                <w:szCs w:val="24"/>
                <w:color w:val="auto"/>
              </w:rPr>
            </w:pPr>
          </w:p>
        </w:tc>
        <w:tc>
          <w:tcPr>
            <w:tcW w:w="14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80,071</w:t>
            </w:r>
          </w:p>
        </w:tc>
        <w:tc>
          <w:tcPr>
            <w:tcW w:w="140" w:type="dxa"/>
            <w:vAlign w:val="bottom"/>
          </w:tcPr>
          <w:p>
            <w:pPr>
              <w:spacing w:after="0"/>
              <w:rPr>
                <w:sz w:val="24"/>
                <w:szCs w:val="24"/>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4"/>
                <w:szCs w:val="24"/>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80,071</w:t>
            </w:r>
          </w:p>
        </w:tc>
        <w:tc>
          <w:tcPr>
            <w:tcW w:w="52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38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480" w:type="dxa"/>
            <w:vAlign w:val="bottom"/>
          </w:tcPr>
          <w:p>
            <w:pPr>
              <w:spacing w:after="0"/>
              <w:rPr>
                <w:sz w:val="24"/>
                <w:szCs w:val="24"/>
                <w:color w:val="auto"/>
              </w:rPr>
            </w:pPr>
          </w:p>
        </w:tc>
        <w:tc>
          <w:tcPr>
            <w:tcW w:w="14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597</w:t>
            </w:r>
          </w:p>
        </w:tc>
        <w:tc>
          <w:tcPr>
            <w:tcW w:w="140" w:type="dxa"/>
            <w:vAlign w:val="bottom"/>
          </w:tcPr>
          <w:p>
            <w:pPr>
              <w:spacing w:after="0"/>
              <w:rPr>
                <w:sz w:val="24"/>
                <w:szCs w:val="24"/>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2,518</w:t>
            </w:r>
          </w:p>
        </w:tc>
        <w:tc>
          <w:tcPr>
            <w:tcW w:w="480" w:type="dxa"/>
            <w:vAlign w:val="bottom"/>
          </w:tcPr>
          <w:p>
            <w:pPr>
              <w:spacing w:after="0"/>
              <w:rPr>
                <w:sz w:val="24"/>
                <w:szCs w:val="24"/>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w:t>
            </w:r>
          </w:p>
        </w:tc>
        <w:tc>
          <w:tcPr>
            <w:tcW w:w="52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w:t>
            </w:r>
          </w:p>
        </w:tc>
      </w:tr>
      <w:tr>
        <w:trPr>
          <w:trHeight w:val="183"/>
        </w:trPr>
        <w:tc>
          <w:tcPr>
            <w:tcW w:w="5380" w:type="dxa"/>
            <w:vAlign w:val="bottom"/>
          </w:tcPr>
          <w:p>
            <w:pPr>
              <w:spacing w:after="0"/>
              <w:rPr>
                <w:sz w:val="15"/>
                <w:szCs w:val="15"/>
                <w:color w:val="auto"/>
              </w:rPr>
            </w:pP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380" w:type="dxa"/>
            <w:vAlign w:val="bottom"/>
          </w:tcPr>
          <w:p>
            <w:pPr>
              <w:ind w:left="1040"/>
              <w:spacing w:after="0"/>
              <w:rPr>
                <w:sz w:val="20"/>
                <w:szCs w:val="20"/>
                <w:color w:val="auto"/>
              </w:rPr>
            </w:pPr>
            <w:r>
              <w:rPr>
                <w:rFonts w:ascii="Courier New" w:cs="Courier New" w:eastAsia="Courier New" w:hAnsi="Courier New"/>
                <w:sz w:val="16"/>
                <w:szCs w:val="16"/>
                <w:color w:val="auto"/>
              </w:rPr>
              <w:t>INCOME (LOSS) FOR THE PERIOD</w:t>
            </w:r>
          </w:p>
        </w:tc>
        <w:tc>
          <w:tcPr>
            <w:tcW w:w="192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 (49,235)</w:t>
            </w:r>
          </w:p>
        </w:tc>
        <w:tc>
          <w:tcPr>
            <w:tcW w:w="1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$(157,910)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39,467</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(55,350)</w:t>
            </w:r>
          </w:p>
        </w:tc>
      </w:tr>
      <w:tr>
        <w:trPr>
          <w:trHeight w:val="183"/>
        </w:trPr>
        <w:tc>
          <w:tcPr>
            <w:tcW w:w="5380" w:type="dxa"/>
            <w:vAlign w:val="bottom"/>
          </w:tcPr>
          <w:p>
            <w:pPr>
              <w:spacing w:after="0"/>
              <w:rPr>
                <w:sz w:val="15"/>
                <w:szCs w:val="15"/>
                <w:color w:val="auto"/>
              </w:rPr>
            </w:pP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380" w:type="dxa"/>
            <w:vAlign w:val="bottom"/>
          </w:tcPr>
          <w:p>
            <w:pPr>
              <w:spacing w:after="0"/>
              <w:rPr>
                <w:sz w:val="20"/>
                <w:szCs w:val="20"/>
                <w:color w:val="auto"/>
              </w:rPr>
            </w:pPr>
            <w:r>
              <w:rPr>
                <w:rFonts w:ascii="Courier New" w:cs="Courier New" w:eastAsia="Courier New" w:hAnsi="Courier New"/>
                <w:sz w:val="16"/>
                <w:szCs w:val="16"/>
                <w:color w:val="auto"/>
              </w:rPr>
              <w:t>BASIC EARNING (LOSS) PER ORDINARY SHARE</w:t>
            </w: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7"/>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 EARNING (LOSS) PER SHARE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(0.63)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(2.39)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0.46</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(0.83)</w:t>
            </w:r>
          </w:p>
        </w:tc>
      </w:tr>
      <w:tr>
        <w:trPr>
          <w:trHeight w:val="183"/>
        </w:trPr>
        <w:tc>
          <w:tcPr>
            <w:tcW w:w="5380" w:type="dxa"/>
            <w:vAlign w:val="bottom"/>
          </w:tcPr>
          <w:p>
            <w:pPr>
              <w:spacing w:after="0"/>
              <w:rPr>
                <w:sz w:val="15"/>
                <w:szCs w:val="15"/>
                <w:color w:val="auto"/>
              </w:rPr>
            </w:pP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INCOME (LOSS) USED TO COMPUTE</w:t>
            </w: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BASIC EARNING (LOSS) PER SHARE</w:t>
            </w:r>
          </w:p>
        </w:tc>
        <w:tc>
          <w:tcPr>
            <w:tcW w:w="480" w:type="dxa"/>
            <w:vAlign w:val="bottom"/>
          </w:tcPr>
          <w:p>
            <w:pPr>
              <w:spacing w:after="0"/>
              <w:rPr>
                <w:sz w:val="15"/>
                <w:szCs w:val="15"/>
                <w:color w:val="auto"/>
              </w:rPr>
            </w:pP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(49,235)</w:t>
            </w:r>
          </w:p>
        </w:tc>
        <w:tc>
          <w:tcPr>
            <w:tcW w:w="1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(157,910)</w:t>
            </w:r>
          </w:p>
        </w:tc>
        <w:tc>
          <w:tcPr>
            <w:tcW w:w="480" w:type="dxa"/>
            <w:vAlign w:val="bottom"/>
          </w:tcPr>
          <w:p>
            <w:pPr>
              <w:spacing w:after="0"/>
              <w:rPr>
                <w:sz w:val="15"/>
                <w:szCs w:val="15"/>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39,467</w:t>
            </w:r>
          </w:p>
        </w:tc>
        <w:tc>
          <w:tcPr>
            <w:tcW w:w="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(55,350)</w:t>
            </w:r>
          </w:p>
        </w:tc>
      </w:tr>
      <w:tr>
        <w:trPr>
          <w:trHeight w:val="183"/>
        </w:trPr>
        <w:tc>
          <w:tcPr>
            <w:tcW w:w="5380" w:type="dxa"/>
            <w:vAlign w:val="bottom"/>
          </w:tcPr>
          <w:p>
            <w:pPr>
              <w:spacing w:after="0"/>
              <w:rPr>
                <w:sz w:val="15"/>
                <w:szCs w:val="15"/>
                <w:color w:val="auto"/>
              </w:rPr>
            </w:pP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WEIGHTED AVERAGE NUMBER OF ORDINARY</w:t>
            </w: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SHARES OUTSTANDING - IN THOUSANDS</w:t>
            </w:r>
          </w:p>
        </w:tc>
        <w:tc>
          <w:tcPr>
            <w:tcW w:w="480" w:type="dxa"/>
            <w:vAlign w:val="bottom"/>
          </w:tcPr>
          <w:p>
            <w:pPr>
              <w:spacing w:after="0"/>
              <w:rPr>
                <w:sz w:val="15"/>
                <w:szCs w:val="15"/>
                <w:color w:val="auto"/>
              </w:rPr>
            </w:pPr>
          </w:p>
        </w:tc>
        <w:tc>
          <w:tcPr>
            <w:tcW w:w="14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78,607</w:t>
            </w:r>
          </w:p>
        </w:tc>
        <w:tc>
          <w:tcPr>
            <w:tcW w:w="14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66,190</w:t>
            </w:r>
          </w:p>
        </w:tc>
        <w:tc>
          <w:tcPr>
            <w:tcW w:w="480" w:type="dxa"/>
            <w:vAlign w:val="bottom"/>
          </w:tcPr>
          <w:p>
            <w:pPr>
              <w:spacing w:after="0"/>
              <w:rPr>
                <w:sz w:val="15"/>
                <w:szCs w:val="15"/>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85,087</w:t>
            </w:r>
          </w:p>
        </w:tc>
        <w:tc>
          <w:tcPr>
            <w:tcW w:w="52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66,671</w:t>
            </w:r>
          </w:p>
        </w:tc>
      </w:tr>
      <w:tr>
        <w:trPr>
          <w:trHeight w:val="183"/>
        </w:trPr>
        <w:tc>
          <w:tcPr>
            <w:tcW w:w="5380" w:type="dxa"/>
            <w:vAlign w:val="bottom"/>
          </w:tcPr>
          <w:p>
            <w:pPr>
              <w:spacing w:after="0"/>
              <w:rPr>
                <w:sz w:val="15"/>
                <w:szCs w:val="15"/>
                <w:color w:val="auto"/>
              </w:rPr>
            </w:pP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380" w:type="dxa"/>
            <w:vAlign w:val="bottom"/>
          </w:tcPr>
          <w:p>
            <w:pPr>
              <w:spacing w:after="0"/>
              <w:rPr>
                <w:sz w:val="20"/>
                <w:szCs w:val="20"/>
                <w:color w:val="auto"/>
              </w:rPr>
            </w:pPr>
            <w:r>
              <w:rPr>
                <w:rFonts w:ascii="Courier New" w:cs="Courier New" w:eastAsia="Courier New" w:hAnsi="Courier New"/>
                <w:sz w:val="16"/>
                <w:szCs w:val="16"/>
                <w:color w:val="auto"/>
              </w:rPr>
              <w:t>DILUTED EARNING (LOSS) PER ORDINARY SHARE</w:t>
            </w: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7"/>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 EARNING (LOSS) PER SHARE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(0.63)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(2.39)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0.30</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(0.83)</w:t>
            </w:r>
          </w:p>
        </w:tc>
      </w:tr>
      <w:tr>
        <w:trPr>
          <w:trHeight w:val="183"/>
        </w:trPr>
        <w:tc>
          <w:tcPr>
            <w:tcW w:w="5380" w:type="dxa"/>
            <w:vAlign w:val="bottom"/>
          </w:tcPr>
          <w:p>
            <w:pPr>
              <w:spacing w:after="0"/>
              <w:rPr>
                <w:sz w:val="15"/>
                <w:szCs w:val="15"/>
                <w:color w:val="auto"/>
              </w:rPr>
            </w:pP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INCOME (LOSS) USED TO COMPUTE</w:t>
            </w: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DILUTED EARNING (LOSS) PER SHARE</w:t>
            </w:r>
          </w:p>
        </w:tc>
        <w:tc>
          <w:tcPr>
            <w:tcW w:w="480" w:type="dxa"/>
            <w:vAlign w:val="bottom"/>
          </w:tcPr>
          <w:p>
            <w:pPr>
              <w:spacing w:after="0"/>
              <w:rPr>
                <w:sz w:val="15"/>
                <w:szCs w:val="15"/>
                <w:color w:val="auto"/>
              </w:rPr>
            </w:pP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(49,235)</w:t>
            </w:r>
          </w:p>
        </w:tc>
        <w:tc>
          <w:tcPr>
            <w:tcW w:w="1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(157,910)</w:t>
            </w:r>
          </w:p>
        </w:tc>
        <w:tc>
          <w:tcPr>
            <w:tcW w:w="480" w:type="dxa"/>
            <w:vAlign w:val="bottom"/>
          </w:tcPr>
          <w:p>
            <w:pPr>
              <w:spacing w:after="0"/>
              <w:rPr>
                <w:sz w:val="15"/>
                <w:szCs w:val="15"/>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41,433</w:t>
            </w:r>
          </w:p>
        </w:tc>
        <w:tc>
          <w:tcPr>
            <w:tcW w:w="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(55,350)</w:t>
            </w:r>
          </w:p>
        </w:tc>
      </w:tr>
      <w:tr>
        <w:trPr>
          <w:trHeight w:val="183"/>
        </w:trPr>
        <w:tc>
          <w:tcPr>
            <w:tcW w:w="5380" w:type="dxa"/>
            <w:vAlign w:val="bottom"/>
          </w:tcPr>
          <w:p>
            <w:pPr>
              <w:spacing w:after="0"/>
              <w:rPr>
                <w:sz w:val="15"/>
                <w:szCs w:val="15"/>
                <w:color w:val="auto"/>
              </w:rPr>
            </w:pP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WEIGHTED AVERAGE NUMBER OF ORDINARY</w:t>
            </w: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SHARES OUTSTANDING - IN THOUSANDS</w:t>
            </w:r>
          </w:p>
        </w:tc>
        <w:tc>
          <w:tcPr>
            <w:tcW w:w="480" w:type="dxa"/>
            <w:vAlign w:val="bottom"/>
          </w:tcPr>
          <w:p>
            <w:pPr>
              <w:spacing w:after="0"/>
              <w:rPr>
                <w:sz w:val="15"/>
                <w:szCs w:val="15"/>
                <w:color w:val="auto"/>
              </w:rPr>
            </w:pPr>
          </w:p>
        </w:tc>
        <w:tc>
          <w:tcPr>
            <w:tcW w:w="14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78,607</w:t>
            </w:r>
          </w:p>
        </w:tc>
        <w:tc>
          <w:tcPr>
            <w:tcW w:w="14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66,190</w:t>
            </w:r>
          </w:p>
        </w:tc>
        <w:tc>
          <w:tcPr>
            <w:tcW w:w="480" w:type="dxa"/>
            <w:vAlign w:val="bottom"/>
          </w:tcPr>
          <w:p>
            <w:pPr>
              <w:spacing w:after="0"/>
              <w:rPr>
                <w:sz w:val="15"/>
                <w:szCs w:val="15"/>
                <w:color w:val="auto"/>
              </w:rPr>
            </w:pPr>
          </w:p>
        </w:tc>
        <w:tc>
          <w:tcPr>
            <w:tcW w:w="1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139,214</w:t>
            </w:r>
          </w:p>
        </w:tc>
        <w:tc>
          <w:tcPr>
            <w:tcW w:w="52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66,671</w:t>
            </w:r>
          </w:p>
        </w:tc>
      </w:tr>
      <w:tr>
        <w:trPr>
          <w:trHeight w:val="183"/>
        </w:trPr>
        <w:tc>
          <w:tcPr>
            <w:tcW w:w="5380" w:type="dxa"/>
            <w:vAlign w:val="bottom"/>
          </w:tcPr>
          <w:p>
            <w:pPr>
              <w:spacing w:after="0"/>
              <w:rPr>
                <w:sz w:val="15"/>
                <w:szCs w:val="15"/>
                <w:color w:val="auto"/>
              </w:rPr>
            </w:pPr>
          </w:p>
        </w:tc>
        <w:tc>
          <w:tcPr>
            <w:tcW w:w="19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left="482" w:right="3980" w:hanging="482"/>
        <w:spacing w:after="0" w:line="259" w:lineRule="auto"/>
        <w:tabs>
          <w:tab w:leader="none" w:pos="4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LOSS PER SHARE IN ACCORDANCE WITH U.S. GAAP FOR THE NINE AND THREE MONTHS PERIODS ENDED SEPTEMBER 30, 2006 ARE $1.67 AND $0.52,</w:t>
      </w:r>
    </w:p>
    <w:p>
      <w:pPr>
        <w:ind w:left="482" w:right="3900"/>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RESPECTIVELY, AND ARE THE SAME AS THE ISR. GAAP DATA FOR THE NINE AND THREE MONTHS PERIODS ENDED SEPTEMBER 30, 2005.</w:t>
      </w:r>
    </w:p>
    <w:sectPr>
      <w:pgSz w:w="11900" w:h="16838" w:orient="portrait"/>
      <w:cols w:equalWidth="0" w:num="1">
        <w:col w:w="11522"/>
      </w:cols>
      <w:pgMar w:left="238" w:top="84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2019-12-14T04:22:19Z</dcterms:created>
  <dcterms:modified xsi:type="dcterms:W3CDTF">2019-12-14T04:22:19Z</dcterms:modified>
</cp:coreProperties>
</file>