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AMENDMENT NO. 1 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FORM 6-K/A</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 the month of August 2005</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139"/>
        <w:spacing w:after="0" w:line="237" w:lineRule="auto"/>
        <w:rPr>
          <w:sz w:val="20"/>
          <w:szCs w:val="20"/>
          <w:color w:val="auto"/>
        </w:rPr>
      </w:pPr>
      <w:r>
        <w:rPr>
          <w:rFonts w:ascii="Courier New" w:cs="Courier New" w:eastAsia="Courier New" w:hAnsi="Courier New"/>
          <w:sz w:val="15"/>
          <w:szCs w:val="15"/>
          <w:color w:val="auto"/>
        </w:rPr>
        <w:t>(Translation of registrant's name into English)</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RAMAT GAVRIEL INDUSTRIAL PARK</w:t>
      </w:r>
    </w:p>
    <w:p>
      <w:pPr>
        <w:ind w:left="1760"/>
        <w:spacing w:after="0" w:line="237" w:lineRule="auto"/>
        <w:rPr>
          <w:sz w:val="20"/>
          <w:szCs w:val="20"/>
          <w:color w:val="auto"/>
        </w:rPr>
      </w:pPr>
      <w:r>
        <w:rPr>
          <w:rFonts w:ascii="Courier New" w:cs="Courier New" w:eastAsia="Courier New" w:hAnsi="Courier New"/>
          <w:sz w:val="15"/>
          <w:szCs w:val="15"/>
          <w:color w:val="auto"/>
        </w:rPr>
        <w:t>P.O. BOX 619, MIGDAL HAEMEK, ISRAEL 23105</w:t>
      </w:r>
    </w:p>
    <w:p>
      <w:pPr>
        <w:ind w:left="1760"/>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341" w:lineRule="exact"/>
        <w:rPr>
          <w:sz w:val="24"/>
          <w:szCs w:val="24"/>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67" w:lineRule="exact"/>
        <w:rPr>
          <w:sz w:val="24"/>
          <w:szCs w:val="24"/>
          <w:color w:val="auto"/>
        </w:rPr>
      </w:pPr>
    </w:p>
    <w:p>
      <w:pPr>
        <w:ind w:left="2200"/>
        <w:spacing w:after="0"/>
        <w:tabs>
          <w:tab w:leader="none" w:pos="376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 [_]</w:t>
      </w:r>
    </w:p>
    <w:p>
      <w:pPr>
        <w:spacing w:after="0" w:line="341" w:lineRule="exact"/>
        <w:rPr>
          <w:sz w:val="24"/>
          <w:szCs w:val="24"/>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23" w:lineRule="exact"/>
        <w:rPr>
          <w:sz w:val="24"/>
          <w:szCs w:val="24"/>
          <w:color w:val="auto"/>
        </w:rPr>
      </w:pPr>
    </w:p>
    <w:p>
      <w:pPr>
        <w:ind w:left="2720"/>
        <w:spacing w:after="0"/>
        <w:tabs>
          <w:tab w:leader="none" w:pos="376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EXPLANATORY NOTE</w:t>
      </w:r>
    </w:p>
    <w:p>
      <w:pPr>
        <w:spacing w:after="0" w:line="173" w:lineRule="exact"/>
        <w:rPr>
          <w:sz w:val="24"/>
          <w:szCs w:val="24"/>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This Amendment No.1 is being filed in connection with the incorporation by reference of this Report in the Registrant's Registration Statement on Form F-2 (File No. 333-126909), to include Management's Discussion and Analysis of Financial Condition and Results of Operations as of June 30, 2005 and for the six months then ended, as required by Item 8.A.5 of Form 20-F.</w:t>
      </w:r>
    </w:p>
    <w:p>
      <w:pPr>
        <w:spacing w:after="0" w:line="174"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This Amendment No.1 on Form 6-K/A amends in its entirety the Registrant's Report on Form 6-K for the Month of August 2005, as filed with the Securities and Commission on August 3, 2005.</w:t>
      </w:r>
    </w:p>
    <w:p>
      <w:pPr>
        <w:sectPr>
          <w:pgSz w:w="11900" w:h="16838" w:orient="portrait"/>
          <w:cols w:equalWidth="0" w:num="1">
            <w:col w:w="10239"/>
          </w:cols>
          <w:pgMar w:left="220" w:top="225" w:right="1440" w:bottom="1440" w:gutter="0" w:footer="0" w:header="0"/>
        </w:sectPr>
      </w:pPr>
    </w:p>
    <w:bookmarkStart w:id="1" w:name="page2"/>
    <w:bookmarkEnd w:id="1"/>
    <w:p>
      <w:pPr>
        <w:ind w:right="3399" w:firstLine="437"/>
        <w:spacing w:after="0" w:line="236" w:lineRule="auto"/>
        <w:rPr>
          <w:sz w:val="20"/>
          <w:szCs w:val="20"/>
          <w:color w:val="auto"/>
        </w:rPr>
      </w:pPr>
      <w:r>
        <w:rPr>
          <w:rFonts w:ascii="Courier New" w:cs="Courier New" w:eastAsia="Courier New" w:hAnsi="Courier New"/>
          <w:sz w:val="15"/>
          <w:szCs w:val="15"/>
          <w:color w:val="auto"/>
        </w:rPr>
        <w:t>On August 2, 2005, the Registrant announced its financial results for the six month and three month periods ended June 30, 2005. Attached hereto as Exhibit 99.1 is the press release relating to such announcement. Attached hereto as Exhibit 99.2 are the Registrant's unaudited interim consolidated financial statements for the six month and three month periods ended June 30, 2005.</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Attached hereto as Exhibit 99.3 is Management's Discussion and Analysis of Financial Condition and Results of Operations as of June 30, 2005 and for the six months then ended.</w:t>
      </w:r>
    </w:p>
    <w:p>
      <w:pPr>
        <w:spacing w:after="0" w:line="200" w:lineRule="exact"/>
        <w:rPr>
          <w:sz w:val="20"/>
          <w:szCs w:val="20"/>
          <w:color w:val="auto"/>
        </w:rPr>
      </w:pPr>
    </w:p>
    <w:p>
      <w:pPr>
        <w:spacing w:after="0" w:line="310" w:lineRule="exact"/>
        <w:rPr>
          <w:sz w:val="20"/>
          <w:szCs w:val="20"/>
          <w:color w:val="auto"/>
        </w:rPr>
      </w:pPr>
    </w:p>
    <w:p>
      <w:pPr>
        <w:ind w:right="3939" w:firstLine="437"/>
        <w:spacing w:after="0" w:line="261" w:lineRule="auto"/>
        <w:rPr>
          <w:sz w:val="20"/>
          <w:szCs w:val="20"/>
          <w:color w:val="auto"/>
        </w:rPr>
      </w:pPr>
      <w:r>
        <w:rPr>
          <w:rFonts w:ascii="Courier New" w:cs="Courier New" w:eastAsia="Courier New" w:hAnsi="Courier New"/>
          <w:sz w:val="14"/>
          <w:szCs w:val="14"/>
          <w:color w:val="auto"/>
        </w:rPr>
        <w:t>This Form 6-K is being incorporated by reference into all effective registration statements filed by us under the Securities Act of 1933.</w:t>
      </w:r>
    </w:p>
    <w:p>
      <w:pPr>
        <w:sectPr>
          <w:pgSz w:w="11900" w:h="16838" w:orient="portrait"/>
          <w:cols w:equalWidth="0" w:num="1">
            <w:col w:w="10239"/>
          </w:cols>
          <w:pgMar w:left="220" w:top="792" w:right="1440" w:bottom="1440" w:gutter="0" w:footer="0" w:header="0"/>
        </w:sectPr>
      </w:pPr>
    </w:p>
    <w:bookmarkStart w:id="2" w:name="page3"/>
    <w:bookmarkEnd w:id="2"/>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September 22,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Nati Somekh Gilboa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 Somekh Gilboa</w:t>
      </w:r>
    </w:p>
    <w:p>
      <w:pPr>
        <w:spacing w:after="0" w:line="237" w:lineRule="auto"/>
        <w:rPr>
          <w:sz w:val="20"/>
          <w:szCs w:val="20"/>
          <w:color w:val="auto"/>
        </w:rPr>
      </w:pPr>
      <w:r>
        <w:rPr>
          <w:rFonts w:ascii="Courier New" w:cs="Courier New" w:eastAsia="Courier New" w:hAnsi="Courier New"/>
          <w:sz w:val="15"/>
          <w:szCs w:val="15"/>
          <w:color w:val="auto"/>
        </w:rPr>
        <w:t>Corporate Secretary</w:t>
      </w:r>
    </w:p>
    <w:p>
      <w:pPr>
        <w:sectPr>
          <w:pgSz w:w="11900" w:h="16838" w:orient="portrait"/>
          <w:cols w:equalWidth="0" w:num="2">
            <w:col w:w="3320" w:space="720"/>
            <w:col w:w="6199"/>
          </w:cols>
          <w:pgMar w:left="220" w:top="785" w:right="1440" w:bottom="1440" w:gutter="0" w:footer="0" w:header="0"/>
          <w:type w:val="continuous"/>
        </w:sectPr>
      </w:pPr>
    </w:p>
    <w:bookmarkStart w:id="3" w:name="page4"/>
    <w:bookmarkEnd w:id="3"/>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TOWER SEMICONDUCTOR ANNOUNCES</w:t>
      </w:r>
    </w:p>
    <w:p>
      <w:pPr>
        <w:ind w:left="1680"/>
        <w:spacing w:after="0" w:line="237" w:lineRule="auto"/>
        <w:rPr>
          <w:sz w:val="20"/>
          <w:szCs w:val="20"/>
          <w:color w:val="auto"/>
        </w:rPr>
      </w:pPr>
      <w:r>
        <w:rPr>
          <w:rFonts w:ascii="Courier New" w:cs="Courier New" w:eastAsia="Courier New" w:hAnsi="Courier New"/>
          <w:sz w:val="15"/>
          <w:szCs w:val="15"/>
          <w:color w:val="auto"/>
        </w:rPr>
        <w:t>SECOND QUARTER AND SIX MONTHS 2005 RESULTS</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FAB2 TAPE-OUTS DURING Q2 AT RECORD HIGH</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MIGDAL HAEMEK, Israel -- August 2, 2005 -- Tower Semiconductor Ltd. (NASDAQ: TSEM; TASE: TSEM), a pure-play independent specialty foundry, today announced second quarter and six months results for fiscal year 2005. Revenues were $27.2 million for the three months ended June 30, including $8 million from a previously announced technology-related agreement, versus revenues of $23.2 in the first quarter of 2005 and $33.7 million in the second quarter of 2004. For the six months ending June 30, 2005, revenues were $50.4 million, including $8 million from a previously announced technology-related agreement, versus $60.9 million for the first half of 2004, including $1.9 million from this same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2005-second quarter loss was $47.2 million, or $0.71 per share, which</w:t>
      </w:r>
    </w:p>
    <w:p>
      <w:pPr>
        <w:spacing w:after="0" w:line="237" w:lineRule="auto"/>
        <w:rPr>
          <w:sz w:val="20"/>
          <w:szCs w:val="20"/>
          <w:color w:val="auto"/>
        </w:rPr>
      </w:pPr>
      <w:r>
        <w:rPr>
          <w:rFonts w:ascii="Courier New" w:cs="Courier New" w:eastAsia="Courier New" w:hAnsi="Courier New"/>
          <w:sz w:val="15"/>
          <w:szCs w:val="15"/>
          <w:color w:val="auto"/>
        </w:rPr>
        <w:t>represents negative $4.5 million EBITDA. This loss is compared with a loss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$55.3 million, or $0.84 per share, for the first quarter of 2005 (negative $13.7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EBITDA), and a loss of $36.5 million, or $0.55 per share, in the second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of 2004 (negative $2.2 million EBITDA). In addition, for the first half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2005 the loss was $102.6 million, or $1.56 per share, which represents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negative $18.2 million EBITDA versus a loss of $75 million, or $1.16 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first half of 2004 (negative $8.2 million EBITDA).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Tower expects revenues in the third quarter of 2005 to be in the range of $20 to $22 million, reflecting a modest growth over Q2 sales from manufacturing activities. In addition, Q2 had a record high number of Fab2 customer product tape-outs, exceeding the total for the full calendar year in 2004. These tape-outs are expected to materialize into revenue growth in the coming quarters and indicate the increasing traction of the Fab2 technology offering to its customer's products.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second quarter Tower has started shipping production wafers of 1.3 and 2.0 mega-pixel CMOS Image Sensors for cell-phone applications, utilizing the 0.18-micron manufacturing capabilities of Fab2. Included in Q2 tape-outs, a product for a leading fabless company, utilizing Tower's state of the art 0.18 micron embedded NVM solution. Tower continues to grow its mixed signal revenues in Fab2 and has attained excellent performance on an advanced RFCMOS product in the Wi-Fi space.</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Tower has reached a definitive agreement with its banks, under which they will provide the company with up to approximately $30 million of additional funding to be matched by financing of $30 million to be raised by Tower. A preliminary prospectus for rights to purchase the company's convertible debentures was filed in the U.S. and Israel. All of Tower's shareholders as of the record date, yet to be determined, will be offered the opportunity to participate in this $50 million offering. Certain of Tower's major shareholders have committed to purchase from Tower $24.5 million principal amount of convertible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 have now visited the majority of Tower's customers world wide and the overriding sentiment is confidence and satisfaction in Towers technical and operational capability and best of breed responsiveness", said Russell Ellwanger, chief executive officer, Tower Semiconductor. "With up to $60M million in additional funding from our banks and investors we will continue to build on these strengths, while setting our customers' needs at the core of our operation."</w:t>
      </w:r>
    </w:p>
    <w:p>
      <w:pPr>
        <w:spacing w:after="0" w:line="176"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revenue numbers below exclude the $8 million from a previously announced technology agreement.</w:t>
      </w:r>
    </w:p>
    <w:p>
      <w:pPr>
        <w:spacing w:after="0" w:line="167" w:lineRule="exact"/>
        <w:rPr>
          <w:sz w:val="20"/>
          <w:szCs w:val="20"/>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DIVERSIFYING CUSTOMER BASE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AS OF END OF</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8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OF END OF</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CUSTOMER COUNT</w:t>
            </w:r>
          </w:p>
        </w:tc>
        <w:tc>
          <w:tcPr>
            <w:tcW w:w="66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1"/>
              </w:rPr>
              <w:t>Q2 2005</w:t>
            </w:r>
          </w:p>
        </w:tc>
        <w:tc>
          <w:tcPr>
            <w:tcW w:w="56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Q2 2004</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95% of revenue generated by:</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customers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customers</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Fab 2</w:t>
            </w:r>
          </w:p>
        </w:tc>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production customers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customers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customers</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Fab 2</w:t>
            </w:r>
          </w:p>
        </w:tc>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pre-production customers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customers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customers</w:t>
            </w:r>
          </w:p>
        </w:tc>
      </w:tr>
    </w:tbl>
    <w:p>
      <w:pPr>
        <w:spacing w:after="0" w:line="335"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BY CUSTOMER BASE PROFILE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TYPE OF CUSTOMER</w:t>
            </w:r>
          </w:p>
        </w:tc>
        <w:tc>
          <w:tcPr>
            <w:tcW w:w="2000" w:type="dxa"/>
            <w:vAlign w:val="bottom"/>
          </w:tcPr>
          <w:p>
            <w:pPr>
              <w:ind w:left="1040"/>
              <w:spacing w:after="0"/>
              <w:rPr>
                <w:sz w:val="20"/>
                <w:szCs w:val="20"/>
                <w:color w:val="auto"/>
              </w:rPr>
            </w:pPr>
            <w:r>
              <w:rPr>
                <w:rFonts w:ascii="Courier New" w:cs="Courier New" w:eastAsia="Courier New" w:hAnsi="Courier New"/>
                <w:sz w:val="15"/>
                <w:szCs w:val="15"/>
                <w:color w:val="auto"/>
              </w:rPr>
              <w:t>Q2 2005</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Q1 2005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Q2 2004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Fabless</w:t>
            </w:r>
          </w:p>
        </w:tc>
        <w:tc>
          <w:tcPr>
            <w:tcW w:w="20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72%</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76%</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IDM</w:t>
            </w:r>
          </w:p>
        </w:tc>
        <w:tc>
          <w:tcPr>
            <w:tcW w:w="20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28%</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24%</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w:t>
            </w:r>
          </w:p>
        </w:tc>
      </w:tr>
    </w:tbl>
    <w:p>
      <w:pPr>
        <w:spacing w:after="0" w:line="335"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BY GEOGRAPHY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REGION</w:t>
            </w:r>
          </w:p>
        </w:tc>
        <w:tc>
          <w:tcPr>
            <w:tcW w:w="740" w:type="dxa"/>
            <w:vAlign w:val="bottom"/>
          </w:tcPr>
          <w:p>
            <w:pPr>
              <w:ind w:left="560"/>
              <w:spacing w:after="0"/>
              <w:rPr>
                <w:sz w:val="20"/>
                <w:szCs w:val="20"/>
                <w:color w:val="auto"/>
              </w:rPr>
            </w:pPr>
            <w:r>
              <w:rPr>
                <w:rFonts w:ascii="Courier New" w:cs="Courier New" w:eastAsia="Courier New" w:hAnsi="Courier New"/>
                <w:sz w:val="15"/>
                <w:szCs w:val="15"/>
                <w:color w:val="auto"/>
                <w:w w:val="88"/>
              </w:rPr>
              <w:t>Q2</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Q1</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Q2 2004</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U.S.</w:t>
            </w:r>
          </w:p>
        </w:tc>
        <w:tc>
          <w:tcPr>
            <w:tcW w:w="2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68%</w:t>
            </w:r>
          </w:p>
        </w:tc>
        <w:tc>
          <w:tcPr>
            <w:tcW w:w="360" w:type="dxa"/>
            <w:vAlign w:val="bottom"/>
          </w:tcPr>
          <w:p>
            <w:pPr>
              <w:spacing w:after="0"/>
              <w:rPr>
                <w:sz w:val="14"/>
                <w:szCs w:val="14"/>
                <w:color w:val="auto"/>
              </w:rPr>
            </w:pPr>
          </w:p>
        </w:tc>
        <w:tc>
          <w:tcPr>
            <w:tcW w:w="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77%</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Israel</w:t>
            </w:r>
          </w:p>
        </w:tc>
        <w:tc>
          <w:tcPr>
            <w:tcW w:w="74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14"/>
                <w:szCs w:val="14"/>
                <w:color w:val="auto"/>
              </w:rPr>
            </w:pPr>
          </w:p>
        </w:tc>
        <w:tc>
          <w:tcPr>
            <w:tcW w:w="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Pacific Rim (including Japan)</w:t>
            </w:r>
          </w:p>
        </w:tc>
        <w:tc>
          <w:tcPr>
            <w:tcW w:w="74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w:t>
            </w:r>
          </w:p>
        </w:tc>
        <w:tc>
          <w:tcPr>
            <w:tcW w:w="360" w:type="dxa"/>
            <w:vAlign w:val="bottom"/>
          </w:tcPr>
          <w:p>
            <w:pPr>
              <w:spacing w:after="0"/>
              <w:rPr>
                <w:sz w:val="14"/>
                <w:szCs w:val="14"/>
                <w:color w:val="auto"/>
              </w:rPr>
            </w:pPr>
          </w:p>
        </w:tc>
        <w:tc>
          <w:tcPr>
            <w:tcW w:w="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10%</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74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15%</w:t>
            </w:r>
          </w:p>
        </w:tc>
        <w:tc>
          <w:tcPr>
            <w:tcW w:w="360" w:type="dxa"/>
            <w:vAlign w:val="bottom"/>
          </w:tcPr>
          <w:p>
            <w:pPr>
              <w:spacing w:after="0"/>
              <w:rPr>
                <w:sz w:val="14"/>
                <w:szCs w:val="14"/>
                <w:color w:val="auto"/>
              </w:rPr>
            </w:pPr>
          </w:p>
        </w:tc>
        <w:tc>
          <w:tcPr>
            <w:tcW w:w="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42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7"/>
              </w:rPr>
              <w:t>DEVELOPING SPECIALIZED TECHNOLOGY OFFERINGS</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39"/>
          </w:cols>
          <w:pgMar w:left="220" w:top="135" w:right="1440" w:bottom="0" w:gutter="0" w:footer="0" w:header="0"/>
        </w:sectPr>
      </w:pPr>
    </w:p>
    <w:bookmarkStart w:id="4" w:name="page5"/>
    <w:bookmarkEnd w:id="4"/>
    <w:p>
      <w:pPr>
        <w:jc w:val="both"/>
        <w:ind w:right="3239"/>
        <w:spacing w:after="0" w:line="235" w:lineRule="auto"/>
        <w:rPr>
          <w:sz w:val="20"/>
          <w:szCs w:val="20"/>
          <w:color w:val="auto"/>
        </w:rPr>
      </w:pPr>
      <w:r>
        <w:rPr>
          <w:rFonts w:ascii="Courier New" w:cs="Courier New" w:eastAsia="Courier New" w:hAnsi="Courier New"/>
          <w:sz w:val="15"/>
          <w:szCs w:val="15"/>
          <w:color w:val="auto"/>
        </w:rPr>
        <w:t>Tower continues to develop differentiated technologies, utilizing core technical knowledge in embedded NVM, CMOS image sensors, mixed-signal and RF technologies, according to its strategic roadmap.</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During the second quarter, Tower increased the CMOS image sensors and the Mixed Signal shares of total revenue, as can be seen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TECHNOLOGY SEGMENT CONSOLIDATED</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Q2 2005</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Q1 2005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Q2 2004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CMOS</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69%</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Non Volatile memory</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CMOS imager sensors</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Mixed Signal, RF and Power</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FAB1</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CMOS</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36%</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Non Volatile memory</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CMOS imager sensors</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Mixed Signal, RF and Power</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26%</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FAB2</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CMOS</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Non Volatile memory</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CMOS imager sensors</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Mixed Signal and RF</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r>
    </w:tbl>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made progress in 0.13u technology, running initial shuttle with customers' test chips and several IP blocks. Tower expects that production ramp utilizing this technology will start during 2006.</w:t>
      </w:r>
    </w:p>
    <w:p>
      <w:pPr>
        <w:sectPr>
          <w:pgSz w:w="11900" w:h="16838" w:orient="portrait"/>
          <w:cols w:equalWidth="0" w:num="1">
            <w:col w:w="10239"/>
          </w:cols>
          <w:pgMar w:left="220" w:top="310" w:right="1440" w:bottom="1440" w:gutter="0" w:footer="0" w:header="0"/>
        </w:sectPr>
      </w:pPr>
    </w:p>
    <w:bookmarkStart w:id="5" w:name="page6"/>
    <w:bookmarkEnd w:id="5"/>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DIVERSIFYING REVENUES BY MARKET SEGMENT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maintains its market segment diversification.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INDUSTRY SEGMENT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Q2 2005</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Q1 2005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Q2 2004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Consumer</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48%</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Communication</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PC</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Industrial, medical and automotive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 market and others</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w:t>
            </w: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Tower will host a conference call to discuss these results on August 2, at 10a.m. Eastern time/5 p.m. Israel time. To participate, call 1-866-229-7198 (U.S. toll-free number) or 972-3-918-0610 (international) and mention ID code: TOWER. Callers in Israel are invited to call locally 03-918-0610. The conference call will also be webcast live at www.companyboardroom.com and at www.towersemi.com and will be available thereafter on both websites for replay for 90 days, starting at 1 p.m. Eastern time on the day of the call.</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TOWER SEMICONDUCTOR LTD.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 micron and below standard and specialized process technologies and has a current capacity of up to 15,000 200mm wafers per month. Tower's website is located at www.towersemi.com.</w:t>
      </w:r>
    </w:p>
    <w:p>
      <w:pPr>
        <w:sectPr>
          <w:pgSz w:w="11900" w:h="16838" w:orient="portrait"/>
          <w:cols w:equalWidth="0" w:num="1">
            <w:col w:w="10239"/>
          </w:cols>
          <w:pgMar w:left="220" w:top="78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SAFE HARBOR</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OPERATE THE COMPANY AND TO COMPLETE THE FAB 2 PROJECT, (III) THE CYCLICAL NATURE OF THE SEMICONDUCTOR INDUSTRY AND THE RESULTING PERIODIC OVERCAPACITY, FLUCTUATIONS IN OPERATING RESULTS, FUTURE AVERAGE SELLING PRICE EROSION THAT MAY BE MORE SEVERE THAN OUR EXPECTATIONS, (IV) OPERATING OUR FACILITIES AT SATISFACTORY UTILIZATION RATES WHICH IS CRITICAL IN ORDER TO COVER THE HIGH LEVEL OF FIXED COSTS ASSOCIATED WITH OPERATING A FOUNDRY, (V) THE SUCCESSFUL COMPLETION OF THE RIGHTS OFFERING (VI) OUR ABILITY TO MEET CERTAIN OF THE COVENANTS STIPULATED IN OUR AMENDED FACILITY AGREEMENT, (VII) THE CLOSING OF THE DEFINITIVE AMENDMENT TO THE FACILITY AGREEMENT AND THE RECEIPT AND CONSUMMATION OF THE INVESTORS' COMMITMENTS TO INVEST AT LEAST $23.5 MILLION, (VIII) OUR ABILITY TO CAPITALIZE ON INCREASES IN DEMAND FOR FOUNDRY SERVICES, (IX) MEETING THE CONDITIONS TO RECEIVE ISRAELI GOVERNMENT GRANTS AND TAX BENEFITS APPROVED FOR FAB 2 AND OBTAINING THE APPROVAL OF THE ISRAELI INVESTMENT CENTER TO EXTEND OR TO EXPAND THE FIVE-YEAR INVESTMENT PERIOD UNDER OUR FAB 2 APPROVED ENTERPRISE PROGRAM, (X) ATTRACTING ADDITIONAL CUSTOMERS, (XI) NOT RECEIVING ORDERS FROM OUR WAFER PARTNERS AND TECHNOLOGY PROVIDERS, (XII) FAILING TO MAINTAIN AND DEVELOP OUR TECHNOLOGY PROCESSES AND SERVICES, (XIII) COMPETING EFFECTIVELY, (XIV) OUR LARGE AMOUNT OF DEBT, (XV) ACHIEVING ACCEPTABLE DEVICE YIELDS, PRODUCT PERFORMANCE AND DELIVERY TIMES, (XVI) THE TIMELY DEVELOPMENT, INTERNAL QUALIFICATION AND CUSTOMER ACCEPTANCE OF NEW PROCESSES AND PRODUCTS, AND (XVII) BUSINESS INTERRUPTION DUE TO TERROR ATTACKS, EARTHQUAKES, AND OTHER ACTS OF GOD.</w:t>
      </w:r>
    </w:p>
    <w:p>
      <w:pPr>
        <w:spacing w:after="0" w:line="34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F-2 AND 6-K, AS WERE FILED WITH THE SECURITIES AND EXCHANGE COMMISSION AND THE ISRAEL SECURITIES AUTHORITY. FUTURE RESULTS MAY DIFFER MATERIALLY FROM THOSE PREVIOUSLY REPORTED. WE DO NOT INTEND TO UPDATE THE INFORMATION CONTAINED IN THIS RELEASE.</w:t>
      </w: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Tower Semiconductor</w:t>
      </w:r>
    </w:p>
    <w:p>
      <w:pPr>
        <w:ind w:left="440"/>
        <w:spacing w:after="0" w:line="237" w:lineRule="auto"/>
        <w:rPr>
          <w:sz w:val="20"/>
          <w:szCs w:val="20"/>
          <w:color w:val="auto"/>
        </w:rPr>
      </w:pPr>
      <w:r>
        <w:rPr>
          <w:rFonts w:ascii="Courier New" w:cs="Courier New" w:eastAsia="Courier New" w:hAnsi="Courier New"/>
          <w:sz w:val="15"/>
          <w:szCs w:val="15"/>
          <w:color w:val="auto"/>
        </w:rPr>
        <w:t>Ilanit Vudinsky, +972 4 650 6434</w:t>
      </w:r>
    </w:p>
    <w:p>
      <w:pPr>
        <w:ind w:left="440"/>
        <w:spacing w:after="0" w:line="238" w:lineRule="auto"/>
        <w:rPr>
          <w:sz w:val="20"/>
          <w:szCs w:val="20"/>
          <w:color w:val="auto"/>
        </w:rPr>
      </w:pPr>
      <w:r>
        <w:rPr>
          <w:rFonts w:ascii="Courier New" w:cs="Courier New" w:eastAsia="Courier New" w:hAnsi="Courier New"/>
          <w:sz w:val="15"/>
          <w:szCs w:val="15"/>
          <w:color w:val="auto"/>
        </w:rPr>
        <w:t>ilanitvu@towersemi.com</w:t>
      </w: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Pacifico Inc.</w:t>
      </w:r>
    </w:p>
    <w:p>
      <w:pPr>
        <w:ind w:left="440"/>
        <w:spacing w:after="0" w:line="237" w:lineRule="auto"/>
        <w:rPr>
          <w:sz w:val="20"/>
          <w:szCs w:val="20"/>
          <w:color w:val="auto"/>
        </w:rPr>
      </w:pPr>
      <w:r>
        <w:rPr>
          <w:rFonts w:ascii="Courier New" w:cs="Courier New" w:eastAsia="Courier New" w:hAnsi="Courier New"/>
          <w:sz w:val="15"/>
          <w:szCs w:val="15"/>
          <w:color w:val="auto"/>
        </w:rPr>
        <w:t>PR Agency Contact</w:t>
      </w:r>
    </w:p>
    <w:p>
      <w:pPr>
        <w:ind w:left="440"/>
        <w:spacing w:after="0" w:line="238" w:lineRule="auto"/>
        <w:rPr>
          <w:sz w:val="20"/>
          <w:szCs w:val="20"/>
          <w:color w:val="auto"/>
        </w:rPr>
      </w:pPr>
      <w:r>
        <w:rPr>
          <w:rFonts w:ascii="Courier New" w:cs="Courier New" w:eastAsia="Courier New" w:hAnsi="Courier New"/>
          <w:sz w:val="15"/>
          <w:szCs w:val="15"/>
          <w:color w:val="auto"/>
        </w:rPr>
        <w:t>Mary Curtis, +1 408 293 8600</w:t>
      </w:r>
    </w:p>
    <w:p>
      <w:pPr>
        <w:ind w:left="440"/>
        <w:spacing w:after="0" w:line="237" w:lineRule="auto"/>
        <w:rPr>
          <w:sz w:val="20"/>
          <w:szCs w:val="20"/>
          <w:color w:val="auto"/>
        </w:rPr>
      </w:pPr>
      <w:r>
        <w:rPr>
          <w:rFonts w:ascii="Courier New" w:cs="Courier New" w:eastAsia="Courier New" w:hAnsi="Courier New"/>
          <w:sz w:val="15"/>
          <w:szCs w:val="15"/>
          <w:color w:val="auto"/>
        </w:rPr>
        <w:t>mcurtis@pacifico.com</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Fusion IR &amp; Communications</w:t>
      </w:r>
    </w:p>
    <w:p>
      <w:pPr>
        <w:ind w:left="440"/>
        <w:spacing w:after="0" w:line="237" w:lineRule="auto"/>
        <w:rPr>
          <w:sz w:val="20"/>
          <w:szCs w:val="20"/>
          <w:color w:val="auto"/>
        </w:rPr>
      </w:pPr>
      <w:r>
        <w:rPr>
          <w:rFonts w:ascii="Courier New" w:cs="Courier New" w:eastAsia="Courier New" w:hAnsi="Courier New"/>
          <w:sz w:val="15"/>
          <w:szCs w:val="15"/>
          <w:color w:val="auto"/>
        </w:rPr>
        <w:t>Investor Relations Contact</w:t>
      </w:r>
    </w:p>
    <w:p>
      <w:pPr>
        <w:ind w:left="440"/>
        <w:spacing w:after="0" w:line="238" w:lineRule="auto"/>
        <w:rPr>
          <w:sz w:val="20"/>
          <w:szCs w:val="20"/>
          <w:color w:val="auto"/>
        </w:rPr>
      </w:pPr>
      <w:r>
        <w:rPr>
          <w:rFonts w:ascii="Courier New" w:cs="Courier New" w:eastAsia="Courier New" w:hAnsi="Courier New"/>
          <w:sz w:val="15"/>
          <w:szCs w:val="15"/>
          <w:color w:val="auto"/>
        </w:rPr>
        <w:t>Sheldon Lutch, +1 212 268 1816</w:t>
      </w:r>
    </w:p>
    <w:p>
      <w:pPr>
        <w:ind w:left="440"/>
        <w:spacing w:after="0" w:line="237" w:lineRule="auto"/>
        <w:rPr>
          <w:sz w:val="20"/>
          <w:szCs w:val="20"/>
          <w:color w:val="auto"/>
        </w:rPr>
      </w:pPr>
      <w:r>
        <w:rPr>
          <w:rFonts w:ascii="Courier New" w:cs="Courier New" w:eastAsia="Courier New" w:hAnsi="Courier New"/>
          <w:sz w:val="15"/>
          <w:szCs w:val="15"/>
          <w:color w:val="auto"/>
        </w:rPr>
        <w:t>sheldon@fusionir.com</w:t>
      </w:r>
    </w:p>
    <w:p>
      <w:pPr>
        <w:sectPr>
          <w:pgSz w:w="11900" w:h="16838" w:orient="portrait"/>
          <w:cols w:equalWidth="0" w:num="1">
            <w:col w:w="10239"/>
          </w:cols>
          <w:pgMar w:left="220" w:top="617" w:right="1440" w:bottom="1440" w:gutter="0" w:footer="0" w:header="0"/>
        </w:sectPr>
      </w:pPr>
    </w:p>
    <w:bookmarkStart w:id="7" w:name="page8"/>
    <w:bookmarkEnd w:id="7"/>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9"/>
        </w:trPr>
        <w:tc>
          <w:tcPr>
            <w:tcW w:w="5920" w:type="dxa"/>
            <w:vAlign w:val="bottom"/>
          </w:tcPr>
          <w:p>
            <w:pPr>
              <w:ind w:left="2540"/>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5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JUNE 30,</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2005</w:t>
            </w:r>
          </w:p>
        </w:tc>
        <w:tc>
          <w:tcPr>
            <w:tcW w:w="44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CURRENT ASSETS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23,459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27,664</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DESIGNATED CASH AND SHORT-TERM INTEREST-BEARING DEPOSITS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16,953</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53,793</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10,853</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19,286</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8,862</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11,365</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INVENTORIES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17,058</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1,310</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1,818</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78,495</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139,595</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5,134</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PROPERTY AND EQUIPMENT, NET</w:t>
            </w:r>
          </w:p>
        </w:tc>
        <w:tc>
          <w:tcPr>
            <w:tcW w:w="38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562,962</w:t>
            </w:r>
          </w:p>
        </w:tc>
        <w:tc>
          <w:tcPr>
            <w:tcW w:w="4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609,296</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OTHER ASSETS, NET</w:t>
            </w:r>
          </w:p>
        </w:tc>
        <w:tc>
          <w:tcPr>
            <w:tcW w:w="38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86,519</w:t>
            </w:r>
          </w:p>
        </w:tc>
        <w:tc>
          <w:tcPr>
            <w:tcW w:w="4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93,483</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1240"/>
              <w:spacing w:after="0"/>
              <w:rPr>
                <w:sz w:val="20"/>
                <w:szCs w:val="20"/>
                <w:color w:val="auto"/>
              </w:rPr>
            </w:pPr>
            <w:r>
              <w:rPr>
                <w:rFonts w:ascii="Courier New" w:cs="Courier New" w:eastAsia="Courier New" w:hAnsi="Courier New"/>
                <w:sz w:val="15"/>
                <w:szCs w:val="15"/>
                <w:color w:val="auto"/>
              </w:rPr>
              <w:t>TOTAL ASSETS</w:t>
            </w:r>
          </w:p>
        </w:tc>
        <w:tc>
          <w:tcPr>
            <w:tcW w:w="14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$ 727,976</w:t>
            </w:r>
          </w:p>
        </w:tc>
        <w:tc>
          <w:tcPr>
            <w:tcW w:w="13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$ 847,508</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59,640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65,326</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CURRENT MATURITIES OF CONVERTIBLE DEBENTURES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6,331</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8,467</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10,678</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74,438</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76,004</w:t>
            </w:r>
          </w:p>
        </w:tc>
      </w:tr>
      <w:tr>
        <w:trPr>
          <w:trHeight w:val="336"/>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LONG-TERM DEBT</w:t>
            </w:r>
          </w:p>
        </w:tc>
        <w:tc>
          <w:tcPr>
            <w:tcW w:w="38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497,000</w:t>
            </w:r>
          </w:p>
        </w:tc>
        <w:tc>
          <w:tcPr>
            <w:tcW w:w="4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497,000</w:t>
            </w:r>
          </w:p>
        </w:tc>
      </w:tr>
      <w:tr>
        <w:trPr>
          <w:trHeight w:val="336"/>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CONVERTIBLE DEBENTURES</w:t>
            </w:r>
          </w:p>
        </w:tc>
        <w:tc>
          <w:tcPr>
            <w:tcW w:w="38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18,992</w:t>
            </w:r>
          </w:p>
        </w:tc>
        <w:tc>
          <w:tcPr>
            <w:tcW w:w="4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26,651</w:t>
            </w:r>
          </w:p>
        </w:tc>
      </w:tr>
      <w:tr>
        <w:trPr>
          <w:trHeight w:val="336"/>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LONG-TERM LIABILITY IN RESPECT</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62,007</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64,428</w:t>
            </w:r>
          </w:p>
        </w:tc>
      </w:tr>
      <w:tr>
        <w:trPr>
          <w:trHeight w:val="336"/>
        </w:trPr>
        <w:tc>
          <w:tcPr>
            <w:tcW w:w="5920" w:type="dxa"/>
            <w:vAlign w:val="bottom"/>
          </w:tcPr>
          <w:p>
            <w:pPr>
              <w:ind w:left="440"/>
              <w:spacing w:after="0"/>
              <w:rPr>
                <w:sz w:val="20"/>
                <w:szCs w:val="20"/>
                <w:color w:val="auto"/>
              </w:rPr>
            </w:pPr>
            <w:r>
              <w:rPr>
                <w:rFonts w:ascii="Courier New" w:cs="Courier New" w:eastAsia="Courier New" w:hAnsi="Courier New"/>
                <w:sz w:val="15"/>
                <w:szCs w:val="15"/>
                <w:color w:val="auto"/>
              </w:rPr>
              <w:t>OTHER LONG-TERM LIABILITIES</w:t>
            </w:r>
          </w:p>
        </w:tc>
        <w:tc>
          <w:tcPr>
            <w:tcW w:w="38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9,175</w:t>
            </w:r>
          </w:p>
        </w:tc>
        <w:tc>
          <w:tcPr>
            <w:tcW w:w="4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15,445</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661,612</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679,528</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ORDINARY SHARES</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16,408</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16,274</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518,286</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517,476</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(459,232)</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(356,672)</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75,436</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177,052</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TREASURY STOCK</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(9,072)</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66,364</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167,980</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12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$ 727,976</w:t>
            </w:r>
          </w:p>
        </w:tc>
        <w:tc>
          <w:tcPr>
            <w:tcW w:w="13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$ 847,508</w:t>
            </w:r>
          </w:p>
        </w:tc>
      </w:tr>
      <w:tr>
        <w:trPr>
          <w:trHeight w:val="168"/>
        </w:trPr>
        <w:tc>
          <w:tcPr>
            <w:tcW w:w="59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1440" w:gutter="0" w:footer="0" w:header="0"/>
        </w:sectPr>
      </w:pPr>
    </w:p>
    <w:bookmarkStart w:id="8" w:name="page9"/>
    <w:bookmarkEnd w:id="8"/>
    <w:p>
      <w:pPr>
        <w:jc w:val="center"/>
        <w:ind w:right="366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660"/>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tbl>
      <w:tblPr>
        <w:tblLayout w:type="fixed"/>
        <w:tblInd w:w="0" w:type="dxa"/>
        <w:tblCellMar>
          <w:top w:w="0" w:type="dxa"/>
          <w:left w:w="0" w:type="dxa"/>
          <w:bottom w:w="0" w:type="dxa"/>
          <w:right w:w="0" w:type="dxa"/>
        </w:tblCellMar>
      </w:tblPr>
      <w:tr>
        <w:trPr>
          <w:trHeight w:val="169"/>
        </w:trPr>
        <w:tc>
          <w:tcPr>
            <w:tcW w:w="6300" w:type="dxa"/>
            <w:vAlign w:val="bottom"/>
            <w:gridSpan w:val="3"/>
          </w:tcPr>
          <w:p>
            <w:pPr>
              <w:jc w:val="right"/>
              <w:ind w:right="87"/>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5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SIX MONTHS ENDED</w:t>
            </w:r>
          </w:p>
        </w:tc>
        <w:tc>
          <w:tcPr>
            <w:tcW w:w="440" w:type="dxa"/>
            <w:vAlign w:val="bottom"/>
          </w:tcPr>
          <w:p>
            <w:pPr>
              <w:spacing w:after="0"/>
              <w:rPr>
                <w:sz w:val="24"/>
                <w:szCs w:val="24"/>
                <w:color w:val="auto"/>
              </w:rPr>
            </w:pPr>
          </w:p>
        </w:tc>
        <w:tc>
          <w:tcPr>
            <w:tcW w:w="22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5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2980" w:type="dxa"/>
            <w:vAlign w:val="bottom"/>
            <w:gridSpan w:val="4"/>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2005</w:t>
            </w:r>
          </w:p>
        </w:tc>
        <w:tc>
          <w:tcPr>
            <w:tcW w:w="760" w:type="dxa"/>
            <w:vAlign w:val="bottom"/>
          </w:tcPr>
          <w:p>
            <w:pPr>
              <w:spacing w:after="0"/>
              <w:rPr>
                <w:sz w:val="14"/>
                <w:szCs w:val="14"/>
                <w:color w:val="auto"/>
              </w:rPr>
            </w:pP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2004</w:t>
            </w:r>
          </w:p>
        </w:tc>
        <w:tc>
          <w:tcPr>
            <w:tcW w:w="440" w:type="dxa"/>
            <w:vAlign w:val="bottom"/>
          </w:tcPr>
          <w:p>
            <w:pPr>
              <w:spacing w:after="0"/>
              <w:rPr>
                <w:sz w:val="14"/>
                <w:szCs w:val="14"/>
                <w:color w:val="auto"/>
              </w:rPr>
            </w:pPr>
          </w:p>
        </w:tc>
        <w:tc>
          <w:tcPr>
            <w:tcW w:w="1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2005</w:t>
            </w:r>
          </w:p>
        </w:tc>
        <w:tc>
          <w:tcPr>
            <w:tcW w:w="1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SALES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42,375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58,955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19,208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33,652</w:t>
            </w:r>
          </w:p>
        </w:tc>
      </w:tr>
      <w:tr>
        <w:trPr>
          <w:trHeight w:val="168"/>
        </w:trPr>
        <w:tc>
          <w:tcPr>
            <w:tcW w:w="5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REVENUES RELATED TO A JOINT DEVELOPMENT AGREEMENT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8,000</w:t>
            </w:r>
          </w:p>
        </w:tc>
        <w:tc>
          <w:tcPr>
            <w:tcW w:w="76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1,944</w:t>
            </w:r>
          </w:p>
        </w:tc>
        <w:tc>
          <w:tcPr>
            <w:tcW w:w="44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8,000</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50,375</w:t>
            </w:r>
          </w:p>
        </w:tc>
        <w:tc>
          <w:tcPr>
            <w:tcW w:w="76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60,899</w:t>
            </w:r>
          </w:p>
        </w:tc>
        <w:tc>
          <w:tcPr>
            <w:tcW w:w="44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27,208</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33,652</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122,468</w:t>
            </w:r>
          </w:p>
        </w:tc>
        <w:tc>
          <w:tcPr>
            <w:tcW w:w="76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8"/>
              </w:rPr>
              <w:t>104,399</w:t>
            </w:r>
          </w:p>
        </w:tc>
        <w:tc>
          <w:tcPr>
            <w:tcW w:w="440" w:type="dxa"/>
            <w:vAlign w:val="bottom"/>
          </w:tcPr>
          <w:p>
            <w:pPr>
              <w:spacing w:after="0"/>
              <w:rPr>
                <w:sz w:val="24"/>
                <w:szCs w:val="24"/>
                <w:color w:val="auto"/>
              </w:rPr>
            </w:pP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61,254</w:t>
            </w:r>
          </w:p>
        </w:tc>
        <w:tc>
          <w:tcPr>
            <w:tcW w:w="1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54,250</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120" w:type="dxa"/>
            <w:vAlign w:val="bottom"/>
          </w:tcPr>
          <w:p>
            <w:pPr>
              <w:ind w:left="700"/>
              <w:spacing w:after="0"/>
              <w:rPr>
                <w:sz w:val="20"/>
                <w:szCs w:val="20"/>
                <w:color w:val="auto"/>
              </w:rPr>
            </w:pPr>
            <w:r>
              <w:rPr>
                <w:rFonts w:ascii="Courier New" w:cs="Courier New" w:eastAsia="Courier New" w:hAnsi="Courier New"/>
                <w:sz w:val="15"/>
                <w:szCs w:val="15"/>
                <w:color w:val="auto"/>
              </w:rPr>
              <w:t>GROSS LOSS</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(72,093)</w:t>
            </w:r>
          </w:p>
        </w:tc>
        <w:tc>
          <w:tcPr>
            <w:tcW w:w="76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(43,500)</w:t>
            </w:r>
          </w:p>
        </w:tc>
        <w:tc>
          <w:tcPr>
            <w:tcW w:w="440" w:type="dxa"/>
            <w:vAlign w:val="bottom"/>
          </w:tcPr>
          <w:p>
            <w:pPr>
              <w:spacing w:after="0"/>
              <w:rPr>
                <w:sz w:val="24"/>
                <w:szCs w:val="2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(34,046)</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(20,598)</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8,649</w:t>
            </w:r>
          </w:p>
        </w:tc>
        <w:tc>
          <w:tcPr>
            <w:tcW w:w="76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7,256</w:t>
            </w:r>
          </w:p>
        </w:tc>
        <w:tc>
          <w:tcPr>
            <w:tcW w:w="440" w:type="dxa"/>
            <w:vAlign w:val="bottom"/>
          </w:tcPr>
          <w:p>
            <w:pPr>
              <w:spacing w:after="0"/>
              <w:rPr>
                <w:sz w:val="24"/>
                <w:szCs w:val="24"/>
                <w:color w:val="auto"/>
              </w:rPr>
            </w:pP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3,886</w:t>
            </w:r>
          </w:p>
        </w:tc>
        <w:tc>
          <w:tcPr>
            <w:tcW w:w="1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3,751</w:t>
            </w:r>
          </w:p>
        </w:tc>
      </w:tr>
      <w:tr>
        <w:trPr>
          <w:trHeight w:val="168"/>
        </w:trPr>
        <w:tc>
          <w:tcPr>
            <w:tcW w:w="5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8,766</w:t>
            </w:r>
          </w:p>
        </w:tc>
        <w:tc>
          <w:tcPr>
            <w:tcW w:w="76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11,021</w:t>
            </w:r>
          </w:p>
        </w:tc>
        <w:tc>
          <w:tcPr>
            <w:tcW w:w="44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4,238</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5,430</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17,415</w:t>
            </w:r>
          </w:p>
        </w:tc>
        <w:tc>
          <w:tcPr>
            <w:tcW w:w="76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18,277</w:t>
            </w:r>
          </w:p>
        </w:tc>
        <w:tc>
          <w:tcPr>
            <w:tcW w:w="440" w:type="dxa"/>
            <w:vAlign w:val="bottom"/>
          </w:tcPr>
          <w:p>
            <w:pPr>
              <w:spacing w:after="0"/>
              <w:rPr>
                <w:sz w:val="24"/>
                <w:szCs w:val="24"/>
                <w:color w:val="auto"/>
              </w:rPr>
            </w:pP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8,124</w:t>
            </w:r>
          </w:p>
        </w:tc>
        <w:tc>
          <w:tcPr>
            <w:tcW w:w="1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9,181</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120" w:type="dxa"/>
            <w:vAlign w:val="bottom"/>
          </w:tcPr>
          <w:p>
            <w:pPr>
              <w:ind w:left="700"/>
              <w:spacing w:after="0"/>
              <w:rPr>
                <w:sz w:val="20"/>
                <w:szCs w:val="20"/>
                <w:color w:val="auto"/>
              </w:rPr>
            </w:pPr>
            <w:r>
              <w:rPr>
                <w:rFonts w:ascii="Courier New" w:cs="Courier New" w:eastAsia="Courier New" w:hAnsi="Courier New"/>
                <w:sz w:val="15"/>
                <w:szCs w:val="15"/>
                <w:color w:val="auto"/>
              </w:rPr>
              <w:t>OPERATING LOSS</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(89,508)</w:t>
            </w:r>
          </w:p>
        </w:tc>
        <w:tc>
          <w:tcPr>
            <w:tcW w:w="76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(61,777)</w:t>
            </w:r>
          </w:p>
        </w:tc>
        <w:tc>
          <w:tcPr>
            <w:tcW w:w="440" w:type="dxa"/>
            <w:vAlign w:val="bottom"/>
          </w:tcPr>
          <w:p>
            <w:pPr>
              <w:spacing w:after="0"/>
              <w:rPr>
                <w:sz w:val="24"/>
                <w:szCs w:val="2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(42,170)</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(29,779)</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(15,528)</w:t>
            </w:r>
          </w:p>
        </w:tc>
        <w:tc>
          <w:tcPr>
            <w:tcW w:w="76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(13,340)</w:t>
            </w:r>
          </w:p>
        </w:tc>
        <w:tc>
          <w:tcPr>
            <w:tcW w:w="440" w:type="dxa"/>
            <w:vAlign w:val="bottom"/>
          </w:tcPr>
          <w:p>
            <w:pPr>
              <w:spacing w:after="0"/>
              <w:rPr>
                <w:sz w:val="24"/>
                <w:szCs w:val="2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(7,353)</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(6,809)</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4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2,476</w:t>
            </w:r>
          </w:p>
        </w:tc>
        <w:tc>
          <w:tcPr>
            <w:tcW w:w="76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w:t>
            </w:r>
          </w:p>
        </w:tc>
        <w:tc>
          <w:tcPr>
            <w:tcW w:w="440" w:type="dxa"/>
            <w:vAlign w:val="bottom"/>
          </w:tcPr>
          <w:p>
            <w:pPr>
              <w:spacing w:after="0"/>
              <w:rPr>
                <w:sz w:val="24"/>
                <w:szCs w:val="24"/>
                <w:color w:val="auto"/>
              </w:rPr>
            </w:pP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2,283</w:t>
            </w:r>
          </w:p>
        </w:tc>
        <w:tc>
          <w:tcPr>
            <w:tcW w:w="1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120" w:type="dxa"/>
            <w:vAlign w:val="bottom"/>
          </w:tcPr>
          <w:p>
            <w:pPr>
              <w:ind w:left="1140"/>
              <w:spacing w:after="0"/>
              <w:rPr>
                <w:sz w:val="20"/>
                <w:szCs w:val="20"/>
                <w:color w:val="auto"/>
              </w:rPr>
            </w:pPr>
            <w:r>
              <w:rPr>
                <w:rFonts w:ascii="Courier New" w:cs="Courier New" w:eastAsia="Courier New" w:hAnsi="Courier New"/>
                <w:sz w:val="15"/>
                <w:szCs w:val="15"/>
                <w:color w:val="auto"/>
              </w:rPr>
              <w:t>LOSS FOR THE PERIOD</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$(102,560)</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(75,023)</w:t>
            </w:r>
          </w:p>
        </w:tc>
        <w:tc>
          <w:tcPr>
            <w:tcW w:w="18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 (47,240)</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 (36,532)</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LOSS PER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(0.71)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(0.55)</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LOSS USED TO COMPUTE</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$(102,560)</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(75,009)</w:t>
            </w:r>
          </w:p>
        </w:tc>
        <w:tc>
          <w:tcPr>
            <w:tcW w:w="18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(47,240)</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 (36,525)</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WEIGHTED AVERAGE NUMBER OF ORDINARY</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65,946</w:t>
            </w:r>
          </w:p>
        </w:tc>
        <w:tc>
          <w:tcPr>
            <w:tcW w:w="76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64,812</w:t>
            </w:r>
          </w:p>
        </w:tc>
        <w:tc>
          <w:tcPr>
            <w:tcW w:w="44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66,190</w:t>
            </w:r>
          </w:p>
        </w:tc>
        <w:tc>
          <w:tcPr>
            <w:tcW w:w="1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66,632</w:t>
            </w:r>
          </w:p>
        </w:tc>
      </w:tr>
      <w:tr>
        <w:trPr>
          <w:trHeight w:val="168"/>
        </w:trPr>
        <w:tc>
          <w:tcPr>
            <w:tcW w:w="51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41" w:lineRule="exact"/>
        <w:rPr>
          <w:sz w:val="20"/>
          <w:szCs w:val="20"/>
          <w:color w:val="auto"/>
        </w:rPr>
      </w:pPr>
    </w:p>
    <w:p>
      <w:pPr>
        <w:ind w:left="440" w:right="3840" w:hanging="430"/>
        <w:spacing w:after="0" w:line="235"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LOSS PER SHARE IN ACCORDANCE WITH U.S. GAAP ARE THE SAME AS THE ISR. GAAP DATA FOR THE SIX AND THREE MONTHS PERIODS ENDED JUNE 30, 2005 [$1.18 ANS $0.56 IN THE SIX AND THREE MONTHS PERIODS ENDED JUNE 30, 2004]</w:t>
      </w:r>
    </w:p>
    <w:p>
      <w:pPr>
        <w:sectPr>
          <w:pgSz w:w="11900" w:h="16838" w:orient="portrait"/>
          <w:cols w:equalWidth="0" w:num="1">
            <w:col w:w="10760"/>
          </w:cols>
          <w:pgMar w:left="220" w:top="785" w:right="9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EXHIBIT 99.2</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5740" w:type="dxa"/>
            <w:vAlign w:val="bottom"/>
          </w:tcPr>
          <w:p>
            <w:pPr>
              <w:jc w:val="center"/>
              <w:ind w:left="1287"/>
              <w:spacing w:after="0"/>
              <w:rPr>
                <w:sz w:val="20"/>
                <w:szCs w:val="20"/>
                <w:color w:val="auto"/>
              </w:rPr>
            </w:pPr>
            <w:r>
              <w:rPr>
                <w:rFonts w:ascii="Courier New" w:cs="Courier New" w:eastAsia="Courier New" w:hAnsi="Courier New"/>
                <w:sz w:val="15"/>
                <w:szCs w:val="15"/>
                <w:color w:val="auto"/>
                <w:w w:val="97"/>
              </w:rPr>
              <w:t>TOWER SEMICONDUCTOR LTD. AND SUBSIDIARY</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740" w:type="dxa"/>
            <w:vAlign w:val="bottom"/>
          </w:tcPr>
          <w:p>
            <w:pPr>
              <w:ind w:left="1940"/>
              <w:spacing w:after="0"/>
              <w:rPr>
                <w:sz w:val="20"/>
                <w:szCs w:val="20"/>
                <w:color w:val="auto"/>
              </w:rPr>
            </w:pPr>
            <w:r>
              <w:rPr>
                <w:rFonts w:ascii="Courier New" w:cs="Courier New" w:eastAsia="Courier New" w:hAnsi="Courier New"/>
                <w:sz w:val="15"/>
                <w:szCs w:val="15"/>
                <w:color w:val="auto"/>
              </w:rPr>
              <w:t>INDEX TO UNAUDITED CONDENSED INTERIM</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740" w:type="dxa"/>
            <w:vAlign w:val="bottom"/>
          </w:tcPr>
          <w:p>
            <w:pPr>
              <w:jc w:val="center"/>
              <w:ind w:left="1287"/>
              <w:spacing w:after="0" w:line="168" w:lineRule="exact"/>
              <w:rPr>
                <w:sz w:val="20"/>
                <w:szCs w:val="20"/>
                <w:color w:val="auto"/>
              </w:rPr>
            </w:pPr>
            <w:r>
              <w:rPr>
                <w:rFonts w:ascii="Courier New" w:cs="Courier New" w:eastAsia="Courier New" w:hAnsi="Courier New"/>
                <w:sz w:val="15"/>
                <w:szCs w:val="15"/>
                <w:color w:val="auto"/>
                <w:w w:val="97"/>
              </w:rPr>
              <w:t>CONSOLIDATED FINANCIAL STATEMENTS</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40" w:type="dxa"/>
            <w:vAlign w:val="bottom"/>
          </w:tcPr>
          <w:p>
            <w:pPr>
              <w:jc w:val="center"/>
              <w:ind w:left="1287"/>
              <w:spacing w:after="0" w:line="168" w:lineRule="exact"/>
              <w:rPr>
                <w:sz w:val="20"/>
                <w:szCs w:val="20"/>
                <w:color w:val="auto"/>
              </w:rPr>
            </w:pPr>
            <w:r>
              <w:rPr>
                <w:rFonts w:ascii="Courier New" w:cs="Courier New" w:eastAsia="Courier New" w:hAnsi="Courier New"/>
                <w:sz w:val="15"/>
                <w:szCs w:val="15"/>
                <w:color w:val="auto"/>
                <w:w w:val="97"/>
              </w:rPr>
              <w:t>AS OF JUNE 30, 2005</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5740" w:type="dxa"/>
            <w:vAlign w:val="bottom"/>
          </w:tcPr>
          <w:p>
            <w:pPr>
              <w:spacing w:after="0"/>
              <w:rPr>
                <w:sz w:val="24"/>
                <w:szCs w:val="24"/>
                <w:color w:val="auto"/>
              </w:rPr>
            </w:pP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Page</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74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574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6-21</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740" w:type="dxa"/>
            <w:vAlign w:val="bottom"/>
          </w:tcPr>
          <w:p>
            <w:pPr>
              <w:ind w:left="3240"/>
              <w:spacing w:after="0"/>
              <w:rPr>
                <w:sz w:val="20"/>
                <w:szCs w:val="20"/>
                <w:color w:val="auto"/>
              </w:rPr>
            </w:pPr>
            <w:r>
              <w:rPr>
                <w:rFonts w:ascii="Courier New" w:cs="Courier New" w:eastAsia="Courier New" w:hAnsi="Courier New"/>
                <w:sz w:val="15"/>
                <w:szCs w:val="15"/>
                <w:color w:val="auto"/>
              </w:rPr>
              <w:t>- 1 -</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987"/>
        </w:trPr>
        <w:tc>
          <w:tcPr>
            <w:tcW w:w="5740" w:type="dxa"/>
            <w:vAlign w:val="bottom"/>
          </w:tcPr>
          <w:p>
            <w:pPr>
              <w:jc w:val="center"/>
              <w:ind w:left="1287"/>
              <w:spacing w:after="0"/>
              <w:rPr>
                <w:sz w:val="20"/>
                <w:szCs w:val="20"/>
                <w:color w:val="auto"/>
              </w:rPr>
            </w:pPr>
            <w:r>
              <w:rPr>
                <w:rFonts w:ascii="Courier New" w:cs="Courier New" w:eastAsia="Courier New" w:hAnsi="Courier New"/>
                <w:sz w:val="15"/>
                <w:szCs w:val="15"/>
                <w:color w:val="auto"/>
                <w:w w:val="97"/>
              </w:rPr>
              <w:t>TOWER SEMICONDUCTOR LTD. AND SUBSIDIARY</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740" w:type="dxa"/>
            <w:vAlign w:val="bottom"/>
          </w:tcPr>
          <w:p>
            <w:pPr>
              <w:jc w:val="center"/>
              <w:ind w:left="1307"/>
              <w:spacing w:after="0" w:line="168" w:lineRule="exact"/>
              <w:rPr>
                <w:sz w:val="20"/>
                <w:szCs w:val="20"/>
                <w:color w:val="auto"/>
              </w:rPr>
            </w:pPr>
            <w:r>
              <w:rPr>
                <w:rFonts w:ascii="Courier New" w:cs="Courier New" w:eastAsia="Courier New" w:hAnsi="Courier New"/>
                <w:sz w:val="15"/>
                <w:szCs w:val="15"/>
                <w:color w:val="auto"/>
                <w:w w:val="97"/>
              </w:rPr>
              <w:t>CONDENSED CONSOLIDATED BALANCE SHEETS</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00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841"/>
        </w:trPr>
        <w:tc>
          <w:tcPr>
            <w:tcW w:w="5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AS OF JUNE 30,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740" w:type="dxa"/>
            <w:vAlign w:val="bottom"/>
          </w:tcPr>
          <w:p>
            <w:pPr>
              <w:spacing w:after="0"/>
              <w:rPr>
                <w:sz w:val="14"/>
                <w:szCs w:val="14"/>
                <w:color w:val="auto"/>
              </w:rPr>
            </w:pPr>
          </w:p>
        </w:tc>
        <w:tc>
          <w:tcPr>
            <w:tcW w:w="31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2005</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c>
          <w:tcPr>
            <w:tcW w:w="4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740" w:type="dxa"/>
            <w:vAlign w:val="bottom"/>
          </w:tcPr>
          <w:p>
            <w:pPr>
              <w:spacing w:after="0"/>
              <w:rPr>
                <w:sz w:val="14"/>
                <w:szCs w:val="14"/>
                <w:color w:val="auto"/>
              </w:rPr>
            </w:pP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(UNAUDITED)</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40" w:type="dxa"/>
            <w:vAlign w:val="bottom"/>
          </w:tcPr>
          <w:p>
            <w:pPr>
              <w:spacing w:after="0"/>
              <w:rPr>
                <w:sz w:val="14"/>
                <w:szCs w:val="14"/>
                <w:color w:val="auto"/>
              </w:rPr>
            </w:pPr>
          </w:p>
        </w:tc>
        <w:tc>
          <w:tcPr>
            <w:tcW w:w="31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74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23,459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19,115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27,664</w:t>
            </w:r>
          </w:p>
        </w:tc>
      </w:tr>
      <w:tr>
        <w:trPr>
          <w:trHeight w:val="168"/>
        </w:trPr>
        <w:tc>
          <w:tcPr>
            <w:tcW w:w="5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DESIGNATED CASH AND SHORT-TERM INTEREST-BEARING DEPOSITS</w:t>
            </w:r>
          </w:p>
        </w:tc>
        <w:tc>
          <w:tcPr>
            <w:tcW w:w="1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16,953</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42,279</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53,793</w:t>
            </w:r>
          </w:p>
        </w:tc>
      </w:tr>
      <w:tr>
        <w:trPr>
          <w:trHeight w:val="168"/>
        </w:trPr>
        <w:tc>
          <w:tcPr>
            <w:tcW w:w="5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1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10,853</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19,113</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19,286</w:t>
            </w:r>
          </w:p>
        </w:tc>
      </w:tr>
      <w:tr>
        <w:trPr>
          <w:trHeight w:val="168"/>
        </w:trPr>
        <w:tc>
          <w:tcPr>
            <w:tcW w:w="5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1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8,862</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20,067</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11,365</w:t>
            </w:r>
          </w:p>
        </w:tc>
      </w:tr>
      <w:tr>
        <w:trPr>
          <w:trHeight w:val="168"/>
        </w:trPr>
        <w:tc>
          <w:tcPr>
            <w:tcW w:w="5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w:t>
            </w:r>
          </w:p>
        </w:tc>
        <w:tc>
          <w:tcPr>
            <w:tcW w:w="1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17,058</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25,712</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5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1,310</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2,112</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1,818</w:t>
            </w:r>
          </w:p>
        </w:tc>
      </w:tr>
      <w:tr>
        <w:trPr>
          <w:trHeight w:val="168"/>
        </w:trPr>
        <w:tc>
          <w:tcPr>
            <w:tcW w:w="5740" w:type="dxa"/>
            <w:vAlign w:val="bottom"/>
          </w:tcPr>
          <w:p>
            <w:pPr>
              <w:spacing w:after="0"/>
              <w:rPr>
                <w:sz w:val="14"/>
                <w:szCs w:val="14"/>
                <w:color w:val="auto"/>
              </w:rPr>
            </w:pP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78,495</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128,398</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139,595</w:t>
            </w:r>
          </w:p>
        </w:tc>
      </w:tr>
      <w:tr>
        <w:trPr>
          <w:trHeight w:val="168"/>
        </w:trPr>
        <w:tc>
          <w:tcPr>
            <w:tcW w:w="5740" w:type="dxa"/>
            <w:vAlign w:val="bottom"/>
          </w:tcPr>
          <w:p>
            <w:pPr>
              <w:spacing w:after="0"/>
              <w:rPr>
                <w:sz w:val="14"/>
                <w:szCs w:val="14"/>
                <w:color w:val="auto"/>
              </w:rPr>
            </w:pP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ind w:left="360"/>
              <w:spacing w:after="0"/>
              <w:rPr>
                <w:sz w:val="20"/>
                <w:szCs w:val="20"/>
                <w:color w:val="auto"/>
              </w:rPr>
            </w:pPr>
            <w:r>
              <w:rPr>
                <w:rFonts w:ascii="Courier New" w:cs="Courier New" w:eastAsia="Courier New" w:hAnsi="Courier New"/>
                <w:sz w:val="15"/>
                <w:szCs w:val="15"/>
                <w:color w:val="auto"/>
              </w:rPr>
              <w:t>LONG-TERM INVESTMENTS</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1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4,918</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5,134</w:t>
            </w:r>
          </w:p>
        </w:tc>
      </w:tr>
      <w:tr>
        <w:trPr>
          <w:trHeight w:val="168"/>
        </w:trPr>
        <w:tc>
          <w:tcPr>
            <w:tcW w:w="5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LONG-TERM INVESTMENT</w:t>
            </w:r>
          </w:p>
        </w:tc>
        <w:tc>
          <w:tcPr>
            <w:tcW w:w="1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10,918</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5,134</w:t>
            </w:r>
          </w:p>
        </w:tc>
      </w:tr>
      <w:tr>
        <w:trPr>
          <w:trHeight w:val="168"/>
        </w:trPr>
        <w:tc>
          <w:tcPr>
            <w:tcW w:w="5740" w:type="dxa"/>
            <w:vAlign w:val="bottom"/>
          </w:tcPr>
          <w:p>
            <w:pPr>
              <w:spacing w:after="0"/>
              <w:rPr>
                <w:sz w:val="14"/>
                <w:szCs w:val="14"/>
                <w:color w:val="auto"/>
              </w:rPr>
            </w:pP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ind w:left="360"/>
              <w:spacing w:after="0"/>
              <w:rPr>
                <w:sz w:val="20"/>
                <w:szCs w:val="20"/>
                <w:color w:val="auto"/>
              </w:rPr>
            </w:pPr>
            <w:r>
              <w:rPr>
                <w:rFonts w:ascii="Courier New" w:cs="Courier New" w:eastAsia="Courier New" w:hAnsi="Courier New"/>
                <w:sz w:val="15"/>
                <w:szCs w:val="15"/>
                <w:color w:val="auto"/>
              </w:rPr>
              <w:t>PROPERTY AND EQUIPMENT, NET</w:t>
            </w:r>
          </w:p>
        </w:tc>
        <w:tc>
          <w:tcPr>
            <w:tcW w:w="12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562,962</w:t>
            </w:r>
          </w:p>
        </w:tc>
        <w:tc>
          <w:tcPr>
            <w:tcW w:w="30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589,271</w:t>
            </w:r>
          </w:p>
        </w:tc>
        <w:tc>
          <w:tcPr>
            <w:tcW w:w="40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609,296</w:t>
            </w:r>
          </w:p>
        </w:tc>
      </w:tr>
      <w:tr>
        <w:trPr>
          <w:trHeight w:val="168"/>
        </w:trPr>
        <w:tc>
          <w:tcPr>
            <w:tcW w:w="5740" w:type="dxa"/>
            <w:vAlign w:val="bottom"/>
          </w:tcPr>
          <w:p>
            <w:pPr>
              <w:spacing w:after="0"/>
              <w:rPr>
                <w:sz w:val="14"/>
                <w:szCs w:val="14"/>
                <w:color w:val="auto"/>
              </w:rPr>
            </w:pP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ind w:left="360"/>
              <w:spacing w:after="0"/>
              <w:rPr>
                <w:sz w:val="20"/>
                <w:szCs w:val="20"/>
                <w:color w:val="auto"/>
              </w:rPr>
            </w:pPr>
            <w:r>
              <w:rPr>
                <w:rFonts w:ascii="Courier New" w:cs="Courier New" w:eastAsia="Courier New" w:hAnsi="Courier New"/>
                <w:sz w:val="15"/>
                <w:szCs w:val="15"/>
                <w:color w:val="auto"/>
              </w:rPr>
              <w:t>OTHER ASSETS, NET</w:t>
            </w:r>
          </w:p>
        </w:tc>
        <w:tc>
          <w:tcPr>
            <w:tcW w:w="12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86,519</w:t>
            </w:r>
          </w:p>
        </w:tc>
        <w:tc>
          <w:tcPr>
            <w:tcW w:w="30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102,094</w:t>
            </w:r>
          </w:p>
        </w:tc>
        <w:tc>
          <w:tcPr>
            <w:tcW w:w="40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93,483</w:t>
            </w:r>
          </w:p>
        </w:tc>
      </w:tr>
      <w:tr>
        <w:trPr>
          <w:trHeight w:val="168"/>
        </w:trPr>
        <w:tc>
          <w:tcPr>
            <w:tcW w:w="5740" w:type="dxa"/>
            <w:vAlign w:val="bottom"/>
          </w:tcPr>
          <w:p>
            <w:pPr>
              <w:spacing w:after="0"/>
              <w:rPr>
                <w:sz w:val="14"/>
                <w:szCs w:val="14"/>
                <w:color w:val="auto"/>
              </w:rPr>
            </w:pP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ind w:left="1140"/>
              <w:spacing w:after="0"/>
              <w:rPr>
                <w:sz w:val="20"/>
                <w:szCs w:val="20"/>
                <w:color w:val="auto"/>
              </w:rPr>
            </w:pPr>
            <w:r>
              <w:rPr>
                <w:rFonts w:ascii="Courier New" w:cs="Courier New" w:eastAsia="Courier New" w:hAnsi="Courier New"/>
                <w:sz w:val="15"/>
                <w:szCs w:val="15"/>
                <w:color w:val="auto"/>
              </w:rPr>
              <w:t>TOTAL ASSETS</w:t>
            </w:r>
          </w:p>
        </w:tc>
        <w:tc>
          <w:tcPr>
            <w:tcW w:w="2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$ 727,976</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$ 830,681</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$ 847,508</w:t>
            </w:r>
          </w:p>
        </w:tc>
      </w:tr>
      <w:tr>
        <w:trPr>
          <w:trHeight w:val="168"/>
        </w:trPr>
        <w:tc>
          <w:tcPr>
            <w:tcW w:w="5740" w:type="dxa"/>
            <w:vAlign w:val="bottom"/>
          </w:tcPr>
          <w:p>
            <w:pPr>
              <w:spacing w:after="0"/>
              <w:rPr>
                <w:sz w:val="14"/>
                <w:szCs w:val="14"/>
                <w:color w:val="auto"/>
              </w:rPr>
            </w:pP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7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74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59,640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51,082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65,326</w:t>
            </w:r>
          </w:p>
        </w:tc>
      </w:tr>
      <w:tr>
        <w:trPr>
          <w:trHeight w:val="168"/>
        </w:trPr>
        <w:tc>
          <w:tcPr>
            <w:tcW w:w="5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CURRENT MATURITIES OF CONVERTIBLE DEBENTURES</w:t>
            </w:r>
          </w:p>
        </w:tc>
        <w:tc>
          <w:tcPr>
            <w:tcW w:w="1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6,331</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8,467</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8,853</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10,678</w:t>
            </w:r>
          </w:p>
        </w:tc>
      </w:tr>
      <w:tr>
        <w:trPr>
          <w:trHeight w:val="168"/>
        </w:trPr>
        <w:tc>
          <w:tcPr>
            <w:tcW w:w="5740" w:type="dxa"/>
            <w:vAlign w:val="bottom"/>
          </w:tcPr>
          <w:p>
            <w:pPr>
              <w:spacing w:after="0"/>
              <w:rPr>
                <w:sz w:val="14"/>
                <w:szCs w:val="14"/>
                <w:color w:val="auto"/>
              </w:rPr>
            </w:pP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74,438</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59,935</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76,004</w:t>
            </w:r>
          </w:p>
        </w:tc>
      </w:tr>
      <w:tr>
        <w:trPr>
          <w:trHeight w:val="336"/>
        </w:trPr>
        <w:tc>
          <w:tcPr>
            <w:tcW w:w="5740" w:type="dxa"/>
            <w:vAlign w:val="bottom"/>
          </w:tcPr>
          <w:p>
            <w:pPr>
              <w:ind w:left="360"/>
              <w:spacing w:after="0"/>
              <w:rPr>
                <w:sz w:val="20"/>
                <w:szCs w:val="20"/>
                <w:color w:val="auto"/>
              </w:rPr>
            </w:pPr>
            <w:r>
              <w:rPr>
                <w:rFonts w:ascii="Courier New" w:cs="Courier New" w:eastAsia="Courier New" w:hAnsi="Courier New"/>
                <w:sz w:val="15"/>
                <w:szCs w:val="15"/>
                <w:color w:val="auto"/>
              </w:rPr>
              <w:t>LONG-TERM DEBT</w:t>
            </w:r>
          </w:p>
        </w:tc>
        <w:tc>
          <w:tcPr>
            <w:tcW w:w="12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497,000</w:t>
            </w:r>
          </w:p>
        </w:tc>
        <w:tc>
          <w:tcPr>
            <w:tcW w:w="30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461,000</w:t>
            </w:r>
          </w:p>
        </w:tc>
        <w:tc>
          <w:tcPr>
            <w:tcW w:w="40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497,000</w:t>
            </w:r>
          </w:p>
        </w:tc>
      </w:tr>
      <w:tr>
        <w:trPr>
          <w:trHeight w:val="336"/>
        </w:trPr>
        <w:tc>
          <w:tcPr>
            <w:tcW w:w="5740" w:type="dxa"/>
            <w:vAlign w:val="bottom"/>
          </w:tcPr>
          <w:p>
            <w:pPr>
              <w:ind w:left="360"/>
              <w:spacing w:after="0"/>
              <w:rPr>
                <w:sz w:val="20"/>
                <w:szCs w:val="20"/>
                <w:color w:val="auto"/>
              </w:rPr>
            </w:pPr>
            <w:r>
              <w:rPr>
                <w:rFonts w:ascii="Courier New" w:cs="Courier New" w:eastAsia="Courier New" w:hAnsi="Courier New"/>
                <w:sz w:val="15"/>
                <w:szCs w:val="15"/>
                <w:color w:val="auto"/>
              </w:rPr>
              <w:t>CONVERTIBLE DEBENTURES</w:t>
            </w:r>
          </w:p>
        </w:tc>
        <w:tc>
          <w:tcPr>
            <w:tcW w:w="12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18,992</w:t>
            </w:r>
          </w:p>
        </w:tc>
        <w:tc>
          <w:tcPr>
            <w:tcW w:w="30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25,508</w:t>
            </w:r>
          </w:p>
        </w:tc>
        <w:tc>
          <w:tcPr>
            <w:tcW w:w="40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26,651</w:t>
            </w:r>
          </w:p>
        </w:tc>
      </w:tr>
      <w:tr>
        <w:trPr>
          <w:trHeight w:val="336"/>
        </w:trPr>
        <w:tc>
          <w:tcPr>
            <w:tcW w:w="5740" w:type="dxa"/>
            <w:vAlign w:val="bottom"/>
          </w:tcPr>
          <w:p>
            <w:pPr>
              <w:ind w:left="360"/>
              <w:spacing w:after="0"/>
              <w:rPr>
                <w:sz w:val="20"/>
                <w:szCs w:val="20"/>
                <w:color w:val="auto"/>
              </w:rPr>
            </w:pPr>
            <w:r>
              <w:rPr>
                <w:rFonts w:ascii="Courier New" w:cs="Courier New" w:eastAsia="Courier New" w:hAnsi="Courier New"/>
                <w:sz w:val="15"/>
                <w:szCs w:val="15"/>
                <w:color w:val="auto"/>
              </w:rPr>
              <w:t>LONG-TERM LIABILITY IN RESPECT</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1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62,007</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45,762</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64,428</w:t>
            </w:r>
          </w:p>
        </w:tc>
      </w:tr>
      <w:tr>
        <w:trPr>
          <w:trHeight w:val="336"/>
        </w:trPr>
        <w:tc>
          <w:tcPr>
            <w:tcW w:w="5740" w:type="dxa"/>
            <w:vAlign w:val="bottom"/>
          </w:tcPr>
          <w:p>
            <w:pPr>
              <w:ind w:left="360"/>
              <w:spacing w:after="0"/>
              <w:rPr>
                <w:sz w:val="20"/>
                <w:szCs w:val="20"/>
                <w:color w:val="auto"/>
              </w:rPr>
            </w:pPr>
            <w:r>
              <w:rPr>
                <w:rFonts w:ascii="Courier New" w:cs="Courier New" w:eastAsia="Courier New" w:hAnsi="Courier New"/>
                <w:sz w:val="15"/>
                <w:szCs w:val="15"/>
                <w:color w:val="auto"/>
              </w:rPr>
              <w:t>OTHER LONG-TERM LIABILITIES</w:t>
            </w:r>
          </w:p>
        </w:tc>
        <w:tc>
          <w:tcPr>
            <w:tcW w:w="12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9,175</w:t>
            </w:r>
          </w:p>
        </w:tc>
        <w:tc>
          <w:tcPr>
            <w:tcW w:w="30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8,209</w:t>
            </w:r>
          </w:p>
        </w:tc>
        <w:tc>
          <w:tcPr>
            <w:tcW w:w="40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15,445</w:t>
            </w:r>
          </w:p>
        </w:tc>
      </w:tr>
      <w:tr>
        <w:trPr>
          <w:trHeight w:val="168"/>
        </w:trPr>
        <w:tc>
          <w:tcPr>
            <w:tcW w:w="5740" w:type="dxa"/>
            <w:vAlign w:val="bottom"/>
          </w:tcPr>
          <w:p>
            <w:pPr>
              <w:spacing w:after="0"/>
              <w:rPr>
                <w:sz w:val="14"/>
                <w:szCs w:val="14"/>
                <w:color w:val="auto"/>
              </w:rPr>
            </w:pP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661,612</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600,414</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679,528</w:t>
            </w:r>
          </w:p>
        </w:tc>
      </w:tr>
      <w:tr>
        <w:trPr>
          <w:trHeight w:val="168"/>
        </w:trPr>
        <w:tc>
          <w:tcPr>
            <w:tcW w:w="5740" w:type="dxa"/>
            <w:vAlign w:val="bottom"/>
          </w:tcPr>
          <w:p>
            <w:pPr>
              <w:spacing w:after="0"/>
              <w:rPr>
                <w:sz w:val="14"/>
                <w:szCs w:val="14"/>
                <w:color w:val="auto"/>
              </w:rPr>
            </w:pP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135" w:right="1440" w:bottom="0" w:gutter="0" w:footer="0" w:header="0"/>
        </w:sectPr>
      </w:pPr>
    </w:p>
    <w:bookmarkStart w:id="10" w:name="page11"/>
    <w:bookmarkEnd w:id="10"/>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3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ORDINARY SHARES, NIS 1.00 PAR VALUE - AUTHORIZED</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3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250,000,000, 150,000,000 AND 250,000,000 SHARES, RESPECTIVELY;</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3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ISSUED 67,586,187, 66,894,593 AND 66,999,796 SHARES, RESPECTIVELY</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16,408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16,251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16,274</w:t>
            </w:r>
          </w:p>
        </w:tc>
      </w:tr>
      <w:tr>
        <w:trPr>
          <w:trHeight w:val="168"/>
        </w:trPr>
        <w:tc>
          <w:tcPr>
            <w:tcW w:w="63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518,286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517,041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517,476</w:t>
            </w:r>
          </w:p>
        </w:tc>
      </w:tr>
      <w:tr>
        <w:trPr>
          <w:trHeight w:val="168"/>
        </w:trPr>
        <w:tc>
          <w:tcPr>
            <w:tcW w:w="63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63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(459,232)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(293,927)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(356,672)</w:t>
            </w:r>
          </w:p>
        </w:tc>
      </w:tr>
      <w:tr>
        <w:trPr>
          <w:trHeight w:val="168"/>
        </w:trPr>
        <w:tc>
          <w:tcPr>
            <w:tcW w:w="6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75,436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239,339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177,052</w:t>
            </w:r>
          </w:p>
        </w:tc>
      </w:tr>
      <w:tr>
        <w:trPr>
          <w:trHeight w:val="168"/>
        </w:trPr>
        <w:tc>
          <w:tcPr>
            <w:tcW w:w="63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(9,072)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(9,072)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6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66,364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230,267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167,980</w:t>
            </w:r>
          </w:p>
        </w:tc>
      </w:tr>
      <w:tr>
        <w:trPr>
          <w:trHeight w:val="168"/>
        </w:trPr>
        <w:tc>
          <w:tcPr>
            <w:tcW w:w="6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$ 727,976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$ 830,681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$ 847,508</w:t>
            </w:r>
          </w:p>
        </w:tc>
      </w:tr>
      <w:tr>
        <w:trPr>
          <w:trHeight w:val="168"/>
        </w:trPr>
        <w:tc>
          <w:tcPr>
            <w:tcW w:w="6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39"/>
          </w:cols>
          <w:pgMar w:left="220" w:top="135" w:right="1440" w:bottom="1440" w:gutter="0" w:footer="0" w:header="0"/>
        </w:sectPr>
      </w:pPr>
    </w:p>
    <w:bookmarkStart w:id="11" w:name="page12"/>
    <w:bookmarkEnd w:id="11"/>
    <w:p>
      <w:pPr>
        <w:jc w:val="center"/>
        <w:ind w:right="332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5" w:lineRule="exact"/>
        <w:rPr>
          <w:sz w:val="20"/>
          <w:szCs w:val="20"/>
          <w:color w:val="auto"/>
        </w:rPr>
      </w:pPr>
    </w:p>
    <w:p>
      <w:pPr>
        <w:ind w:left="880" w:right="4280" w:firstLine="612"/>
        <w:spacing w:after="0" w:line="261" w:lineRule="auto"/>
        <w:rPr>
          <w:sz w:val="20"/>
          <w:szCs w:val="20"/>
          <w:color w:val="auto"/>
        </w:rPr>
      </w:pPr>
      <w:r>
        <w:rPr>
          <w:rFonts w:ascii="Courier New" w:cs="Courier New" w:eastAsia="Courier New" w:hAnsi="Courier New"/>
          <w:sz w:val="14"/>
          <w:szCs w:val="14"/>
          <w:color w:val="auto"/>
        </w:rPr>
        <w:t>CONDENSED CONSOLIDATED STATEMENTS OF OPERATIONS (DOLLARS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3"/>
          </w:tcPr>
          <w:p>
            <w:pPr>
              <w:jc w:val="right"/>
              <w:ind w:right="427"/>
              <w:spacing w:after="0"/>
              <w:rPr>
                <w:sz w:val="20"/>
                <w:szCs w:val="20"/>
                <w:color w:val="auto"/>
              </w:rPr>
            </w:pPr>
            <w:r>
              <w:rPr>
                <w:rFonts w:ascii="Courier New" w:cs="Courier New" w:eastAsia="Courier New" w:hAnsi="Courier New"/>
                <w:sz w:val="15"/>
                <w:szCs w:val="15"/>
                <w:color w:val="auto"/>
              </w:rPr>
              <w:t>SIX MONTHS ENDED</w:t>
            </w:r>
          </w:p>
        </w:tc>
        <w:tc>
          <w:tcPr>
            <w:tcW w:w="260" w:type="dxa"/>
            <w:vAlign w:val="bottom"/>
          </w:tcPr>
          <w:p>
            <w:pPr>
              <w:spacing w:after="0"/>
              <w:rPr>
                <w:sz w:val="14"/>
                <w:szCs w:val="14"/>
                <w:color w:val="auto"/>
              </w:rPr>
            </w:pPr>
          </w:p>
        </w:tc>
        <w:tc>
          <w:tcPr>
            <w:tcW w:w="19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w w:val="98"/>
              </w:rPr>
              <w:t>THREE MONTHS ENDED</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YEAR ENDED</w:t>
            </w:r>
          </w:p>
        </w:tc>
      </w:tr>
      <w:tr>
        <w:trPr>
          <w:trHeight w:val="168"/>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3"/>
          </w:tcPr>
          <w:p>
            <w:pPr>
              <w:jc w:val="right"/>
              <w:ind w:right="687"/>
              <w:spacing w:after="0" w:line="168" w:lineRule="exact"/>
              <w:rPr>
                <w:sz w:val="20"/>
                <w:szCs w:val="20"/>
                <w:color w:val="auto"/>
              </w:rPr>
            </w:pPr>
            <w:r>
              <w:rPr>
                <w:rFonts w:ascii="Courier New" w:cs="Courier New" w:eastAsia="Courier New" w:hAnsi="Courier New"/>
                <w:sz w:val="15"/>
                <w:szCs w:val="15"/>
                <w:color w:val="auto"/>
              </w:rPr>
              <w:t>JUNE 30,</w:t>
            </w:r>
          </w:p>
        </w:tc>
        <w:tc>
          <w:tcPr>
            <w:tcW w:w="260" w:type="dxa"/>
            <w:vAlign w:val="bottom"/>
          </w:tcPr>
          <w:p>
            <w:pPr>
              <w:spacing w:after="0"/>
              <w:rPr>
                <w:sz w:val="14"/>
                <w:szCs w:val="14"/>
                <w:color w:val="auto"/>
              </w:rPr>
            </w:pPr>
          </w:p>
        </w:tc>
        <w:tc>
          <w:tcPr>
            <w:tcW w:w="196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JUNE 30,</w:t>
            </w:r>
          </w:p>
        </w:tc>
        <w:tc>
          <w:tcPr>
            <w:tcW w:w="11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DECEMBER 31,</w:t>
            </w:r>
          </w:p>
        </w:tc>
      </w:tr>
      <w:tr>
        <w:trPr>
          <w:trHeight w:val="168"/>
        </w:trPr>
        <w:tc>
          <w:tcPr>
            <w:tcW w:w="4780" w:type="dxa"/>
            <w:vAlign w:val="bottom"/>
          </w:tcPr>
          <w:p>
            <w:pPr>
              <w:spacing w:after="0"/>
              <w:rPr>
                <w:sz w:val="14"/>
                <w:szCs w:val="14"/>
                <w:color w:val="auto"/>
              </w:rPr>
            </w:pPr>
          </w:p>
        </w:tc>
        <w:tc>
          <w:tcPr>
            <w:tcW w:w="228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c>
          <w:tcPr>
            <w:tcW w:w="11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2004</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3"/>
          </w:tcPr>
          <w:p>
            <w:pPr>
              <w:jc w:val="right"/>
              <w:ind w:right="687"/>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196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(UNAUDITED)</w:t>
            </w:r>
          </w:p>
        </w:tc>
        <w:tc>
          <w:tcPr>
            <w:tcW w:w="114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228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42,375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58,955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19,208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33,652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$ 124,111</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REVENUES RELATED TO A JOINT DEVELOPMENT AGREEMENT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1,944</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8,000</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1,944</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50,375</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60,899</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27,208</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33,652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126,055</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122,468</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104,399</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61,254</w:t>
            </w:r>
          </w:p>
        </w:tc>
        <w:tc>
          <w:tcPr>
            <w:tcW w:w="2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54,250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228,410</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ind w:left="540"/>
              <w:spacing w:after="0"/>
              <w:rPr>
                <w:sz w:val="20"/>
                <w:szCs w:val="20"/>
                <w:color w:val="auto"/>
              </w:rPr>
            </w:pPr>
            <w:r>
              <w:rPr>
                <w:rFonts w:ascii="Courier New" w:cs="Courier New" w:eastAsia="Courier New" w:hAnsi="Courier New"/>
                <w:sz w:val="15"/>
                <w:szCs w:val="15"/>
                <w:color w:val="auto"/>
              </w:rPr>
              <w:t>GROSS LOSS</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(72,093)</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(43,500)</w:t>
            </w:r>
          </w:p>
        </w:tc>
        <w:tc>
          <w:tcPr>
            <w:tcW w:w="2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(34,046)</w:t>
            </w: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(20,598)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(102,355)</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8,649</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7,256</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3,886</w:t>
            </w:r>
          </w:p>
        </w:tc>
        <w:tc>
          <w:tcPr>
            <w:tcW w:w="2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3,751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17,053</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8,766</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11,021</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4,238</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21,297</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17,415</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18,277</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8,124</w:t>
            </w:r>
          </w:p>
        </w:tc>
        <w:tc>
          <w:tcPr>
            <w:tcW w:w="2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9,181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38,350</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ind w:left="540"/>
              <w:spacing w:after="0"/>
              <w:rPr>
                <w:sz w:val="20"/>
                <w:szCs w:val="20"/>
                <w:color w:val="auto"/>
              </w:rPr>
            </w:pPr>
            <w:r>
              <w:rPr>
                <w:rFonts w:ascii="Courier New" w:cs="Courier New" w:eastAsia="Courier New" w:hAnsi="Courier New"/>
                <w:sz w:val="15"/>
                <w:szCs w:val="15"/>
                <w:color w:val="auto"/>
              </w:rPr>
              <w:t>OPERATING LOSS</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(89,508)</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(61,777)</w:t>
            </w:r>
          </w:p>
        </w:tc>
        <w:tc>
          <w:tcPr>
            <w:tcW w:w="2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(42,170)</w:t>
            </w: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(29,779)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(140,705)</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(15,528)</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(13,340)</w:t>
            </w:r>
          </w:p>
        </w:tc>
        <w:tc>
          <w:tcPr>
            <w:tcW w:w="2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(7,353)</w:t>
            </w: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(6,809)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(29,745)</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2,476</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2,283</w:t>
            </w:r>
          </w:p>
        </w:tc>
        <w:tc>
          <w:tcPr>
            <w:tcW w:w="2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32,682</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ind w:left="980"/>
              <w:spacing w:after="0"/>
              <w:rPr>
                <w:sz w:val="20"/>
                <w:szCs w:val="20"/>
                <w:color w:val="auto"/>
              </w:rPr>
            </w:pPr>
            <w:r>
              <w:rPr>
                <w:rFonts w:ascii="Courier New" w:cs="Courier New" w:eastAsia="Courier New" w:hAnsi="Courier New"/>
                <w:sz w:val="15"/>
                <w:szCs w:val="15"/>
                <w:color w:val="auto"/>
              </w:rPr>
              <w:t>LOSS FOR THE PERIOD</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$(102,560)</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(75,023)</w:t>
            </w:r>
          </w:p>
        </w:tc>
        <w:tc>
          <w:tcPr>
            <w:tcW w:w="11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(47,240)</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(36,532)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$(137,768)</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LOSS PER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(0.71)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(2.13)</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LOSS USED TO COMPUTE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$(102,560)</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(75,009)</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(47,240)</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(36,525)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$(137,768)</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ORDINARY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65,946</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64,812</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66,190</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66,632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64,717</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420"/>
          </w:cols>
          <w:pgMar w:left="220" w:top="785" w:right="1259" w:bottom="1440" w:gutter="0" w:footer="0" w:header="0"/>
        </w:sectPr>
      </w:pPr>
    </w:p>
    <w:bookmarkStart w:id="12" w:name="page13"/>
    <w:bookmarkEnd w:id="12"/>
    <w:p>
      <w:pPr>
        <w:jc w:val="center"/>
        <w:ind w:right="3219"/>
        <w:spacing w:after="0"/>
        <w:rPr>
          <w:sz w:val="20"/>
          <w:szCs w:val="20"/>
          <w:color w:val="auto"/>
        </w:rPr>
      </w:pPr>
      <w:r>
        <w:rPr>
          <w:rFonts w:ascii="Courier New" w:cs="Courier New" w:eastAsia="Courier New" w:hAnsi="Courier New"/>
          <w:sz w:val="15"/>
          <w:szCs w:val="15"/>
          <w:color w:val="auto"/>
        </w:rPr>
        <w:t>TOWER SEMICONDUCTOR LTD.</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CONDENSED STATEMENTS OF CHANGES IN SHAREHOLDERS' EQUITY</w:t>
      </w:r>
    </w:p>
    <w:tbl>
      <w:tblPr>
        <w:tblLayout w:type="fixed"/>
        <w:tblInd w:w="0" w:type="dxa"/>
        <w:tblCellMar>
          <w:top w:w="0" w:type="dxa"/>
          <w:left w:w="0" w:type="dxa"/>
          <w:bottom w:w="0" w:type="dxa"/>
          <w:right w:w="0" w:type="dxa"/>
        </w:tblCellMar>
      </w:tblPr>
      <w:tr>
        <w:trPr>
          <w:trHeight w:val="169"/>
        </w:trPr>
        <w:tc>
          <w:tcPr>
            <w:tcW w:w="6440" w:type="dxa"/>
            <w:vAlign w:val="bottom"/>
            <w:gridSpan w:val="4"/>
          </w:tcPr>
          <w:p>
            <w:pPr>
              <w:jc w:val="right"/>
              <w:ind w:right="227"/>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41"/>
        </w:trPr>
        <w:tc>
          <w:tcPr>
            <w:tcW w:w="4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PROCEEDS</w:t>
            </w:r>
          </w:p>
        </w:tc>
      </w:tr>
      <w:tr>
        <w:trPr>
          <w:trHeight w:val="168"/>
        </w:trPr>
        <w:tc>
          <w:tcPr>
            <w:tcW w:w="4160" w:type="dxa"/>
            <w:vAlign w:val="bottom"/>
          </w:tcPr>
          <w:p>
            <w:pPr>
              <w:spacing w:after="0"/>
              <w:rPr>
                <w:sz w:val="14"/>
                <w:szCs w:val="14"/>
                <w:color w:val="auto"/>
              </w:rPr>
            </w:pPr>
          </w:p>
        </w:tc>
        <w:tc>
          <w:tcPr>
            <w:tcW w:w="228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ORDINARY SHARES</w:t>
            </w:r>
          </w:p>
        </w:tc>
        <w:tc>
          <w:tcPr>
            <w:tcW w:w="11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ADDITIONAL</w:t>
            </w:r>
          </w:p>
        </w:tc>
        <w:tc>
          <w:tcPr>
            <w:tcW w:w="26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ON</w:t>
            </w:r>
          </w:p>
        </w:tc>
      </w:tr>
      <w:tr>
        <w:trPr>
          <w:trHeight w:val="168"/>
        </w:trPr>
        <w:tc>
          <w:tcPr>
            <w:tcW w:w="4160" w:type="dxa"/>
            <w:vAlign w:val="bottom"/>
          </w:tcPr>
          <w:p>
            <w:pPr>
              <w:spacing w:after="0"/>
              <w:rPr>
                <w:sz w:val="14"/>
                <w:szCs w:val="14"/>
                <w:color w:val="auto"/>
              </w:rPr>
            </w:pPr>
          </w:p>
        </w:tc>
        <w:tc>
          <w:tcPr>
            <w:tcW w:w="22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PAID-IN</w:t>
            </w:r>
          </w:p>
        </w:tc>
        <w:tc>
          <w:tcPr>
            <w:tcW w:w="11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ACCOUNT OF</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SHARES</w:t>
            </w:r>
          </w:p>
        </w:tc>
        <w:tc>
          <w:tcPr>
            <w:tcW w:w="26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22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CAPITAL</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SHARE CAPITL</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2005</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66,999,796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16,274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517,476</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CHANGES DURING SIX-MONTH PERIOD (UNAUDITED):</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586,391</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810</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JUNE 30, 2005 (UNAUDITED)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67,586,187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16,408</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518,286</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177"/>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52,996,097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13,150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427,881</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16,428</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CHANGES DURING SIX-MONTH PERIOD (UNAUDITED):</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2,358,746</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530</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15,979</w:t>
            </w:r>
          </w:p>
        </w:tc>
        <w:tc>
          <w:tcPr>
            <w:tcW w:w="2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(16,428)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 -</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11,444,500</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2,550</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72,536</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95,250</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645</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JUNE 30, 2004 (UNAUDITED)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66,894,593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16,251</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517,041</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009"/>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BALANCE - APRIL 1, 2005</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66,999,796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16,274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517,476</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CHANGES DURING THREE-MONTH PERIOD (UNAUDITED):</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586,391</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810</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JUNE 30, 2005 (UNAUDITED)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67,586,187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16,408</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518,286</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BALANCE - APRIL 1, 2004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66,882,383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16,248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516,962</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CHANGES DURING THREE-MONTH PERIOD (UNAUDITED):</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11,960</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JUNE 30, 2004 (UNAUDITED)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66,894,593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16,251</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517,041</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52,996,097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13,150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427,881</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16,428</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CHANGES DURING 2004:</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2,463,949</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553</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16,414</w:t>
            </w:r>
          </w:p>
        </w:tc>
        <w:tc>
          <w:tcPr>
            <w:tcW w:w="2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(16,428)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 -</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11,444,500</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2,550</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72,536</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95,250</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645</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DECEMBER 31, 2004</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66,999,796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16,274</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517,476</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SHAREHOLDER</w:t>
      </w:r>
    </w:p>
    <w:p>
      <w:pPr>
        <w:ind w:left="4040"/>
        <w:spacing w:after="0" w:line="237" w:lineRule="auto"/>
        <w:rPr>
          <w:sz w:val="20"/>
          <w:szCs w:val="20"/>
          <w:color w:val="auto"/>
        </w:rPr>
      </w:pPr>
      <w:r>
        <w:rPr>
          <w:rFonts w:ascii="Courier New" w:cs="Courier New" w:eastAsia="Courier New" w:hAnsi="Courier New"/>
          <w:sz w:val="15"/>
          <w:szCs w:val="15"/>
          <w:color w:val="auto"/>
        </w:rPr>
        <w:t>RECEIVABLES</w:t>
      </w:r>
    </w:p>
    <w:p>
      <w:pPr>
        <w:sectPr>
          <w:pgSz w:w="11900" w:h="16838" w:orient="portrait"/>
          <w:cols w:equalWidth="0" w:num="1">
            <w:col w:w="10239"/>
          </w:cols>
          <w:pgMar w:left="220" w:top="785"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AND</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UNEARNED</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ACCUMULATED</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TREASURY</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3940" w:type="dxa"/>
            <w:vAlign w:val="bottom"/>
            <w:gridSpan w:val="2"/>
          </w:tcPr>
          <w:p>
            <w:pPr>
              <w:ind w:left="2840"/>
              <w:spacing w:after="0" w:line="168" w:lineRule="exact"/>
              <w:rPr>
                <w:sz w:val="20"/>
                <w:szCs w:val="20"/>
                <w:color w:val="auto"/>
              </w:rPr>
            </w:pPr>
            <w:r>
              <w:rPr>
                <w:rFonts w:ascii="Courier New" w:cs="Courier New" w:eastAsia="Courier New" w:hAnsi="Courier New"/>
                <w:sz w:val="15"/>
                <w:szCs w:val="15"/>
                <w:color w:val="auto"/>
                <w:w w:val="99"/>
              </w:rPr>
              <w:t>COMPENSATION</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DEFICIT</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 JANUARY 1, 2005</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(356,672)</w:t>
            </w: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167,980</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CHANGES DURING SIX-MONTH PERIOD (UNAUDITED):</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SHARES</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FOR THE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w:t>
            </w:r>
          </w:p>
        </w:tc>
        <w:tc>
          <w:tcPr>
            <w:tcW w:w="9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(102,560)</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(102,560)</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JUNE 30, 2005 (UNAUDITED)</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(459,232)</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66,364</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177"/>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 JANUARY 1, 2004</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(218,904)</w:t>
            </w: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229,457</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CHANGES DURING SIX-MONTH PERIOD (UNAUDITED):</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SHARES</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 -</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75,086</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FOR THE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w:t>
            </w:r>
          </w:p>
        </w:tc>
        <w:tc>
          <w:tcPr>
            <w:tcW w:w="9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(75,023)</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(75,023)</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JUNE 30, 2004 (UNAUDITED)</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(293,927)</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230,267</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009"/>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 APRIL 1, 2005</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(411,992)</w:t>
            </w: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112,660</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w w:val="98"/>
              </w:rPr>
              <w:t>CHANGES DURING THREE-MONTH PERIOD (UNAUDITED):</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SHARES</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FOR THE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w:t>
            </w:r>
          </w:p>
        </w:tc>
        <w:tc>
          <w:tcPr>
            <w:tcW w:w="9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(47,240)</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(47,240)</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JUNE 30, 2005 (UNAUDITED)</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(459,232)</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66,364</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 APRIL 1, 2004</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(257,395)</w:t>
            </w: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266,717</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w w:val="98"/>
              </w:rPr>
              <w:t>CHANGES DURING THREE-MONTH PERIOD (UNAUDITED):</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SHARES</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FOR THE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w:t>
            </w:r>
          </w:p>
        </w:tc>
        <w:tc>
          <w:tcPr>
            <w:tcW w:w="9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(36,532)</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(36,532)</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JUNE 30, 2004 (UNAUDITED)</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(293,927)</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230,267</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 JANUARY 1, 2004</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(218,904)</w:t>
            </w: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229,457</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CHANGES DURING 2004:</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SHARES</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539</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 -</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75,086</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FOR THE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w:t>
            </w:r>
          </w:p>
        </w:tc>
        <w:tc>
          <w:tcPr>
            <w:tcW w:w="9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(137,768)</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(137,768)</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DECEMBER 31, 2004</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(26)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(356,672)</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(9,072)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167,980</w:t>
            </w:r>
          </w:p>
        </w:tc>
      </w:tr>
      <w:tr>
        <w:trPr>
          <w:trHeight w:val="168"/>
        </w:trPr>
        <w:tc>
          <w:tcPr>
            <w:tcW w:w="1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SEE NOTES TO</w:t>
            </w:r>
          </w:p>
        </w:tc>
        <w:tc>
          <w:tcPr>
            <w:tcW w:w="5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CONDENSED INTERIM CONSOLIDATED FINANCIAL STATEMENTS.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39"/>
          </w:cols>
          <w:pgMar w:left="220" w:top="135" w:right="1440" w:bottom="1440" w:gutter="0" w:footer="0" w:header="0"/>
        </w:sectPr>
      </w:pPr>
    </w:p>
    <w:p>
      <w:pPr>
        <w:spacing w:after="0" w:line="141"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135" w:right="1440" w:bottom="1440" w:gutter="0" w:footer="0" w:header="0"/>
          <w:type w:val="continuous"/>
        </w:sectPr>
      </w:pPr>
    </w:p>
    <w:bookmarkStart w:id="14" w:name="page15"/>
    <w:bookmarkEnd w:id="14"/>
    <w:p>
      <w:pPr>
        <w:jc w:val="center"/>
        <w:ind w:right="444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440"/>
        <w:spacing w:after="0" w:line="237" w:lineRule="auto"/>
        <w:rPr>
          <w:sz w:val="20"/>
          <w:szCs w:val="20"/>
          <w:color w:val="auto"/>
        </w:rPr>
      </w:pPr>
      <w:r>
        <w:rPr>
          <w:rFonts w:ascii="Courier New" w:cs="Courier New" w:eastAsia="Courier New" w:hAnsi="Courier New"/>
          <w:sz w:val="15"/>
          <w:szCs w:val="15"/>
          <w:color w:val="auto"/>
        </w:rPr>
        <w:t>CONDENSED CONSOLIDATED STATEMENTS OF CASH FLOWS</w:t>
      </w:r>
    </w:p>
    <w:tbl>
      <w:tblPr>
        <w:tblLayout w:type="fixed"/>
        <w:tblInd w:w="0" w:type="dxa"/>
        <w:tblCellMar>
          <w:top w:w="0" w:type="dxa"/>
          <w:left w:w="0" w:type="dxa"/>
          <w:bottom w:w="0" w:type="dxa"/>
          <w:right w:w="0" w:type="dxa"/>
        </w:tblCellMar>
      </w:tblPr>
      <w:tr>
        <w:trPr>
          <w:trHeight w:val="169"/>
        </w:trPr>
        <w:tc>
          <w:tcPr>
            <w:tcW w:w="6180" w:type="dxa"/>
            <w:vAlign w:val="bottom"/>
            <w:gridSpan w:val="2"/>
          </w:tcPr>
          <w:p>
            <w:pPr>
              <w:ind w:left="880"/>
              <w:spacing w:after="0" w:line="169" w:lineRule="exact"/>
              <w:rPr>
                <w:sz w:val="20"/>
                <w:szCs w:val="20"/>
                <w:color w:val="auto"/>
              </w:rPr>
            </w:pPr>
            <w:r>
              <w:rPr>
                <w:rFonts w:ascii="Courier New" w:cs="Courier New" w:eastAsia="Courier New" w:hAnsi="Courier New"/>
                <w:sz w:val="15"/>
                <w:szCs w:val="15"/>
                <w:color w:val="auto"/>
                <w:w w:val="97"/>
              </w:rPr>
              <w:t>(DOLLARS IN THOUSANDS, EXCEPT SHARE DATA AND PER SHARE DATA)</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5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SIX MONTHS ENDED</w:t>
            </w:r>
          </w:p>
        </w:tc>
        <w:tc>
          <w:tcPr>
            <w:tcW w:w="260" w:type="dxa"/>
            <w:vAlign w:val="bottom"/>
          </w:tcPr>
          <w:p>
            <w:pPr>
              <w:spacing w:after="0"/>
              <w:rPr>
                <w:sz w:val="24"/>
                <w:szCs w:val="24"/>
                <w:color w:val="auto"/>
              </w:rPr>
            </w:pPr>
          </w:p>
        </w:tc>
        <w:tc>
          <w:tcPr>
            <w:tcW w:w="19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8"/>
              </w:rPr>
              <w:t>THREE MONTHS ENDED</w:t>
            </w: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780" w:type="dxa"/>
            <w:vAlign w:val="bottom"/>
          </w:tcPr>
          <w:p>
            <w:pPr>
              <w:spacing w:after="0"/>
              <w:rPr>
                <w:sz w:val="14"/>
                <w:szCs w:val="14"/>
                <w:color w:val="auto"/>
              </w:rPr>
            </w:pP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920" w:type="dxa"/>
            <w:vAlign w:val="bottom"/>
          </w:tcPr>
          <w:p>
            <w:pPr>
              <w:spacing w:after="0"/>
              <w:rPr>
                <w:sz w:val="14"/>
                <w:szCs w:val="14"/>
                <w:color w:val="auto"/>
              </w:rPr>
            </w:pPr>
          </w:p>
        </w:tc>
        <w:tc>
          <w:tcPr>
            <w:tcW w:w="226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2005</w:t>
            </w:r>
          </w:p>
        </w:tc>
        <w:tc>
          <w:tcPr>
            <w:tcW w:w="30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2005</w:t>
            </w:r>
          </w:p>
        </w:tc>
        <w:tc>
          <w:tcPr>
            <w:tcW w:w="32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19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spacing w:after="0"/>
              <w:rPr>
                <w:sz w:val="14"/>
                <w:szCs w:val="14"/>
                <w:color w:val="auto"/>
              </w:rPr>
            </w:pPr>
          </w:p>
        </w:tc>
        <w:tc>
          <w:tcPr>
            <w:tcW w:w="226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LOSS FOR THE PERIOD</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$(102,560)</w:t>
            </w:r>
          </w:p>
        </w:tc>
        <w:tc>
          <w:tcPr>
            <w:tcW w:w="11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(75,023)</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(47,240)</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(36,532)</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$(137,768)</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LOSS FOR THE PERIOD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NET CASH USED IN OPERATING ACTIVITIES: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INCOME AND EXPENSE ITEMS NOT INVOLVING CASH FLOWS: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71,153</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55,406</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36,559</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28,477</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121,067</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EFFECT OF INDEXATION AND TRANSLATION ON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(1,427)</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(366)</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(1,024)</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534</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676</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(2,476)</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(2,283)</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(32,682)</w:t>
            </w:r>
          </w:p>
        </w:tc>
      </w:tr>
      <w:tr>
        <w:trPr>
          <w:trHeight w:val="168"/>
        </w:trPr>
        <w:tc>
          <w:tcPr>
            <w:tcW w:w="5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TRADE ACCOUNTS RECEIVABLE</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8,433</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(7,482)</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1,288</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(3,558)</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(7,655)</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OTHER RECEIVABLES AND 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2,660</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(3,168)</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624</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INVENTORIES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8,611</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(6,330)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4,566</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(4,128)</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(6,287)</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TRADE ACCOUNTS PAYABLE</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3,479</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891</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OTHER CURRENT LIABILITIES</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(1,465)</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(726)</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640</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(970)</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OTHER LONG-TERM LIABILITIES</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(7,077)</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2,274</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(6,510)</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9,344</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(24,308)</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(32,030)</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(13,331)</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(15,831)</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(54,284)</w:t>
            </w:r>
          </w:p>
        </w:tc>
      </w:tr>
      <w:tr>
        <w:trPr>
          <w:trHeight w:val="168"/>
        </w:trPr>
        <w:tc>
          <w:tcPr>
            <w:tcW w:w="5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LONG-TERM LIABILITY</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 RESPECT OF CUSTOMERS' ADVANCES, NET</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(504)</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19,384</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(24,540)</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(32,534)</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(13,457)</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(15,818)</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(34,900)</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CASH FLOWS - INVESTING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DECREASE (INCREASE) IN DESIGNATED CASH, SHORT-TERM AND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INTEREST-BEARING DEPOSITS, NET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41,974</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1,693</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5,732</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35,802</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(10,037)</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PROPERTY AND EQUIPMENT</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(24,105)</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(80,287)</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(4,455)</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(55,033)</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(154,975)</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GRANTS RECEIVED</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4,358</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12,502</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870</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9,991</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32,636</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PROCEEDS RELATED TO SALE AND DISPOSAL OF PROPERTY AND EQUIPMENT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1,708</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1,362</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2,626</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(3,600)</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(702)</w:t>
            </w:r>
          </w:p>
        </w:tc>
        <w:tc>
          <w:tcPr>
            <w:tcW w:w="26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(1,100)</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(702)</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 DEPOSITS, NET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LONG-TERM INVESTMENT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38,677</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PROVIDED BY (USED IN) INVESTING ACTIVITIES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20,335</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(66,690)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2,409</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(6,174)</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(91,775)</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CASH FLOWS - FINANCING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PROCEEDS FROM (COST RELATED TO) ISSUANCE OF SHARES, NET</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75,225</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w:t>
            </w:r>
          </w:p>
        </w:tc>
        <w:tc>
          <w:tcPr>
            <w:tcW w:w="2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75,225</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30,000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30,000</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66,000</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SHARE OPTIONS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666</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105,891</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29,761</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141,891</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620"/>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(4,205)</w:t>
            </w:r>
          </w:p>
        </w:tc>
        <w:tc>
          <w:tcPr>
            <w:tcW w:w="30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6,667</w:t>
            </w:r>
          </w:p>
        </w:tc>
        <w:tc>
          <w:tcPr>
            <w:tcW w:w="26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(11,048)</w:t>
            </w:r>
          </w:p>
        </w:tc>
        <w:tc>
          <w:tcPr>
            <w:tcW w:w="32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7,769</w:t>
            </w:r>
          </w:p>
        </w:tc>
        <w:tc>
          <w:tcPr>
            <w:tcW w:w="2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15,216</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 BEGINNING OF PERIOD</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27,664</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12,448</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34,507</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11,346</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12,448</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620"/>
              <w:spacing w:after="0"/>
              <w:rPr>
                <w:sz w:val="20"/>
                <w:szCs w:val="20"/>
                <w:color w:val="auto"/>
              </w:rPr>
            </w:pPr>
            <w:r>
              <w:rPr>
                <w:rFonts w:ascii="Courier New" w:cs="Courier New" w:eastAsia="Courier New" w:hAnsi="Courier New"/>
                <w:sz w:val="15"/>
                <w:szCs w:val="15"/>
                <w:color w:val="auto"/>
              </w:rPr>
              <w:t>CASH AND CASH EQUIVALENTS - END OF PERIOD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23,459</w:t>
            </w:r>
          </w:p>
        </w:tc>
        <w:tc>
          <w:tcPr>
            <w:tcW w:w="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23,459</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19,115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27,664</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NON-CASH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INVESTMENTS IN PROPERTY AND EQUIPMENT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12,502</w:t>
            </w:r>
          </w:p>
        </w:tc>
        <w:tc>
          <w:tcPr>
            <w:tcW w:w="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28,182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6,461</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26,183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47,675</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CONVERSION OF LONG-TERM LIABILITY IN RESPECT OF CUSTOMERS'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ADVANCES TO SHARE CAPITAL</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944</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944</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539</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CASH PAID DURING THE PERIOD FOR INTEREST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15,904</w:t>
            </w:r>
          </w:p>
        </w:tc>
        <w:tc>
          <w:tcPr>
            <w:tcW w:w="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11,977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7,588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5,446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25,205</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PAID DURING THE PERIOD FOR INCOME TAXES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59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1540"/>
          </w:cols>
          <w:pgMar w:left="220" w:top="785" w:right="139" w:bottom="0" w:gutter="0" w:footer="0" w:header="0"/>
        </w:sectPr>
      </w:pPr>
    </w:p>
    <w:bookmarkStart w:id="15" w:name="page16"/>
    <w:bookmarkEnd w:id="1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w:t>
      </w:r>
    </w:p>
    <w:p>
      <w:pPr>
        <w:spacing w:after="0" w:line="166" w:lineRule="exact"/>
        <w:rPr>
          <w:sz w:val="20"/>
          <w:szCs w:val="20"/>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w:t>
      </w:r>
    </w:p>
    <w:p>
      <w:pPr>
        <w:spacing w:after="0" w:line="172" w:lineRule="exact"/>
        <w:rPr>
          <w:rFonts w:ascii="Courier New" w:cs="Courier New" w:eastAsia="Courier New" w:hAnsi="Courier New"/>
          <w:sz w:val="15"/>
          <w:szCs w:val="15"/>
          <w:color w:val="auto"/>
        </w:rPr>
      </w:pPr>
    </w:p>
    <w:p>
      <w:pPr>
        <w:ind w:left="1320" w:right="3239" w:hanging="436"/>
        <w:spacing w:after="0" w:line="255" w:lineRule="auto"/>
        <w:tabs>
          <w:tab w:leader="none" w:pos="132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condensed interim consolidated financial statements as of June 30, 2005 and for the six months and three months then ended ("interim financial statements") of Tower Semiconductor Ltd. and subsidiary ("the Company") should be read in conjunction with the audited consolidated financial statements of the Company as of December 31, 2004 and for the year then ended, including the notes thereto. 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164" w:lineRule="exact"/>
        <w:rPr>
          <w:rFonts w:ascii="Courier New" w:cs="Courier New" w:eastAsia="Courier New" w:hAnsi="Courier New"/>
          <w:sz w:val="14"/>
          <w:szCs w:val="14"/>
          <w:color w:val="auto"/>
        </w:rPr>
      </w:pPr>
    </w:p>
    <w:p>
      <w:pPr>
        <w:ind w:left="1320" w:right="3239" w:hanging="436"/>
        <w:spacing w:after="0" w:line="236" w:lineRule="auto"/>
        <w:tabs>
          <w:tab w:leader="none" w:pos="13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financial statements have been prepared in conformity with generally accepted accounting principles ("GAAP") in Israel ("Israeli GAAP"), which, as applicable to these interim financial statements, differ in certain respects from GAAP in the United States of America ("U.S. GAAP"), as indicated in Note 6. The accounting principles applied in the preparation of these interim financial statements are consistent with those principles applied in the preparation of the most recent annual audited financial statements, except for the accounting principles detailed in (4) below.</w:t>
      </w:r>
    </w:p>
    <w:p>
      <w:pPr>
        <w:spacing w:after="0" w:line="172"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FASB</w:t>
      </w:r>
    </w:p>
    <w:p>
      <w:pPr>
        <w:spacing w:after="0" w:line="172" w:lineRule="exact"/>
        <w:rPr>
          <w:rFonts w:ascii="Courier New" w:cs="Courier New" w:eastAsia="Courier New" w:hAnsi="Courier New"/>
          <w:sz w:val="15"/>
          <w:szCs w:val="15"/>
          <w:color w:val="auto"/>
        </w:rPr>
      </w:pPr>
    </w:p>
    <w:p>
      <w:pPr>
        <w:ind w:left="1760" w:right="3319" w:hanging="438"/>
        <w:spacing w:after="0" w:line="254" w:lineRule="auto"/>
        <w:tabs>
          <w:tab w:leader="none" w:pos="1760" w:val="left"/>
        </w:tabs>
        <w:numPr>
          <w:ilvl w:val="2"/>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NO. 151. INVENTORY COSTS, AN AMENDMENT OF ARB NO. 43, CHAPTER 4 - In November 2004, the FASB issued SFAS No. 151,</w:t>
      </w:r>
    </w:p>
    <w:p>
      <w:pPr>
        <w:ind w:left="176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"INVENTORY COSTS, AN AMENDMENT OF ARB NO. 43, CHAPTER 4". SFAS No. 151 amends the guidance in ARB 43, Chapter 4, "Inventory Pricing", which provides guidance on the allocation of certain costs to inventory. SFAS 151 clarifies that abnormal amounts of idle facility expense, freight, handling costs, and wasted material (spoilage) should be recognized as current-period charges. In addition, SFAS 151 requires that allocation of fixed production overheads to the costs of conversion be based on the normal capacity of the production facilities. The provisions of this statement are effective for inventory costs incurred during fiscal years beginning after June 2005. The provisions of this statement shall be applied prospectively. This Standard is not expected to have a material effect on the Company's financial position and results of operations.</w:t>
      </w:r>
    </w:p>
    <w:p>
      <w:pPr>
        <w:spacing w:after="0" w:line="325" w:lineRule="exact"/>
        <w:rPr>
          <w:rFonts w:ascii="Courier New" w:cs="Courier New" w:eastAsia="Courier New" w:hAnsi="Courier New"/>
          <w:sz w:val="14"/>
          <w:szCs w:val="14"/>
          <w:color w:val="auto"/>
        </w:rPr>
      </w:pPr>
    </w:p>
    <w:p>
      <w:pPr>
        <w:ind w:left="3420" w:hanging="174"/>
        <w:spacing w:after="0"/>
        <w:tabs>
          <w:tab w:leader="none" w:pos="3420" w:val="left"/>
        </w:tabs>
        <w:numPr>
          <w:ilvl w:val="3"/>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39"/>
          </w:cols>
          <w:pgMar w:left="220" w:top="785" w:right="1440" w:bottom="1440" w:gutter="0" w:footer="0" w:header="0"/>
        </w:sectPr>
      </w:pPr>
    </w:p>
    <w:bookmarkStart w:id="16" w:name="page17"/>
    <w:bookmarkEnd w:id="1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1 -</w:t>
      </w:r>
      <w:r>
        <w:rPr>
          <w:sz w:val="20"/>
          <w:szCs w:val="20"/>
          <w:color w:val="auto"/>
        </w:rPr>
        <w:tab/>
      </w:r>
      <w:r>
        <w:rPr>
          <w:rFonts w:ascii="Courier New" w:cs="Courier New" w:eastAsia="Courier New" w:hAnsi="Courier New"/>
          <w:sz w:val="14"/>
          <w:szCs w:val="14"/>
          <w:color w:val="auto"/>
        </w:rPr>
        <w:t>GENERAL (cont.)</w:t>
      </w:r>
    </w:p>
    <w:p>
      <w:pPr>
        <w:spacing w:after="0" w:line="166"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 BY THE FASB (cont.)</w:t>
      </w:r>
    </w:p>
    <w:p>
      <w:pPr>
        <w:spacing w:after="0" w:line="172" w:lineRule="exact"/>
        <w:rPr>
          <w:rFonts w:ascii="Courier New" w:cs="Courier New" w:eastAsia="Courier New" w:hAnsi="Courier New"/>
          <w:sz w:val="15"/>
          <w:szCs w:val="15"/>
          <w:color w:val="auto"/>
        </w:rPr>
      </w:pPr>
    </w:p>
    <w:p>
      <w:pPr>
        <w:ind w:left="1760" w:right="3319" w:hanging="438"/>
        <w:spacing w:after="0" w:line="255" w:lineRule="auto"/>
        <w:tabs>
          <w:tab w:leader="none" w:pos="1760" w:val="left"/>
        </w:tabs>
        <w:numPr>
          <w:ilvl w:val="2"/>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153, EXCHANGE OF NON-MONETARY ASSETS - In December 2004, the FASB issued SFAS No. 153, "EXCHANGES OF NONMONETARY ASSETS AN AMENDMENT OF APB NO. 29". This Statement amends Opinion 29 to eliminate the exception for nonmonetary exchanges of similar productive assets and replaces it with a general exception for exchanges of nonmonetary assets that do not have commercial substance. The Statement specifies that a nonmonetary exchange has commercial substance if the future cash flows of the entity are expected to change significantly as a result of the exchange. This Statement is effective for nonmonetary asset exchanges occurring in fiscal periods beginning after June 15, 2005. Earlier application is permitted for nonmonetary asset exchanges occurring in fiscal periods beginning after the date this Statement is issued. Retroactive application is not permitted. The adoption of this Standard is not expected to have a material effect on the Company's financial position and results of operations.</w:t>
      </w:r>
    </w:p>
    <w:p>
      <w:pPr>
        <w:spacing w:after="0" w:line="331" w:lineRule="exact"/>
        <w:rPr>
          <w:rFonts w:ascii="Courier New" w:cs="Courier New" w:eastAsia="Courier New" w:hAnsi="Courier New"/>
          <w:sz w:val="14"/>
          <w:szCs w:val="14"/>
          <w:color w:val="auto"/>
        </w:rPr>
      </w:pPr>
    </w:p>
    <w:p>
      <w:pPr>
        <w:ind w:left="1760" w:right="3239" w:hanging="438"/>
        <w:spacing w:after="0" w:line="255" w:lineRule="auto"/>
        <w:tabs>
          <w:tab w:leader="none" w:pos="1760" w:val="left"/>
        </w:tabs>
        <w:numPr>
          <w:ilvl w:val="2"/>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NO. 154. ACCOUNTING CHANGES AND ERROR CORRECTIONS - This Statement, published in May 2005, replaces APB Opinion No. 20, Accounting Changes, and FASB Statement No. 3, Reporting Accounting Changes in Interim Financial Statements, and changes the requirements for the accounting for and reporting of a change in accounting principle. This Statement applies to all voluntary changes in accounting principle, and to changes required by an accounting pronouncement in the unusual instance that the pronouncement does not include specific transition provisions.</w:t>
      </w:r>
    </w:p>
    <w:p>
      <w:pPr>
        <w:spacing w:after="0" w:line="165" w:lineRule="exact"/>
        <w:rPr>
          <w:rFonts w:ascii="Courier New" w:cs="Courier New" w:eastAsia="Courier New" w:hAnsi="Courier New"/>
          <w:sz w:val="14"/>
          <w:szCs w:val="14"/>
          <w:color w:val="auto"/>
        </w:rPr>
      </w:pPr>
    </w:p>
    <w:p>
      <w:pPr>
        <w:ind w:left="176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Opinion 20 previously required that most voluntary changes in accounting principle be recognized by including in net income of the period of the change the cumulative effect of changing to the new accounting principle. This Statement requires retrospective application to prior periods' financial statements of changes in accounting principle, unless it is impracticable to determine the specific effects or the cumulative effect of the change. The Statement also provides guidance for cases in which it is impracticable to determine the period-specific effects of an accounting change on one or more individual prior periods presented, and/or for cases in which it is impracticable to determine the cumulative effect of applying a change in accounting principle to all prior periods.</w:t>
      </w:r>
    </w:p>
    <w:p>
      <w:pPr>
        <w:spacing w:after="0" w:line="325" w:lineRule="exact"/>
        <w:rPr>
          <w:rFonts w:ascii="Courier New" w:cs="Courier New" w:eastAsia="Courier New" w:hAnsi="Courier New"/>
          <w:sz w:val="14"/>
          <w:szCs w:val="14"/>
          <w:color w:val="auto"/>
        </w:rPr>
      </w:pPr>
    </w:p>
    <w:p>
      <w:pPr>
        <w:ind w:left="3420" w:hanging="174"/>
        <w:spacing w:after="0"/>
        <w:tabs>
          <w:tab w:leader="none" w:pos="3420" w:val="left"/>
        </w:tabs>
        <w:numPr>
          <w:ilvl w:val="3"/>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10239"/>
          </w:cols>
          <w:pgMar w:left="220" w:top="785" w:right="1440" w:bottom="1440" w:gutter="0" w:footer="0" w:header="0"/>
        </w:sectPr>
      </w:pPr>
    </w:p>
    <w:bookmarkStart w:id="17" w:name="page18"/>
    <w:bookmarkEnd w:id="1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6" w:lineRule="exact"/>
        <w:rPr>
          <w:sz w:val="20"/>
          <w:szCs w:val="20"/>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 BY THE FASB (cont.)</w:t>
      </w:r>
    </w:p>
    <w:p>
      <w:pPr>
        <w:spacing w:after="0" w:line="172" w:lineRule="exact"/>
        <w:rPr>
          <w:rFonts w:ascii="Courier New" w:cs="Courier New" w:eastAsia="Courier New" w:hAnsi="Courier New"/>
          <w:sz w:val="15"/>
          <w:szCs w:val="15"/>
          <w:color w:val="auto"/>
        </w:rPr>
      </w:pPr>
    </w:p>
    <w:p>
      <w:pPr>
        <w:ind w:left="1760" w:right="3759" w:hanging="438"/>
        <w:spacing w:after="0" w:line="234" w:lineRule="auto"/>
        <w:tabs>
          <w:tab w:leader="none" w:pos="176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154. ACCOUNTING CHANGES AND ERROR CORRECTIONS (cont.)</w:t>
      </w:r>
    </w:p>
    <w:p>
      <w:pPr>
        <w:spacing w:after="0" w:line="173"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Statement defines retrospective application as the application of a different accounting principle to prior accounting periods as if that principle had always been used or as the adjustment of previously issued financial statements to reflect a change in the reporting entity. This Statement also redefines restatement as the revisiting of previously issued financial statements to reflect the correction of an error.</w:t>
      </w:r>
    </w:p>
    <w:p>
      <w:pPr>
        <w:spacing w:after="0" w:line="177"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Statement also requires that a change in depreciation, amortization, or depletion method for long-lived, non-financial assets, be accounted for as a change in accounting estimate effected by a change in accounting principle. This Statement carries forward without change the guidance contained in Opinion 20 for reporting the correction of an error in previously issued financial statements and a change in accounting estimate. This Statement also carries forward the guidance in Opinion 20 requiring justification of a change in accounting principle on the basis of preferability.</w:t>
      </w:r>
    </w:p>
    <w:p>
      <w:pPr>
        <w:spacing w:after="0" w:line="180"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Statement are effective for accounting changes and corrections of errors made during fiscal years beginning after December 15, 2005. The adoption of this Standard is not expected to have a material effect on the Company's financial position and results of operations.</w:t>
      </w:r>
    </w:p>
    <w:p>
      <w:pPr>
        <w:spacing w:after="0" w:line="175" w:lineRule="exact"/>
        <w:rPr>
          <w:sz w:val="20"/>
          <w:szCs w:val="20"/>
          <w:color w:val="auto"/>
        </w:rPr>
      </w:pPr>
    </w:p>
    <w:p>
      <w:pPr>
        <w:ind w:left="1760" w:right="3499" w:hanging="438"/>
        <w:spacing w:after="0" w:line="234" w:lineRule="auto"/>
        <w:tabs>
          <w:tab w:leader="none" w:pos="17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 BY THE ISRAELI ACCOUNTING STANDARDS BOARD</w:t>
      </w:r>
    </w:p>
    <w:p>
      <w:pPr>
        <w:spacing w:after="0" w:line="173"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ACCOUNTING STANDARD NO. 19 "TAXES ON INCOME" - In July 2004, the Israeli Accounting Standards Board published Accounting Standard No. 19 "INCOME TAXES" (the "Standard"). The Standard established the guideline for recognizing, measuring, presenting and disclosing income taxes in the financial statements. The Standard is effective for financial statements relating to reporting periods commencing on, or after, January 1, 2005. The initial adoption of the Standard is accounted for by the cumulative effect of change in accounting method, for the beginning of the period in which the Standard is initially adopted. The implementation of the Standard did not affect the Company's financial position, results of operations and cash flows.</w:t>
      </w:r>
    </w:p>
    <w:p>
      <w:pPr>
        <w:spacing w:after="0" w:line="32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239"/>
          </w:cols>
          <w:pgMar w:left="220" w:top="785" w:right="1440" w:bottom="1440" w:gutter="0" w:footer="0" w:header="0"/>
        </w:sectPr>
      </w:pPr>
    </w:p>
    <w:bookmarkStart w:id="18" w:name="page19"/>
    <w:bookmarkEnd w:id="1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6" w:lineRule="exact"/>
        <w:rPr>
          <w:sz w:val="20"/>
          <w:szCs w:val="20"/>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w:t>
      </w:r>
    </w:p>
    <w:p>
      <w:pPr>
        <w:spacing w:after="0" w:line="172" w:lineRule="exact"/>
        <w:rPr>
          <w:rFonts w:ascii="Courier New" w:cs="Courier New" w:eastAsia="Courier New" w:hAnsi="Courier New"/>
          <w:sz w:val="15"/>
          <w:szCs w:val="15"/>
          <w:color w:val="auto"/>
        </w:rPr>
      </w:pPr>
    </w:p>
    <w:p>
      <w:pPr>
        <w:ind w:left="132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prior periods financial statements have been reclassified in order to conform to the June 30, 2005 presentation.</w:t>
      </w:r>
    </w:p>
    <w:p>
      <w:pPr>
        <w:spacing w:after="0" w:line="335"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AND OPERATIONS OF NEW FABRICATION FACILITY ("FAB 2")</w:t>
      </w:r>
    </w:p>
    <w:p>
      <w:pPr>
        <w:spacing w:after="0" w:line="172" w:lineRule="exact"/>
        <w:rPr>
          <w:rFonts w:ascii="Courier New" w:cs="Courier New" w:eastAsia="Courier New" w:hAnsi="Courier New"/>
          <w:sz w:val="15"/>
          <w:szCs w:val="15"/>
          <w:color w:val="auto"/>
        </w:rPr>
      </w:pPr>
    </w:p>
    <w:p>
      <w:pPr>
        <w:ind w:left="8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the Company's Board of Directors approved the establishment of a new wafer fabrication facility in Israel ("Fab 2"). Fab 2 is designated to manufacture semiconductor integrated circuits on silicon wafers in geometries of 0.18 micron and below on</w:t>
      </w:r>
    </w:p>
    <w:p>
      <w:pPr>
        <w:spacing w:after="0" w:line="1"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200-millimeter wafers. The Company has entered into several related agreements and other arrangements and has completed public and private financing deals, which, as of the approval date of the interim financial statements, have provided an aggregate of $1,269,000 of financing for Fab 2.</w:t>
      </w:r>
    </w:p>
    <w:p>
      <w:pPr>
        <w:spacing w:after="0" w:line="173"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Fab 2 project is a complex undertaking, which entails substantial risks and uncertainties. For further details concerning the Fab 2 project and related agreements, some of which were amended several times, risks and uncertainties, see Note 12A to the 2004 audited consolidated financial statements.</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10239"/>
          </w:cols>
          <w:pgMar w:left="220" w:top="785" w:right="1440" w:bottom="1440" w:gutter="0" w:footer="0" w:header="0"/>
        </w:sectPr>
      </w:pPr>
    </w:p>
    <w:bookmarkStart w:id="19" w:name="page20"/>
    <w:bookmarkEnd w:id="1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6" w:lineRule="exact"/>
        <w:rPr>
          <w:sz w:val="20"/>
          <w:szCs w:val="20"/>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OF THE COMPANY'S ONGOING OPERATIONS</w:t>
      </w:r>
    </w:p>
    <w:p>
      <w:pPr>
        <w:spacing w:after="0" w:line="172" w:lineRule="exact"/>
        <w:rPr>
          <w:rFonts w:ascii="Courier New" w:cs="Courier New" w:eastAsia="Courier New" w:hAnsi="Courier New"/>
          <w:sz w:val="15"/>
          <w:szCs w:val="15"/>
          <w:color w:val="auto"/>
        </w:rPr>
      </w:pPr>
    </w:p>
    <w:p>
      <w:pPr>
        <w:ind w:left="8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the first half of 2005 and in recent years, the Company has experienced significant recurring losses from operations and recurring negative cash flows from operating activities and an increasing accumulated deficit. According to the Company's approved short-term working plan, based on the current prevailing semiconductor market conditions, in the event the Company raises in a timely manner approximately $60,000 in funds as contemplated by an amendment to the Facility Agreement that was signed in July 2005, and by the commitments of certain of the Company's Equity Investors and Wafer Partners, described in Note 4B below, the Company will still need to raise additional funds in order to finance its short-term activities and liabilities in 2006, at least until the Company achieves positive cash flow from its operations. In addition, for details concerning recent amendments to certain of the Company's financial ratios and covenants through the third quarter of 2006 under the amended Facility Agreement with the Banks, which were obtained subsequent to a waiver letter agreement signed between the Company and the Banks in January 2005, see Note 4B below and Note 12A(6) to the 2004 audited consolidated financial statements. In light of the above described, the Company has been taking comprehensive measures to obtain the needed funds for its near-term ongoing operations, as well as to reduce its short-term liabilities. The Company has also implemented cost reduction measures, including measures to reduce expenses, cost structure and cash burn, and in March 2005, the Company completed a workforce cutback, as part of an across-the-board savings plan focused on operational efficiencies. In this regard, the Company, certain of its Equity Investors, Wafer Partners, and its Banks have been holding discussions to provide additional funding for the Company of an aggregate amount of approximately $60,000. Consequently, in July 2005, an amendment to the Facility Agreement was signed between the Company and its Banks, which is subject to the fulfillment of certain closing conditions, for providing the Company with up to $30,000, through the end of March 2006 (for additional details, see Note 4B below). In addition, as of the approval date of the interim financial statements, certain of the Company's Equity Investors and Wafer Partners have committed and are obligated to invest $24,500 in the framework of the preliminary rights offering prospectus the Company filed in July 2005 in the U.S. and Israel, described in Note 5D below. Further, the Company is currently examining alternatives for additional funding sources.</w:t>
      </w:r>
    </w:p>
    <w:p>
      <w:pPr>
        <w:spacing w:after="0" w:line="349" w:lineRule="exact"/>
        <w:rPr>
          <w:rFonts w:ascii="Courier New" w:cs="Courier New" w:eastAsia="Courier New" w:hAnsi="Courier New"/>
          <w:sz w:val="15"/>
          <w:szCs w:val="15"/>
          <w:color w:val="auto"/>
        </w:rPr>
      </w:pPr>
    </w:p>
    <w:p>
      <w:pPr>
        <w:ind w:left="88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management estimates that it is probable that the closing conditions to the amendment to the Facility Agreement will be satisfied in a timely manner, the rights offering process will be successfully completed and the Equity Investors and Wafer Partners will invest the funds as described above, and that additional funds the Company will need in 2006 from the additional funding sources the Company is currently examining, as described above, will be achieved.</w:t>
      </w:r>
    </w:p>
    <w:p>
      <w:pPr>
        <w:spacing w:after="0" w:line="32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10239"/>
          </w:cols>
          <w:pgMar w:left="220" w:top="785" w:right="1440" w:bottom="1440" w:gutter="0" w:footer="0" w:header="0"/>
        </w:sectPr>
      </w:pPr>
    </w:p>
    <w:bookmarkStart w:id="20" w:name="page21"/>
    <w:bookmarkEnd w:id="2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INVENTORIES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consist of the following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4"/>
              </w:rPr>
              <w:t>June 30,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2500" w:type="dxa"/>
            <w:vAlign w:val="bottom"/>
          </w:tcPr>
          <w:p>
            <w:pPr>
              <w:spacing w:after="0"/>
              <w:rPr>
                <w:sz w:val="14"/>
                <w:szCs w:val="14"/>
                <w:color w:val="auto"/>
              </w:rPr>
            </w:pPr>
          </w:p>
        </w:tc>
        <w:tc>
          <w:tcPr>
            <w:tcW w:w="2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2005</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272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(unaudited)</w:t>
            </w:r>
          </w:p>
        </w:tc>
        <w:tc>
          <w:tcPr>
            <w:tcW w:w="1340" w:type="dxa"/>
            <w:vAlign w:val="bottom"/>
          </w:tcPr>
          <w:p>
            <w:pPr>
              <w:spacing w:after="0"/>
              <w:rPr>
                <w:sz w:val="14"/>
                <w:szCs w:val="1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$ 6,354</w:t>
            </w:r>
          </w:p>
        </w:tc>
        <w:tc>
          <w:tcPr>
            <w:tcW w:w="1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$ 6,662</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$ 9,260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Spare parts and supplies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3,407</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3,433</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5,709</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15,477</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10,085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1,588</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140</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2,374</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$17,058</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$25,712</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25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80" w:right="3239" w:hanging="433"/>
        <w:spacing w:after="0" w:line="235"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aggregate write downs to net realizable value of $3,149, $2,004 and $2,665 as of June 30, 2005, June 30, 2004 and December 31, 2004, respectively.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MAJOR CUSTOMERS</w:t>
      </w:r>
    </w:p>
    <w:p>
      <w:pPr>
        <w:spacing w:after="0" w:line="173"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Revenues from major customers as a percentage of total revenues were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Six months ended</w:t>
            </w:r>
          </w:p>
        </w:tc>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2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June 30,</w:t>
            </w:r>
          </w:p>
        </w:tc>
        <w:tc>
          <w:tcPr>
            <w:tcW w:w="13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2020" w:type="dxa"/>
            <w:vAlign w:val="bottom"/>
          </w:tcPr>
          <w:p>
            <w:pPr>
              <w:spacing w:after="0"/>
              <w:rPr>
                <w:sz w:val="14"/>
                <w:szCs w:val="14"/>
                <w:color w:val="auto"/>
              </w:rPr>
            </w:pPr>
          </w:p>
        </w:tc>
        <w:tc>
          <w:tcPr>
            <w:tcW w:w="20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rPr>
                <w:sz w:val="14"/>
                <w:szCs w:val="14"/>
                <w:color w:val="auto"/>
              </w:rPr>
            </w:pPr>
          </w:p>
        </w:tc>
        <w:tc>
          <w:tcPr>
            <w:tcW w:w="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2005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020" w:type="dxa"/>
            <w:vAlign w:val="bottom"/>
          </w:tcPr>
          <w:p>
            <w:pPr>
              <w:spacing w:after="0"/>
              <w:rPr>
                <w:sz w:val="14"/>
                <w:szCs w:val="14"/>
                <w:color w:val="auto"/>
              </w:rPr>
            </w:pPr>
          </w:p>
        </w:tc>
        <w:tc>
          <w:tcPr>
            <w:tcW w:w="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rPr>
                <w:sz w:val="14"/>
                <w:szCs w:val="14"/>
                <w:color w:val="auto"/>
              </w:rPr>
            </w:pPr>
          </w:p>
        </w:tc>
        <w:tc>
          <w:tcPr>
            <w:tcW w:w="2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(unaudited)</w:t>
            </w:r>
          </w:p>
        </w:tc>
        <w:tc>
          <w:tcPr>
            <w:tcW w:w="130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Customer A</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24%</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B</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13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C</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w:t>
            </w:r>
          </w:p>
        </w:tc>
        <w:tc>
          <w:tcPr>
            <w:tcW w:w="13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D</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customers (*)</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28</w:t>
            </w:r>
          </w:p>
        </w:tc>
      </w:tr>
    </w:tbl>
    <w:p>
      <w:pPr>
        <w:spacing w:after="0" w:line="173" w:lineRule="exact"/>
        <w:rPr>
          <w:sz w:val="20"/>
          <w:szCs w:val="20"/>
          <w:color w:val="auto"/>
        </w:rPr>
      </w:pPr>
    </w:p>
    <w:p>
      <w:pPr>
        <w:ind w:left="880" w:right="3319" w:hanging="433"/>
        <w:spacing w:after="0" w:line="236"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revenues from five different customers each of whom accounted for between 2% and 10% of revenues during the six months ended June 30, 2005, and to four and six different customers (each of whom accounted for between 1%-9% and 1%-8%, respectively) during the six months ended June 30, 2004 and during 2004, respectively.</w:t>
      </w:r>
    </w:p>
    <w:p>
      <w:pPr>
        <w:spacing w:after="0" w:line="16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39"/>
          </w:cols>
          <w:pgMar w:left="220" w:top="785" w:right="1440" w:bottom="1440" w:gutter="0" w:footer="0" w:header="0"/>
        </w:sectPr>
      </w:pPr>
    </w:p>
    <w:bookmarkStart w:id="21" w:name="page22"/>
    <w:bookmarkEnd w:id="2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RECENT DEVELOPMENTS RELATING TO FAB 2</w:t>
      </w:r>
    </w:p>
    <w:p>
      <w:pPr>
        <w:spacing w:after="0" w:line="166" w:lineRule="exact"/>
        <w:rPr>
          <w:sz w:val="20"/>
          <w:szCs w:val="20"/>
          <w:color w:val="auto"/>
        </w:rPr>
      </w:pPr>
    </w:p>
    <w:p>
      <w:pPr>
        <w:ind w:left="880" w:hanging="433"/>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2" w:lineRule="exact"/>
        <w:rPr>
          <w:rFonts w:ascii="Courier New" w:cs="Courier New" w:eastAsia="Courier New" w:hAnsi="Courier New"/>
          <w:sz w:val="15"/>
          <w:szCs w:val="15"/>
          <w:color w:val="auto"/>
        </w:rPr>
      </w:pPr>
    </w:p>
    <w:p>
      <w:pPr>
        <w:ind w:left="880" w:right="36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terms of the approved enterprise program for Fab 2, the Company is eligible to receive grants of 20% of up to $1,250,000 invested in Fab 2 plant and equipment, or an aggregate of up to $250,000, of which as of the balance sheet date, an aggregate of $155,005 has been already received from the Investment Center.</w:t>
      </w:r>
    </w:p>
    <w:p>
      <w:pPr>
        <w:spacing w:after="0" w:line="163"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program, investments in respect of Fab 2 may be completed by December 31, 2005, five years from the date the approval certificate was obtained. Due to the later than planned commencement of construction of Fab 2, prevailing market conditions and slower than planned ramp-up, the Company does not expect to complete Fab 2 investments by the end of 2005. As of June 30, 2005, the Company completed approximately 71% of the investments under the approved enterprise program.</w:t>
      </w:r>
    </w:p>
    <w:p>
      <w:pPr>
        <w:spacing w:after="0" w:line="177"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approved investment period of five years ends on December 31, 2005, the Company has been holding discussions with the Investment Center to achieve satisfactory arrangements to approve a new expansion program to commence on January 1, 2006. During the first half of 2005, the Company received letters from the Israeli Minister of Industry, Trade and Employment and from the General Manager of the Investment Center stating that they will act under Israeli law to support such expansion. In April 2005, at the Investment Center's request, the Company submitted a revised business plan to the Investment Center for the period commencing on January 1, 2006. As of the approval date of the interim financial statements, the process of reviewing the revised business plan is in its early stages, and the Company's management cannot estimate the outcome of the Company's efforts to obtain approval for an expansion program to its Fab 2 approved enterprise program.</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FACILITY AGREEMENT</w:t>
      </w:r>
    </w:p>
    <w:p>
      <w:pPr>
        <w:spacing w:after="0" w:line="172" w:lineRule="exact"/>
        <w:rPr>
          <w:rFonts w:ascii="Courier New" w:cs="Courier New" w:eastAsia="Courier New" w:hAnsi="Courier New"/>
          <w:sz w:val="15"/>
          <w:szCs w:val="15"/>
          <w:color w:val="auto"/>
        </w:rPr>
      </w:pPr>
    </w:p>
    <w:p>
      <w:pPr>
        <w:ind w:left="88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2005, the Company and the Banks entered into the following amendments to the Facility Agreement:</w:t>
      </w:r>
    </w:p>
    <w:p>
      <w:pPr>
        <w:spacing w:after="0" w:line="173"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2005, the Company and its Banks signed a waiver letter agreement according to which the Banks waived the Company's non-compliance with certain financial ratios and covenants for the fourth quarter of 2004. The agreement signed also amended certain of the financial ratios and covenants the Company is to comply with during 2005, which were further revised in the framework of the July 2005 amendment to the Facility Agreement described below.</w:t>
      </w:r>
    </w:p>
    <w:p>
      <w:pPr>
        <w:spacing w:after="0" w:line="338"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w:t>
      </w:r>
    </w:p>
    <w:p>
      <w:pPr>
        <w:sectPr>
          <w:pgSz w:w="11900" w:h="16838" w:orient="portrait"/>
          <w:cols w:equalWidth="0" w:num="1">
            <w:col w:w="10239"/>
          </w:cols>
          <w:pgMar w:left="220" w:top="785" w:right="1440" w:bottom="1440" w:gutter="0" w:footer="0" w:header="0"/>
        </w:sectPr>
      </w:pPr>
    </w:p>
    <w:bookmarkStart w:id="22" w:name="page23"/>
    <w:bookmarkEnd w:id="2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RECENT DEVELOPMENTS RELATING TO FAB 2 (cont.)</w:t>
      </w:r>
    </w:p>
    <w:p>
      <w:pPr>
        <w:spacing w:after="0" w:line="166" w:lineRule="exact"/>
        <w:rPr>
          <w:sz w:val="20"/>
          <w:szCs w:val="20"/>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FACILITY AGREEMENT (cont.)</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2005, further to a letter of intent signed between the Company and its Banks in May 2005, the Company and its Banks entered into a definitive amendment to the Facility Agreement. The amendment provides, among other things, for Banks financing of up to $30,000 to cover the Company's 2005 interest payments under the Facility Agreement, subject to a similar amount being raised by the Company from investors. In connection with the amendment, certain of the Company's Equity Investors and Wafer Partners, have committed and are obligated to invest an aggregate of $23,500 towards such funding by investors in the context of the rights offering described in Note 5D below.</w:t>
      </w:r>
    </w:p>
    <w:p>
      <w:pPr>
        <w:spacing w:after="0" w:line="180"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up to approximately $30,000 to be provided by the Banks under the July 2005 amendment may be withdrawn in up to three installments through the end of March 2006, will bear annual interest based on the three-month LIBOR plus 2.5% and shall be repayable in a period between twelve to fifteen months from each date any amount is received by the Company. The amendment further provides that a rescheduling of said repayments dates should be discussed following the closing date of the amendment.</w:t>
      </w:r>
    </w:p>
    <w:p>
      <w:pPr>
        <w:spacing w:after="0" w:line="159"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Any unutilized amount on account of the up to approximately</w:t>
      </w:r>
    </w:p>
    <w:p>
      <w:pPr>
        <w:spacing w:after="0" w:line="4" w:lineRule="exact"/>
        <w:rPr>
          <w:rFonts w:ascii="Courier New" w:cs="Courier New" w:eastAsia="Courier New" w:hAnsi="Courier New"/>
          <w:sz w:val="15"/>
          <w:szCs w:val="15"/>
          <w:color w:val="auto"/>
        </w:rPr>
      </w:pPr>
    </w:p>
    <w:p>
      <w:pPr>
        <w:ind w:left="132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$30,000 amount will bear a commitment fee at an annual rate of 0.25%.</w:t>
      </w:r>
    </w:p>
    <w:p>
      <w:pPr>
        <w:spacing w:after="0" w:line="173"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July 2005 amendment further provides that: (i) The Israel Corporation undertaking, as detailed in Note 12A(6) to the 2004 annual financial statements, shall be extended from June 30, 2006 to December 31, 2006; (ii) such undertaking will be deemed to have been fulfilled if the Israel Corporation invests in the context of the rights offering at least $14,000; (iii) any amounts raised through March 31, 2006, up to $30,000 from the investors as detailed above, shall not constitute financing from other sources towards the $152,000 fundraising milestone, as detailed in Note 12A(6) to the 2004 annual financial statements; and (iv) the last date in which the Company is to comply with the $152,000 fundraising milestone is postponed from December 31, 2005 to June 30, 2006.</w:t>
      </w:r>
    </w:p>
    <w:p>
      <w:pPr>
        <w:spacing w:after="0" w:line="173" w:lineRule="exact"/>
        <w:rPr>
          <w:rFonts w:ascii="Courier New" w:cs="Courier New" w:eastAsia="Courier New" w:hAnsi="Courier New"/>
          <w:sz w:val="15"/>
          <w:szCs w:val="15"/>
          <w:color w:val="auto"/>
        </w:rPr>
      </w:pPr>
    </w:p>
    <w:p>
      <w:pPr>
        <w:ind w:left="132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also revised certain of the financial ratios and covenants through the third quarter of 2006 to align them with the Company's current working plan. The Company's management estimates that it is probable that the Company will comply with the revised financial ratios and covenants under the July 2005 amendment.</w:t>
      </w:r>
    </w:p>
    <w:p>
      <w:pPr>
        <w:spacing w:after="0" w:line="174" w:lineRule="exact"/>
        <w:rPr>
          <w:rFonts w:ascii="Courier New" w:cs="Courier New" w:eastAsia="Courier New" w:hAnsi="Courier New"/>
          <w:sz w:val="15"/>
          <w:szCs w:val="15"/>
          <w:color w:val="auto"/>
        </w:rPr>
      </w:pPr>
    </w:p>
    <w:p>
      <w:pPr>
        <w:ind w:left="1320" w:right="39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warrants provided to the Banks in connection with the amendment, see Note 5B(5) below.</w:t>
      </w:r>
    </w:p>
    <w:p>
      <w:pPr>
        <w:spacing w:after="0" w:line="334"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239"/>
          </w:cols>
          <w:pgMar w:left="220" w:top="785" w:right="1440" w:bottom="1440" w:gutter="0" w:footer="0" w:header="0"/>
        </w:sectPr>
      </w:pPr>
    </w:p>
    <w:bookmarkStart w:id="23" w:name="page24"/>
    <w:bookmarkEnd w:id="2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RECENT DEVELOPMENTS RELATING TO FAB 2 (cont.)</w:t>
      </w:r>
    </w:p>
    <w:p>
      <w:pPr>
        <w:spacing w:after="0" w:line="166" w:lineRule="exact"/>
        <w:rPr>
          <w:sz w:val="20"/>
          <w:szCs w:val="20"/>
          <w:color w:val="auto"/>
        </w:rPr>
      </w:pPr>
    </w:p>
    <w:p>
      <w:pPr>
        <w:ind w:left="880" w:hanging="433"/>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FACILITY AGREEMENT (cont.)</w:t>
      </w:r>
    </w:p>
    <w:p>
      <w:pPr>
        <w:spacing w:after="0" w:line="173" w:lineRule="exact"/>
        <w:rPr>
          <w:sz w:val="20"/>
          <w:szCs w:val="20"/>
          <w:color w:val="auto"/>
        </w:rPr>
      </w:pPr>
    </w:p>
    <w:p>
      <w:pPr>
        <w:ind w:left="1320" w:right="3319"/>
        <w:spacing w:after="0" w:line="236" w:lineRule="auto"/>
        <w:rPr>
          <w:sz w:val="20"/>
          <w:szCs w:val="20"/>
          <w:color w:val="auto"/>
        </w:rPr>
      </w:pPr>
      <w:r>
        <w:rPr>
          <w:rFonts w:ascii="Courier New" w:cs="Courier New" w:eastAsia="Courier New" w:hAnsi="Courier New"/>
          <w:sz w:val="15"/>
          <w:szCs w:val="15"/>
          <w:color w:val="auto"/>
        </w:rPr>
        <w:t>As of the balance sheet date, the Company was in full compliance with all of the financial ratios and covenants under the amended Facility Agreement. According to the Facility Agreement, satisfying the financial ratios and covenants is a material provision.</w:t>
      </w:r>
    </w:p>
    <w:p>
      <w:pPr>
        <w:spacing w:after="0" w:line="174" w:lineRule="exact"/>
        <w:rPr>
          <w:sz w:val="20"/>
          <w:szCs w:val="20"/>
          <w:color w:val="auto"/>
        </w:rPr>
      </w:pPr>
    </w:p>
    <w:p>
      <w:pPr>
        <w:ind w:left="1320" w:right="3239"/>
        <w:spacing w:after="0" w:line="255" w:lineRule="auto"/>
        <w:rPr>
          <w:sz w:val="20"/>
          <w:szCs w:val="20"/>
          <w:color w:val="auto"/>
        </w:rPr>
      </w:pPr>
      <w:r>
        <w:rPr>
          <w:rFonts w:ascii="Courier New" w:cs="Courier New" w:eastAsia="Courier New" w:hAnsi="Courier New"/>
          <w:sz w:val="14"/>
          <w:szCs w:val="14"/>
          <w:color w:val="auto"/>
        </w:rPr>
        <w:t>The Facility Agreement provides that if, as a result of any default, the Banks were to accelerate the Company's obligations, the Company would be obligated, among other matters, to immediately repay all loans made by the Banks (which as of the balance sheet date amounted to $497,000) plus penalties, and the Banks would be entitled to exercise the remedies available to them under the Facility Agreement, including enforcement of their lien against all of the Company's assets.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w:t>
      </w:r>
    </w:p>
    <w:p>
      <w:pPr>
        <w:spacing w:after="0" w:line="166" w:lineRule="exact"/>
        <w:rPr>
          <w:sz w:val="20"/>
          <w:szCs w:val="20"/>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ACTION</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August 2004, the United States District Court dismissed the class action filed in July 2003 by certain of the Company's shareholders in the United States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In December 2004, one of the lead plaintiffs filed an appeal of the decision dismissing the complaint. The Company believes that the complaint is without merit and is vigorously contesting it.</w:t>
      </w:r>
    </w:p>
    <w:p>
      <w:pPr>
        <w:spacing w:after="0" w:line="32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DIRECTORS - In accordance with the Company's share option plan for directors, 80,000 options were granted in February 2005 to two newly appointed directors (40,000 options each) at an exercise price of $1.87, which equals the market price of the Company's shares on the grant date. As of the of the balance sheet date, 240,000 options were outstanding under the plan, with a weighted average exercise price of $6.08.</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w:t>
      </w:r>
    </w:p>
    <w:p>
      <w:pPr>
        <w:sectPr>
          <w:pgSz w:w="11900" w:h="16838" w:orient="portrait"/>
          <w:cols w:equalWidth="0" w:num="1">
            <w:col w:w="10239"/>
          </w:cols>
          <w:pgMar w:left="220" w:top="785" w:right="1440" w:bottom="1440" w:gutter="0" w:footer="0" w:header="0"/>
        </w:sectPr>
      </w:pPr>
    </w:p>
    <w:bookmarkStart w:id="24" w:name="page25"/>
    <w:bookmarkEnd w:id="2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 (cont.)</w:t>
      </w:r>
    </w:p>
    <w:p>
      <w:pPr>
        <w:spacing w:after="0" w:line="166" w:lineRule="exact"/>
        <w:rPr>
          <w:sz w:val="20"/>
          <w:szCs w:val="20"/>
          <w:color w:val="auto"/>
        </w:rPr>
      </w:pPr>
    </w:p>
    <w:p>
      <w:pPr>
        <w:ind w:left="880" w:hanging="433"/>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OPTIONS GRANTED TO THE COMPANY'S FORMER CHAIRMAN OF THE BOARD OF DIRECTORS AND CHIEF EXECUTIVE OFFICER - Due to the resignation of the Company's former Chairman of the Board of Directors and Chief Executive Officer, in May 2005 625,800 of the 1,043,000 options granted to him, were fully forfeited.</w:t>
      </w:r>
    </w:p>
    <w:p>
      <w:pPr>
        <w:spacing w:after="0" w:line="341"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THE COMPANY'S NEW CHIEF EXECUTIVE OFFICER AND DIRECTOR</w:t>
      </w:r>
    </w:p>
    <w:p>
      <w:pPr>
        <w:spacing w:after="0" w:line="9" w:lineRule="exact"/>
        <w:rPr>
          <w:rFonts w:ascii="Courier New" w:cs="Courier New" w:eastAsia="Courier New" w:hAnsi="Courier New"/>
          <w:sz w:val="14"/>
          <w:szCs w:val="14"/>
          <w:color w:val="auto"/>
        </w:rPr>
      </w:pPr>
    </w:p>
    <w:p>
      <w:pPr>
        <w:ind w:left="1320" w:right="3239" w:firstLine="2"/>
        <w:spacing w:after="0" w:line="237" w:lineRule="auto"/>
        <w:tabs>
          <w:tab w:leader="none" w:pos="1495" w:val="left"/>
        </w:tabs>
        <w:numPr>
          <w:ilvl w:val="2"/>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2005, the Company's Board of Directors approved the grant of options to purchase up to 1,325,724 Ordinary Shares to the Company's new appointed Chief Executive Officer ("CEO"), who was also appointed as a director. These options are exercisable at an exercise price of $1.56, the opening market price of the Company's shares on the date of the board approval of the grant. Granted options will vest over a four-year period, 25% over each year of employment. The options granted are exercisable for a period of ten years from the date of grant. The grant of the options is subject to the approval of the Company's shareholders. If as a result of equity financings consummated after April 30, 2005 (excluding the exercise or conversion of existing warrants, options, convertible debentures or other rights to acquire the Company's securities on such date), the CEO's total number of options granted to him through April 30, 2007 would represent less than 1.2% of the total number of issued and outstanding shares of the Company as of April 30, 2007, additional options will be granted to the CEO to result in a 1.2% holding of the total number of issued and outstanding shares of the Company as of April 30, 2007.</w:t>
      </w:r>
    </w:p>
    <w:p>
      <w:pPr>
        <w:spacing w:after="0" w:line="176" w:lineRule="exact"/>
        <w:rPr>
          <w:rFonts w:ascii="Courier New" w:cs="Courier New" w:eastAsia="Courier New" w:hAnsi="Courier New"/>
          <w:sz w:val="15"/>
          <w:szCs w:val="15"/>
          <w:color w:val="auto"/>
        </w:rPr>
      </w:pPr>
    </w:p>
    <w:p>
      <w:pPr>
        <w:ind w:left="1320" w:right="3319" w:hanging="436"/>
        <w:spacing w:after="0" w:line="255" w:lineRule="auto"/>
        <w:tabs>
          <w:tab w:leader="none" w:pos="132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EMPLOYEES - In May 2005, the Company's Board of Directors approved the grant of 2,900,000 options to the Company's employees at an exercise price of $1.58, which equals to the Company's share market price as of the date of grant. The options granted will vest over a four-year period from the date of grant and will expire ten years from such date. The net increase to the total outstanding options under the Company's various employee share option plans during the six-month period ended June 30, 2005, amounted to 1,433,709 options.</w:t>
      </w:r>
    </w:p>
    <w:p>
      <w:pPr>
        <w:spacing w:after="0" w:line="158" w:lineRule="exact"/>
        <w:rPr>
          <w:rFonts w:ascii="Courier New" w:cs="Courier New" w:eastAsia="Courier New" w:hAnsi="Courier New"/>
          <w:sz w:val="14"/>
          <w:szCs w:val="14"/>
          <w:color w:val="auto"/>
        </w:rPr>
      </w:pPr>
    </w:p>
    <w:p>
      <w:pPr>
        <w:ind w:left="3420" w:hanging="174"/>
        <w:spacing w:after="0"/>
        <w:tabs>
          <w:tab w:leader="none" w:pos="3420" w:val="left"/>
        </w:tabs>
        <w:numPr>
          <w:ilvl w:val="3"/>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w:t>
      </w:r>
    </w:p>
    <w:p>
      <w:pPr>
        <w:sectPr>
          <w:pgSz w:w="11900" w:h="16838" w:orient="portrait"/>
          <w:cols w:equalWidth="0" w:num="1">
            <w:col w:w="10239"/>
          </w:cols>
          <w:pgMar w:left="220" w:top="785" w:right="1440" w:bottom="1440" w:gutter="0" w:footer="0" w:header="0"/>
        </w:sectPr>
      </w:pPr>
    </w:p>
    <w:bookmarkStart w:id="25" w:name="page26"/>
    <w:bookmarkEnd w:id="2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 (cont.)</w:t>
      </w:r>
    </w:p>
    <w:p>
      <w:pPr>
        <w:spacing w:after="0" w:line="166" w:lineRule="exact"/>
        <w:rPr>
          <w:sz w:val="20"/>
          <w:szCs w:val="20"/>
          <w:color w:val="auto"/>
        </w:rPr>
      </w:pPr>
    </w:p>
    <w:p>
      <w:pPr>
        <w:ind w:left="880" w:hanging="433"/>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2" w:lineRule="exact"/>
        <w:rPr>
          <w:rFonts w:ascii="Courier New" w:cs="Courier New" w:eastAsia="Courier New" w:hAnsi="Courier New"/>
          <w:sz w:val="15"/>
          <w:szCs w:val="15"/>
          <w:color w:val="auto"/>
        </w:rPr>
      </w:pPr>
    </w:p>
    <w:p>
      <w:pPr>
        <w:ind w:left="1320" w:right="3239" w:hanging="436"/>
        <w:spacing w:after="0" w:line="255" w:lineRule="auto"/>
        <w:tabs>
          <w:tab w:leader="none" w:pos="132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WARRANTS TO THE BANKS - In connection with the July 2005 amendment detailed in Note 4B above, the Company agreed to issue warrants to the Banks exercisable into an aggregate of 8,264,464 ordinary shares of the Company, with an exercise price of $1.21. One-half (4,132,232 warrants) are exercisable for five years ending in July 2010, and one-half (4,132,232 warrants) shall be exercisable for a five-year period commencing on the date on which the Company and its Banks will agree, if at all, upon the rescheduled repayment dates of the new loans of up to approximately $30,000, as described in Note 4B above. The cost of the 4,132,232warrants issued to the Banks in July 2005, determined based on the fair value at the grant date in accordance with SFAS 123, amounted to a total of $2,793. Such amount is to be amortized as deferred financing charges over the terms of the new loans of up to approximately $30,000.</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 JOINT DEVELOPMENT AGREEMENT</w:t>
      </w:r>
    </w:p>
    <w:p>
      <w:pPr>
        <w:spacing w:after="0" w:line="172"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2005, a Japanese semiconductor manufacturer corporation elected, and the Company agreed, to cease the joint development of certain technology and to terminate the agreement entered into between the parties in May 2002 described in Note 12B(3) to the 2004 audited consolidated financial statements ("the Original Agreement"). According to the terms of the termination agreement, the Japanese manufacturer paid an amount of $2,500 in April 2005. In addition, each party expressly released the other party from any obligations or liabilities of any nature in connection with the Original Agreement. The license rights granted to the parties continue pursuant to the terms of the Original Agreement. Subsequent to the termination of the agreement, and as a result of its termination, during the second quarter of 2005, the Company recognized revenues in the aggregate amount of $8,000.</w:t>
      </w:r>
    </w:p>
    <w:p>
      <w:pPr>
        <w:spacing w:after="0" w:line="167"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16 -</w:t>
      </w:r>
    </w:p>
    <w:p>
      <w:pPr>
        <w:sectPr>
          <w:pgSz w:w="11900" w:h="16838" w:orient="portrait"/>
          <w:cols w:equalWidth="0" w:num="1">
            <w:col w:w="10239"/>
          </w:cols>
          <w:pgMar w:left="220" w:top="785" w:right="1440" w:bottom="1440" w:gutter="0" w:footer="0" w:header="0"/>
        </w:sectPr>
      </w:pPr>
    </w:p>
    <w:bookmarkStart w:id="26" w:name="page27"/>
    <w:bookmarkEnd w:id="2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 (cont.)</w:t>
      </w:r>
    </w:p>
    <w:p>
      <w:pPr>
        <w:spacing w:after="0" w:line="166" w:lineRule="exact"/>
        <w:rPr>
          <w:sz w:val="20"/>
          <w:szCs w:val="20"/>
          <w:color w:val="auto"/>
        </w:rPr>
      </w:pPr>
    </w:p>
    <w:p>
      <w:pPr>
        <w:ind w:left="880" w:hanging="433"/>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CONTEMPLATED RIGHTS OFFERING</w:t>
      </w:r>
    </w:p>
    <w:p>
      <w:pPr>
        <w:spacing w:after="0" w:line="172" w:lineRule="exact"/>
        <w:rPr>
          <w:rFonts w:ascii="Courier New" w:cs="Courier New" w:eastAsia="Courier New" w:hAnsi="Courier New"/>
          <w:sz w:val="15"/>
          <w:szCs w:val="15"/>
          <w:color w:val="auto"/>
        </w:rPr>
      </w:pPr>
    </w:p>
    <w:p>
      <w:pPr>
        <w:ind w:left="8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July 2005, the Company filed in Israel and the U.S. a preliminary prospectus for the distribution of transferable rights to purchase up to $50,000 principal of convertible debentures of the Company. The rights will be distributed to the shareholders of the Company on the record date and certain employees who on the record date hold options to purchase the Company's Ordinary Shares under share option plans that entitle the option holders to participate in a rights offering. Each recipient will receive one right for each 138.68 Ordinary Shares or employee options held on the record date. Each right will entitle the recipient to purchase, at a subscription price of $100.00, 100 debentures, each of $1.00 in principal amount. The debentures are convertible into Ordinary Shares of the Company at a conversion rate of one Ordinary Share per each $1.10 amount of outstanding principal of the debentures. The conversion rate is subject to adjustments and the debentures may be automatically converted into Ordinary Shares of the Company under certain circumstances. The debentures will bear interest at the rate of 5% per annum. Principal, together with accrued interest, is payable in one installment in 2011.</w:t>
      </w:r>
    </w:p>
    <w:p>
      <w:pPr>
        <w:spacing w:after="0" w:line="174" w:lineRule="exact"/>
        <w:rPr>
          <w:rFonts w:ascii="Courier New" w:cs="Courier New" w:eastAsia="Courier New" w:hAnsi="Courier New"/>
          <w:sz w:val="15"/>
          <w:szCs w:val="15"/>
          <w:color w:val="auto"/>
        </w:rPr>
      </w:pPr>
    </w:p>
    <w:p>
      <w:pPr>
        <w:ind w:left="88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rights are expected to be listed for trading for a single day on the NASDAQ Small Cap Market and the Tel Aviv Stock Exchange. The debentures are expected to be listed and quoted on these Exchanges.</w:t>
      </w:r>
    </w:p>
    <w:p>
      <w:pPr>
        <w:spacing w:after="0" w:line="161" w:lineRule="exact"/>
        <w:rPr>
          <w:rFonts w:ascii="Courier New" w:cs="Courier New" w:eastAsia="Courier New" w:hAnsi="Courier New"/>
          <w:sz w:val="15"/>
          <w:szCs w:val="15"/>
          <w:color w:val="auto"/>
        </w:rPr>
      </w:pPr>
    </w:p>
    <w:p>
      <w:pPr>
        <w:ind w:left="8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of the Company's Equity Investors and Wafer Partners have committed and are obligated to invest $24,500 in the framework of the rights offering.</w:t>
      </w:r>
    </w:p>
    <w:p>
      <w:pPr>
        <w:spacing w:after="0" w:line="173"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the principal and the interest on the debentures is subordinated to the prior payment of all amounts payable by the Company to the Banks under the Facility Agreement. The debentures are also effectively subordinated to amounts which the Company might owe to the Investment Center of the Israeli Ministry of Industry, Trade and Labor and to one of the Company's customers.</w:t>
      </w:r>
    </w:p>
    <w:p>
      <w:pPr>
        <w:spacing w:after="0" w:line="174" w:lineRule="exact"/>
        <w:rPr>
          <w:rFonts w:ascii="Courier New" w:cs="Courier New" w:eastAsia="Courier New" w:hAnsi="Courier New"/>
          <w:sz w:val="15"/>
          <w:szCs w:val="15"/>
          <w:color w:val="auto"/>
        </w:rPr>
      </w:pPr>
    </w:p>
    <w:p>
      <w:pPr>
        <w:ind w:left="8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 of the rights offering is subject to the prospectus being declared effective by the U.S. Securities and Exchange Commission and the Israel Securities Authority.</w:t>
      </w:r>
    </w:p>
    <w:p>
      <w:pPr>
        <w:spacing w:after="0" w:line="341" w:lineRule="exact"/>
        <w:rPr>
          <w:rFonts w:ascii="Courier New" w:cs="Courier New" w:eastAsia="Courier New" w:hAnsi="Courier New"/>
          <w:sz w:val="15"/>
          <w:szCs w:val="15"/>
          <w:color w:val="auto"/>
        </w:rPr>
      </w:pPr>
    </w:p>
    <w:p>
      <w:pPr>
        <w:ind w:left="880" w:right="3399" w:hanging="433"/>
        <w:spacing w:after="0" w:line="258" w:lineRule="auto"/>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July 2005, the Company's Board of Directors approved the increase of the authorized share capital of the Company from 250,000,000 to 500,000,000 shares, subject to shareholders approval.</w:t>
      </w:r>
    </w:p>
    <w:p>
      <w:pPr>
        <w:spacing w:after="0" w:line="323"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17 -</w:t>
      </w:r>
    </w:p>
    <w:p>
      <w:pPr>
        <w:sectPr>
          <w:pgSz w:w="11900" w:h="16838" w:orient="portrait"/>
          <w:cols w:equalWidth="0" w:num="1">
            <w:col w:w="10239"/>
          </w:cols>
          <w:pgMar w:left="220" w:top="785" w:right="1440" w:bottom="1440" w:gutter="0" w:footer="0" w:header="0"/>
        </w:sectPr>
      </w:pPr>
    </w:p>
    <w:bookmarkStart w:id="27" w:name="page28"/>
    <w:bookmarkEnd w:id="2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w:t>
      </w:r>
    </w:p>
    <w:p>
      <w:pPr>
        <w:spacing w:after="0" w:line="17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With regard to the Company's interim financial statements, the material differences between GAAP in Israel and in the U.S. relate to the following. See F below for the presentation of the Company's unaudited balance sheet as of June 30, 2005 in accordance with U.S. GAAP.</w:t>
      </w:r>
    </w:p>
    <w:p>
      <w:pPr>
        <w:spacing w:after="0" w:line="175" w:lineRule="exact"/>
        <w:rPr>
          <w:sz w:val="20"/>
          <w:szCs w:val="20"/>
          <w:color w:val="auto"/>
        </w:rPr>
      </w:pPr>
    </w:p>
    <w:p>
      <w:pPr>
        <w:ind w:left="880" w:right="4099" w:hanging="433"/>
        <w:spacing w:after="0" w:line="234"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DESIGNATED CASH AND SHORT-TERM AND LONG-TERM INTEREST-BEARING DEPOSITS</w:t>
      </w:r>
    </w:p>
    <w:p>
      <w:pPr>
        <w:spacing w:after="0" w:line="173"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U.S. GAAP, the Company's designated cash, short-term and long-term interest-bearing deposits should be excluded from current assets and long-term investments and presented separately as a non-current asset. Accordingly, as of June 30, 2005, $16,953 was reclassified from current assets to a long-term asset (as of December 31, 2004 - $53,793 and $5,134, were reclassified from current assets and long-term investments, respectively, to a long-term asset).</w:t>
      </w:r>
    </w:p>
    <w:p>
      <w:pPr>
        <w:spacing w:after="0" w:line="159"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NET LONG-TERM LIABILITIES IN RESPECT OF EMPLOYEES</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assets and liabilities relating to severance arrangements are to be presented separately and are not to be offset, while according to Israeli GAAP such an offset is required. Accordingly, as of June 30, 2005, an amount of $15,306 was reclassified from other long-term liabilities to long-term investments (as of December 31, 2004 - $16,350).</w:t>
      </w:r>
    </w:p>
    <w:p>
      <w:pPr>
        <w:spacing w:after="0" w:line="33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Complying with SFAS 133 and SFAS 138 and the related interpretations thereon with respect to the Company's hedging transactions as of June 30, 2005 would have resulted in: an increase in other long-term investments in the amount of $878; an increase in other long-term liabilities in the amount of $1,299; a decrease in other comprehensive loss for the six months ended June 30, 2005 in the net amount of $2,649; an accumulated other comprehensive loss component of equity balance as of June 30, 2005 in the amount of $ 4,406; and in a decrease of $3,955 in property and equipment, net as of June 30, 2005.</w:t>
      </w:r>
    </w:p>
    <w:p>
      <w:pPr>
        <w:spacing w:after="0" w:line="200" w:lineRule="exact"/>
        <w:rPr>
          <w:rFonts w:ascii="Courier New" w:cs="Courier New" w:eastAsia="Courier New" w:hAnsi="Courier New"/>
          <w:sz w:val="15"/>
          <w:szCs w:val="15"/>
          <w:color w:val="auto"/>
        </w:rPr>
      </w:pPr>
    </w:p>
    <w:p>
      <w:pPr>
        <w:spacing w:after="0" w:line="29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18 -</w:t>
      </w:r>
    </w:p>
    <w:p>
      <w:pPr>
        <w:sectPr>
          <w:pgSz w:w="11900" w:h="16838" w:orient="portrait"/>
          <w:cols w:equalWidth="0" w:num="1">
            <w:col w:w="10239"/>
          </w:cols>
          <w:pgMar w:left="220" w:top="785" w:right="1440" w:bottom="1440" w:gutter="0" w:footer="0" w:header="0"/>
        </w:sectPr>
      </w:pPr>
    </w:p>
    <w:bookmarkStart w:id="28" w:name="page29"/>
    <w:bookmarkEnd w:id="2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166" w:lineRule="exact"/>
        <w:rPr>
          <w:sz w:val="20"/>
          <w:szCs w:val="20"/>
          <w:color w:val="auto"/>
        </w:rPr>
      </w:pPr>
    </w:p>
    <w:p>
      <w:pPr>
        <w:ind w:left="880" w:hanging="433"/>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72"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awards made through June 30, 2005 in accordance with SFAS 123, as amended by SFAS 148, the Company's pro forma loss and loss per share would have been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0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Six months ended</w:t>
            </w:r>
          </w:p>
        </w:tc>
        <w:tc>
          <w:tcPr>
            <w:tcW w:w="440" w:type="dxa"/>
            <w:vAlign w:val="bottom"/>
          </w:tcPr>
          <w:p>
            <w:pPr>
              <w:spacing w:after="0"/>
              <w:rPr>
                <w:sz w:val="14"/>
                <w:szCs w:val="14"/>
                <w:color w:val="auto"/>
              </w:rPr>
            </w:pPr>
          </w:p>
        </w:tc>
        <w:tc>
          <w:tcPr>
            <w:tcW w:w="22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3500" w:type="dxa"/>
            <w:vAlign w:val="bottom"/>
          </w:tcPr>
          <w:p>
            <w:pPr>
              <w:spacing w:after="0"/>
              <w:rPr>
                <w:sz w:val="14"/>
                <w:szCs w:val="14"/>
                <w:color w:val="auto"/>
              </w:rPr>
            </w:pPr>
          </w:p>
        </w:tc>
        <w:tc>
          <w:tcPr>
            <w:tcW w:w="1580" w:type="dxa"/>
            <w:vAlign w:val="bottom"/>
            <w:gridSpan w:val="2"/>
          </w:tcPr>
          <w:p>
            <w:pPr>
              <w:ind w:left="700"/>
              <w:spacing w:after="0"/>
              <w:rPr>
                <w:sz w:val="20"/>
                <w:szCs w:val="20"/>
                <w:color w:val="auto"/>
              </w:rPr>
            </w:pPr>
            <w:r>
              <w:rPr>
                <w:rFonts w:ascii="Courier New" w:cs="Courier New" w:eastAsia="Courier New" w:hAnsi="Courier New"/>
                <w:sz w:val="7"/>
                <w:szCs w:val="7"/>
                <w:color w:val="auto"/>
                <w:w w:val="78"/>
              </w:rPr>
              <w:t>--------------------------</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580" w:type="dxa"/>
            <w:vAlign w:val="bottom"/>
            <w:gridSpan w:val="2"/>
          </w:tcPr>
          <w:p>
            <w:pPr>
              <w:ind w:left="700"/>
              <w:spacing w:after="0"/>
              <w:rPr>
                <w:sz w:val="20"/>
                <w:szCs w:val="20"/>
                <w:color w:val="auto"/>
              </w:rPr>
            </w:pPr>
            <w:r>
              <w:rPr>
                <w:rFonts w:ascii="Courier New" w:cs="Courier New" w:eastAsia="Courier New" w:hAnsi="Courier New"/>
                <w:sz w:val="7"/>
                <w:szCs w:val="7"/>
                <w:color w:val="auto"/>
                <w:w w:val="78"/>
              </w:rPr>
              <w:t>--------------------------</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2005</w:t>
            </w:r>
          </w:p>
        </w:tc>
        <w:tc>
          <w:tcPr>
            <w:tcW w:w="780" w:type="dxa"/>
            <w:vAlign w:val="bottom"/>
          </w:tcPr>
          <w:p>
            <w:pPr>
              <w:spacing w:after="0"/>
              <w:rPr>
                <w:sz w:val="14"/>
                <w:szCs w:val="14"/>
                <w:color w:val="auto"/>
              </w:rPr>
            </w:pPr>
          </w:p>
        </w:tc>
        <w:tc>
          <w:tcPr>
            <w:tcW w:w="1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2004</w:t>
            </w:r>
          </w:p>
        </w:tc>
        <w:tc>
          <w:tcPr>
            <w:tcW w:w="440" w:type="dxa"/>
            <w:vAlign w:val="bottom"/>
          </w:tcPr>
          <w:p>
            <w:pPr>
              <w:spacing w:after="0"/>
              <w:rPr>
                <w:sz w:val="14"/>
                <w:szCs w:val="14"/>
                <w:color w:val="auto"/>
              </w:rPr>
            </w:pPr>
          </w:p>
        </w:tc>
        <w:tc>
          <w:tcPr>
            <w:tcW w:w="1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9"/>
              </w:rPr>
              <w:t>2005</w:t>
            </w:r>
          </w:p>
        </w:tc>
        <w:tc>
          <w:tcPr>
            <w:tcW w:w="2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3500" w:type="dxa"/>
            <w:vAlign w:val="bottom"/>
          </w:tcPr>
          <w:p>
            <w:pPr>
              <w:spacing w:after="0"/>
              <w:rPr>
                <w:sz w:val="14"/>
                <w:szCs w:val="14"/>
                <w:color w:val="auto"/>
              </w:rPr>
            </w:pPr>
          </w:p>
        </w:tc>
        <w:tc>
          <w:tcPr>
            <w:tcW w:w="15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660" w:type="dxa"/>
            <w:vAlign w:val="bottom"/>
          </w:tcPr>
          <w:p>
            <w:pPr>
              <w:spacing w:after="0"/>
              <w:rPr>
                <w:sz w:val="14"/>
                <w:szCs w:val="1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 as reported</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according to U.S. GAAP</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(see G below)</w:t>
            </w:r>
          </w:p>
        </w:tc>
        <w:tc>
          <w:tcPr>
            <w:tcW w:w="15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5"/>
              </w:rPr>
              <w:t>$(102,560)</w:t>
            </w: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(75,023)</w:t>
            </w:r>
          </w:p>
        </w:tc>
        <w:tc>
          <w:tcPr>
            <w:tcW w:w="17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 (47,240)</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(36,532)</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stock-based compensation</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determined under SFAS 123</w:t>
            </w:r>
          </w:p>
        </w:tc>
        <w:tc>
          <w:tcPr>
            <w:tcW w:w="8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(1,850)</w:t>
            </w:r>
          </w:p>
        </w:tc>
        <w:tc>
          <w:tcPr>
            <w:tcW w:w="7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(2,322)</w:t>
            </w:r>
          </w:p>
        </w:tc>
        <w:tc>
          <w:tcPr>
            <w:tcW w:w="440" w:type="dxa"/>
            <w:vAlign w:val="bottom"/>
          </w:tcPr>
          <w:p>
            <w:pPr>
              <w:spacing w:after="0"/>
              <w:rPr>
                <w:sz w:val="14"/>
                <w:szCs w:val="14"/>
                <w:color w:val="auto"/>
              </w:rPr>
            </w:pPr>
          </w:p>
        </w:tc>
        <w:tc>
          <w:tcPr>
            <w:tcW w:w="1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(758)</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(991)</w:t>
            </w:r>
          </w:p>
        </w:tc>
      </w:tr>
      <w:tr>
        <w:trPr>
          <w:trHeight w:val="168"/>
        </w:trPr>
        <w:tc>
          <w:tcPr>
            <w:tcW w:w="3500" w:type="dxa"/>
            <w:vAlign w:val="bottom"/>
          </w:tcPr>
          <w:p>
            <w:pPr>
              <w:spacing w:after="0"/>
              <w:rPr>
                <w:sz w:val="14"/>
                <w:szCs w:val="14"/>
                <w:color w:val="auto"/>
              </w:rPr>
            </w:pPr>
          </w:p>
        </w:tc>
        <w:tc>
          <w:tcPr>
            <w:tcW w:w="15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loss</w:t>
            </w:r>
          </w:p>
        </w:tc>
        <w:tc>
          <w:tcPr>
            <w:tcW w:w="15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5"/>
              </w:rPr>
              <w:t>$(104,410)</w:t>
            </w: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(77,345)</w:t>
            </w:r>
          </w:p>
        </w:tc>
        <w:tc>
          <w:tcPr>
            <w:tcW w:w="17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 (47,998)</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(37,523)</w:t>
            </w:r>
          </w:p>
        </w:tc>
      </w:tr>
      <w:tr>
        <w:trPr>
          <w:trHeight w:val="168"/>
        </w:trPr>
        <w:tc>
          <w:tcPr>
            <w:tcW w:w="3500" w:type="dxa"/>
            <w:vAlign w:val="bottom"/>
          </w:tcPr>
          <w:p>
            <w:pPr>
              <w:spacing w:after="0"/>
              <w:rPr>
                <w:sz w:val="14"/>
                <w:szCs w:val="14"/>
                <w:color w:val="auto"/>
              </w:rPr>
            </w:pPr>
          </w:p>
        </w:tc>
        <w:tc>
          <w:tcPr>
            <w:tcW w:w="15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 according to U.S.</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GAAP (see I below)</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(0.71)</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(0.56)</w:t>
            </w:r>
          </w:p>
        </w:tc>
      </w:tr>
      <w:tr>
        <w:trPr>
          <w:trHeight w:val="168"/>
        </w:trPr>
        <w:tc>
          <w:tcPr>
            <w:tcW w:w="3500" w:type="dxa"/>
            <w:vAlign w:val="bottom"/>
          </w:tcPr>
          <w:p>
            <w:pPr>
              <w:spacing w:after="0"/>
              <w:rPr>
                <w:sz w:val="14"/>
                <w:szCs w:val="14"/>
                <w:color w:val="auto"/>
              </w:rPr>
            </w:pPr>
          </w:p>
        </w:tc>
        <w:tc>
          <w:tcPr>
            <w:tcW w:w="15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(0.73)</w:t>
            </w:r>
          </w:p>
        </w:tc>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(0.57)</w:t>
            </w:r>
          </w:p>
        </w:tc>
      </w:tr>
      <w:tr>
        <w:trPr>
          <w:trHeight w:val="168"/>
        </w:trPr>
        <w:tc>
          <w:tcPr>
            <w:tcW w:w="3500" w:type="dxa"/>
            <w:vAlign w:val="bottom"/>
          </w:tcPr>
          <w:p>
            <w:pPr>
              <w:spacing w:after="0"/>
              <w:rPr>
                <w:sz w:val="14"/>
                <w:szCs w:val="14"/>
                <w:color w:val="auto"/>
              </w:rPr>
            </w:pPr>
          </w:p>
        </w:tc>
        <w:tc>
          <w:tcPr>
            <w:tcW w:w="15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35" w:lineRule="exact"/>
        <w:rPr>
          <w:sz w:val="20"/>
          <w:szCs w:val="20"/>
          <w:color w:val="auto"/>
        </w:rPr>
      </w:pPr>
    </w:p>
    <w:p>
      <w:pPr>
        <w:ind w:left="880" w:hanging="433"/>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2" w:lineRule="exact"/>
        <w:rPr>
          <w:rFonts w:ascii="Courier New" w:cs="Courier New" w:eastAsia="Courier New" w:hAnsi="Courier New"/>
          <w:sz w:val="15"/>
          <w:szCs w:val="15"/>
          <w:color w:val="auto"/>
        </w:rPr>
      </w:pPr>
    </w:p>
    <w:p>
      <w:pPr>
        <w:ind w:left="88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Accounting Principles Board Opinion No. 14 ("APB 14"), the proceeds from the sale of the securities in January 2002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(in January 2002), would have resulted in an increase in shareholders' equity as of June 30, 2005 and December 31, 2004 in the amount of $2,363 (net of $196 related issuance expenses), and a decrease in convertible debentures as of such dates in the amount of $2,559. The effect of amortization of the discount on the convertible debentures under U.S.GAAP for the periods ended at such dates would have been immaterial.</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19 -</w:t>
      </w:r>
    </w:p>
    <w:p>
      <w:pPr>
        <w:sectPr>
          <w:pgSz w:w="11900" w:h="16838" w:orient="portrait"/>
          <w:cols w:equalWidth="0" w:num="1">
            <w:col w:w="10239"/>
          </w:cols>
          <w:pgMar w:left="220" w:top="785" w:right="1440" w:bottom="1440" w:gutter="0" w:footer="0" w:header="0"/>
        </w:sectPr>
      </w:pPr>
    </w:p>
    <w:bookmarkStart w:id="29" w:name="page30"/>
    <w:bookmarkEnd w:id="2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166"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F.</w:t>
        <w:tab/>
        <w:t>BALANCE SHEETS IN ACCORDANCE WITH U.S. GAAP</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AS OF JUNE 30, 2005</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40" w:type="dxa"/>
            <w:vAlign w:val="bottom"/>
            <w:gridSpan w:val="5"/>
          </w:tcPr>
          <w:p>
            <w:pPr>
              <w:jc w:val="right"/>
              <w:ind w:right="347"/>
              <w:spacing w:after="0"/>
              <w:rPr>
                <w:sz w:val="20"/>
                <w:szCs w:val="20"/>
                <w:color w:val="auto"/>
              </w:rPr>
            </w:pPr>
            <w:r>
              <w:rPr>
                <w:rFonts w:ascii="Courier New" w:cs="Courier New" w:eastAsia="Courier New" w:hAnsi="Courier New"/>
                <w:sz w:val="15"/>
                <w:szCs w:val="15"/>
                <w:color w:val="auto"/>
              </w:rPr>
              <w:t>AS OF DECEMBER 31, 2004</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80" w:type="dxa"/>
            <w:vAlign w:val="bottom"/>
            <w:gridSpan w:val="6"/>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32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U.S.</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AS PER</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AS PER</w:t>
            </w:r>
          </w:p>
        </w:tc>
        <w:tc>
          <w:tcPr>
            <w:tcW w:w="22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AS PER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6"/>
              </w:rPr>
              <w:t>AS PER</w:t>
            </w:r>
          </w:p>
        </w:tc>
      </w:tr>
      <w:tr>
        <w:trPr>
          <w:trHeight w:val="168"/>
        </w:trPr>
        <w:tc>
          <w:tcPr>
            <w:tcW w:w="42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GAAP</w:t>
            </w: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ISRAELI</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ADJUST-</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U.S.</w:t>
            </w:r>
          </w:p>
        </w:tc>
        <w:tc>
          <w:tcPr>
            <w:tcW w:w="22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ISRAELI</w:t>
            </w:r>
          </w:p>
        </w:tc>
        <w:tc>
          <w:tcPr>
            <w:tcW w:w="22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1"/>
              </w:rPr>
              <w:t>ADJUST-</w:t>
            </w:r>
          </w:p>
        </w:tc>
        <w:tc>
          <w:tcPr>
            <w:tcW w:w="2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U.S.</w:t>
            </w:r>
          </w:p>
        </w:tc>
      </w:tr>
      <w:tr>
        <w:trPr>
          <w:trHeight w:val="168"/>
        </w:trPr>
        <w:tc>
          <w:tcPr>
            <w:tcW w:w="42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REMARK</w:t>
            </w:r>
          </w:p>
        </w:tc>
        <w:tc>
          <w:tcPr>
            <w:tcW w:w="1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GAAP</w:t>
            </w: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MENTS</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GAAP</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GAAP</w:t>
            </w:r>
          </w:p>
        </w:tc>
        <w:tc>
          <w:tcPr>
            <w:tcW w:w="22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MENTS</w:t>
            </w:r>
          </w:p>
        </w:tc>
        <w:tc>
          <w:tcPr>
            <w:tcW w:w="2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GAAP</w:t>
            </w:r>
          </w:p>
        </w:tc>
      </w:tr>
      <w:tr>
        <w:trPr>
          <w:trHeight w:val="168"/>
        </w:trPr>
        <w:tc>
          <w:tcPr>
            <w:tcW w:w="420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CURRENT ASSETS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7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23,459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23,459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27,664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27,664</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DESIGNATED CASH AND SHORT-TERM</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INTEREST-BEARING DEPOITS</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A</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16,953</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(16,953)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53,793</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(53,793)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10,853</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10,853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19,286</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19,286</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8,862</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8,862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11,365</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11,365</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17,058</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17,058</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25,669</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1,310</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1,818</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1,818</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78,495</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(16,953)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61,542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139,595</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(53,793)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85,802</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LONG-TERM INVESTMENTS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A</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5,134</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(5,134)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B, C</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16,350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16,350</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5,134</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11,216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16,350</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PROPERTY AND EQUIPMENT, NET</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88"/>
              </w:rPr>
              <w:t>C</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562,962</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(3,955)</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559,007</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609,296</w:t>
            </w:r>
          </w:p>
        </w:tc>
        <w:tc>
          <w:tcPr>
            <w:tcW w:w="220" w:type="dxa"/>
            <w:vAlign w:val="bottom"/>
          </w:tcPr>
          <w:p>
            <w:pPr>
              <w:spacing w:after="0"/>
              <w:rPr>
                <w:sz w:val="24"/>
                <w:szCs w:val="24"/>
                <w:color w:val="auto"/>
              </w:rPr>
            </w:pP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(4,619)</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604,677</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DESIGNATED CASH AND SHORT-TERM AND</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A</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16,953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16,953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58,927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58,927</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OTHER ASSETS, NET</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88"/>
              </w:rPr>
              <w:t>E</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86,519</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86,323</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93,483</w:t>
            </w:r>
          </w:p>
        </w:tc>
        <w:tc>
          <w:tcPr>
            <w:tcW w:w="220" w:type="dxa"/>
            <w:vAlign w:val="bottom"/>
          </w:tcPr>
          <w:p>
            <w:pPr>
              <w:spacing w:after="0"/>
              <w:rPr>
                <w:sz w:val="24"/>
                <w:szCs w:val="24"/>
                <w:color w:val="auto"/>
              </w:rPr>
            </w:pP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(196)</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93,287</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700"/>
              <w:spacing w:after="0"/>
              <w:rPr>
                <w:sz w:val="20"/>
                <w:szCs w:val="20"/>
                <w:color w:val="auto"/>
              </w:rPr>
            </w:pPr>
            <w:r>
              <w:rPr>
                <w:rFonts w:ascii="Courier New" w:cs="Courier New" w:eastAsia="Courier New" w:hAnsi="Courier New"/>
                <w:sz w:val="15"/>
                <w:szCs w:val="15"/>
                <w:color w:val="auto"/>
              </w:rPr>
              <w:t>TOTAL ASSETS</w:t>
            </w:r>
          </w:p>
        </w:tc>
        <w:tc>
          <w:tcPr>
            <w:tcW w:w="700" w:type="dxa"/>
            <w:vAlign w:val="bottom"/>
          </w:tcPr>
          <w:p>
            <w:pPr>
              <w:spacing w:after="0"/>
              <w:rPr>
                <w:sz w:val="24"/>
                <w:szCs w:val="2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$ 727,976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12,033</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$ 740,009</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$ 847,508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11,535</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$ 859,043</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CURRENT LIABILITIES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7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59,640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59,640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65,326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65,326</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CONVERTIBLE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DEBENTURES</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E</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6,331</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5,691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8,467</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8,467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10,678</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10,678</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74,438</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73,798</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76,004</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76,004</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LONG-TERM DEBT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497,000</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497,000</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497,000</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497,000</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CONVERTIBLE DEBENTURES</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88"/>
              </w:rPr>
              <w:t>E</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18,992</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(1,919)</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17,073</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26,651</w:t>
            </w:r>
          </w:p>
        </w:tc>
        <w:tc>
          <w:tcPr>
            <w:tcW w:w="220" w:type="dxa"/>
            <w:vAlign w:val="bottom"/>
          </w:tcPr>
          <w:p>
            <w:pPr>
              <w:spacing w:after="0"/>
              <w:rPr>
                <w:sz w:val="24"/>
                <w:szCs w:val="24"/>
                <w:color w:val="auto"/>
              </w:rPr>
            </w:pP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(2,559)</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24,092</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LONG-TERM LIABILITY IN RESPECT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62,007</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62,007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64,428</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64,428</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OTHER LONG-TERM LIABILITIES</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B, C</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9,175</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16,605</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25,780</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15,445</w:t>
            </w:r>
          </w:p>
        </w:tc>
        <w:tc>
          <w:tcPr>
            <w:tcW w:w="220" w:type="dxa"/>
            <w:vAlign w:val="bottom"/>
          </w:tcPr>
          <w:p>
            <w:pPr>
              <w:spacing w:after="0"/>
              <w:rPr>
                <w:sz w:val="24"/>
                <w:szCs w:val="24"/>
                <w:color w:val="auto"/>
              </w:rPr>
            </w:pP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18,756</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34,201</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661,612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14,046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675,658</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679,528</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16,197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695,725</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SHAREHOLDERS' EQUITY</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ORDINARY SHARES, NIS 1.00 PAR VALUE -</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AUTHORIZED 250,000,000 SHARES; ISSUED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67,586,187 AND 66,999,796 SHARES,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RESPECTIVELY</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16,408</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16,408</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16,274</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16,274</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E</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518,286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520,649</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517,476</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2,363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519,839</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C</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(4,406)</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(4,406)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(7,055)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(7,055)</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(459,232)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(459,202)</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(356,672)</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(356,642)</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75,436</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73,423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177,052</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(4,662)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172,390</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TREASURY STOCK, AT COST - 1,300,000 SHARES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(9,072)</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(9,072)</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(9,072)</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66,364</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64,351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167,980</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(4,662)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163,318</w:t>
            </w:r>
          </w:p>
        </w:tc>
      </w:tr>
      <w:tr>
        <w:trPr>
          <w:trHeight w:val="168"/>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 AND SHAREHOLDERS'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EQUITY</w:t>
            </w:r>
          </w:p>
        </w:tc>
        <w:tc>
          <w:tcPr>
            <w:tcW w:w="7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$ 727,976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12,033</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$ 740,009</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$ 847,508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11,535</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$ 859,043</w:t>
            </w:r>
          </w:p>
        </w:tc>
      </w:tr>
    </w:tbl>
    <w:p>
      <w:pPr>
        <w:sectPr>
          <w:pgSz w:w="11900" w:h="16838" w:orient="portrait"/>
          <w:cols w:equalWidth="0" w:num="1">
            <w:col w:w="11540"/>
          </w:cols>
          <w:pgMar w:left="220" w:top="785" w:right="139" w:bottom="0" w:gutter="0" w:footer="0" w:header="0"/>
        </w:sectPr>
      </w:pPr>
    </w:p>
    <w:bookmarkStart w:id="30" w:name="page31"/>
    <w:bookmarkEnd w:id="30"/>
    <w:p>
      <w:pPr>
        <w:jc w:val="both"/>
        <w:ind w:left="3780"/>
        <w:spacing w:after="0"/>
        <w:tabs>
          <w:tab w:leader="none" w:pos="4900" w:val="left"/>
          <w:tab w:leader="none" w:pos="6020" w:val="left"/>
          <w:tab w:leader="none" w:pos="7160" w:val="left"/>
          <w:tab w:leader="none" w:pos="8300" w:val="left"/>
          <w:tab w:leader="none" w:pos="9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240"/>
          </w:cols>
          <w:pgMar w:left="1440" w:top="135" w:right="219" w:bottom="1440" w:gutter="0" w:footer="0" w:header="0"/>
        </w:sectPr>
      </w:pPr>
    </w:p>
    <w:bookmarkStart w:id="31" w:name="page32"/>
    <w:bookmarkEnd w:id="3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166" w:lineRule="exact"/>
        <w:rPr>
          <w:sz w:val="20"/>
          <w:szCs w:val="20"/>
          <w:color w:val="auto"/>
        </w:rPr>
      </w:pPr>
    </w:p>
    <w:p>
      <w:pPr>
        <w:ind w:left="880" w:hanging="433"/>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2" w:lineRule="exact"/>
        <w:rPr>
          <w:rFonts w:ascii="Courier New" w:cs="Courier New" w:eastAsia="Courier New" w:hAnsi="Courier New"/>
          <w:sz w:val="15"/>
          <w:szCs w:val="15"/>
          <w:color w:val="auto"/>
        </w:rPr>
      </w:pPr>
    </w:p>
    <w:p>
      <w:pPr>
        <w:ind w:left="88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Complying with SFAS 133 and SFAS 138 (C above) and APB 14 (E above) would not have materially affected the results of operations for the six-month and three-month periods ended June 30, 2005 and 2004.</w:t>
      </w:r>
    </w:p>
    <w:p>
      <w:pPr>
        <w:spacing w:after="0" w:line="154"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 IN ACCORDANCE WITH U.S. GAAP (SFAS 130)</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9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Six months ended</w:t>
            </w:r>
          </w:p>
        </w:tc>
        <w:tc>
          <w:tcPr>
            <w:tcW w:w="26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3280" w:type="dxa"/>
            <w:vAlign w:val="bottom"/>
          </w:tcPr>
          <w:p>
            <w:pPr>
              <w:spacing w:after="0"/>
              <w:rPr>
                <w:sz w:val="14"/>
                <w:szCs w:val="14"/>
                <w:color w:val="auto"/>
              </w:rPr>
            </w:pPr>
          </w:p>
        </w:tc>
        <w:tc>
          <w:tcPr>
            <w:tcW w:w="29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8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29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2005</w:t>
            </w:r>
          </w:p>
        </w:tc>
        <w:tc>
          <w:tcPr>
            <w:tcW w:w="17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2004</w:t>
            </w:r>
          </w:p>
        </w:tc>
        <w:tc>
          <w:tcPr>
            <w:tcW w:w="18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2005</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3280" w:type="dxa"/>
            <w:vAlign w:val="bottom"/>
          </w:tcPr>
          <w:p>
            <w:pPr>
              <w:spacing w:after="0"/>
              <w:rPr>
                <w:sz w:val="14"/>
                <w:szCs w:val="14"/>
                <w:color w:val="auto"/>
              </w:rPr>
            </w:pP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280" w:type="dxa"/>
            <w:vAlign w:val="bottom"/>
          </w:tcPr>
          <w:p>
            <w:pPr>
              <w:spacing w:after="0"/>
              <w:rPr>
                <w:sz w:val="14"/>
                <w:szCs w:val="14"/>
                <w:color w:val="auto"/>
              </w:rPr>
            </w:pPr>
          </w:p>
        </w:tc>
        <w:tc>
          <w:tcPr>
            <w:tcW w:w="298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rPr>
              <w:t>(unaudited)</w:t>
            </w:r>
          </w:p>
        </w:tc>
        <w:tc>
          <w:tcPr>
            <w:tcW w:w="26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Loss for the period, according</w:t>
            </w: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U.S. GAAP (see G above)</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$(102,560)</w:t>
            </w: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(75,023)</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(47,240)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 (36,532)</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comprehensive loss:</w:t>
            </w: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Reclassification of unrealized</w:t>
            </w: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losses on derivatives</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664</w:t>
            </w:r>
          </w:p>
        </w:tc>
        <w:tc>
          <w:tcPr>
            <w:tcW w:w="1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664</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332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w:t>
            </w:r>
          </w:p>
        </w:tc>
      </w:tr>
      <w:tr>
        <w:trPr>
          <w:trHeight w:val="168"/>
        </w:trPr>
        <w:tc>
          <w:tcPr>
            <w:tcW w:w="3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Unrealized gains (losses) on</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derivatives</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1,985</w:t>
            </w:r>
          </w:p>
        </w:tc>
        <w:tc>
          <w:tcPr>
            <w:tcW w:w="1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5,917</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(852)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6,705</w:t>
            </w:r>
          </w:p>
        </w:tc>
      </w:tr>
      <w:tr>
        <w:trPr>
          <w:trHeight w:val="168"/>
        </w:trPr>
        <w:tc>
          <w:tcPr>
            <w:tcW w:w="3280" w:type="dxa"/>
            <w:vAlign w:val="bottom"/>
          </w:tcPr>
          <w:p>
            <w:pPr>
              <w:spacing w:after="0"/>
              <w:rPr>
                <w:sz w:val="14"/>
                <w:szCs w:val="14"/>
                <w:color w:val="auto"/>
              </w:rPr>
            </w:pP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comprehensive loss</w:t>
            </w: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 the period</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(99,911)</w:t>
            </w: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(68,442)</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(47,760)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 (29,495)</w:t>
            </w:r>
          </w:p>
        </w:tc>
      </w:tr>
      <w:tr>
        <w:trPr>
          <w:trHeight w:val="168"/>
        </w:trPr>
        <w:tc>
          <w:tcPr>
            <w:tcW w:w="3280" w:type="dxa"/>
            <w:vAlign w:val="bottom"/>
          </w:tcPr>
          <w:p>
            <w:pPr>
              <w:spacing w:after="0"/>
              <w:rPr>
                <w:sz w:val="14"/>
                <w:szCs w:val="14"/>
                <w:color w:val="auto"/>
              </w:rPr>
            </w:pP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35" w:lineRule="exact"/>
        <w:rPr>
          <w:sz w:val="20"/>
          <w:szCs w:val="20"/>
          <w:color w:val="auto"/>
        </w:rPr>
      </w:pPr>
    </w:p>
    <w:p>
      <w:pPr>
        <w:ind w:left="880" w:hanging="433"/>
        <w:spacing w:after="0"/>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IN ACCORDANCE WITH U.S. GAAP (SFAS 128)</w:t>
      </w:r>
    </w:p>
    <w:p>
      <w:pPr>
        <w:spacing w:after="0" w:line="172" w:lineRule="exact"/>
        <w:rPr>
          <w:rFonts w:ascii="Courier New" w:cs="Courier New" w:eastAsia="Courier New" w:hAnsi="Courier New"/>
          <w:sz w:val="15"/>
          <w:szCs w:val="15"/>
          <w:color w:val="auto"/>
        </w:rPr>
      </w:pPr>
    </w:p>
    <w:p>
      <w:pPr>
        <w:ind w:left="880" w:right="33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U.S. GAAP (SFAS 128, including the implementation of SFAS 133 and SFAS 138, and APB 14 as described in G above), the basic and diluted loss per share for the six-month and three-month periods ended June 30, 2005 would be $1.56 and $0.71, respectively (during the corresponding periods - $1.18 and $0.56, respectively).</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61"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21 -</w:t>
      </w:r>
    </w:p>
    <w:p>
      <w:pPr>
        <w:sectPr>
          <w:pgSz w:w="11900" w:h="16838" w:orient="portrait"/>
          <w:cols w:equalWidth="0" w:num="1">
            <w:col w:w="10239"/>
          </w:cols>
          <w:pgMar w:left="220" w:top="785" w:right="1440" w:bottom="1440" w:gutter="0" w:footer="0" w:header="0"/>
        </w:sectPr>
      </w:pPr>
    </w:p>
    <w:bookmarkStart w:id="32" w:name="page33"/>
    <w:bookmarkEnd w:id="32"/>
    <w:p>
      <w:pPr>
        <w:jc w:val="right"/>
        <w:ind w:right="3239"/>
        <w:spacing w:after="0"/>
        <w:rPr>
          <w:sz w:val="20"/>
          <w:szCs w:val="20"/>
          <w:color w:val="auto"/>
        </w:rPr>
      </w:pPr>
      <w:r>
        <w:rPr>
          <w:rFonts w:ascii="Courier New" w:cs="Courier New" w:eastAsia="Courier New" w:hAnsi="Courier New"/>
          <w:sz w:val="15"/>
          <w:szCs w:val="15"/>
          <w:color w:val="auto"/>
        </w:rPr>
        <w:t>EXHIBIT 99.3</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TOWER SEMICONDUCTOR LTD.</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200" w:lineRule="exact"/>
        <w:rPr>
          <w:sz w:val="20"/>
          <w:szCs w:val="20"/>
          <w:color w:val="auto"/>
        </w:rPr>
      </w:pPr>
    </w:p>
    <w:p>
      <w:pPr>
        <w:spacing w:after="0" w:line="309"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INFORMATION CONTAINED IN THIS SECTION SHOULD BE READ IN CONJUNCTION WITH (1) OUR UNAUDITED CONDENSED INTERIM CONSOLIDATED FINANCIAL STATEMENTS AS OF JUNE 30, 2005 AND FOR THE SIX MONTHS THEN ENDED AND RELATED NOTES INCLUDED IN THIS REPORT AND (2) OUR CONSOLIDATED FINANCIAL STATEMENTS AND RELATED NOTES INCLUDED IN OUR ANNUAL REPORT ON FORM 20-F FOR THE YEAR ENDED DECEMBER 31, 2004 AND THE OTHER INFORMATION CONTAINED IN SUCH ANNUAL REPORT, PARTICULARLY THE INFORMATION UNDER THE CAPTION "OPERATING AND FINANCIAL REVIEW AND PROSPECTS." OUR FINANCIAL STATEMENTS HAVE BEEN PREPARED IN ACCORDANCE WITH GENERALLY ACCEPTED ACCOUNTING PRINCIPLES ("GAAP") IN ISRAEL. DIFFERENCES BETWEEN ISRAELI GAAP AND US GAAP AS THEY RELATE TO OUR FINANCIAL STATEMENTS ARE DESCRIBED IN NOTE 6 TO OUR UNAUDITED CONDENSED INTERIM CONSOLIDATED FINANCIAL STATEMENTS AS OF JUNE 30, 2005 AND IN NOTE 19 TO OUR AUDITED ANNUAL CONSOLIDATED FINANCIAL STATEMENTS INCLUDED IN OUR 2004 FORM 20-F.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following table sets forth certain statement of operations data as a percentage of total revenues for the periods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600" w:type="dxa"/>
            <w:vAlign w:val="bottom"/>
          </w:tcPr>
          <w:p>
            <w:pPr>
              <w:spacing w:after="0"/>
              <w:rPr>
                <w:sz w:val="14"/>
                <w:szCs w:val="14"/>
                <w:color w:val="auto"/>
              </w:rPr>
            </w:pPr>
          </w:p>
        </w:tc>
        <w:tc>
          <w:tcPr>
            <w:tcW w:w="21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600" w:type="dxa"/>
            <w:vAlign w:val="bottom"/>
          </w:tcPr>
          <w:p>
            <w:pPr>
              <w:spacing w:after="0"/>
              <w:rPr>
                <w:sz w:val="14"/>
                <w:szCs w:val="14"/>
                <w:color w:val="auto"/>
              </w:rPr>
            </w:pP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OF OPERATIONS DATA:</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total revenues</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243.1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171.4</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loss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(143.1)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 expenses, net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loss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(177.7)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expense, net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(123.2)%</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JUNE 30, 2005 COMPARED TO SIX MONTHS ENDED JUNE 30, 2004</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TOTAL REVENUES. Total Revenues for the six months ended June 30, 2005 decreased by 17.3% to $50.4 million from $60.9 million for the six months ended June 30, 2004. This $10.5 million decrease was attributable to lower volume of wafer shipments, which was offset by increased revenues from a joint development agreement of certain technology with a Japanese semiconductor manufacturer.</w:t>
      </w:r>
    </w:p>
    <w:p>
      <w:pPr>
        <w:spacing w:after="0" w:line="163" w:lineRule="exact"/>
        <w:rPr>
          <w:sz w:val="20"/>
          <w:szCs w:val="20"/>
          <w:color w:val="auto"/>
        </w:rPr>
      </w:pPr>
    </w:p>
    <w:p>
      <w:pPr>
        <w:ind w:right="4019" w:firstLine="437"/>
        <w:spacing w:after="0" w:line="261" w:lineRule="auto"/>
        <w:rPr>
          <w:sz w:val="20"/>
          <w:szCs w:val="20"/>
          <w:color w:val="auto"/>
        </w:rPr>
      </w:pPr>
      <w:r>
        <w:rPr>
          <w:rFonts w:ascii="Courier New" w:cs="Courier New" w:eastAsia="Courier New" w:hAnsi="Courier New"/>
          <w:sz w:val="14"/>
          <w:szCs w:val="14"/>
          <w:color w:val="auto"/>
        </w:rPr>
        <w:t>During the six months ended June 30, 2005, we had four significant customers who contributed between 6% and 29% of our revenues.</w:t>
      </w:r>
    </w:p>
    <w:p>
      <w:pPr>
        <w:spacing w:after="0" w:line="16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COST OF TOTAL REVENUES. Cost of total revenues for the six months ended June 30, 2005 totaled $122.5 million, compared with $104.4 million for the six months ended June 30, 2004. This increase was mainly due to an increase in depreciation and amortization expenses.</w:t>
      </w:r>
    </w:p>
    <w:p>
      <w:pPr>
        <w:spacing w:after="0" w:line="34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GROSS LOSS. Gross loss for the six months ended June 30, 2005 was $72.1 million compared to a gross loss of $43.5 million for the six months ended June 30, 2004. The increase in gross loss was attributable to the decrease in total revenues and to the increased cost of 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RESEARCH AND DEVELOPMENT. Research and development expenses for the six months ended June 30, 2005 increased to $8.6 million from $7.3 million for the six months ended June 30, 2004. The increase was mainly attributable to an increase in the amortization of intellectual property software and CAD (computer-assisted-design) tools used in design and development activities. Research and development expenses are reflected net of participation grants received from the Israeli government ($0.5 million and $1.1 million, for the six months ended June 30, 2005 and 2004, respectively).</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MARKETING, GENERAL AND ADMINISTRATIVE EXPENSES. Marketing, general and administrative expenses for the six months ended June 30, 2005 decreased to $8.8 million from $11 million for the six months ended June 30, 2004, primarily due to lower sales related expenses as well as to cost reductions and efficiency measures taken by the Company.</w:t>
      </w:r>
    </w:p>
    <w:p>
      <w:pPr>
        <w:spacing w:after="0" w:line="174"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OPERATING LOSS. Operating loss for the six months ended June 30, 2005 was $89.5 million, compared to $61.8 million for the six months ended June 30, 2004.</w:t>
      </w:r>
    </w:p>
    <w:p>
      <w:pPr>
        <w:sectPr>
          <w:pgSz w:w="11900" w:h="16838" w:orient="portrait"/>
          <w:cols w:equalWidth="0" w:num="1">
            <w:col w:w="10239"/>
          </w:cols>
          <w:pgMar w:left="220" w:top="135" w:right="1440" w:bottom="0" w:gutter="0" w:footer="0" w:header="0"/>
        </w:sectPr>
      </w:pPr>
    </w:p>
    <w:bookmarkStart w:id="33" w:name="page34"/>
    <w:bookmarkEnd w:id="33"/>
    <w:p>
      <w:pPr>
        <w:ind w:right="3239"/>
        <w:spacing w:after="0" w:line="234" w:lineRule="auto"/>
        <w:rPr>
          <w:sz w:val="20"/>
          <w:szCs w:val="20"/>
          <w:color w:val="auto"/>
        </w:rPr>
      </w:pPr>
      <w:r>
        <w:rPr>
          <w:rFonts w:ascii="Courier New" w:cs="Courier New" w:eastAsia="Courier New" w:hAnsi="Courier New"/>
          <w:sz w:val="15"/>
          <w:szCs w:val="15"/>
          <w:color w:val="auto"/>
        </w:rPr>
        <w:t>The increase in the operating loss is attributable mainly to the increase in the gross loss.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FINANCING EXPENSES, NET. Financing expenses, net, for the six months ended June 30, 2005 were $15.5 million compared to financing expenses, net, of $13.3 million for the six months ended June 30, 2004. This increase is mainly due to an increase of $3.7 million in connection with our Fab 2 facility agreement attributable to (i) an increase during the six months ended June 30, 2005 in the total amount of long-term loans which financed the construction and equipping of Fab 2, and (ii) the increase in the LIBOR rate from approximately 1% for the six months ended June 30, 2004 to approximately 2.8% for the six months ended June 30, 2005 (the loans bear interest at a rate of Libor + 2.5% per annum).</w:t>
      </w:r>
    </w:p>
    <w:p>
      <w:pPr>
        <w:spacing w:after="0" w:line="16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OTHER INCOME, NET. Other income, net, for the six months ended June 30, 2005 was $2.5 million compared to $0.1 million for the six months ended June 30, 2004. Other income for the six months ended June 30, 2005 was attributable mainly to insurance proceeds related to damage caused to equipment.</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LOSS. Our loss for the six months ended June 30, 2005 was $102.6 million, compared to $75 million for the six months ended June 30, 2004. This increase is primarily attributable to the increased operating loss of $27.7 million and the increase in financing expenses, net of $2.2 million offset by increased other income, net of $2.4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 AND CURRENCY FLUCTUATIONS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dollar cost of our operations in Israel is influenced by the timing of any change in the rate of inflation in Israel and the extent to which such change is not offset by the change in valuation of the NIS in relation to the dollar. During the six months ended June 30, 2005, the dollar was devaluated against the NIS by 6.2%, and the Israeli Consumer Price Index, or CPI, increased by 0.5%. During the six months ended June 30, 2004, the dollar rose in value against the NIS by 2.7%, while the CPI in Israel increased by 1.4%.</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June 30, 2005, we had an aggregate of $40.4 million in cash, cash equivalents, and short-term interest-bearing deposits, of which $5.5 million was contractually restricted for Fab 2 use only and $11.4 million was contractually restricted for exclusive use in the Siliconix project. This compares to $61.4 million we had as of June 30, 2004 in cash, cash equivalents, and short-term and interest-bearing deposits, of which $42.3 million was contractually restricted for Fab 2 use only. In addition, as of June 30, 2004, we had $4.9 million in long-term interest-bearing deposits which was contractually restricted for Fab 2 use only. During the six months ended June 30, 2005, we received $4.4 million from Investment Center grants and $1.7 million in proceeds from disposal of property. Our investments made during the six months ended June 30, 2005 aggregated to $27.7 million mainly in connection with the construction, and purchase and installation of equipment and other assets, of Fab 2.</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of June 30, 2005, we had long-term loans in the amount of $497 million in connection with the loans we obtained during 2004, 2003 and 2002 for the establishment of Fab 2. In August 2005, we received additional loans from our banks of $13.4 million, such that as of August 31, 2005 our total bank loans amounted to $510.4 million.</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41" w:right="1440" w:bottom="1440" w:gutter="0" w:footer="0" w:header="0"/>
        </w:sectPr>
      </w:pPr>
    </w:p>
    <w:bookmarkStart w:id="34" w:name="page35"/>
    <w:bookmarkEnd w:id="34"/>
    <w:p>
      <w:pPr>
        <w:ind w:right="3239" w:firstLine="437"/>
        <w:spacing w:after="0" w:line="237" w:lineRule="auto"/>
        <w:rPr>
          <w:sz w:val="20"/>
          <w:szCs w:val="20"/>
          <w:color w:val="auto"/>
        </w:rPr>
      </w:pPr>
      <w:r>
        <w:rPr>
          <w:rFonts w:ascii="Courier New" w:cs="Courier New" w:eastAsia="Courier New" w:hAnsi="Courier New"/>
          <w:sz w:val="15"/>
          <w:szCs w:val="15"/>
          <w:color w:val="auto"/>
        </w:rPr>
        <w:t>We completed the construction of the building and infrastructure of Fab 2 during the third quarter of 2003 and since then have been in the process of ramping-up Fab 2, our new advanced wafer facility adjacent to Fab 1 in Migdal Haemek, Israel. Production capacity of Fab 2 at the end of June 2005 was 14,600 wafers per month. We currently expect to have production capacity of 15,400 wafers per month by the end of 2005, of which approximately 800 wafers per month are expected to be in 0.13-micron. As of June 30, 2005, we had received a total of $1,171 million for Fab 2, as set forth below in tabular form. The remainder of the Fab 2 ramp up costs may be funded by additional grants available from the Investment Center, sales of our securities, additional loans, including from our banks, wafer prepayments from our customers, cash flow from operations and/or from other sources.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first half of 2005 and in recent years, we have experienced significant recurring losses from operations and recurring negative cash flows from operating activities and an increasing accumulated deficit. According to our approved short-term working plan, based on the current prevailing semiconductor market conditions, in the event we raise in a timely manner approximately $60,000 in funds as contemplated by an amendment to the facility agreement with our banks that was signed in July 2005, and by the commitments of certain of our equity investors and wafer partners, we will still need to raise additional funds in order to finance our short-term activities and liabilities in 2006, at least until we achieve positive cash flow from our operations. See Note 4B to the unaudited condensed interim consolidated financial statements as of June 30, 2005 for details concerning recent amendments to the financial ratios and covenants through the third quarter of 2006 under the amended facility agreement with our banks, which were obtained subsequent to a waiver letter agreement signed between us and our banks in January 2005.</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light of the financing requirements described above, we have been taking comprehensive measures to obtain the needed funds for our near-term ongoing operations, as well as to reduce our short-term liabilities. We have also implemented cost reduction measures, including measures to reduce expenses, cost structure and cash burn, and in March 2005, we completed a workforce cutback, as part of an across-the-board savings plan focused on operational efficiencies. In this regard, we have been holding discussions with certain of our equity investors, wafer partners and our banks, to provide additional funding of an aggregate amount of approximately $60 million. Consequently, we signed an amendment to the facility agreement with our banks in July 2005, which closed in August 2005. As set forth in the amendment, our banks agreed to provide us with up to approximately $30 million through the end of March 2006, of which $13.4 million was drawn down in August 2005, provided that we raise a similar amount from investors. As of August 31, 2005, certain of our equity investors and wafer partners have committed and are obligated to invest $25.5 million in the framework of a rights offering.</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35" w:name="page36"/>
    <w:bookmarkEnd w:id="35"/>
    <w:p>
      <w:pPr>
        <w:ind w:right="3239" w:firstLine="437"/>
        <w:spacing w:after="0" w:line="237" w:lineRule="auto"/>
        <w:rPr>
          <w:sz w:val="20"/>
          <w:szCs w:val="20"/>
          <w:color w:val="auto"/>
        </w:rPr>
      </w:pPr>
      <w:r>
        <w:rPr>
          <w:rFonts w:ascii="Courier New" w:cs="Courier New" w:eastAsia="Courier New" w:hAnsi="Courier New"/>
          <w:sz w:val="15"/>
          <w:szCs w:val="15"/>
          <w:color w:val="auto"/>
        </w:rPr>
        <w:t>The following chart illustrates the amounts received from various financial sources that funded the construction and ramp-up of Fab 2, as of June 30, 2005 and the amounts expected to be received from various sources for that purpose as of that date. We cannot assure you that we will be able to obtain funds from these sources as expected due to poor conditions in capital markets, poor conditions in the semiconductor market, failure to benefit from upswings in the semiconductor market or other factors, any or all of which may affect our ability to raise funds. If we do not satisfy our need for funds for Fab 2 or if the timing of the receipt of financing lags behind the timing of expenses, we may from time to time experience a lack of liquidity for our activities. The table does not reflect the amendment to the facility agreement that was signed in July 2005 with our banks that provides for financing in the amount of up to $30 million through the end of March 2006 nor the commitments of our equity investors and wafer partners to invest $25.5 million in the framework of a rights offering.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8"/>
              </w:rPr>
              <w:t>AMOUNTS</w:t>
            </w:r>
          </w:p>
        </w:tc>
        <w:tc>
          <w:tcPr>
            <w:tcW w:w="8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EXPECTED</w:t>
            </w:r>
          </w:p>
        </w:tc>
        <w:tc>
          <w:tcPr>
            <w:tcW w:w="8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 REQUIRED TO</w:t>
            </w:r>
          </w:p>
        </w:tc>
        <w:tc>
          <w:tcPr>
            <w:tcW w:w="8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BE RECEIVED</w:t>
            </w:r>
          </w:p>
        </w:tc>
        <w:tc>
          <w:tcPr>
            <w:tcW w:w="84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Sources based on agreements and</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RECEIVED AS OF</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AFTER</w:t>
            </w:r>
          </w:p>
        </w:tc>
        <w:tc>
          <w:tcPr>
            <w:tcW w:w="84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arrangements completed through June 30, 2005</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JUNE 30, 2005</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JUNE 30, 2005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(5)</w:t>
            </w:r>
          </w:p>
        </w:tc>
      </w:tr>
      <w:tr>
        <w:trPr>
          <w:trHeight w:val="168"/>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(IN MILLIONS)</w:t>
            </w:r>
          </w:p>
        </w:tc>
        <w:tc>
          <w:tcPr>
            <w:tcW w:w="840" w:type="dxa"/>
            <w:vAlign w:val="bottom"/>
          </w:tcPr>
          <w:p>
            <w:pPr>
              <w:spacing w:after="0"/>
              <w:rPr>
                <w:sz w:val="14"/>
                <w:szCs w:val="14"/>
                <w:color w:val="auto"/>
              </w:rPr>
            </w:pP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Wafer Partners and other equity investors..........</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$306</w:t>
            </w:r>
          </w:p>
        </w:tc>
        <w:tc>
          <w:tcPr>
            <w:tcW w:w="14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Israel Government Investment Center................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155</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95(1)</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facility....................................</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497(2)</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0(4)</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financing sources............................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26(3)(4)</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firstLine="447"/>
        <w:spacing w:after="0" w:line="255" w:lineRule="auto"/>
        <w:tabs>
          <w:tab w:leader="none" w:pos="78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Israeli Law, we are required to complete our approved investment program for Fab 2 by the end of 2005. Currently, we do not expect to complete our investments by December 2005 and failure to achieve a satisfactory arrangement with the Investment Center by way of an expansion plan may result in the cancellation of all or a portion of our grants, including those expected to be received subsequent to December 31, 2005, and the Investment Center may require us to repay all or a portion of grants already received.</w:t>
      </w:r>
    </w:p>
    <w:p>
      <w:pPr>
        <w:spacing w:after="0" w:line="166"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credit facility agreement, we are required to comply with minimum production capacity milestones and maintain certain financial ratios and additional conditions and covenants.</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amendments to our Fab 2 credit facility, we are required to raise additional financing from specified sources by various prescribed dates in an aggregate amount of $152.0 million by no later than June 30, 2006. As of June 30, 2005, we have raised an aggregate of $126 million and are required to raise additional $26 million by June 30, 2006, in addition to our commitments under the July 2005 amendment to raise, in equity or convertible debentures, $23.5 million by October 31, 2005 and $6.5 million by March 31, 2006. We expect to raise the remaining funding towards the $152 million through: (i) equity investments, including the sale of convertible securities and/or (ii) wafer prepayments from customers.</w:t>
      </w:r>
    </w:p>
    <w:p>
      <w:pPr>
        <w:spacing w:after="0" w:line="179" w:lineRule="exact"/>
        <w:rPr>
          <w:rFonts w:ascii="Courier New" w:cs="Courier New" w:eastAsia="Courier New" w:hAnsi="Courier New"/>
          <w:sz w:val="15"/>
          <w:szCs w:val="15"/>
          <w:color w:val="auto"/>
        </w:rPr>
      </w:pPr>
    </w:p>
    <w:p>
      <w:pPr>
        <w:ind w:right="3579" w:firstLine="447"/>
        <w:spacing w:after="0" w:line="256" w:lineRule="auto"/>
        <w:tabs>
          <w:tab w:leader="none" w:pos="78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agreed with our banks and the Israel Corporation Ltd. to complete a rights offering on pre-determined terms if we do not complete the required fundraising of $152 million described above. This arrangement may result in the availability of up to $12 million additional loans under our credit facility and up to $14 million from Israel Corp.</w:t>
      </w:r>
    </w:p>
    <w:p>
      <w:pPr>
        <w:spacing w:after="0" w:line="163" w:lineRule="exact"/>
        <w:rPr>
          <w:rFonts w:ascii="Courier New" w:cs="Courier New" w:eastAsia="Courier New" w:hAnsi="Courier New"/>
          <w:sz w:val="14"/>
          <w:szCs w:val="14"/>
          <w:color w:val="auto"/>
        </w:rPr>
      </w:pPr>
    </w:p>
    <w:p>
      <w:pPr>
        <w:ind w:right="3399" w:firstLine="447"/>
        <w:spacing w:after="0" w:line="235" w:lineRule="auto"/>
        <w:tabs>
          <w:tab w:leader="none" w:pos="7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be required to make capital investments and acquire and implement advanced technologies in order to complete the ramp-up Fab 2. In addition to the amounts listed in footnote 3 above, we will require additional cash to complete the full ramp-up of Fab 2.</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sectPr>
      <w:pgSz w:w="11900" w:h="16838" w:orient="portrait"/>
      <w:cols w:equalWidth="0" w:num="1">
        <w:col w:w="10239"/>
      </w:cols>
      <w:pgMar w:left="220" w:top="7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5"/>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6">
    <w:nsid w:val="4E6AFB66"/>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2"/>
    </w:lvl>
    <w:lvl w:ilvl="3">
      <w:lvlJc w:val="left"/>
      <w:lvlText w:val="-"/>
      <w:numFmt w:val="bullet"/>
      <w:start w:val="1"/>
    </w:lvl>
  </w:abstractNum>
  <w:abstractNum w:abstractNumId="7">
    <w:nsid w:val="25E45D32"/>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3"/>
    </w:lvl>
  </w:abstractNum>
  <w:abstractNum w:abstractNumId="8">
    <w:nsid w:val="519B500D"/>
    <w:multiLevelType w:val="hybridMultilevel"/>
    <w:lvl w:ilvl="0">
      <w:lvlJc w:val="left"/>
      <w:lvlText w:val="(%1)"/>
      <w:numFmt w:val="decimal"/>
      <w:start w:val="4"/>
    </w:lvl>
    <w:lvl w:ilvl="1">
      <w:lvlJc w:val="left"/>
      <w:lvlText w:val="-"/>
      <w:numFmt w:val="bullet"/>
      <w:start w:val="1"/>
    </w:lvl>
  </w:abstractNum>
  <w:abstractNum w:abstractNumId="9">
    <w:nsid w:val="431BD7B7"/>
    <w:multiLevelType w:val="hybridMultilevel"/>
    <w:lvl w:ilvl="0">
      <w:lvlJc w:val="left"/>
      <w:lvlText w:val="%1."/>
      <w:numFmt w:val="upperLetter"/>
      <w:start w:val="1"/>
    </w:lvl>
    <w:lvl w:ilvl="1">
      <w:lvlJc w:val="left"/>
      <w:lvlText w:val="(%2)"/>
      <w:numFmt w:val="decimal"/>
      <w:start w:val="5"/>
    </w:lvl>
    <w:lvl w:ilvl="2">
      <w:lvlJc w:val="left"/>
      <w:lvlText w:val="-"/>
      <w:numFmt w:val="bullet"/>
      <w:start w:val="1"/>
    </w:lvl>
  </w:abstractNum>
  <w:abstractNum w:abstractNumId="10">
    <w:nsid w:val="3F2DBA31"/>
    <w:multiLevelType w:val="hybridMultilevel"/>
    <w:lvl w:ilvl="0">
      <w:lvlJc w:val="left"/>
      <w:lvlText w:val="%1."/>
      <w:numFmt w:val="upperLetter"/>
      <w:start w:val="3"/>
    </w:lvl>
    <w:lvl w:ilvl="1">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lvl w:ilvl="1">
      <w:lvlJc w:val="left"/>
      <w:lvlText w:val="-"/>
      <w:numFmt w:val="bullet"/>
      <w:start w:val="1"/>
    </w:lvl>
  </w:abstractNum>
  <w:abstractNum w:abstractNumId="13">
    <w:nsid w:val="62BBD95A"/>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4">
    <w:nsid w:val="436C6125"/>
    <w:multiLevelType w:val="hybridMultilevel"/>
    <w:lvl w:ilvl="0">
      <w:lvlJc w:val="left"/>
      <w:lvlText w:val="%1."/>
      <w:numFmt w:val="upperLetter"/>
      <w:start w:val="2"/>
    </w:lvl>
    <w:lvl w:ilvl="1">
      <w:lvlJc w:val="left"/>
      <w:lvlText w:val="(%2)"/>
      <w:numFmt w:val="decimal"/>
      <w:start w:val="2"/>
    </w:lvl>
    <w:lvl w:ilvl="2">
      <w:lvlJc w:val="left"/>
      <w:lvlText w:val="-"/>
      <w:numFmt w:val="bullet"/>
      <w:start w:val="1"/>
    </w:lvl>
  </w:abstractNum>
  <w:abstractNum w:abstractNumId="15">
    <w:nsid w:val="628C895D"/>
    <w:multiLevelType w:val="hybridMultilevel"/>
    <w:lvl w:ilvl="0">
      <w:lvlJc w:val="left"/>
      <w:lvlText w:val="%1."/>
      <w:numFmt w:val="upperLetter"/>
      <w:start w:val="2"/>
    </w:lvl>
  </w:abstractNum>
  <w:abstractNum w:abstractNumId="16">
    <w:nsid w:val="333AB105"/>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7">
    <w:nsid w:val="721DA317"/>
    <w:multiLevelType w:val="hybridMultilevel"/>
    <w:lvl w:ilvl="0">
      <w:lvlJc w:val="left"/>
      <w:lvlText w:val="%1."/>
      <w:numFmt w:val="upperLetter"/>
      <w:start w:val="2"/>
    </w:lvl>
    <w:lvl w:ilvl="1">
      <w:lvlJc w:val="left"/>
      <w:lvlText w:val="(%2)"/>
      <w:numFmt w:val="decimal"/>
      <w:start w:val="2"/>
    </w:lvl>
    <w:lvl w:ilvl="2">
      <w:lvlJc w:val="left"/>
      <w:lvlText w:val="-"/>
      <w:numFmt w:val="bullet"/>
      <w:start w:val="1"/>
    </w:lvl>
    <w:lvl w:ilvl="3">
      <w:lvlJc w:val="left"/>
      <w:lvlText w:val="-"/>
      <w:numFmt w:val="bullet"/>
      <w:start w:val="1"/>
    </w:lvl>
  </w:abstractNum>
  <w:abstractNum w:abstractNumId="18">
    <w:nsid w:val="2443A858"/>
    <w:multiLevelType w:val="hybridMultilevel"/>
    <w:lvl w:ilvl="0">
      <w:lvlJc w:val="left"/>
      <w:lvlText w:val="%1."/>
      <w:numFmt w:val="upperLetter"/>
      <w:start w:val="2"/>
    </w:lvl>
    <w:lvl w:ilvl="1">
      <w:lvlJc w:val="left"/>
      <w:lvlText w:val="(%2)"/>
      <w:numFmt w:val="decimal"/>
      <w:start w:val="5"/>
    </w:lvl>
    <w:lvl w:ilvl="2">
      <w:lvlJc w:val="left"/>
      <w:lvlText w:val="-"/>
      <w:numFmt w:val="bullet"/>
      <w:start w:val="1"/>
    </w:lvl>
  </w:abstractNum>
  <w:abstractNum w:abstractNumId="19">
    <w:nsid w:val="2D1D5AE9"/>
    <w:multiLevelType w:val="hybridMultilevel"/>
    <w:lvl w:ilvl="0">
      <w:lvlJc w:val="left"/>
      <w:lvlText w:val="%1."/>
      <w:numFmt w:val="upperLetter"/>
      <w:start w:val="4"/>
    </w:lvl>
    <w:lvl w:ilvl="1">
      <w:lvlJc w:val="left"/>
      <w:lvlText w:val="-"/>
      <w:numFmt w:val="bullet"/>
      <w:start w:val="1"/>
    </w:lvl>
  </w:abstractNum>
  <w:abstractNum w:abstractNumId="20">
    <w:nsid w:val="6763845E"/>
    <w:multiLevelType w:val="hybridMultilevel"/>
    <w:lvl w:ilvl="0">
      <w:lvlJc w:val="left"/>
      <w:lvlText w:val="%1."/>
      <w:numFmt w:val="upperLetter"/>
      <w:start w:val="1"/>
    </w:lvl>
    <w:lvl w:ilvl="1">
      <w:lvlJc w:val="left"/>
      <w:lvlText w:val="-"/>
      <w:numFmt w:val="bullet"/>
      <w:start w:val="1"/>
    </w:lvl>
  </w:abstractNum>
  <w:abstractNum w:abstractNumId="21">
    <w:nsid w:val="75A2A8D4"/>
    <w:multiLevelType w:val="hybridMultilevel"/>
    <w:lvl w:ilvl="0">
      <w:lvlJc w:val="left"/>
      <w:lvlText w:val="%1."/>
      <w:numFmt w:val="upperLetter"/>
      <w:start w:val="4"/>
    </w:lvl>
  </w:abstractNum>
  <w:abstractNum w:abstractNumId="22">
    <w:nsid w:val="8EDBDAB"/>
    <w:multiLevelType w:val="hybridMultilevel"/>
    <w:lvl w:ilvl="0">
      <w:lvlJc w:val="left"/>
      <w:lvlText w:val="%1."/>
      <w:numFmt w:val="upperLetter"/>
      <w:start w:val="5"/>
    </w:lvl>
    <w:lvl w:ilvl="1">
      <w:lvlJc w:val="left"/>
      <w:lvlText w:val="-"/>
      <w:numFmt w:val="bullet"/>
      <w:start w:val="1"/>
    </w:lvl>
  </w:abstractNum>
  <w:abstractNum w:abstractNumId="23">
    <w:nsid w:val="79838CB2"/>
    <w:multiLevelType w:val="hybridMultilevel"/>
    <w:lvl w:ilvl="0">
      <w:lvlJc w:val="left"/>
      <w:lvlText w:val="%1."/>
      <w:numFmt w:val="upperLetter"/>
      <w:start w:val="7"/>
    </w:lvl>
  </w:abstractNum>
  <w:abstractNum w:abstractNumId="24">
    <w:nsid w:val="4353D0CD"/>
    <w:multiLevelType w:val="hybridMultilevel"/>
    <w:lvl w:ilvl="0">
      <w:lvlJc w:val="left"/>
      <w:lvlText w:val="%1."/>
      <w:numFmt w:val="upperLetter"/>
      <w:start w:val="9"/>
    </w:lvl>
    <w:lvl w:ilvl="1">
      <w:lvlJc w:val="left"/>
      <w:lvlText w:val="-"/>
      <w:numFmt w:val="bullet"/>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2019-12-14T03:40:04Z</dcterms:created>
  <dcterms:modified xsi:type="dcterms:W3CDTF">2019-12-14T03:40:04Z</dcterms:modified>
</cp:coreProperties>
</file>