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par value NIS 15.00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06/10/2026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Harel Insurance Investments &amp; Financial Services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jc w:val="center"/>
        <w:ind w:right="7099"/>
        <w:spacing w:after="0"/>
        <w:rPr>
          <w:sz w:val="20"/>
          <w:szCs w:val="20"/>
          <w:color w:val="auto"/>
        </w:rPr>
      </w:pPr>
      <w:r>
        <w:rPr>
          <w:rFonts w:ascii="Times New Roman" w:cs="Times New Roman" w:eastAsia="Times New Roman" w:hAnsi="Times New Roman"/>
          <w:sz w:val="22"/>
          <w:szCs w:val="22"/>
          <w:color w:val="auto"/>
        </w:rPr>
        <w:t>ISRAEL</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p>
      <w:pPr>
        <w:spacing w:after="0" w:line="6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5,656,721.00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5,700,478.00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5,700,478.00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regard to Rows (6), (8) and (9), please see Item 4. Row (11) is based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112,824,944 Ordinary Shares issued and outstanding as of March 31, 2026 (as reported by the Issuer in Exhibit 99.1 to its Report on Form 6-K filed with the Securities and Exchange Commission on May 21, 2026).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TOWER SEMICONDUCTOR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Ramat Gavriel Industrial Park, P.O. Box 619, Migdal Haemek, Israel, 2310502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Harel Insurance Investments &amp; Financial Services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3 Aba Hillel Street, Ramat Gan 52118, Israel</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Israel</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Ordinary Shares, par value NIS 15.00 per share</w:t>
      </w:r>
    </w:p>
    <w:p>
      <w:pPr>
        <w:ind w:left="960" w:hanging="912"/>
        <w:spacing w:after="0" w:line="180" w:lineRule="auto"/>
        <w:tabs>
          <w:tab w:leader="none" w:pos="960" w:val="left"/>
        </w:tabs>
        <w:numPr>
          <w:ilvl w:val="0"/>
          <w:numId w:val="3"/>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901" w:orient="portrait"/>
          <w:cols w:equalWidth="0" w:num="1">
            <w:col w:w="11160"/>
          </w:cols>
          <w:pgMar w:left="320" w:top="102" w:right="419" w:bottom="0" w:gutter="0" w:footer="0" w:header="0"/>
        </w:sectPr>
      </w:pPr>
    </w:p>
    <w:bookmarkStart w:id="2" w:name="page3"/>
    <w:bookmarkEnd w:id="2"/>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80" w:right="399" w:bottom="0" w:gutter="0" w:footer="0" w:header="0"/>
        </w:sectPr>
      </w:pPr>
    </w:p>
    <w:p>
      <w:pPr>
        <w:spacing w:after="0" w:line="33" w:lineRule="exact"/>
        <w:rPr>
          <w:sz w:val="20"/>
          <w:szCs w:val="20"/>
          <w:color w:val="auto"/>
        </w:rPr>
      </w:pPr>
    </w:p>
    <w:p>
      <w:pPr>
        <w:ind w:left="920" w:right="120"/>
        <w:spacing w:after="0" w:line="238" w:lineRule="auto"/>
        <w:rPr>
          <w:sz w:val="20"/>
          <w:szCs w:val="20"/>
          <w:color w:val="auto"/>
        </w:rPr>
      </w:pPr>
      <w:r>
        <w:rPr>
          <w:rFonts w:ascii="Times New Roman" w:cs="Times New Roman" w:eastAsia="Times New Roman" w:hAnsi="Times New Roman"/>
          <w:sz w:val="22"/>
          <w:szCs w:val="22"/>
          <w:color w:val="auto"/>
        </w:rPr>
        <w:t>Of the 5,700,478 Ordinary Shares reported in this Statement as beneficially owned by the Reporting Person, (i) 5,482,801 Ordinary Shares are held for members of the public through, among others, provident funds and/or mutual funds and/or pension funds and/or insurance policies and/or exchange traded funds, which are managed by</w:t>
      </w:r>
    </w:p>
    <w:p>
      <w:pPr>
        <w:ind w:left="920" w:right="20" w:hanging="912"/>
        <w:spacing w:after="0" w:line="204"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subsidiaries of the Reporting Person, each of which subsidiaries operates under independent management and makes independent voting and investment decisions, (ii) 43,757 Ordinary Shares are held by third-party client accounts managed by a subsidiary of the Reporting Person as portfolio managers, which subsidiary operates under independent management and makes independent investment decisions and has no voting power in the securities held in such client accounts, and (iii) 173,920 Ordinary Shares are beneficially held for its own account. Consequently, this Statement shall not be construed as an admission by the Reporting Person that it is the beneficial owner of more than 173,920 Ordinary Shares covered by this Statement.</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Row (11) of the cover page of the Reporting Person above.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80"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(6) of the cover page of the Reporting Person above and note in Item 4 above.</w:t>
      </w:r>
    </w:p>
    <w:p>
      <w:pPr>
        <w:spacing w:after="0" w:line="287" w:lineRule="exact"/>
        <w:rPr>
          <w:sz w:val="20"/>
          <w:szCs w:val="20"/>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(8) of the cover page of the Reporting Person above and note in Item 4 above.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80"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80" w:right="399" w:bottom="0" w:gutter="0" w:footer="0" w:header="0"/>
          <w:type w:val="continuous"/>
        </w:sectPr>
      </w:pPr>
    </w:p>
    <w:bookmarkStart w:id="3" w:name="page4"/>
    <w:bookmarkEnd w:id="3"/>
    <w:p>
      <w:pPr>
        <w:jc w:val="right"/>
        <w:ind w:right="419"/>
        <w:spacing w:after="0"/>
        <w:rPr>
          <w:sz w:val="20"/>
          <w:szCs w:val="20"/>
          <w:color w:val="auto"/>
        </w:rPr>
      </w:pPr>
      <w:r>
        <w:rPr>
          <w:rFonts w:ascii="Times New Roman" w:cs="Times New Roman" w:eastAsia="Times New Roman" w:hAnsi="Times New Roman"/>
          <w:sz w:val="22"/>
          <w:szCs w:val="22"/>
          <w:color w:val="auto"/>
        </w:rPr>
        <w:t>Harel Insurance Investments &amp; Financial Services Ltd.</w:t>
      </w:r>
    </w:p>
    <w:p>
      <w:pPr>
        <w:spacing w:after="0" w:line="152"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Alon Kaufman</w:t>
      </w:r>
    </w:p>
    <w:p>
      <w:pPr>
        <w:spacing w:after="0" w:line="4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Name/Title: Alon Kaufman/Vice President</w:t>
      </w:r>
    </w:p>
    <w:p>
      <w:pPr>
        <w:spacing w:after="0" w:line="44"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06/15/2025</w:t>
      </w:r>
    </w:p>
    <w:sectPr>
      <w:pgSz w:w="11900" w:h="16838" w:orient="portrait"/>
      <w:cols w:equalWidth="0" w:num="1">
        <w:col w:w="9019"/>
      </w:cols>
      <w:pgMar w:left="1440" w:top="2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5"/>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1)"/>
      <w:numFmt w:val="lowerRoman"/>
      <w:start w:val="1"/>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2026-06-15T05:58:25Z</dcterms:created>
  <dcterms:modified xsi:type="dcterms:W3CDTF">2026-06-15T05:58:25Z</dcterms:modified>
</cp:coreProperties>
</file>