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FORM 6-K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February 2010 No. 5</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2"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4" w:lineRule="exact"/>
        <w:rPr>
          <w:sz w:val="24"/>
          <w:szCs w:val="24"/>
          <w:color w:val="auto"/>
        </w:rPr>
      </w:pPr>
    </w:p>
    <w:p>
      <w:pPr>
        <w:ind w:left="4100"/>
        <w:spacing w:after="0"/>
        <w:tabs>
          <w:tab w:leader="none" w:pos="640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5"/>
          <w:szCs w:val="15"/>
          <w:color w:val="auto"/>
        </w:rPr>
        <w:t>Form 40-F £</w:t>
      </w:r>
    </w:p>
    <w:p>
      <w:pPr>
        <w:spacing w:after="0" w:line="244" w:lineRule="exact"/>
        <w:rPr>
          <w:sz w:val="24"/>
          <w:szCs w:val="24"/>
          <w:color w:val="auto"/>
        </w:rPr>
      </w:pPr>
    </w:p>
    <w:p>
      <w:pPr>
        <w:ind w:firstLine="636"/>
        <w:spacing w:after="0" w:line="26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6" w:lineRule="exact"/>
        <w:rPr>
          <w:sz w:val="24"/>
          <w:szCs w:val="24"/>
          <w:color w:val="auto"/>
        </w:rPr>
      </w:pPr>
    </w:p>
    <w:p>
      <w:pPr>
        <w:ind w:left="4420"/>
        <w:spacing w:after="0"/>
        <w:tabs>
          <w:tab w:leader="none" w:pos="664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5"/>
          <w:szCs w:val="15"/>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25360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t>On February 16, 2010, the registrant announces that TowerJazz will expand its global capacity based on customer momentum.</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249555</wp:posOffset>
            </wp:positionV>
            <wp:extent cx="725360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9579"/>
          </w:cols>
          <w:pgMar w:left="880" w:top="36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680" w:firstLine="636"/>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7920" w:type="dxa"/>
            <w:vAlign w:val="bottom"/>
            <w:gridSpan w:val="3"/>
          </w:tcPr>
          <w:p>
            <w:pPr>
              <w:ind w:left="1760"/>
              <w:spacing w:after="0"/>
              <w:rPr>
                <w:sz w:val="20"/>
                <w:szCs w:val="20"/>
                <w:color w:val="auto"/>
              </w:rPr>
            </w:pPr>
            <w:r>
              <w:rPr>
                <w:rFonts w:ascii="Arial" w:cs="Arial" w:eastAsia="Arial" w:hAnsi="Arial"/>
                <w:sz w:val="18"/>
                <w:szCs w:val="18"/>
                <w:b w:val="1"/>
                <w:bCs w:val="1"/>
                <w:color w:val="auto"/>
              </w:rPr>
              <w:t>TOWER SEMICONDUCTOR LTD.</w:t>
            </w:r>
          </w:p>
        </w:tc>
      </w:tr>
      <w:tr>
        <w:trPr>
          <w:trHeight w:val="386"/>
        </w:trPr>
        <w:tc>
          <w:tcPr>
            <w:tcW w:w="3500" w:type="dxa"/>
            <w:vAlign w:val="bottom"/>
          </w:tcPr>
          <w:p>
            <w:pPr>
              <w:spacing w:after="0"/>
              <w:rPr>
                <w:sz w:val="20"/>
                <w:szCs w:val="20"/>
                <w:color w:val="auto"/>
              </w:rPr>
            </w:pPr>
            <w:r>
              <w:rPr>
                <w:rFonts w:ascii="Arial" w:cs="Arial" w:eastAsia="Arial" w:hAnsi="Arial"/>
                <w:sz w:val="18"/>
                <w:szCs w:val="18"/>
                <w:color w:val="auto"/>
              </w:rPr>
              <w:t>Date: February 16, 2010</w:t>
            </w:r>
          </w:p>
        </w:tc>
        <w:tc>
          <w:tcPr>
            <w:tcW w:w="7920" w:type="dxa"/>
            <w:vAlign w:val="bottom"/>
            <w:gridSpan w:val="3"/>
          </w:tcPr>
          <w:p>
            <w:pPr>
              <w:ind w:left="1760"/>
              <w:spacing w:after="0"/>
              <w:rPr>
                <w:sz w:val="20"/>
                <w:szCs w:val="20"/>
                <w:color w:val="auto"/>
              </w:rPr>
            </w:pPr>
            <w:r>
              <w:rPr>
                <w:rFonts w:ascii="Arial" w:cs="Arial" w:eastAsia="Arial" w:hAnsi="Arial"/>
                <w:sz w:val="18"/>
                <w:szCs w:val="18"/>
                <w:color w:val="auto"/>
              </w:rPr>
              <w:t>By:   /s/ Nati Somekh Gilboa</w:t>
            </w:r>
          </w:p>
        </w:tc>
      </w:tr>
      <w:tr>
        <w:trPr>
          <w:trHeight w:val="20"/>
        </w:trPr>
        <w:tc>
          <w:tcPr>
            <w:tcW w:w="3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20"/>
        </w:trPr>
        <w:tc>
          <w:tcPr>
            <w:tcW w:w="3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Name: Nati Somekh Gilboa</w:t>
            </w:r>
          </w:p>
        </w:tc>
      </w:tr>
      <w:tr>
        <w:trPr>
          <w:trHeight w:val="223"/>
        </w:trPr>
        <w:tc>
          <w:tcPr>
            <w:tcW w:w="3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Title: Corporate Secretary</w:t>
            </w:r>
          </w:p>
        </w:tc>
      </w:tr>
      <w:tr>
        <w:trPr>
          <w:trHeight w:val="369"/>
        </w:trPr>
        <w:tc>
          <w:tcPr>
            <w:tcW w:w="350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b w:val="1"/>
          <w:bCs w:val="1"/>
          <w:color w:val="auto"/>
        </w:rPr>
        <w:t>TowerJazz to Expand Global Capacity Based on Customer Momentum</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Further increases production in both Israeli and US manufacturing facilities</w:t>
      </w:r>
    </w:p>
    <w:p>
      <w:pPr>
        <w:spacing w:after="0" w:line="23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MIGDAL HAEMEK, Israel, and NEWPORT BEACH, Calif., February 16, 2010 – </w:t>
      </w:r>
      <w:r>
        <w:rPr>
          <w:rFonts w:ascii="Arial" w:cs="Arial" w:eastAsia="Arial" w:hAnsi="Arial"/>
          <w:sz w:val="17"/>
          <w:szCs w:val="17"/>
          <w:color w:val="auto"/>
        </w:rPr>
        <w:t>TowerJazz, the global specialty foundry leader, today announced it has</w:t>
      </w:r>
      <w:r>
        <w:rPr>
          <w:rFonts w:ascii="Arial" w:cs="Arial" w:eastAsia="Arial" w:hAnsi="Arial"/>
          <w:sz w:val="17"/>
          <w:szCs w:val="17"/>
          <w:b w:val="1"/>
          <w:bCs w:val="1"/>
          <w:color w:val="auto"/>
        </w:rPr>
        <w:t xml:space="preserve"> </w:t>
      </w:r>
      <w:r>
        <w:rPr>
          <w:rFonts w:ascii="Arial" w:cs="Arial" w:eastAsia="Arial" w:hAnsi="Arial"/>
          <w:sz w:val="17"/>
          <w:szCs w:val="17"/>
          <w:color w:val="auto"/>
        </w:rPr>
        <w:t>accelerated plans for additional capacity expansion to meet customer demand, which is exceeding current capacity. In the company’s Fab2 located in Israel, capacity will increase by approximately 30,000 wafers per year in order to meet the greatly expanding needs of customers for its wide range of specialty process technologies. In the company’s manufacturing facility located in Newport Beach, CA, capacity will be increased by 36,000 wafers per year to enable the fab to accommodate the substantial increase in demand necessitating more than 100% utilization. The total payments to purchase the equipment by TowerJazz are expected to be approximately $15 million, resulting in an increase of approximately 66,000 wafers per year. Based on customer forecasts, this cost-effective investment has a rate of return (ROR) of two quarters.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Ephie Koltin, Senior Vice President, Worldwide Operations, TowerJazz said, “By rapidly moving in and qualifying equipment to meet increasing demand, we will have an almost immediate return on our capital investment. This model of cost-effective, used tool purchase combined with accelerated qualification and fab ramp, allows us to align real time with our customers’ forecasts with minimal idle tools. The increase in capacity has the obvious benefit of decreasing our fixed cost per wafer out, and combined with continual overall tool and supplier efficiency programs, is accretive to our already best-of-class specialty foundry operational metrics.”</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Russell Ellwanger, CEO of TowerJazz stated, “Our plans for capacity expansion are based upon customer forecasts and projections which support continued growth as we gear up for a strong 2010 and 2011. We are committed to our customers’ success as demonstrated by our move to quickly expand capacity and we are excited to help enable their market growth and to increase our market share. The additional equipment will obviously increase our wafer output enabling a higher revenue base, but as well, some tools are specifically directed to continue to grow our competitiveness within high value segments of the specialty foundry arena. This mode of quick ramp based upon identified customer need is a win-win, demonstrating our dedication to enable customer success and foster long-term strategic relationships while keeping shareholder value strongly in mind.”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725360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 (NASDAQ: TSEM, TASE: TSEM), the global specialty</w:t>
      </w:r>
    </w:p>
    <w:p>
      <w:pPr>
        <w:spacing w:after="0" w:line="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94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439"/>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Company Contact:</w:t>
            </w:r>
          </w:p>
        </w:tc>
        <w:tc>
          <w:tcPr>
            <w:tcW w:w="7500" w:type="dxa"/>
            <w:vAlign w:val="bottom"/>
            <w:gridSpan w:val="3"/>
          </w:tcPr>
          <w:p>
            <w:pPr>
              <w:ind w:left="2940"/>
              <w:spacing w:after="0"/>
              <w:rPr>
                <w:sz w:val="20"/>
                <w:szCs w:val="20"/>
                <w:color w:val="auto"/>
              </w:rPr>
            </w:pPr>
            <w:r>
              <w:rPr>
                <w:rFonts w:ascii="Arial" w:cs="Arial" w:eastAsia="Arial" w:hAnsi="Arial"/>
                <w:sz w:val="18"/>
                <w:szCs w:val="18"/>
                <w:b w:val="1"/>
                <w:bCs w:val="1"/>
                <w:color w:val="auto"/>
              </w:rPr>
              <w:t>Media Contact:</w:t>
            </w:r>
          </w:p>
        </w:tc>
      </w:tr>
      <w:tr>
        <w:trPr>
          <w:trHeight w:val="212"/>
        </w:trPr>
        <w:tc>
          <w:tcPr>
            <w:tcW w:w="392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7500" w:type="dxa"/>
            <w:vAlign w:val="bottom"/>
            <w:gridSpan w:val="3"/>
          </w:tcPr>
          <w:p>
            <w:pPr>
              <w:ind w:left="2940"/>
              <w:spacing w:after="0"/>
              <w:rPr>
                <w:sz w:val="20"/>
                <w:szCs w:val="20"/>
                <w:color w:val="auto"/>
              </w:rPr>
            </w:pPr>
            <w:r>
              <w:rPr>
                <w:rFonts w:ascii="Arial" w:cs="Arial" w:eastAsia="Arial" w:hAnsi="Arial"/>
                <w:sz w:val="18"/>
                <w:szCs w:val="18"/>
                <w:color w:val="auto"/>
              </w:rPr>
              <w:t>Lauri Julian</w:t>
            </w: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949/435-8181</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900" w:type="dxa"/>
            <w:vAlign w:val="bottom"/>
            <w:gridSpan w:val="2"/>
          </w:tcPr>
          <w:p>
            <w:pPr>
              <w:ind w:left="2940"/>
              <w:spacing w:after="0"/>
              <w:rPr>
                <w:sz w:val="20"/>
                <w:szCs w:val="20"/>
                <w:color w:val="auto"/>
              </w:rPr>
            </w:pPr>
            <w:r>
              <w:rPr>
                <w:rFonts w:ascii="Arial" w:cs="Arial" w:eastAsia="Arial" w:hAnsi="Arial"/>
                <w:sz w:val="18"/>
                <w:szCs w:val="18"/>
                <w:color w:val="auto"/>
              </w:rPr>
              <w:t>949/715-3049</w:t>
            </w:r>
          </w:p>
        </w:tc>
        <w:tc>
          <w:tcPr>
            <w:tcW w:w="2600" w:type="dxa"/>
            <w:vAlign w:val="bottom"/>
          </w:tcPr>
          <w:p>
            <w:pPr>
              <w:spacing w:after="0"/>
              <w:rPr>
                <w:sz w:val="18"/>
                <w:szCs w:val="18"/>
                <w:color w:val="auto"/>
              </w:rPr>
            </w:pPr>
          </w:p>
        </w:tc>
      </w:tr>
      <w:tr>
        <w:trPr>
          <w:trHeight w:val="185"/>
        </w:trPr>
        <w:tc>
          <w:tcPr>
            <w:tcW w:w="2240" w:type="dxa"/>
            <w:vAlign w:val="bottom"/>
            <w:gridSpan w:val="2"/>
          </w:tcPr>
          <w:p>
            <w:pPr>
              <w:spacing w:after="0" w:line="185" w:lineRule="exact"/>
              <w:rPr>
                <w:sz w:val="20"/>
                <w:szCs w:val="20"/>
                <w:color w:val="auto"/>
              </w:rPr>
            </w:pPr>
            <w:r>
              <w:rPr>
                <w:rFonts w:ascii="Arial" w:cs="Arial" w:eastAsia="Arial" w:hAnsi="Arial"/>
                <w:sz w:val="18"/>
                <w:szCs w:val="18"/>
                <w:color w:val="auto"/>
                <w:w w:val="90"/>
              </w:rPr>
              <w:t>melinda.jarrell@towerjazz.com</w:t>
            </w:r>
          </w:p>
        </w:tc>
        <w:tc>
          <w:tcPr>
            <w:tcW w:w="16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560" w:type="dxa"/>
            <w:vAlign w:val="bottom"/>
            <w:gridSpan w:val="2"/>
          </w:tcPr>
          <w:p>
            <w:pPr>
              <w:spacing w:after="0" w:line="185" w:lineRule="exact"/>
              <w:rPr>
                <w:sz w:val="20"/>
                <w:szCs w:val="20"/>
                <w:color w:val="auto"/>
              </w:rPr>
            </w:pPr>
            <w:r>
              <w:rPr>
                <w:rFonts w:ascii="Arial" w:cs="Arial" w:eastAsia="Arial" w:hAnsi="Arial"/>
                <w:sz w:val="18"/>
                <w:szCs w:val="18"/>
                <w:color w:val="auto"/>
              </w:rPr>
              <w:t>lauri.julian@towerjazz.com</w:t>
            </w:r>
          </w:p>
        </w:tc>
      </w:tr>
      <w:tr>
        <w:trPr>
          <w:trHeight w:val="458"/>
        </w:trPr>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Investor Relations Contact:</w:t>
            </w:r>
          </w:p>
        </w:tc>
        <w:tc>
          <w:tcPr>
            <w:tcW w:w="1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r>
      <w:tr>
        <w:trPr>
          <w:trHeight w:val="212"/>
        </w:trPr>
        <w:tc>
          <w:tcPr>
            <w:tcW w:w="3920" w:type="dxa"/>
            <w:vAlign w:val="bottom"/>
            <w:gridSpan w:val="3"/>
          </w:tcPr>
          <w:p>
            <w:pPr>
              <w:spacing w:after="0"/>
              <w:rPr>
                <w:sz w:val="20"/>
                <w:szCs w:val="20"/>
                <w:color w:val="auto"/>
              </w:rPr>
            </w:pPr>
            <w:r>
              <w:rPr>
                <w:rFonts w:ascii="Arial" w:cs="Arial" w:eastAsia="Arial" w:hAnsi="Arial"/>
                <w:sz w:val="18"/>
                <w:szCs w:val="18"/>
                <w:color w:val="auto"/>
              </w:rPr>
              <w:t>Levi Noit</w:t>
            </w:r>
          </w:p>
        </w:tc>
        <w:tc>
          <w:tcPr>
            <w:tcW w:w="2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+972 4 604 7066</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185"/>
        </w:trPr>
        <w:tc>
          <w:tcPr>
            <w:tcW w:w="3920" w:type="dxa"/>
            <w:vAlign w:val="bottom"/>
            <w:gridSpan w:val="3"/>
          </w:tcPr>
          <w:p>
            <w:pPr>
              <w:spacing w:after="0" w:line="185" w:lineRule="exact"/>
              <w:rPr>
                <w:sz w:val="20"/>
                <w:szCs w:val="20"/>
                <w:color w:val="auto"/>
              </w:rPr>
            </w:pPr>
            <w:r>
              <w:rPr>
                <w:rFonts w:ascii="Arial" w:cs="Arial" w:eastAsia="Arial" w:hAnsi="Arial"/>
                <w:sz w:val="18"/>
                <w:szCs w:val="18"/>
                <w:color w:val="auto"/>
              </w:rPr>
              <w:t>noit.levi@towerjazz.com</w:t>
            </w:r>
          </w:p>
        </w:tc>
        <w:tc>
          <w:tcPr>
            <w:tcW w:w="29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613"/>
        </w:trPr>
        <w:tc>
          <w:tcPr>
            <w:tcW w:w="1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70"/>
        </w:trPr>
        <w:tc>
          <w:tcPr>
            <w:tcW w:w="178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1680" w:type="dxa"/>
            <w:vAlign w:val="bottom"/>
            <w:shd w:val="clear" w:color="auto" w:fill="808080"/>
          </w:tcPr>
          <w:p>
            <w:pPr>
              <w:spacing w:after="0"/>
              <w:rPr>
                <w:sz w:val="6"/>
                <w:szCs w:val="6"/>
                <w:color w:val="auto"/>
              </w:rPr>
            </w:pPr>
          </w:p>
        </w:tc>
        <w:tc>
          <w:tcPr>
            <w:tcW w:w="2940" w:type="dxa"/>
            <w:vAlign w:val="bottom"/>
            <w:shd w:val="clear" w:color="auto" w:fill="808080"/>
          </w:tcPr>
          <w:p>
            <w:pPr>
              <w:spacing w:after="0"/>
              <w:rPr>
                <w:sz w:val="6"/>
                <w:szCs w:val="6"/>
                <w:color w:val="auto"/>
              </w:rPr>
            </w:pPr>
          </w:p>
        </w:tc>
        <w:tc>
          <w:tcPr>
            <w:tcW w:w="1960" w:type="dxa"/>
            <w:vAlign w:val="bottom"/>
            <w:shd w:val="clear" w:color="auto" w:fill="808080"/>
          </w:tcPr>
          <w:p>
            <w:pPr>
              <w:spacing w:after="0"/>
              <w:rPr>
                <w:sz w:val="6"/>
                <w:szCs w:val="6"/>
                <w:color w:val="auto"/>
              </w:rPr>
            </w:pPr>
          </w:p>
        </w:tc>
        <w:tc>
          <w:tcPr>
            <w:tcW w:w="26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2019-12-10T12:20:13Z</dcterms:created>
  <dcterms:modified xsi:type="dcterms:W3CDTF">2019-12-10T12:20:13Z</dcterms:modified>
</cp:coreProperties>
</file>