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Mail Stop 6010</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August 22,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4300 Stevens Creek Blvd., Suite 175</w:t>
      </w:r>
    </w:p>
    <w:p>
      <w:pPr>
        <w:spacing w:after="0"/>
        <w:rPr>
          <w:sz w:val="20"/>
          <w:szCs w:val="20"/>
          <w:color w:val="auto"/>
        </w:rPr>
      </w:pPr>
      <w:r>
        <w:rPr>
          <w:rFonts w:ascii="Courier New" w:cs="Courier New" w:eastAsia="Courier New" w:hAnsi="Courier New"/>
          <w:sz w:val="18"/>
          <w:szCs w:val="18"/>
          <w:color w:val="auto"/>
        </w:rPr>
        <w:t>San Jose, CA 95129</w:t>
      </w:r>
    </w:p>
    <w:p>
      <w:pPr>
        <w:spacing w:after="0" w:line="237" w:lineRule="auto"/>
        <w:rPr>
          <w:sz w:val="20"/>
          <w:szCs w:val="20"/>
          <w:color w:val="auto"/>
        </w:rPr>
      </w:pPr>
      <w:r>
        <w:rPr>
          <w:rFonts w:ascii="Courier New" w:cs="Courier New" w:eastAsia="Courier New" w:hAnsi="Courier New"/>
          <w:sz w:val="18"/>
          <w:szCs w:val="18"/>
          <w:color w:val="auto"/>
        </w:rPr>
        <w:t>As Agent for Service of Tower Semiconductor Ltd.</w:t>
      </w:r>
    </w:p>
    <w:p>
      <w:pPr>
        <w:spacing w:after="0" w:line="202" w:lineRule="exact"/>
        <w:rPr>
          <w:sz w:val="24"/>
          <w:szCs w:val="24"/>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Tower Semiconductor Ltd.</w:t>
      </w:r>
    </w:p>
    <w:p>
      <w:pPr>
        <w:ind w:left="860"/>
        <w:spacing w:after="0" w:line="238" w:lineRule="auto"/>
        <w:rPr>
          <w:sz w:val="20"/>
          <w:szCs w:val="20"/>
          <w:color w:val="auto"/>
        </w:rPr>
      </w:pPr>
      <w:r>
        <w:rPr>
          <w:rFonts w:ascii="Courier New" w:cs="Courier New" w:eastAsia="Courier New" w:hAnsi="Courier New"/>
          <w:sz w:val="18"/>
          <w:szCs w:val="18"/>
          <w:color w:val="auto"/>
        </w:rPr>
        <w:t>Registration Statement on Form F-2</w:t>
      </w:r>
    </w:p>
    <w:p>
      <w:pPr>
        <w:ind w:left="640"/>
        <w:spacing w:after="0"/>
        <w:rPr>
          <w:sz w:val="20"/>
          <w:szCs w:val="20"/>
          <w:color w:val="auto"/>
        </w:rPr>
      </w:pPr>
      <w:r>
        <w:rPr>
          <w:rFonts w:ascii="Courier New" w:cs="Courier New" w:eastAsia="Courier New" w:hAnsi="Courier New"/>
          <w:sz w:val="18"/>
          <w:szCs w:val="18"/>
          <w:color w:val="auto"/>
        </w:rPr>
        <w:t>Filed July 27, 2005</w:t>
      </w:r>
    </w:p>
    <w:p>
      <w:pPr>
        <w:ind w:left="860"/>
        <w:spacing w:after="0" w:line="237" w:lineRule="auto"/>
        <w:rPr>
          <w:sz w:val="20"/>
          <w:szCs w:val="20"/>
          <w:color w:val="auto"/>
        </w:rPr>
      </w:pPr>
      <w:r>
        <w:rPr>
          <w:rFonts w:ascii="Courier New" w:cs="Courier New" w:eastAsia="Courier New" w:hAnsi="Courier New"/>
          <w:sz w:val="18"/>
          <w:szCs w:val="18"/>
          <w:color w:val="auto"/>
        </w:rPr>
        <w:t>File No. 333-126909</w:t>
      </w:r>
    </w:p>
    <w:p>
      <w:pPr>
        <w:ind w:left="860"/>
        <w:spacing w:after="0" w:line="238" w:lineRule="auto"/>
        <w:rPr>
          <w:sz w:val="20"/>
          <w:szCs w:val="20"/>
          <w:color w:val="auto"/>
        </w:rPr>
      </w:pPr>
      <w:r>
        <w:rPr>
          <w:rFonts w:ascii="Courier New" w:cs="Courier New" w:eastAsia="Courier New" w:hAnsi="Courier New"/>
          <w:sz w:val="18"/>
          <w:szCs w:val="18"/>
          <w:color w:val="auto"/>
        </w:rPr>
        <w:t>Form 20-F for the Year Ended</w:t>
      </w:r>
    </w:p>
    <w:p>
      <w:pPr>
        <w:ind w:left="640"/>
        <w:spacing w:after="0"/>
        <w:rPr>
          <w:sz w:val="20"/>
          <w:szCs w:val="20"/>
          <w:color w:val="auto"/>
        </w:rPr>
      </w:pPr>
      <w:r>
        <w:rPr>
          <w:rFonts w:ascii="Courier New" w:cs="Courier New" w:eastAsia="Courier New" w:hAnsi="Courier New"/>
          <w:sz w:val="18"/>
          <w:szCs w:val="18"/>
          <w:color w:val="auto"/>
        </w:rPr>
        <w:t>December 31, 2004</w:t>
      </w:r>
    </w:p>
    <w:p>
      <w:pPr>
        <w:ind w:left="860"/>
        <w:spacing w:after="0" w:line="237" w:lineRule="auto"/>
        <w:rPr>
          <w:sz w:val="20"/>
          <w:szCs w:val="20"/>
          <w:color w:val="auto"/>
        </w:rPr>
      </w:pPr>
      <w:r>
        <w:rPr>
          <w:rFonts w:ascii="Courier New" w:cs="Courier New" w:eastAsia="Courier New" w:hAnsi="Courier New"/>
          <w:sz w:val="18"/>
          <w:szCs w:val="18"/>
          <w:color w:val="auto"/>
        </w:rPr>
        <w:t>Forms 6-K</w:t>
      </w:r>
    </w:p>
    <w:p>
      <w:pPr>
        <w:ind w:left="640"/>
        <w:spacing w:after="0"/>
        <w:rPr>
          <w:sz w:val="20"/>
          <w:szCs w:val="20"/>
          <w:color w:val="auto"/>
        </w:rPr>
      </w:pPr>
      <w:r>
        <w:rPr>
          <w:rFonts w:ascii="Courier New" w:cs="Courier New" w:eastAsia="Courier New" w:hAnsi="Courier New"/>
          <w:sz w:val="18"/>
          <w:szCs w:val="18"/>
          <w:color w:val="auto"/>
        </w:rPr>
        <w:t>Filed May 26, 2005 and August 3, 2005</w:t>
      </w:r>
    </w:p>
    <w:p>
      <w:pPr>
        <w:ind w:left="640"/>
        <w:spacing w:after="0" w:line="237" w:lineRule="auto"/>
        <w:rPr>
          <w:sz w:val="20"/>
          <w:szCs w:val="20"/>
          <w:color w:val="auto"/>
        </w:rPr>
      </w:pPr>
      <w:r>
        <w:rPr>
          <w:rFonts w:ascii="Courier New" w:cs="Courier New" w:eastAsia="Courier New" w:hAnsi="Courier New"/>
          <w:sz w:val="18"/>
          <w:szCs w:val="18"/>
          <w:color w:val="auto"/>
        </w:rPr>
        <w:t>File No. 0-24790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7" w:lineRule="exact"/>
        <w:rPr>
          <w:sz w:val="24"/>
          <w:szCs w:val="24"/>
          <w:color w:val="auto"/>
        </w:rPr>
      </w:pPr>
    </w:p>
    <w:p>
      <w:pPr>
        <w:ind w:right="3259" w:firstLine="632"/>
        <w:spacing w:after="0" w:line="236" w:lineRule="auto"/>
        <w:rPr>
          <w:sz w:val="20"/>
          <w:szCs w:val="20"/>
          <w:color w:val="auto"/>
        </w:rPr>
      </w:pPr>
      <w:r>
        <w:rPr>
          <w:rFonts w:ascii="Courier New" w:cs="Courier New" w:eastAsia="Courier New" w:hAnsi="Courier New"/>
          <w:sz w:val="18"/>
          <w:szCs w:val="18"/>
          <w:color w:val="auto"/>
        </w:rPr>
        <w:t>We have limited our review of your filing to those issues we have addressed in our comments. Where indicated, we think you should</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revise your document in response to these comments. If you disagree,</w:t>
      </w:r>
    </w:p>
    <w:p>
      <w:pPr>
        <w:spacing w:after="0" w:line="6"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we will consider your explanation as to why our comment is inapplicable or a revision is unnecessary. Please be as detailed as</w:t>
      </w:r>
    </w:p>
    <w:p>
      <w:pPr>
        <w:spacing w:after="0" w:line="6"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necessary in your explanation. In some of our comments, we may ask</w:t>
      </w:r>
    </w:p>
    <w:p>
      <w:pPr>
        <w:spacing w:after="0" w:line="6"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you to provide us with information so we may better understand your</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disclosure. After reviewing this information, we may raise additional comments.</w:t>
      </w:r>
    </w:p>
    <w:p>
      <w:pPr>
        <w:spacing w:after="0" w:line="208"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Please understand that the purpose of our review process 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F-2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Fee Tale</w:t>
      </w:r>
    </w:p>
    <w:p>
      <w:pPr>
        <w:spacing w:after="0" w:line="4" w:lineRule="exact"/>
        <w:rPr>
          <w:sz w:val="24"/>
          <w:szCs w:val="24"/>
          <w:color w:val="auto"/>
        </w:rPr>
      </w:pPr>
    </w:p>
    <w:p>
      <w:pPr>
        <w:ind w:right="325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appears that the rights should be registered and included in the fee table. Please revise or advise.</w:t>
      </w:r>
    </w:p>
    <w:p>
      <w:pPr>
        <w:spacing w:after="0" w:line="5" w:lineRule="exact"/>
        <w:rPr>
          <w:rFonts w:ascii="Courier New" w:cs="Courier New" w:eastAsia="Courier New" w:hAnsi="Courier New"/>
          <w:sz w:val="18"/>
          <w:szCs w:val="18"/>
          <w:color w:val="auto"/>
        </w:rPr>
      </w:pPr>
    </w:p>
    <w:p>
      <w:pPr>
        <w:ind w:right="325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 are registering $25.5 million in securities to be issued upon exercise of the rights, yet the cover page of the prospectus states that you are distributing transferable rights to purchase up to $50 million of debentures. Please reconcile.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Cover Page</w:t>
      </w: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the fourth paragraph, where you disclose that Israel</w:t>
      </w:r>
    </w:p>
    <w:p>
      <w:pPr>
        <w:spacing w:after="0" w:line="4"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 SanDisk Corporation, and Alliance Semiconductor Corporation have already committed to exercise rights to be issued to them. We</w:t>
      </w:r>
    </w:p>
    <w:p>
      <w:pPr>
        <w:spacing w:after="0" w:line="6"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also note that "certain of our shareholders" have agreed to transfer</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their unexercised rights to Israel Corp. Provide a thorough legal analysis of why you believe the simultaneous public and private offerings and the communications related thereto are consistent with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 of the 1933 Act.  We will have further comments.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Questions and Answers About the Rights Offering, page 2</w:t>
      </w:r>
    </w:p>
    <w:p>
      <w:pPr>
        <w:spacing w:after="0" w:line="4" w:lineRule="exact"/>
        <w:rPr>
          <w:sz w:val="24"/>
          <w:szCs w:val="24"/>
          <w:color w:val="auto"/>
        </w:rPr>
      </w:pPr>
    </w:p>
    <w:p>
      <w:pPr>
        <w:ind w:right="335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Explain the business reasons for structuring this as a rights offering for convertible debentures in the principal amount of $1 per</w:t>
      </w:r>
    </w:p>
    <w:p>
      <w:pPr>
        <w:spacing w:after="0" w:line="6" w:lineRule="exact"/>
        <w:rPr>
          <w:rFonts w:ascii="Courier New" w:cs="Courier New" w:eastAsia="Courier New" w:hAnsi="Courier New"/>
          <w:sz w:val="18"/>
          <w:szCs w:val="18"/>
          <w:color w:val="auto"/>
        </w:rPr>
      </w:pPr>
    </w:p>
    <w:p>
      <w:pPr>
        <w:jc w:val="both"/>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If your intent was to reduce the dilution of your existing shareholders, why are they not given rights to purchase additional shares?</w:t>
      </w:r>
    </w:p>
    <w:p>
      <w:pPr>
        <w:sectPr>
          <w:pgSz w:w="11900" w:h="16838" w:orient="portrait"/>
          <w:cols w:equalWidth="0" w:num="1">
            <w:col w:w="10219"/>
          </w:cols>
          <w:pgMar w:left="24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How will principal and interest be paid, page 2</w:t>
      </w:r>
    </w:p>
    <w:p>
      <w:pPr>
        <w:spacing w:after="0" w:line="4" w:lineRule="exact"/>
        <w:rPr>
          <w:sz w:val="20"/>
          <w:szCs w:val="20"/>
          <w:color w:val="auto"/>
        </w:rPr>
      </w:pPr>
    </w:p>
    <w:p>
      <w:pPr>
        <w:ind w:right="367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Explain in more detail the last sentence regarding the non-payment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accrued interest.</w:t>
      </w:r>
    </w:p>
    <w:p>
      <w:pPr>
        <w:spacing w:after="0" w:line="4"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Expand to describe the possible postponement of payments under</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6"/>
          <w:szCs w:val="16"/>
          <w:color w:val="auto"/>
        </w:rPr>
      </w:pPr>
    </w:p>
    <w:p>
      <w:pPr>
        <w:ind w:right="3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debentures, and supplementally explain why you believe this provision</w:t>
      </w:r>
    </w:p>
    <w:p>
      <w:pPr>
        <w:spacing w:after="0" w:line="5" w:lineRule="exact"/>
        <w:rPr>
          <w:rFonts w:ascii="Courier New" w:cs="Courier New" w:eastAsia="Courier New" w:hAnsi="Courier New"/>
          <w:sz w:val="16"/>
          <w:szCs w:val="16"/>
          <w:color w:val="auto"/>
        </w:rPr>
      </w:pPr>
    </w:p>
    <w:p>
      <w:pPr>
        <w:ind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 consistent with the requirements of the Trust Indenture Act of 1939.</w:t>
      </w:r>
    </w:p>
    <w:p>
      <w:pPr>
        <w:spacing w:after="0" w:line="5" w:lineRule="exact"/>
        <w:rPr>
          <w:rFonts w:ascii="Courier New" w:cs="Courier New" w:eastAsia="Courier New" w:hAnsi="Courier New"/>
          <w:sz w:val="16"/>
          <w:szCs w:val="16"/>
          <w:color w:val="auto"/>
        </w:rPr>
      </w:pPr>
    </w:p>
    <w:p>
      <w:pPr>
        <w:ind w:right="4199" w:firstLine="8"/>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a separate Q &amp; A to discuss the current and future subordination of the debentures and the dollar amount of indebtedness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to which they are subordinated.</w:t>
      </w:r>
    </w:p>
    <w:p>
      <w:pPr>
        <w:spacing w:after="0" w:line="4" w:lineRule="exact"/>
        <w:rPr>
          <w:rFonts w:ascii="Courier New" w:cs="Courier New" w:eastAsia="Courier New" w:hAnsi="Courier New"/>
          <w:sz w:val="18"/>
          <w:szCs w:val="18"/>
          <w:color w:val="auto"/>
        </w:rPr>
      </w:pPr>
    </w:p>
    <w:p>
      <w:pPr>
        <w:ind w:right="325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a separate Q &amp; A to disclose whether the debentures will be listed for trading.</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Must I convert the debentures I hold into ordinary shares, page 3</w:t>
      </w:r>
    </w:p>
    <w:p>
      <w:pPr>
        <w:spacing w:after="0" w:line="21" w:lineRule="exact"/>
        <w:rPr>
          <w:sz w:val="20"/>
          <w:szCs w:val="20"/>
          <w:color w:val="auto"/>
        </w:rPr>
      </w:pPr>
    </w:p>
    <w:p>
      <w:pPr>
        <w:ind w:right="389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specifically state under this heading that accrued interest</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be paid if mandatory conversion of the debentures occurs. We refer you to your disclosure in the last sentence on page 35. Why are we engaging in the rights offering, page 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Revise the answer to this question to explain more concisely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why</w:t>
      </w:r>
    </w:p>
    <w:p>
      <w:pPr>
        <w:spacing w:after="0" w:line="4"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are engaging in this offering. The current disclosure is confusing.</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disclosure in the penultimate sentence that you</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are</w:t>
      </w:r>
    </w:p>
    <w:p>
      <w:pPr>
        <w:spacing w:after="0" w:line="4"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raising the financing required by the credit facility amendment from</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Israel Corp. and SanDisk "through this rights offering in order to allow other shareholders to participate." Please explain this in more detail since your cover page states that Israel and SanDisk are</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receiving securities pursuant to this registered rights offering.</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Discuss supplementally the integration issues that arise with this transaction, which you appear to have structured as a combined public/private offering, and why you believe it is consistent with Section 5 of the 1933 Act, as we noted in our previous comment. We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may have further comments.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do you transfer your rights, page 4</w:t>
      </w:r>
    </w:p>
    <w:p>
      <w:pPr>
        <w:spacing w:after="0" w:line="4"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Explain in more detail the very unusual one-day NASDAQ listing</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w:t>
      </w:r>
    </w:p>
    <w:p>
      <w:pPr>
        <w:spacing w:after="0" w:line="4" w:lineRule="exact"/>
        <w:rPr>
          <w:rFonts w:ascii="Courier New" w:cs="Courier New" w:eastAsia="Courier New" w:hAnsi="Courier New"/>
          <w:sz w:val="16"/>
          <w:szCs w:val="16"/>
          <w:color w:val="auto"/>
        </w:rPr>
      </w:pPr>
    </w:p>
    <w:p>
      <w:pPr>
        <w:ind w:right="32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rights. Are you aware of other registered offerings that have done this?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 you sell or give away your rights, page 5</w:t>
      </w:r>
    </w:p>
    <w:p>
      <w:pPr>
        <w:spacing w:after="0" w:line="4" w:lineRule="exact"/>
        <w:rPr>
          <w:sz w:val="20"/>
          <w:szCs w:val="20"/>
          <w:color w:val="auto"/>
        </w:rPr>
      </w:pPr>
    </w:p>
    <w:p>
      <w:pPr>
        <w:ind w:right="4099" w:firstLine="8"/>
        <w:spacing w:after="0" w:line="235"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Because there are no dates filled in, we are unable to determine</w:t>
      </w:r>
    </w:p>
    <w:p>
      <w:pPr>
        <w:spacing w:after="0" w:line="5"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order in which these events will take place. For example, when</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the trading day be relative to the expiration date? Revise the</w:t>
      </w:r>
    </w:p>
    <w:p>
      <w:pPr>
        <w:spacing w:after="0" w:line="5"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here to clearly explain the sequence of this offering. Also tell us how a new investor who purchases the unexercised rights</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NASDAQ will have enough information to decide whether or not to exercise the right. We may have further comments when the disclosure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 revised.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are the federal income tax and Israeli income tax</w:t>
      </w:r>
    </w:p>
    <w:p>
      <w:pPr>
        <w:spacing w:after="0" w:line="238" w:lineRule="auto"/>
        <w:rPr>
          <w:sz w:val="20"/>
          <w:szCs w:val="20"/>
          <w:color w:val="auto"/>
        </w:rPr>
      </w:pPr>
      <w:r>
        <w:rPr>
          <w:rFonts w:ascii="Courier New" w:cs="Courier New" w:eastAsia="Courier New" w:hAnsi="Courier New"/>
          <w:sz w:val="18"/>
          <w:szCs w:val="18"/>
          <w:color w:val="auto"/>
        </w:rPr>
        <w:t>consequences,</w:t>
      </w:r>
    </w:p>
    <w:p>
      <w:pPr>
        <w:spacing w:after="0"/>
        <w:rPr>
          <w:sz w:val="20"/>
          <w:szCs w:val="20"/>
          <w:color w:val="auto"/>
        </w:rPr>
      </w:pPr>
      <w:r>
        <w:rPr>
          <w:rFonts w:ascii="Courier New" w:cs="Courier New" w:eastAsia="Courier New" w:hAnsi="Courier New"/>
          <w:sz w:val="18"/>
          <w:szCs w:val="18"/>
          <w:color w:val="auto"/>
        </w:rPr>
        <w:t>page 5</w:t>
      </w:r>
    </w:p>
    <w:p>
      <w:pPr>
        <w:spacing w:after="0" w:line="3" w:lineRule="exact"/>
        <w:rPr>
          <w:sz w:val="20"/>
          <w:szCs w:val="20"/>
          <w:color w:val="auto"/>
        </w:rPr>
      </w:pPr>
    </w:p>
    <w:p>
      <w:pPr>
        <w:ind w:right="399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state under this heading that rights received under employee</w:t>
      </w:r>
    </w:p>
    <w:p>
      <w:pPr>
        <w:spacing w:after="0" w:line="5" w:lineRule="exact"/>
        <w:rPr>
          <w:rFonts w:ascii="Courier New" w:cs="Courier New" w:eastAsia="Courier New" w:hAnsi="Courier New"/>
          <w:sz w:val="18"/>
          <w:szCs w:val="18"/>
          <w:color w:val="auto"/>
        </w:rPr>
      </w:pPr>
    </w:p>
    <w:p>
      <w:pPr>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option plans "may be" taxable. However, on page 6, you disclose that the transfer and exercise of rights granted under the</w:t>
      </w:r>
    </w:p>
    <w:p>
      <w:pPr>
        <w:spacing w:after="0" w:line="6"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option plans "are" taxable. Please clarify your disclosure.</w:t>
      </w:r>
    </w:p>
    <w:p>
      <w:pPr>
        <w:spacing w:after="0" w:line="5" w:lineRule="exact"/>
        <w:rPr>
          <w:rFonts w:ascii="Courier New" w:cs="Courier New" w:eastAsia="Courier New" w:hAnsi="Courier New"/>
          <w:sz w:val="18"/>
          <w:szCs w:val="18"/>
          <w:color w:val="auto"/>
        </w:rPr>
      </w:pPr>
    </w:p>
    <w:p>
      <w:pPr>
        <w:ind w:right="3359" w:firstLine="8"/>
        <w:spacing w:after="0" w:line="236"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note you will need to file an opinion of counsel which describes the material federal income tax consequences as an exhibit.</w:t>
      </w:r>
    </w:p>
    <w:p>
      <w:pPr>
        <w:spacing w:after="0" w:line="6" w:lineRule="exact"/>
        <w:rPr>
          <w:rFonts w:ascii="Courier New" w:cs="Courier New" w:eastAsia="Courier New" w:hAnsi="Courier New"/>
          <w:sz w:val="18"/>
          <w:szCs w:val="18"/>
          <w:color w:val="auto"/>
        </w:rPr>
      </w:pPr>
    </w:p>
    <w:p>
      <w:pPr>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should also revise the disclosure here and elsewhere in the prospectus to clearly describe counsel`s opinion regarding the material federal income tax consequences.</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What happens if you choose not to exercise your rights, page 5</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Expand to disclose the extent to which current shareholders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w:t>
      </w:r>
    </w:p>
    <w:p>
      <w:pPr>
        <w:spacing w:after="0" w:line="4"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diluted, assuming all rights are exercised and all debentures are</w:t>
      </w:r>
    </w:p>
    <w:p>
      <w:pPr>
        <w:spacing w:after="0" w:line="5"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converted. Also disclose the percentage of shares SanDisk, Alliance,</w:t>
      </w:r>
    </w:p>
    <w:p>
      <w:pPr>
        <w:spacing w:after="0" w:line="5"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Israel Corp. will hold if they convert their debentures and whether they have expressed their intent to do so.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Affecting Our Business, page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the amendment to our credit facility . . ., page 8</w:t>
      </w:r>
    </w:p>
    <w:p>
      <w:pPr>
        <w:spacing w:after="0" w:line="4" w:lineRule="exact"/>
        <w:rPr>
          <w:sz w:val="20"/>
          <w:szCs w:val="20"/>
          <w:color w:val="auto"/>
        </w:rPr>
      </w:pPr>
    </w:p>
    <w:p>
      <w:pPr>
        <w:ind w:right="419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the reference to "other things" for which the amendment</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provides. Please describe all material terms of the amendment. Describe the "certain financial ratios and covenants" to which you refer and any material risk to your satisfying the amended terms with</w:t>
      </w:r>
    </w:p>
    <w:p>
      <w:pPr>
        <w:spacing w:after="0" w:line="4"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regard to them. Revise the narrative to explain any known impediments to the consummation of the amendment to your credit facility agreement. The revised narrative should also state the date</w:t>
      </w:r>
    </w:p>
    <w:p>
      <w:pPr>
        <w:spacing w:after="0" w:line="4" w:lineRule="exact"/>
        <w:rPr>
          <w:rFonts w:ascii="Courier New" w:cs="Courier New" w:eastAsia="Courier New" w:hAnsi="Courier New"/>
          <w:sz w:val="18"/>
          <w:szCs w:val="18"/>
          <w:color w:val="auto"/>
        </w:rPr>
      </w:pPr>
    </w:p>
    <w:p>
      <w:pPr>
        <w:jc w:val="both"/>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which the amendment must be consummated to avoid the threat to your operations. Include a reference to more detailed disclosure of</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amended credit facility elsewhere in the prospectus.</w:t>
      </w:r>
    </w:p>
    <w:p>
      <w:pPr>
        <w:spacing w:after="0" w:line="207"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If we do not meet conditions to receive the Israeli government grants</w:t>
      </w:r>
    </w:p>
    <w:p>
      <w:pPr>
        <w:spacing w:after="0"/>
        <w:rPr>
          <w:sz w:val="20"/>
          <w:szCs w:val="20"/>
          <w:color w:val="auto"/>
        </w:rPr>
      </w:pPr>
      <w:r>
        <w:rPr>
          <w:rFonts w:ascii="Courier New" w:cs="Courier New" w:eastAsia="Courier New" w:hAnsi="Courier New"/>
          <w:sz w:val="18"/>
          <w:szCs w:val="18"/>
          <w:color w:val="auto"/>
        </w:rPr>
        <w:t>.. . ., page 9</w:t>
      </w:r>
    </w:p>
    <w:p>
      <w:pPr>
        <w:spacing w:after="0" w:line="4" w:lineRule="exact"/>
        <w:rPr>
          <w:sz w:val="20"/>
          <w:szCs w:val="20"/>
          <w:color w:val="auto"/>
        </w:rPr>
      </w:pPr>
    </w:p>
    <w:p>
      <w:pPr>
        <w:ind w:right="3479" w:firstLine="8"/>
        <w:spacing w:after="0" w:line="236"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Explain the specific reasons for which you do not expect to satisfy the requirement that you complete your Fab 2 investment. Give</w:t>
      </w:r>
    </w:p>
    <w:p>
      <w:pPr>
        <w:spacing w:after="0" w:line="6"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frame by which you will learn whether the Investment Center</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approve your new expansion program. Describe concretely the "adverse effect on [your] operations" as referenced in the last sentence. Describe any external political, economic or other considerations that may impact your receipt of grants and benefits from the Israeli government.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we are considered to be a passive foreign investment company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page 22</w:t>
      </w: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whether you have been found to be a PFIC in past years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reasons why you believe there to be a material risk that you may be found to be a PFIC presently or in the future.</w:t>
      </w:r>
    </w:p>
    <w:p>
      <w:pPr>
        <w:spacing w:after="0" w:line="208"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Effect of This Rights Offering on Our Convertible Securities, page 25</w:t>
      </w:r>
    </w:p>
    <w:p>
      <w:pPr>
        <w:spacing w:after="0" w:line="6" w:lineRule="exact"/>
        <w:rPr>
          <w:sz w:val="20"/>
          <w:szCs w:val="20"/>
          <w:color w:val="auto"/>
        </w:rPr>
      </w:pPr>
    </w:p>
    <w:p>
      <w:pPr>
        <w:ind w:right="3359" w:firstLine="8"/>
        <w:spacing w:after="0" w:line="237"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approximate number of shares that will be sold to employees assuming all rights offered pursuant to the Employee Share Option Plans are exercised and all debentures issued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rights offering are converted into your ordinary shares.</w:t>
      </w:r>
    </w:p>
    <w:p>
      <w:pPr>
        <w:spacing w:after="0" w:line="4" w:lineRule="exact"/>
        <w:rPr>
          <w:rFonts w:ascii="Courier New" w:cs="Courier New" w:eastAsia="Courier New" w:hAnsi="Courier New"/>
          <w:sz w:val="18"/>
          <w:szCs w:val="18"/>
          <w:color w:val="auto"/>
        </w:rPr>
      </w:pPr>
    </w:p>
    <w:p>
      <w:pPr>
        <w:ind w:right="399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explain in greater detail the calculation of the "economic</w:t>
      </w:r>
    </w:p>
    <w:p>
      <w:pPr>
        <w:spacing w:after="0" w:line="5"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 component of your employee share options, convertible debentures and Series 1 Options and how the share conversion will be</w:t>
      </w:r>
    </w:p>
    <w:p>
      <w:pPr>
        <w:spacing w:after="0" w:line="6"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this benefit. We refer you to your disclosure in</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last paragraph on page 25 and the first full paragraph on page</w:t>
      </w:r>
    </w:p>
    <w:p>
      <w:pPr>
        <w:spacing w:after="0" w:line="21" w:lineRule="exact"/>
        <w:rPr>
          <w:rFonts w:ascii="Courier New" w:cs="Courier New" w:eastAsia="Courier New" w:hAnsi="Courier New"/>
          <w:sz w:val="18"/>
          <w:szCs w:val="18"/>
          <w:color w:val="auto"/>
        </w:rPr>
      </w:pPr>
    </w:p>
    <w:p>
      <w:pPr>
        <w:spacing w:after="0"/>
        <w:tabs>
          <w:tab w:leader="none" w:pos="0" w:val="left"/>
        </w:tabs>
        <w:numPr>
          <w:ilvl w:val="0"/>
          <w:numId w:val="14"/>
        </w:numPr>
        <w:rPr>
          <w:rFonts w:ascii="Courier New" w:cs="Courier New" w:eastAsia="Courier New" w:hAnsi="Courier New"/>
          <w:sz w:val="18"/>
          <w:szCs w:val="18"/>
          <w:color w:val="auto"/>
        </w:r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Rights Offering, page 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Recommendation to Rights Holders, page 27</w:t>
      </w:r>
    </w:p>
    <w:p>
      <w:pPr>
        <w:spacing w:after="0" w:line="4" w:lineRule="exact"/>
        <w:rPr>
          <w:sz w:val="20"/>
          <w:szCs w:val="20"/>
          <w:color w:val="auto"/>
        </w:rPr>
      </w:pPr>
    </w:p>
    <w:p>
      <w:pPr>
        <w:ind w:right="3479" w:firstLine="8"/>
        <w:spacing w:after="0" w:line="237"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aggregate percentage of your outstanding common stock currently held by your officers and directors, and quantify the approximate number of shares that will be sold to these</w:t>
      </w:r>
    </w:p>
    <w:p>
      <w:pPr>
        <w:spacing w:after="0" w:line="4"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parties assuming all rights are exercised and all debentures issued</w:t>
      </w:r>
    </w:p>
    <w:p>
      <w:pPr>
        <w:spacing w:after="0" w:line="5" w:lineRule="exact"/>
        <w:rPr>
          <w:rFonts w:ascii="Courier New" w:cs="Courier New" w:eastAsia="Courier New" w:hAnsi="Courier New"/>
          <w:sz w:val="18"/>
          <w:szCs w:val="18"/>
          <w:color w:val="auto"/>
        </w:rPr>
      </w:pPr>
    </w:p>
    <w:p>
      <w:pPr>
        <w:ind w:right="3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the rights offering are converted into your ordinary shares. Please include options granted to your executive officers and</w:t>
      </w:r>
    </w:p>
    <w:p>
      <w:pPr>
        <w:sectPr>
          <w:pgSz w:w="11900" w:h="16838" w:orient="portrait"/>
          <w:cols w:equalWidth="0" w:num="1">
            <w:col w:w="10219"/>
          </w:cols>
          <w:pgMar w:left="240" w:top="744" w:right="1440" w:bottom="0" w:gutter="0" w:footer="0" w:header="0"/>
        </w:sectPr>
      </w:pPr>
    </w:p>
    <w:bookmarkStart w:id="3" w:name="page4"/>
    <w:bookmarkEnd w:id="3"/>
    <w:p>
      <w:pPr>
        <w:ind w:right="3679"/>
        <w:spacing w:after="0" w:line="235" w:lineRule="auto"/>
        <w:rPr>
          <w:sz w:val="20"/>
          <w:szCs w:val="20"/>
          <w:color w:val="auto"/>
        </w:rPr>
      </w:pPr>
      <w:r>
        <w:rPr>
          <w:rFonts w:ascii="Courier New" w:cs="Courier New" w:eastAsia="Courier New" w:hAnsi="Courier New"/>
          <w:sz w:val="18"/>
          <w:szCs w:val="18"/>
          <w:color w:val="auto"/>
        </w:rPr>
        <w:t>directors that entitle their holders to receive rights in this offering.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Decision Will Be Binding on You, page 28</w:t>
      </w:r>
    </w:p>
    <w:p>
      <w:pPr>
        <w:spacing w:after="0" w:line="4" w:lineRule="exact"/>
        <w:rPr>
          <w:sz w:val="20"/>
          <w:szCs w:val="20"/>
          <w:color w:val="auto"/>
        </w:rPr>
      </w:pPr>
    </w:p>
    <w:p>
      <w:pPr>
        <w:ind w:right="325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disclosure that you, in your sole discretion, may waive any defect or irregularity regarding the exercise of the rights. Please disclose the factors you may consider in determining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to waive any such defect or irregularity.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Method of Exercise of Rights for Record Holders, page 28</w:t>
      </w:r>
    </w:p>
    <w:p>
      <w:pPr>
        <w:spacing w:after="0" w:line="4" w:lineRule="exact"/>
        <w:rPr>
          <w:sz w:val="20"/>
          <w:szCs w:val="20"/>
          <w:color w:val="auto"/>
        </w:rPr>
      </w:pPr>
    </w:p>
    <w:p>
      <w:pPr>
        <w:ind w:right="3359" w:firstLine="8"/>
        <w:spacing w:after="0" w:line="235"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if true, that the rights offering will not be extended beyond the subscription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Income Tax Considerations, page 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Tax Considerations, page 46</w:t>
      </w:r>
    </w:p>
    <w:p>
      <w:pPr>
        <w:ind w:left="420" w:hanging="412"/>
        <w:spacing w:after="0" w:line="238"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file a tax opinion as an exhibit, and revise the</w:t>
      </w:r>
    </w:p>
    <w:p>
      <w:pPr>
        <w:spacing w:after="0" w:line="4"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to describe counsel`s opinion regarding the material federal income tax consequences. Counsel should clearly opine on each material issue. If counsel is unable to opine on any issue, so</w:t>
      </w:r>
    </w:p>
    <w:p>
      <w:pPr>
        <w:spacing w:after="0" w:line="4"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and explain why counsel cannot opine. We may have further comments after the disclosure is revised.</w:t>
      </w:r>
    </w:p>
    <w:p>
      <w:pPr>
        <w:spacing w:after="0" w:line="5" w:lineRule="exact"/>
        <w:rPr>
          <w:rFonts w:ascii="Courier New" w:cs="Courier New" w:eastAsia="Courier New" w:hAnsi="Courier New"/>
          <w:sz w:val="18"/>
          <w:szCs w:val="18"/>
          <w:color w:val="auto"/>
        </w:rPr>
      </w:pPr>
    </w:p>
    <w:p>
      <w:pPr>
        <w:ind w:right="3259" w:firstLine="8"/>
        <w:spacing w:after="0" w:line="236"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Remove the "No Reliance" bold paragraph on page 47, or explain why you believe it is appropriate to include it. What is the second</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sentence supposed to mean?</w:t>
      </w:r>
    </w:p>
    <w:p>
      <w:pPr>
        <w:spacing w:after="0" w:line="4" w:lineRule="exact"/>
        <w:rPr>
          <w:rFonts w:ascii="Courier New" w:cs="Courier New" w:eastAsia="Courier New" w:hAnsi="Courier New"/>
          <w:sz w:val="18"/>
          <w:szCs w:val="18"/>
          <w:color w:val="auto"/>
        </w:rPr>
      </w:pPr>
    </w:p>
    <w:p>
      <w:pPr>
        <w:ind w:right="3899" w:firstLine="8"/>
        <w:spacing w:after="0" w:line="235"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statement at the bottom of page 47 that you expect</w:t>
      </w:r>
    </w:p>
    <w:p>
      <w:pPr>
        <w:spacing w:after="0" w:line="5"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of the rights to be zero. How is this consistent with your intent to list unexercised rights on NASDAQ to</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give holders a chance to sell them?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Experts, page 55</w:t>
      </w:r>
    </w:p>
    <w:p>
      <w:pPr>
        <w:spacing w:after="0" w:line="4" w:lineRule="exact"/>
        <w:rPr>
          <w:sz w:val="20"/>
          <w:szCs w:val="20"/>
          <w:color w:val="auto"/>
        </w:rPr>
      </w:pPr>
    </w:p>
    <w:p>
      <w:pPr>
        <w:ind w:right="3359" w:firstLine="8"/>
        <w:spacing w:after="0" w:line="236"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reference to the limited procedures performed in accordance with those prescribed by the Institute of Certified Public</w:t>
      </w:r>
    </w:p>
    <w:p>
      <w:pPr>
        <w:spacing w:after="0" w:line="6"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Accountants in Israel by Brightman Almagor &amp; Co. for the interim financial statements for the periods ended March 31, 2004 and 2005.</w:t>
      </w:r>
    </w:p>
    <w:p>
      <w:pPr>
        <w:spacing w:after="0" w:line="6"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Exhibit 15.1, the letter from Brightman Almagor &amp; Co. also refers</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these periods. We note that you incorporate by reference your Form 6-K filed on May 26, 2005. That Form 6-K includes the review report of Brightman Almagor &amp; Co. dated May 26, 2005 for the March 31, 2005 financial statements, but not the review report dated April</w:t>
      </w:r>
    </w:p>
    <w:p>
      <w:pPr>
        <w:spacing w:after="0" w:line="6"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 2004 on the March 31, 2004 financial statements. If you continue</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these references, please also include, or incorporate by</w:t>
      </w:r>
    </w:p>
    <w:p>
      <w:pPr>
        <w:spacing w:after="0" w:line="5"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each of the review reports. Please also refer to our comment below with respect to your presentation of Israeli GAAS review reports.</w:t>
      </w: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Where You Can Find More Information; Incorporation of Information by</w:t>
      </w:r>
    </w:p>
    <w:p>
      <w:pPr>
        <w:spacing w:after="0"/>
        <w:rPr>
          <w:sz w:val="20"/>
          <w:szCs w:val="20"/>
          <w:color w:val="auto"/>
        </w:rPr>
      </w:pPr>
      <w:r>
        <w:rPr>
          <w:rFonts w:ascii="Courier New" w:cs="Courier New" w:eastAsia="Courier New" w:hAnsi="Courier New"/>
          <w:sz w:val="18"/>
          <w:szCs w:val="18"/>
          <w:color w:val="auto"/>
        </w:rPr>
        <w:t>Reference, page 56</w:t>
      </w:r>
    </w:p>
    <w:p>
      <w:pPr>
        <w:ind w:left="420" w:hanging="412"/>
        <w:spacing w:after="0" w:line="238"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correct the reference to a Form 6-K filed on July 24,</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 the top of page 57.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ind w:left="420" w:hanging="412"/>
        <w:spacing w:after="0" w:line="238"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 that when you file all exhibits relating to this</w:t>
      </w:r>
    </w:p>
    <w:p>
      <w:pPr>
        <w:spacing w:after="0" w:line="4"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we may have further comments after we have had a chance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them.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20-F for the Year Ended December 31,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Controls and Procedures, page 81</w:t>
      </w:r>
    </w:p>
    <w:p>
      <w:pPr>
        <w:spacing w:after="0" w:line="4" w:lineRule="exact"/>
        <w:rPr>
          <w:sz w:val="20"/>
          <w:szCs w:val="20"/>
          <w:color w:val="auto"/>
        </w:rPr>
      </w:pPr>
    </w:p>
    <w:p>
      <w:pPr>
        <w:jc w:val="both"/>
        <w:ind w:right="3479" w:firstLine="8"/>
        <w:spacing w:after="0" w:line="237"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Item 15(a) of Form 20-F, your officers should disclose their conclusions regarding the effectiveness of your disclosure controls and procedures (as defined in Rules 13a-15(e) or 15d-15(e))</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end of the period covered by the report. Please give us your conclusion as of that date and based upon the applicable definition and provide the conclusion required by Item 15(a) of Form</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20-F in future filings.</w:t>
      </w:r>
    </w:p>
    <w:p>
      <w:pPr>
        <w:spacing w:after="0" w:line="4" w:lineRule="exact"/>
        <w:rPr>
          <w:sz w:val="20"/>
          <w:szCs w:val="20"/>
          <w:color w:val="auto"/>
        </w:rPr>
      </w:pPr>
    </w:p>
    <w:p>
      <w:pPr>
        <w:ind w:right="3259" w:firstLine="8"/>
        <w:spacing w:after="0" w:line="236"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and include in future filings, the disclosures required by Item 15(d) of Form 20-F. Please note that the disclosure</w:t>
      </w:r>
    </w:p>
    <w:p>
      <w:pPr>
        <w:spacing w:after="0" w:line="6"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relates to any changes in your internal control over financial reporting identified in connection with the evaluation required by paragraph (d) of Rule 13a-15 or 15d-15 that occurred during the period covered by the annual report that has materially affected, or</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 reasonably likely to materially affect, your internal control over</w:t>
      </w:r>
    </w:p>
    <w:p>
      <w:pPr>
        <w:spacing w:after="0" w:line="5"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reporting. Your current disclosure appears to only address</w:t>
      </w:r>
    </w:p>
    <w:p>
      <w:pPr>
        <w:spacing w:after="0" w:line="5" w:lineRule="exact"/>
        <w:rPr>
          <w:rFonts w:ascii="Courier New" w:cs="Courier New" w:eastAsia="Courier New" w:hAnsi="Courier New"/>
          <w:sz w:val="18"/>
          <w:szCs w:val="18"/>
          <w:color w:val="auto"/>
        </w:rPr>
      </w:pPr>
    </w:p>
    <w:p>
      <w:pPr>
        <w:ind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changes in disclosure controls that could significantly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affect those controls subsequent to the date of your evaluation.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Financial Statements, page F-1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Independent Registered Public Accounting Firm, page F-1</w:t>
      </w:r>
    </w:p>
    <w:p>
      <w:pPr>
        <w:spacing w:after="0" w:line="16" w:lineRule="exact"/>
        <w:rPr>
          <w:sz w:val="20"/>
          <w:szCs w:val="20"/>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tell us why the audit opinion refers only to a U.S.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GAAP</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with respect to your financial position and results of</w:t>
      </w:r>
    </w:p>
    <w:p>
      <w:pPr>
        <w:spacing w:after="0" w:line="5" w:lineRule="exact"/>
        <w:rPr>
          <w:rFonts w:ascii="Courier New" w:cs="Courier New" w:eastAsia="Courier New" w:hAnsi="Courier New"/>
          <w:sz w:val="18"/>
          <w:szCs w:val="18"/>
          <w:color w:val="auto"/>
        </w:rPr>
      </w:pPr>
    </w:p>
    <w:p>
      <w:pPr>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 for the period presented and does not include your statements of cash flows. Please explain how you complied with Item</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17(c)(2)(iii) of Form 20-F.</w:t>
      </w:r>
    </w:p>
    <w:p>
      <w:pPr>
        <w:spacing w:after="0" w:line="4" w:lineRule="exact"/>
        <w:rPr>
          <w:rFonts w:ascii="Courier New" w:cs="Courier New" w:eastAsia="Courier New" w:hAnsi="Courier New"/>
          <w:sz w:val="18"/>
          <w:szCs w:val="18"/>
          <w:color w:val="auto"/>
        </w:rPr>
      </w:pPr>
    </w:p>
    <w:p>
      <w:pPr>
        <w:ind w:right="3779" w:firstLine="8"/>
        <w:spacing w:after="0" w:line="235"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tell us about any evaluations and conclusions with respect</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your ability to continue as a going concern as of December 31, 2004. Please see AU Section 341.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Commitments and Contingencies, page F-18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Commitments and Contingencies Relating to FAB 2, page F-18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Facility Agreement, page F-22</w:t>
      </w:r>
    </w:p>
    <w:p>
      <w:pPr>
        <w:spacing w:after="0" w:line="4" w:lineRule="exact"/>
        <w:rPr>
          <w:sz w:val="20"/>
          <w:szCs w:val="20"/>
          <w:color w:val="auto"/>
        </w:rPr>
      </w:pPr>
    </w:p>
    <w:p>
      <w:pPr>
        <w:jc w:val="both"/>
        <w:ind w:right="3579" w:firstLine="8"/>
        <w:spacing w:after="0" w:line="236"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tell us how you will account for the indemnification agreement with TIC discussed in the last paragraph on page F-24 under</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 GAAP. Please cite the accounting literature upon which you will</w:t>
      </w:r>
    </w:p>
    <w:p>
      <w:pPr>
        <w:spacing w:after="0" w:line="5"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rely and explain how you will apply that literature to your situation.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Forms 6-K filed May 26, 2005 and August 3, 2005</w:t>
      </w:r>
    </w:p>
    <w:p>
      <w:pPr>
        <w:spacing w:after="0" w:line="4" w:lineRule="exact"/>
        <w:rPr>
          <w:sz w:val="20"/>
          <w:szCs w:val="20"/>
          <w:color w:val="auto"/>
        </w:rPr>
      </w:pPr>
    </w:p>
    <w:p>
      <w:pPr>
        <w:ind w:right="3579" w:firstLine="8"/>
        <w:spacing w:after="0" w:line="236" w:lineRule="auto"/>
        <w:tabs>
          <w:tab w:leader="none" w:pos="4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you have incorporated by reference into all effective registration statements your financial statements for the</w:t>
      </w:r>
    </w:p>
    <w:p>
      <w:pPr>
        <w:spacing w:after="0" w:line="6" w:lineRule="exact"/>
        <w:rPr>
          <w:rFonts w:ascii="Courier New" w:cs="Courier New" w:eastAsia="Courier New" w:hAnsi="Courier New"/>
          <w:sz w:val="18"/>
          <w:szCs w:val="18"/>
          <w:color w:val="auto"/>
        </w:rPr>
      </w:pPr>
    </w:p>
    <w:p>
      <w:pPr>
        <w:ind w:right="3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periods ended March 31, and June 30, 2005. In addition, the financial statements for the period ended March 31, 2005 were incorporated by reference into your Form F-2 filed on July 27, 2005.</w:t>
      </w:r>
    </w:p>
    <w:p>
      <w:pPr>
        <w:spacing w:after="0" w:line="4"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 appears that these statements were included under Item 8.A.5 of Form 20-F. Please update your Form F-2 to include the June 30, 2005</w:t>
      </w:r>
    </w:p>
    <w:p>
      <w:pPr>
        <w:spacing w:after="0" w:line="6"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required by Item 8.5.A of Form 20-F. Please also amend to include in the registration statements, or incorporate</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reference, an MD&amp;A discussion of the most recent comparative interim periods in your registration statements.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Item 8.A.5 of Form 20-F, you are encouraged, but not</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to have your interim financial statements reviewed by an independent auditor in accordance with the standards of the PCAOB (U.S.). We note that you include review reports of Brightman Almagor</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&amp; Co. in accordance with standards prescribed by the Institute of Certified Public Accountants in Israel for interim financial statements. Since the review was not conducted in accordance with the standards of the PCAOB (U.S.), you should remove the references</w:t>
      </w:r>
    </w:p>
    <w:p>
      <w:pPr>
        <w:spacing w:after="0" w:line="6"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those review reports in your Form F-2 and not include or incorporate by reference those review reports from your Forms 6-K. Alternatively, if you believe that inclusion of those review reports</w:t>
      </w:r>
    </w:p>
    <w:p>
      <w:pPr>
        <w:spacing w:after="0" w:line="4"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 required or necessary, then we believe that you should include cautionary language where you refer to those reports and immediately</w:t>
      </w:r>
    </w:p>
    <w:p>
      <w:pPr>
        <w:spacing w:after="0" w:line="6" w:lineRule="exact"/>
        <w:rPr>
          <w:rFonts w:ascii="Courier New" w:cs="Courier New" w:eastAsia="Courier New" w:hAnsi="Courier New"/>
          <w:sz w:val="18"/>
          <w:szCs w:val="18"/>
          <w:color w:val="auto"/>
        </w:rPr>
      </w:pPr>
    </w:p>
    <w:p>
      <w:pPr>
        <w:jc w:val="both"/>
        <w:ind w:right="32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prior to the reports to inform investors that the reviews were not conducted in accordance with the standards of the PCAOB (U.S.) and</w:t>
      </w:r>
    </w:p>
    <w:p>
      <w:pPr>
        <w:sectPr>
          <w:pgSz w:w="11900" w:h="16838" w:orient="portrait"/>
          <w:cols w:equalWidth="0" w:num="1">
            <w:col w:w="10219"/>
          </w:cols>
          <w:pgMar w:left="240" w:top="136" w:right="1440" w:bottom="0" w:gutter="0" w:footer="0" w:header="0"/>
        </w:sectPr>
      </w:pPr>
    </w:p>
    <w:bookmarkStart w:id="5" w:name="page6"/>
    <w:bookmarkEnd w:id="5"/>
    <w:p>
      <w:pPr>
        <w:ind w:right="3359"/>
        <w:spacing w:after="0" w:line="279" w:lineRule="auto"/>
        <w:rPr>
          <w:sz w:val="20"/>
          <w:szCs w:val="20"/>
          <w:color w:val="auto"/>
        </w:rPr>
      </w:pPr>
      <w:r>
        <w:rPr>
          <w:rFonts w:ascii="Courier New" w:cs="Courier New" w:eastAsia="Courier New" w:hAnsi="Courier New"/>
          <w:sz w:val="16"/>
          <w:szCs w:val="16"/>
          <w:color w:val="auto"/>
        </w:rPr>
        <w:t>describe the differences between a review conducted in accordance with the standards of the PCAOB (U.S.) and the standards of the Institute of Certified Public Accountants in Israel.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6-K Filed August 3, 2005</w:t>
      </w:r>
    </w:p>
    <w:p>
      <w:pPr>
        <w:spacing w:after="0" w:line="4" w:lineRule="exact"/>
        <w:rPr>
          <w:sz w:val="20"/>
          <w:szCs w:val="20"/>
          <w:color w:val="auto"/>
        </w:rPr>
      </w:pPr>
    </w:p>
    <w:p>
      <w:pPr>
        <w:ind w:right="3999" w:firstLine="8"/>
        <w:spacing w:after="0" w:line="235"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future filings please provide all of the disclosures required</w:t>
      </w:r>
    </w:p>
    <w:p>
      <w:pPr>
        <w:spacing w:after="0" w:line="5"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Item 10(e) of Regulation S-K with respect to each non-GAAP financial measure you disclose.</w:t>
      </w:r>
    </w:p>
    <w:p>
      <w:pPr>
        <w:spacing w:after="0" w:line="203" w:lineRule="exact"/>
        <w:rPr>
          <w:sz w:val="20"/>
          <w:szCs w:val="20"/>
          <w:color w:val="auto"/>
        </w:rPr>
      </w:pPr>
    </w:p>
    <w:p>
      <w:pPr>
        <w:spacing w:after="0"/>
        <w:tabs>
          <w:tab w:leader="none" w:pos="620" w:val="left"/>
          <w:tab w:leader="none" w:pos="1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As appropriate, please amend your registration statement in</w:t>
      </w:r>
    </w:p>
    <w:p>
      <w:pPr>
        <w:spacing w:after="0"/>
        <w:tabs>
          <w:tab w:leader="none" w:pos="3040" w:val="left"/>
        </w:tabs>
        <w:rPr>
          <w:sz w:val="20"/>
          <w:szCs w:val="20"/>
          <w:color w:val="auto"/>
        </w:rPr>
      </w:pPr>
      <w:r>
        <w:rPr>
          <w:rFonts w:ascii="Courier New" w:cs="Courier New" w:eastAsia="Courier New" w:hAnsi="Courier New"/>
          <w:sz w:val="18"/>
          <w:szCs w:val="18"/>
          <w:color w:val="auto"/>
        </w:rPr>
        <w:t>response to these comments.</w:t>
      </w:r>
      <w:r>
        <w:rPr>
          <w:sz w:val="20"/>
          <w:szCs w:val="20"/>
          <w:color w:val="auto"/>
        </w:rPr>
        <w:tab/>
      </w:r>
      <w:r>
        <w:rPr>
          <w:rFonts w:ascii="Courier New" w:cs="Courier New" w:eastAsia="Courier New" w:hAnsi="Courier New"/>
          <w:sz w:val="16"/>
          <w:szCs w:val="16"/>
          <w:color w:val="auto"/>
        </w:rPr>
        <w:t>You may wish to provide us with</w:t>
      </w:r>
    </w:p>
    <w:p>
      <w:pPr>
        <w:spacing w:after="0" w:line="237" w:lineRule="auto"/>
        <w:rPr>
          <w:sz w:val="20"/>
          <w:szCs w:val="20"/>
          <w:color w:val="auto"/>
        </w:rPr>
      </w:pPr>
      <w:r>
        <w:rPr>
          <w:rFonts w:ascii="Courier New" w:cs="Courier New" w:eastAsia="Courier New" w:hAnsi="Courier New"/>
          <w:sz w:val="18"/>
          <w:szCs w:val="18"/>
          <w:color w:val="auto"/>
        </w:rPr>
        <w:t>marked</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copies of the amendment to expedite our review. Please furnish a cover letter with your amendment that keys your responses to our comments and provides any requested information. Detailed cover letters greatly facilitate our review. Please understand that we may</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have additional comments after reviewing your amendment and responses</w:t>
      </w:r>
    </w:p>
    <w:p>
      <w:pPr>
        <w:spacing w:after="0"/>
        <w:rPr>
          <w:sz w:val="20"/>
          <w:szCs w:val="20"/>
          <w:color w:val="auto"/>
        </w:rPr>
      </w:pPr>
      <w:r>
        <w:rPr>
          <w:rFonts w:ascii="Courier New" w:cs="Courier New" w:eastAsia="Courier New" w:hAnsi="Courier New"/>
          <w:sz w:val="18"/>
          <w:szCs w:val="18"/>
          <w:color w:val="auto"/>
        </w:rPr>
        <w:t>to our comments.</w:t>
      </w:r>
    </w:p>
    <w:p>
      <w:pPr>
        <w:spacing w:after="0" w:line="207" w:lineRule="exact"/>
        <w:rPr>
          <w:sz w:val="20"/>
          <w:szCs w:val="20"/>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 to be certain that the filing includes all information required under the Securities Act of</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1933 and that they have provided all information investors require for an informed investment decision. Since the company and its management are in possession of all facts relating to a company`s disclosure, they are responsible for the accuracy and adequacy of the</w:t>
      </w:r>
    </w:p>
    <w:p>
      <w:pPr>
        <w:spacing w:after="0"/>
        <w:rPr>
          <w:sz w:val="20"/>
          <w:szCs w:val="20"/>
          <w:color w:val="auto"/>
        </w:rPr>
      </w:pPr>
      <w:r>
        <w:rPr>
          <w:rFonts w:ascii="Courier New" w:cs="Courier New" w:eastAsia="Courier New" w:hAnsi="Courier New"/>
          <w:sz w:val="18"/>
          <w:szCs w:val="18"/>
          <w:color w:val="auto"/>
        </w:rPr>
        <w:t>disclosures they have made.</w:t>
      </w:r>
    </w:p>
    <w:p>
      <w:pPr>
        <w:spacing w:after="0" w:line="207" w:lineRule="exact"/>
        <w:rPr>
          <w:sz w:val="20"/>
          <w:szCs w:val="20"/>
          <w:color w:val="auto"/>
        </w:rPr>
      </w:pPr>
    </w:p>
    <w:p>
      <w:pPr>
        <w:ind w:right="3899" w:firstLine="632"/>
        <w:spacing w:after="0" w:line="235" w:lineRule="auto"/>
        <w:rPr>
          <w:sz w:val="20"/>
          <w:szCs w:val="20"/>
          <w:color w:val="auto"/>
        </w:rPr>
      </w:pPr>
      <w:r>
        <w:rPr>
          <w:rFonts w:ascii="Courier New" w:cs="Courier New" w:eastAsia="Courier New" w:hAnsi="Courier New"/>
          <w:sz w:val="18"/>
          <w:szCs w:val="18"/>
          <w:color w:val="auto"/>
        </w:rPr>
        <w:t>Notwithstanding our comments, in the event the company requests</w:t>
      </w:r>
    </w:p>
    <w:p>
      <w:pPr>
        <w:spacing w:after="0"/>
        <w:rPr>
          <w:sz w:val="20"/>
          <w:szCs w:val="20"/>
          <w:color w:val="auto"/>
        </w:rPr>
      </w:pPr>
      <w:r>
        <w:rPr>
          <w:rFonts w:ascii="Courier New" w:cs="Courier New" w:eastAsia="Courier New" w:hAnsi="Courier New"/>
          <w:sz w:val="18"/>
          <w:szCs w:val="18"/>
          <w:color w:val="auto"/>
        </w:rPr>
        <w:t>acceleration of the effective date of the pending registration</w:t>
      </w:r>
    </w:p>
    <w:p>
      <w:pPr>
        <w:spacing w:after="0" w:line="238" w:lineRule="auto"/>
        <w:rPr>
          <w:sz w:val="20"/>
          <w:szCs w:val="20"/>
          <w:color w:val="auto"/>
        </w:rPr>
      </w:pPr>
      <w:r>
        <w:rPr>
          <w:rFonts w:ascii="Courier New" w:cs="Courier New" w:eastAsia="Courier New" w:hAnsi="Courier New"/>
          <w:sz w:val="18"/>
          <w:szCs w:val="18"/>
          <w:color w:val="auto"/>
        </w:rPr>
        <w:t>statement, it should furnish a letter, at the time of such</w:t>
      </w:r>
    </w:p>
    <w:p>
      <w:pPr>
        <w:spacing w:after="0"/>
        <w:rPr>
          <w:sz w:val="20"/>
          <w:szCs w:val="20"/>
          <w:color w:val="auto"/>
        </w:rPr>
      </w:pPr>
      <w:r>
        <w:rPr>
          <w:rFonts w:ascii="Courier New" w:cs="Courier New" w:eastAsia="Courier New" w:hAnsi="Courier New"/>
          <w:sz w:val="18"/>
          <w:szCs w:val="18"/>
          <w:color w:val="auto"/>
        </w:rPr>
        <w:t>request,</w:t>
      </w:r>
    </w:p>
    <w:p>
      <w:pPr>
        <w:spacing w:after="0" w:line="237" w:lineRule="auto"/>
        <w:rPr>
          <w:sz w:val="20"/>
          <w:szCs w:val="20"/>
          <w:color w:val="auto"/>
        </w:rPr>
      </w:pPr>
      <w:r>
        <w:rPr>
          <w:rFonts w:ascii="Courier New" w:cs="Courier New" w:eastAsia="Courier New" w:hAnsi="Courier New"/>
          <w:sz w:val="18"/>
          <w:szCs w:val="18"/>
          <w:color w:val="auto"/>
        </w:rPr>
        <w:t>acknowledging that:</w:t>
      </w:r>
    </w:p>
    <w:p>
      <w:pPr>
        <w:spacing w:after="0" w:line="207" w:lineRule="exact"/>
        <w:rPr>
          <w:sz w:val="20"/>
          <w:szCs w:val="20"/>
          <w:color w:val="auto"/>
        </w:rPr>
      </w:pPr>
    </w:p>
    <w:p>
      <w:pPr>
        <w:ind w:right="3679" w:firstLine="8"/>
        <w:spacing w:after="0" w:line="235" w:lineRule="auto"/>
        <w:tabs>
          <w:tab w:leader="none" w:pos="84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Commission or the staff, acting pursuant to delegated</w:t>
      </w:r>
    </w:p>
    <w:p>
      <w:pPr>
        <w:spacing w:after="0" w:line="5" w:lineRule="exact"/>
        <w:rPr>
          <w:rFonts w:ascii="Courier New" w:cs="Courier New" w:eastAsia="Courier New" w:hAnsi="Courier New"/>
          <w:sz w:val="18"/>
          <w:szCs w:val="18"/>
          <w:color w:val="auto"/>
        </w:rPr>
      </w:pPr>
    </w:p>
    <w:p>
      <w:pPr>
        <w:ind w:right="32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authority, declare the filing effective, it does not foreclose the Commission from taking any action with respect to the filing;</w:t>
      </w:r>
    </w:p>
    <w:p>
      <w:pPr>
        <w:spacing w:after="0" w:line="169" w:lineRule="exact"/>
        <w:rPr>
          <w:rFonts w:ascii="Courier New" w:cs="Courier New" w:eastAsia="Courier New" w:hAnsi="Courier New"/>
          <w:sz w:val="18"/>
          <w:szCs w:val="18"/>
          <w:color w:val="auto"/>
        </w:rPr>
      </w:pPr>
    </w:p>
    <w:p>
      <w:pPr>
        <w:ind w:right="2939" w:firstLine="8"/>
        <w:spacing w:after="0" w:line="237" w:lineRule="auto"/>
        <w:tabs>
          <w:tab w:leader="none" w:pos="84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the disclosure in the filing; and</w:t>
      </w:r>
    </w:p>
    <w:p>
      <w:pPr>
        <w:spacing w:after="0" w:line="20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not assert staff comments and the declaration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w:t>
      </w:r>
    </w:p>
    <w:p>
      <w:pPr>
        <w:spacing w:after="0" w:line="4" w:lineRule="exact"/>
        <w:rPr>
          <w:rFonts w:ascii="Courier New" w:cs="Courier New" w:eastAsia="Courier New" w:hAnsi="Courier New"/>
          <w:sz w:val="16"/>
          <w:szCs w:val="16"/>
          <w:color w:val="auto"/>
        </w:rPr>
      </w:pPr>
    </w:p>
    <w:p>
      <w:pPr>
        <w:ind w:right="33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effectiveness as a defense in any proceeding initiated by the Commission or any person under the federal securities laws of the United States.</w:t>
      </w:r>
    </w:p>
    <w:p>
      <w:pPr>
        <w:spacing w:after="0" w:line="209" w:lineRule="exact"/>
        <w:rPr>
          <w:sz w:val="20"/>
          <w:szCs w:val="20"/>
          <w:color w:val="auto"/>
        </w:rPr>
      </w:pPr>
    </w:p>
    <w:p>
      <w:pPr>
        <w:ind w:right="3999" w:firstLine="843"/>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connection with our review of your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filing or in response to our comments on your filing.</w:t>
      </w:r>
    </w:p>
    <w:p>
      <w:pPr>
        <w:spacing w:after="0" w:line="207" w:lineRule="exact"/>
        <w:rPr>
          <w:sz w:val="20"/>
          <w:szCs w:val="20"/>
          <w:color w:val="auto"/>
        </w:rPr>
      </w:pPr>
    </w:p>
    <w:p>
      <w:pPr>
        <w:jc w:val="both"/>
        <w:ind w:right="3479" w:firstLine="632"/>
        <w:spacing w:after="0" w:line="236" w:lineRule="auto"/>
        <w:rPr>
          <w:sz w:val="20"/>
          <w:szCs w:val="20"/>
          <w:color w:val="auto"/>
        </w:rPr>
      </w:pPr>
      <w:r>
        <w:rPr>
          <w:rFonts w:ascii="Courier New" w:cs="Courier New" w:eastAsia="Courier New" w:hAnsi="Courier New"/>
          <w:sz w:val="18"/>
          <w:szCs w:val="18"/>
          <w:color w:val="auto"/>
        </w:rPr>
        <w:t>We will consider a written request for acceleration of the effective date of the registration statement as confirmation of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fact that those requesting acceleration are aware of their respective</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responsibilities under the Securities Act of 1933 and the Securities</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Exchange Act of 1934 as they relate to the proposed public offering</w:t>
      </w:r>
    </w:p>
    <w:p>
      <w:pPr>
        <w:spacing w:after="0"/>
        <w:rPr>
          <w:sz w:val="20"/>
          <w:szCs w:val="20"/>
          <w:color w:val="auto"/>
        </w:rPr>
      </w:pPr>
      <w:r>
        <w:rPr>
          <w:rFonts w:ascii="Courier New" w:cs="Courier New" w:eastAsia="Courier New" w:hAnsi="Courier New"/>
          <w:sz w:val="18"/>
          <w:szCs w:val="18"/>
          <w:color w:val="auto"/>
        </w:rPr>
        <w:t>of the securities specified in the above registration statement.</w:t>
      </w:r>
    </w:p>
    <w:p>
      <w:pPr>
        <w:spacing w:after="0" w:line="238" w:lineRule="auto"/>
        <w:rPr>
          <w:sz w:val="20"/>
          <w:szCs w:val="20"/>
          <w:color w:val="auto"/>
        </w:rPr>
      </w:pPr>
      <w:r>
        <w:rPr>
          <w:rFonts w:ascii="Courier New" w:cs="Courier New" w:eastAsia="Courier New" w:hAnsi="Courier New"/>
          <w:sz w:val="18"/>
          <w:szCs w:val="18"/>
          <w:color w:val="auto"/>
        </w:rPr>
        <w:t>We</w:t>
      </w:r>
    </w:p>
    <w:p>
      <w:pPr>
        <w:spacing w:after="0" w:line="5"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will act on the request and, pursuant to delegated authority, grant</w:t>
      </w:r>
    </w:p>
    <w:p>
      <w:pPr>
        <w:spacing w:after="0"/>
        <w:rPr>
          <w:sz w:val="20"/>
          <w:szCs w:val="20"/>
          <w:color w:val="auto"/>
        </w:rPr>
      </w:pPr>
      <w:r>
        <w:rPr>
          <w:rFonts w:ascii="Courier New" w:cs="Courier New" w:eastAsia="Courier New" w:hAnsi="Courier New"/>
          <w:sz w:val="18"/>
          <w:szCs w:val="18"/>
          <w:color w:val="auto"/>
        </w:rPr>
        <w:t>acceleration of the effective date.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We direct your attention to Rules 460 and 461 regarding</w:t>
      </w:r>
    </w:p>
    <w:p>
      <w:pPr>
        <w:sectPr>
          <w:pgSz w:w="11900" w:h="16838" w:orient="portrait"/>
          <w:cols w:equalWidth="0" w:num="1">
            <w:col w:w="10219"/>
          </w:cols>
          <w:pgMar w:left="240" w:top="142" w:right="1440" w:bottom="0" w:gutter="0" w:footer="0" w:header="0"/>
        </w:sectPr>
      </w:pPr>
    </w:p>
    <w:bookmarkStart w:id="6" w:name="page7"/>
    <w:bookmarkEnd w:id="6"/>
    <w:p>
      <w:pPr>
        <w:ind w:right="3259"/>
        <w:spacing w:after="0" w:line="237" w:lineRule="auto"/>
        <w:rPr>
          <w:sz w:val="20"/>
          <w:szCs w:val="20"/>
          <w:color w:val="auto"/>
        </w:rPr>
      </w:pPr>
      <w:r>
        <w:rPr>
          <w:rFonts w:ascii="Courier New" w:cs="Courier New" w:eastAsia="Courier New" w:hAnsi="Courier New"/>
          <w:sz w:val="18"/>
          <w:szCs w:val="18"/>
          <w:color w:val="auto"/>
        </w:rPr>
        <w:t>requesting acceleration of a registration statement. Please allow adequate time after the filing of any amendment for further review before submitting a request for acceleration. Please provide this request at least two business days in advance of the requested effective date.</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You may contact Thomas Dyer at (202) 551-3641 or Kaitlin</w:t>
      </w:r>
    </w:p>
    <w:p>
      <w:pPr>
        <w:spacing w:after="0" w:line="238" w:lineRule="auto"/>
        <w:rPr>
          <w:sz w:val="20"/>
          <w:szCs w:val="20"/>
          <w:color w:val="auto"/>
        </w:rPr>
      </w:pPr>
      <w:r>
        <w:rPr>
          <w:rFonts w:ascii="Courier New" w:cs="Courier New" w:eastAsia="Courier New" w:hAnsi="Courier New"/>
          <w:sz w:val="18"/>
          <w:szCs w:val="18"/>
          <w:color w:val="auto"/>
        </w:rPr>
        <w:t>Tillan</w:t>
      </w:r>
    </w:p>
    <w:p>
      <w:pPr>
        <w:spacing w:after="0" w:line="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at (202) 551-3604 if you have questions regarding comments on the financial statements and related matters. Please contact Adelaja Heyliger at (202) 551-3636 or me at (202) 551-3800 with any other questions.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Peggy A. Fisher</w:t>
      </w:r>
    </w:p>
    <w:p>
      <w:pPr>
        <w:spacing w:after="0" w:line="4"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Assistant Director</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cc (via fax):</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H. Schapiro, Esq.</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Sheldon Krause,</w:t>
      </w:r>
    </w:p>
    <w:p>
      <w:pPr>
        <w:spacing w:after="0" w:line="21" w:lineRule="exact"/>
        <w:rPr>
          <w:sz w:val="20"/>
          <w:szCs w:val="20"/>
          <w:color w:val="auto"/>
        </w:rPr>
      </w:pPr>
    </w:p>
    <w:p>
      <w:pPr>
        <w:sectPr>
          <w:pgSz w:w="11900" w:h="16838" w:orient="portrait"/>
          <w:cols w:equalWidth="0" w:num="3">
            <w:col w:w="1380" w:space="320"/>
            <w:col w:w="2640" w:space="720"/>
            <w:col w:w="51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Esq.</w:t>
      </w:r>
    </w:p>
    <w:p>
      <w:pPr>
        <w:sectPr>
          <w:pgSz w:w="11900" w:h="16838" w:orient="portrait"/>
          <w:cols w:equalWidth="0" w:num="1">
            <w:col w:w="10219"/>
          </w:cols>
          <w:pgMar w:left="240" w:top="142" w:right="1440" w:bottom="1440" w:gutter="0" w:footer="0" w:header="0"/>
          <w:type w:val="continuous"/>
        </w:sectPr>
      </w:pP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Ari Fried, Esq.</w:t>
      </w:r>
    </w:p>
    <w:p>
      <w:pPr>
        <w:ind w:left="860"/>
        <w:spacing w:after="0" w:line="238" w:lineRule="auto"/>
        <w:rPr>
          <w:sz w:val="20"/>
          <w:szCs w:val="20"/>
          <w:color w:val="auto"/>
        </w:rPr>
      </w:pPr>
      <w:r>
        <w:rPr>
          <w:rFonts w:ascii="Courier New" w:cs="Courier New" w:eastAsia="Courier New" w:hAnsi="Courier New"/>
          <w:sz w:val="18"/>
          <w:szCs w:val="18"/>
          <w:color w:val="auto"/>
        </w:rPr>
        <w:t>Yigal Arnon &amp; Co.</w:t>
      </w:r>
    </w:p>
    <w:p>
      <w:pPr>
        <w:ind w:left="860"/>
        <w:spacing w:after="0"/>
        <w:rPr>
          <w:sz w:val="20"/>
          <w:szCs w:val="20"/>
          <w:color w:val="auto"/>
        </w:rPr>
      </w:pPr>
      <w:r>
        <w:rPr>
          <w:rFonts w:ascii="Courier New" w:cs="Courier New" w:eastAsia="Courier New" w:hAnsi="Courier New"/>
          <w:sz w:val="18"/>
          <w:szCs w:val="18"/>
          <w:color w:val="auto"/>
        </w:rPr>
        <w:t>1 Azrieli Center</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Tel Aviv, 67021 Israel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Eilenberg &amp; Krause LLP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212.986.2399</w:t>
      </w:r>
    </w:p>
    <w:p>
      <w:pPr>
        <w:spacing w:after="0" w:line="404" w:lineRule="exact"/>
        <w:rPr>
          <w:sz w:val="20"/>
          <w:szCs w:val="20"/>
          <w:color w:val="auto"/>
        </w:rPr>
      </w:pPr>
    </w:p>
    <w:p>
      <w:pPr>
        <w:sectPr>
          <w:pgSz w:w="11900" w:h="16838" w:orient="portrait"/>
          <w:cols w:equalWidth="0" w:num="2">
            <w:col w:w="4340" w:space="720"/>
            <w:col w:w="51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Agent for Service of Tower Semiconductor Ltd.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22, 2005</w:t>
      </w:r>
    </w:p>
    <w:p>
      <w:pPr>
        <w:spacing w:after="0" w:line="238" w:lineRule="auto"/>
        <w:rPr>
          <w:sz w:val="20"/>
          <w:szCs w:val="20"/>
          <w:color w:val="auto"/>
        </w:rPr>
      </w:pPr>
      <w:r>
        <w:rPr>
          <w:rFonts w:ascii="Courier New" w:cs="Courier New" w:eastAsia="Courier New" w:hAnsi="Courier New"/>
          <w:sz w:val="18"/>
          <w:szCs w:val="18"/>
          <w:color w:val="auto"/>
        </w:rPr>
        <w:t>Page 1</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3"/>
    </w:lvl>
  </w:abstractNum>
  <w:abstractNum w:abstractNumId="2">
    <w:nsid w:val="41A7C4C9"/>
    <w:multiLevelType w:val="hybridMultilevel"/>
    <w:lvl w:ilvl="0">
      <w:lvlJc w:val="left"/>
      <w:lvlText w:val="%1."/>
      <w:numFmt w:val="decimal"/>
      <w:start w:val="4"/>
    </w:lvl>
  </w:abstractNum>
  <w:abstractNum w:abstractNumId="3">
    <w:nsid w:val="6B68079A"/>
    <w:multiLevelType w:val="hybridMultilevel"/>
    <w:lvl w:ilvl="0">
      <w:lvlJc w:val="left"/>
      <w:lvlText w:val="%1."/>
      <w:numFmt w:val="decimal"/>
      <w:start w:val="5"/>
    </w:lvl>
  </w:abstractNum>
  <w:abstractNum w:abstractNumId="4">
    <w:nsid w:val="4E6AFB66"/>
    <w:multiLevelType w:val="hybridMultilevel"/>
    <w:lvl w:ilvl="0">
      <w:lvlJc w:val="left"/>
      <w:lvlText w:val="%1."/>
      <w:numFmt w:val="decimal"/>
      <w:start w:val="9"/>
    </w:lvl>
  </w:abstractNum>
  <w:abstractNum w:abstractNumId="5">
    <w:nsid w:val="25E45D32"/>
    <w:multiLevelType w:val="hybridMultilevel"/>
    <w:lvl w:ilvl="0">
      <w:lvlJc w:val="left"/>
      <w:lvlText w:val="%1."/>
      <w:numFmt w:val="decimal"/>
      <w:start w:val="12"/>
    </w:lvl>
  </w:abstractNum>
  <w:abstractNum w:abstractNumId="6">
    <w:nsid w:val="519B500D"/>
    <w:multiLevelType w:val="hybridMultilevel"/>
    <w:lvl w:ilvl="0">
      <w:lvlJc w:val="left"/>
      <w:lvlText w:val="%1."/>
      <w:numFmt w:val="decimal"/>
      <w:start w:val="13"/>
    </w:lvl>
  </w:abstractNum>
  <w:abstractNum w:abstractNumId="7">
    <w:nsid w:val="431BD7B7"/>
    <w:multiLevelType w:val="hybridMultilevel"/>
    <w:lvl w:ilvl="0">
      <w:lvlJc w:val="left"/>
      <w:lvlText w:val="%1."/>
      <w:numFmt w:val="decimal"/>
      <w:start w:val="14"/>
    </w:lvl>
  </w:abstractNum>
  <w:abstractNum w:abstractNumId="8">
    <w:nsid w:val="3F2DBA31"/>
    <w:multiLevelType w:val="hybridMultilevel"/>
    <w:lvl w:ilvl="0">
      <w:lvlJc w:val="left"/>
      <w:lvlText w:val="%1."/>
      <w:numFmt w:val="decimal"/>
      <w:start w:val="16"/>
    </w:lvl>
  </w:abstractNum>
  <w:abstractNum w:abstractNumId="9">
    <w:nsid w:val="7C83E458"/>
    <w:multiLevelType w:val="hybridMultilevel"/>
    <w:lvl w:ilvl="0">
      <w:lvlJc w:val="left"/>
      <w:lvlText w:val="%1."/>
      <w:numFmt w:val="decimal"/>
      <w:start w:val="17"/>
    </w:lvl>
  </w:abstractNum>
  <w:abstractNum w:abstractNumId="10">
    <w:nsid w:val="257130A3"/>
    <w:multiLevelType w:val="hybridMultilevel"/>
    <w:lvl w:ilvl="0">
      <w:lvlJc w:val="left"/>
      <w:lvlText w:val="%1."/>
      <w:numFmt w:val="decimal"/>
      <w:start w:val="18"/>
    </w:lvl>
  </w:abstractNum>
  <w:abstractNum w:abstractNumId="11">
    <w:nsid w:val="62BBD95A"/>
    <w:multiLevelType w:val="hybridMultilevel"/>
    <w:lvl w:ilvl="0">
      <w:lvlJc w:val="left"/>
      <w:lvlText w:val="%1."/>
      <w:numFmt w:val="decimal"/>
      <w:start w:val="19"/>
    </w:lvl>
  </w:abstractNum>
  <w:abstractNum w:abstractNumId="12">
    <w:nsid w:val="436C6125"/>
    <w:multiLevelType w:val="hybridMultilevel"/>
    <w:lvl w:ilvl="0">
      <w:lvlJc w:val="left"/>
      <w:lvlText w:val="%1."/>
      <w:numFmt w:val="decimal"/>
      <w:start w:val="20"/>
    </w:lvl>
  </w:abstractNum>
  <w:abstractNum w:abstractNumId="13">
    <w:nsid w:val="628C895D"/>
    <w:multiLevelType w:val="hybridMultilevel"/>
    <w:lvl w:ilvl="0">
      <w:lvlJc w:val="left"/>
      <w:lvlText w:val="%1."/>
      <w:numFmt w:val="decimal"/>
      <w:start w:val="26"/>
    </w:lvl>
  </w:abstractNum>
  <w:abstractNum w:abstractNumId="14">
    <w:nsid w:val="333AB105"/>
    <w:multiLevelType w:val="hybridMultilevel"/>
    <w:lvl w:ilvl="0">
      <w:lvlJc w:val="left"/>
      <w:lvlText w:val="%1."/>
      <w:numFmt w:val="decimal"/>
      <w:start w:val="22"/>
    </w:lvl>
  </w:abstractNum>
  <w:abstractNum w:abstractNumId="15">
    <w:nsid w:val="721DA317"/>
    <w:multiLevelType w:val="hybridMultilevel"/>
    <w:lvl w:ilvl="0">
      <w:lvlJc w:val="left"/>
      <w:lvlText w:val="%1."/>
      <w:numFmt w:val="decimal"/>
      <w:start w:val="23"/>
    </w:lvl>
  </w:abstractNum>
  <w:abstractNum w:abstractNumId="16">
    <w:nsid w:val="2443A858"/>
    <w:multiLevelType w:val="hybridMultilevel"/>
    <w:lvl w:ilvl="0">
      <w:lvlJc w:val="left"/>
      <w:lvlText w:val="%1."/>
      <w:numFmt w:val="decimal"/>
      <w:start w:val="24"/>
    </w:lvl>
  </w:abstractNum>
  <w:abstractNum w:abstractNumId="17">
    <w:nsid w:val="2D1D5AE9"/>
    <w:multiLevelType w:val="hybridMultilevel"/>
    <w:lvl w:ilvl="0">
      <w:lvlJc w:val="left"/>
      <w:lvlText w:val="%1."/>
      <w:numFmt w:val="decimal"/>
      <w:start w:val="25"/>
    </w:lvl>
  </w:abstractNum>
  <w:abstractNum w:abstractNumId="18">
    <w:nsid w:val="6763845E"/>
    <w:multiLevelType w:val="hybridMultilevel"/>
    <w:lvl w:ilvl="0">
      <w:lvlJc w:val="left"/>
      <w:lvlText w:val="%1."/>
      <w:numFmt w:val="decimal"/>
      <w:start w:val="28"/>
    </w:lvl>
  </w:abstractNum>
  <w:abstractNum w:abstractNumId="19">
    <w:nsid w:val="75A2A8D4"/>
    <w:multiLevelType w:val="hybridMultilevel"/>
    <w:lvl w:ilvl="0">
      <w:lvlJc w:val="left"/>
      <w:lvlText w:val="%1."/>
      <w:numFmt w:val="decimal"/>
      <w:start w:val="29"/>
    </w:lvl>
  </w:abstractNum>
  <w:abstractNum w:abstractNumId="20">
    <w:nsid w:val="8EDBDAB"/>
    <w:multiLevelType w:val="hybridMultilevel"/>
    <w:lvl w:ilvl="0">
      <w:lvlJc w:val="left"/>
      <w:lvlText w:val="%1."/>
      <w:numFmt w:val="decimal"/>
      <w:start w:val="30"/>
    </w:lvl>
  </w:abstractNum>
  <w:abstractNum w:abstractNumId="21">
    <w:nsid w:val="79838CB2"/>
    <w:multiLevelType w:val="hybridMultilevel"/>
    <w:lvl w:ilvl="0">
      <w:lvlJc w:val="left"/>
      <w:lvlText w:val="%1."/>
      <w:numFmt w:val="decimal"/>
      <w:start w:val="31"/>
    </w:lvl>
  </w:abstractNum>
  <w:abstractNum w:abstractNumId="22">
    <w:nsid w:val="4353D0CD"/>
    <w:multiLevelType w:val="hybridMultilevel"/>
    <w:lvl w:ilvl="0">
      <w:lvlJc w:val="left"/>
      <w:lvlText w:val="%1."/>
      <w:numFmt w:val="decimal"/>
      <w:start w:val="32"/>
    </w:lvl>
  </w:abstractNum>
  <w:abstractNum w:abstractNumId="23">
    <w:nsid w:val="B03E0C6"/>
    <w:multiLevelType w:val="hybridMultilevel"/>
    <w:lvl w:ilvl="0">
      <w:lvlJc w:val="left"/>
      <w:lvlText w:val="%1."/>
      <w:numFmt w:val="decimal"/>
      <w:start w:val="33"/>
    </w:lvl>
  </w:abstractNum>
  <w:abstractNum w:abstractNumId="24">
    <w:nsid w:val="189A769B"/>
    <w:multiLevelType w:val="hybridMultilevel"/>
    <w:lvl w:ilvl="0">
      <w:lvlJc w:val="left"/>
      <w:lvlText w:val="%1."/>
      <w:numFmt w:val="decimal"/>
      <w:start w:val="35"/>
    </w:lvl>
  </w:abstractNum>
  <w:abstractNum w:abstractNumId="25">
    <w:nsid w:val="54E49EB4"/>
    <w:multiLevelType w:val="hybridMultilevel"/>
    <w:lvl w:ilvl="0">
      <w:lvlJc w:val="left"/>
      <w:lvlText w:val="%1."/>
      <w:numFmt w:val="decimal"/>
      <w:start w:val="36"/>
    </w:lvl>
  </w:abstractNum>
  <w:abstractNum w:abstractNumId="26">
    <w:nsid w:val="71F32454"/>
    <w:multiLevelType w:val="hybridMultilevel"/>
    <w:lvl w:ilvl="0">
      <w:lvlJc w:val="left"/>
      <w:lvlText w:val="%1."/>
      <w:numFmt w:val="decimal"/>
      <w:start w:val="38"/>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2019-12-11T23:44:38Z</dcterms:created>
  <dcterms:modified xsi:type="dcterms:W3CDTF">2019-12-11T23:44:38Z</dcterms:modified>
</cp:coreProperties>
</file>