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For the month of May 2024 No.4</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2"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May 9, 2024, the Registrant announced its financial results for the three months ended March 31, 2024. Attached hereto is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3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dated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Name:Nati Somekh</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9161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Tower Semiconductor Reports 2024 First Quarter Financial Results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Reiterating Revenue Growth throughout the Year</w:t>
      </w:r>
    </w:p>
    <w:p>
      <w:pPr>
        <w:spacing w:after="0" w:line="23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May 9, 2024 – </w:t>
      </w:r>
      <w:r>
        <w:rPr>
          <w:rFonts w:ascii="Times New Roman" w:cs="Times New Roman" w:eastAsia="Times New Roman" w:hAnsi="Times New Roman"/>
          <w:sz w:val="18"/>
          <w:szCs w:val="18"/>
          <w:color w:val="auto"/>
        </w:rPr>
        <w:t>Tower Semiconductor (NASDAQ: TSEM &amp; TASE: TSEM) reports today its results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March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2024 Results Overview</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first quarter of 2024 was $327 million as compared to $352 million for the fourth quarter of 2023. Revenue for the first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$356 million.</w:t>
      </w:r>
    </w:p>
    <w:p>
      <w:pPr>
        <w:spacing w:after="0" w:line="16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first quarter of 2024 was $73 million as compared to $84 million for the fourth quarter of 2023. Gross profit for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was $96 million.</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for the first quarter of 2024 was $34 million, as compared to $45 million in the fourth quarter of 2023. Operating profit for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was $89 million and included $32 million restructuring income, net from the previously disclosed reorganization and restructure of our Japan operations during 2022.</w:t>
      </w:r>
    </w:p>
    <w:p>
      <w:pPr>
        <w:spacing w:after="0" w:line="17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for the first quarter of 2024 was $45 million, or $0.40 basic and diluted earnings per share, as compared to net profit of $54 million, or $0.49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basic and $0.48 diluted earnings per share for the fourth quarter of 2023. Net profit in the first quarter of 2023 was $71 million, or $0.65 basic and $0.64 diluted earnings per share and included $11 million restructuring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generated from operating activities in the first quarter of 2024 was $110 million. Investments in equipment and other fixed assets were $98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net and debt payments totaled $8 million, net.</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the fourth quarter of 2023, cash flow generated from operating activities was $126 million, investments in equipment and other fixed assets were $136 million, net and debt payments totaled $9 million,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Credit Rating</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May 2024, Standard &amp; Poor’s Maalot (an Israeli rating company that is fully owned by S&amp;P Global Ratings) completed its annual rating review for the Company and re-affirmed its corporate credit rating as “ilAA“/ stable.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guides revenue for the second quarter of 2024 to be $350 million, with an upward or downward range of 5%.</w:t>
      </w:r>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Mr. Russell Ellwanger, Chief Executive Officer of Tower Semiconductor, stated: </w:t>
      </w:r>
      <w:r>
        <w:rPr>
          <w:rFonts w:ascii="Times New Roman" w:cs="Times New Roman" w:eastAsia="Times New Roman" w:hAnsi="Times New Roman"/>
          <w:sz w:val="18"/>
          <w:szCs w:val="18"/>
          <w:color w:val="auto"/>
        </w:rPr>
        <w:t>“As we move through the year, we remain focused on and confident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continuous growth, driven by the performance of several of our differentiated technologies, critical to present market needs with market leader customers who are true partners. This growth is against the landscape of a not yet robust market. Recent customer forecasts give reason to believe market recovery is forthcoming.”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Thursday, May 9, 2024, at 10:00 a.m. Eastern time (9:00 a.m. Central time, 8:00 a.m. Mountain time, 7:00 a.m. Pacific time and 5:00 p.m. Israel time) to discuss the Company’s financial results for the first quarter of 2024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This call will be webcast and can be accessed via Tower Semiconductor’s website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or by calling 1-888-281-1167 (U.S. Toll-Free), 03-918-0610 (Israel), +972-3-918-0610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as included in our operating costs and expenses, (2) compensation expenses in respect of equity grants to directors, officers, and employees as included in our operating costs and expenses, (3) merger contract termination fees received from Intel, net of associated cost and taxes following the previously announced Intel contract termination as included in net profit and (4) restructuring income, net, which includes income, net of cost and taxes associated with the cessation of operations of the Arai facility in Japan which occurred during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xml:space="preserve"> as included in net profit.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(iv) merger contract termination fees received from Intel, net of associated cost following the previously announced Intel contract termination, as included in operating profit and (v) restructuring income, net in relation to the Arai facility in Japan, as included in operating profit. EBITDA is reconciled in the tables below and/or in prior earnings-related filings and/ or in related public disclosures or filings with respect to the financial statements and/ or results of the Company from GAAP operating profit. EBITDA and the adjusted financial information presented herein and/ or prior earnings-related filings and/ or in related public disclosures or filings with respect to the financial statements and/ or results of the Company, are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$110 million, $126 million and $73 million for the three months periods ended March 31, 2024, December 31, 2023 and March 31, 2023,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less cash used for investments in property and equipment, net (in the amounts of $98 million, $136 million and $105 million for the three months periods ended March 31, 2024, December 31, 2023 and March 31, 2023,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1D2228"/>
        </w:rPr>
        <w:t>Tower Semiconductor Ltd. (NASDAQ/TASE: TSEM), the leading foundry of high-value analog semiconductor solutions, provides technology, development, and proce</w:t>
      </w:r>
      <w:r>
        <w:rPr>
          <w:rFonts w:ascii="Times New Roman" w:cs="Times New Roman" w:eastAsia="Times New Roman" w:hAnsi="Times New Roman"/>
          <w:sz w:val="18"/>
          <w:szCs w:val="18"/>
          <w:color w:val="000000"/>
        </w:rPr>
        <w:t>ss platforms for its customers in growing markets such as consumer, industrial, automotive, mobile, infrastructure, medical and</w:t>
      </w:r>
      <w:r>
        <w:rPr>
          <w:rFonts w:ascii="Times New Roman" w:cs="Times New Roman" w:eastAsia="Times New Roman" w:hAnsi="Times New Roman"/>
          <w:sz w:val="18"/>
          <w:szCs w:val="18"/>
          <w:color w:val="1D2228"/>
        </w:rPr>
        <w:t xml:space="preserve"> </w:t>
      </w:r>
      <w:r>
        <w:rPr>
          <w:rFonts w:ascii="Times New Roman" w:cs="Times New Roman" w:eastAsia="Times New Roman" w:hAnsi="Times New Roman"/>
          <w:sz w:val="18"/>
          <w:szCs w:val="18"/>
          <w:color w:val="000000"/>
        </w:rPr>
        <w:t xml:space="preserve">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w:t>
      </w:r>
      <w:r>
        <w:rPr>
          <w:rFonts w:ascii="Times New Roman" w:cs="Times New Roman" w:eastAsia="Times New Roman" w:hAnsi="Times New Roman"/>
          <w:sz w:val="18"/>
          <w:szCs w:val="18"/>
          <w:color w:val="1D2228"/>
        </w:rPr>
        <w:t>a 300mm capacity corridor in Intel’s New Mexico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D2228"/>
        </w:rPr>
        <w:t xml:space="preserve">facility. For more information, please visit: </w:t>
      </w:r>
      <w:r>
        <w:rPr>
          <w:rFonts w:ascii="Times New Roman" w:cs="Times New Roman" w:eastAsia="Times New Roman" w:hAnsi="Times New Roman"/>
          <w:sz w:val="18"/>
          <w:szCs w:val="18"/>
          <w:u w:val="single" w:color="auto"/>
          <w:color w:val="0F69FF"/>
        </w:rPr>
        <w:t>www.towersemi.com</w:t>
      </w:r>
      <w:r>
        <w:rPr>
          <w:rFonts w:ascii="Times New Roman" w:cs="Times New Roman" w:eastAsia="Times New Roman" w:hAnsi="Times New Roman"/>
          <w:sz w:val="18"/>
          <w:szCs w:val="18"/>
          <w:color w:val="1D2228"/>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Noit Levy | Investor Relations | +972 74 737 7556 |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reliance on acquisition and/or gaining additional capacity for growth, (iii) difficulties in achieving acceptable operational metrics and indices in the future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may fluctuate from quarter to quarter making it difficult to forecast future performance, (viii) our debt and other liabilities that may impact our financial position and operations, (ix) our ability to successfully execute acquisitions, integrate them into our business, utilize our expanded capacity and find new business,</w:t>
      </w:r>
    </w:p>
    <w:p>
      <w:pPr>
        <w:spacing w:after="0" w:line="8" w:lineRule="exact"/>
        <w:rPr>
          <w:sz w:val="20"/>
          <w:szCs w:val="20"/>
          <w:color w:val="auto"/>
        </w:rPr>
      </w:pPr>
    </w:p>
    <w:p>
      <w:pPr>
        <w:jc w:val="both"/>
        <w:ind w:firstLine="8"/>
        <w:spacing w:after="0" w:line="259" w:lineRule="auto"/>
        <w:tabs>
          <w:tab w:leader="none" w:pos="2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and/or failure to receive customer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situations of obsolete inventory if forecasted demand exceeds actual demand when we create inventory before receipt of customer orders,</w:t>
      </w:r>
    </w:p>
    <w:p>
      <w:pPr>
        <w:spacing w:after="0" w:line="22" w:lineRule="exact"/>
        <w:rPr>
          <w:rFonts w:ascii="Times New Roman" w:cs="Times New Roman" w:eastAsia="Times New Roman" w:hAnsi="Times New Roman"/>
          <w:sz w:val="18"/>
          <w:szCs w:val="18"/>
          <w:color w:val="auto"/>
        </w:rPr>
      </w:pPr>
    </w:p>
    <w:p>
      <w:pPr>
        <w:jc w:val="both"/>
        <w:ind w:firstLine="8"/>
        <w:spacing w:after="0" w:line="260" w:lineRule="auto"/>
        <w:tabs>
          <w:tab w:leader="none" w:pos="4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semiconductor industry and the resulting periodic overcapacity, fluctuations in operating results and future average selling price erosion, (xx) obtain financing for capacity acquisition related transactions, strategic and/or other growth or M&amp;A opportunities, including for funding Agrate fab’s significant 300mm capacity investments and acquisition or funding of equipment and other fixed assets associated with the capacity corridor transaction with Intel as announced in September 2023, in addition to other capacity expansion plans, and the possible unavailability of such financing and/or the availability of such financing on unfavorable terms, (xxi) operating our facilities at sufficient utilization rates necessary to generate and maintain positive and sustainable gross, operating and net profit, (xxii) the purchase of equipment and/or raw material (including purchase beyond our needs), the timely completion of the equipment installation, technology transfer and raising the funds therefor, (xxiii) product returns and defective products, (xxiv) our ability to maintain and develop our technology processes and services to keep pace with new technology, evolving standards, changing customer and end-user requirements, new product introductions and short product life cycles, (xxv) competing effectively, (xxvi)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fab3 landlord’s alleged claims that the noise abatement efforts made thus far are not adequate under the terms of the amended lease that caused him to request a judicial declaration that there was a material non-curable breach of the lease and that he would be entitled to terminate the lease, as well the ability to extend such lease or acquire the real estate and obtain the required local and/or state approvals required to be able to continue operations beyond the current lease term, (xxix) retention of key employees and recruitment and retention of skilled qualified personnel, (xxx) exposure to inflation, currency rates (mainly the Israeli Shekel, the Japanese Yen and the Euro) and interest rate fluctuations and risks associated with doing business locally and internationally, as well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Agrate fab establishment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their significant capacity investment needs and other payments, the availability of which funding cannot be assured on favorable terms, if at all, (xxxiii) potential liabilities, cost and other impact that may be incurred or occur due to reorganization and consolidation of fabrication facilities, including the impact of cessation of operations of our facilities,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issuance of ordinary shares as a result of exercise and/ or vesting of any of our employee stock options and/ or restricted stock units, as well as any sale of shares by any of our shareholders, or any market expectation thereof, as well as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 due to flood, fire, pandemic, earthquake and other natural disasters, the security situation in Israel, global trade “war” and the current war in Israel, including potential inability to continue uninterrupted operations of the Israeli fabs, impact on global supply chain to and from the Israeli fabs, power interruptions, chemicals or other leaks or damages as a result of the war, absence of workforce due to military service as well as risk that certain countries will restrict doing business with Israeli companies, including imposing restrictions if hostilities in Israel or political instability in the region continue or exacerbate, and other events beyond our control . With respect to the current war in Israel, if instability in neighboring states occurs, Israel could be subject to additional political, economic, and military confines, and our Israeli facilities’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2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1240"/>
          </w:cols>
          <w:pgMar w:left="320" w:top="351" w:right="339" w:bottom="1440" w:gutter="0" w:footer="0" w:header="0"/>
        </w:sect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848,522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790,823</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133,611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184,960</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154,067</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299,377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282,688</w:t>
            </w: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42,049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35,956</w:t>
            </w:r>
          </w:p>
        </w:tc>
      </w:tr>
      <w:tr>
        <w:trPr>
          <w:trHeight w:val="230"/>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1,743,454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1,709,158</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1,180,569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1,155,929</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11,666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12,115</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41,226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41,315</w:t>
            </w: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2,976,915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2,918,517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57,700</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58,952</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169,526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139,128</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19,732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18,418</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76,947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60,340</w:t>
            </w:r>
          </w:p>
        </w:tc>
      </w:tr>
      <w:tr>
        <w:trPr>
          <w:trHeight w:val="230"/>
        </w:trPr>
        <w:tc>
          <w:tcPr>
            <w:tcW w:w="86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323,905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276,838</w:t>
            </w: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172,611</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22,465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25,710</w:t>
            </w: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16,319</w:t>
            </w:r>
          </w:p>
        </w:tc>
      </w:tr>
      <w:tr>
        <w:trPr>
          <w:trHeight w:val="230"/>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514,346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491,478</w:t>
            </w:r>
          </w:p>
        </w:tc>
        <w:tc>
          <w:tcPr>
            <w:tcW w:w="100" w:type="dxa"/>
            <w:vAlign w:val="bottom"/>
            <w:tcBorders>
              <w:top w:val="single" w:sz="8" w:color="CCEEFF"/>
            </w:tcBorders>
          </w:tcPr>
          <w:p>
            <w:pPr>
              <w:spacing w:after="0"/>
              <w:rPr>
                <w:sz w:val="19"/>
                <w:szCs w:val="19"/>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2,462,569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2,427,039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2,976,915</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8" w:name="page9"/>
    <w:bookmarkEnd w:id="8"/>
    <w:p>
      <w:pPr>
        <w:ind w:left="33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and share count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327,238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355,611</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254,632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267,294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259,894</w:t>
            </w:r>
          </w:p>
        </w:tc>
      </w:tr>
      <w:tr>
        <w:trPr>
          <w:trHeight w:val="23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72,606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95,717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20,849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19,331</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18,401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18,629</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(31,655)</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39,250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6,305</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45,167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89,412</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16,682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6,997</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61,849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96,409</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(10,130)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(15,041)</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51,719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81,368</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2,128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(9,966)</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44,634</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53,847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71,402</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110,840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110,796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109,961</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111,308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111,071</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Restructuring income, net resulted from the previously disclosed reorganization and restructure of our Japan operations during 2022.</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44,634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53,847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71,402</w:t>
            </w: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6,662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6,448</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442</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499</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(10,974)</w:t>
            </w: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51,843</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67,375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0.61</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0.61</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80" w:firstLine="8"/>
        <w:spacing w:after="0" w:line="302" w:lineRule="auto"/>
        <w:tabs>
          <w:tab w:leader="none" w:pos="22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33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340,759</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126,098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72,727</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(98,018)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(136,426)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(105,245)</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and others,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(8,409)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(8,950)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(28,796)</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an investment in a subsidiary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1,932</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(637)</w:t>
            </w:r>
          </w:p>
        </w:tc>
      </w:tr>
      <w:tr>
        <w:trPr>
          <w:trHeight w:val="194"/>
        </w:trPr>
        <w:tc>
          <w:tcPr>
            <w:tcW w:w="732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 of sale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5"/>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(36,975)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24,194</w:t>
            </w:r>
          </w:p>
        </w:tc>
      </w:tr>
      <w:tr>
        <w:trPr>
          <w:trHeight w:val="34"/>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304,934</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7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ind w:left="334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43,047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51,719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81,368</w:t>
            </w:r>
          </w:p>
        </w:tc>
      </w:tr>
      <w:tr>
        <w:trPr>
          <w:trHeight w:val="194"/>
        </w:trPr>
        <w:tc>
          <w:tcPr>
            <w:tcW w:w="732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profit for the period to net cash provided by operating</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59,544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65,178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62,387</w:t>
            </w:r>
          </w:p>
        </w:tc>
      </w:tr>
      <w:tr>
        <w:trPr>
          <w:trHeight w:val="229"/>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and fair value adjustment</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(6,852)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(926)</w:t>
            </w: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(7,692)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815</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(6,716)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(1,861)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7,413</w:t>
            </w: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(13,454)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(6,418)</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(1,138)</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(23,703)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27,310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(57,420)</w:t>
            </w: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32,559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30,023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44,542</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(1,931)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(9,902)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(15,470)</w:t>
            </w: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16,868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(15,745)</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(45,053)</w:t>
            </w: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(2,396)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(3,791)</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110,038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126,098</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72,727</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(98,018)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(136,426)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(105,245)</w:t>
            </w:r>
          </w:p>
        </w:tc>
      </w:tr>
      <w:tr>
        <w:trPr>
          <w:trHeight w:val="194"/>
        </w:trPr>
        <w:tc>
          <w:tcPr>
            <w:tcW w:w="732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 of sale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5"/>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(36,975)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24,194</w:t>
            </w:r>
          </w:p>
        </w:tc>
      </w:tr>
      <w:tr>
        <w:trPr>
          <w:trHeight w:val="34"/>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(99,131)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(173,401)</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(81,051)</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(8,409)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(8,950)</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(28,796)</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an investment in a subsidiary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1,932</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(8,409)</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(8,950)</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(26,864)</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(54,152)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(35,825)</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304,934</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right="140" w:firstLine="8"/>
        <w:spacing w:after="0" w:line="302" w:lineRule="auto"/>
        <w:tabs>
          <w:tab w:leader="none" w:pos="1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acquired intangible assets and stock based compensation in the amounts of $7,209, $7,104 and $6,947 for the 3 months periods ended March 31, 2024, December 31, 2023 and March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Roman"/>
      <w:start w:val="18"/>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2024-05-09T06:20:37Z</dcterms:created>
  <dcterms:modified xsi:type="dcterms:W3CDTF">2024-05-09T06:20:37Z</dcterms:modified>
</cp:coreProperties>
</file>