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MONTH OF APRIL 2004</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RAMAT GAVRIEL INDUSTRIAL PARK</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P.O. BOX</w:t>
            </w:r>
          </w:p>
        </w:tc>
        <w:tc>
          <w:tcPr>
            <w:tcW w:w="4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619, MIGDAL HAEMEK, ISRAEL 23105</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(Address</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of principal executive</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offices)</w:t>
            </w:r>
          </w:p>
        </w:tc>
      </w:tr>
      <w:tr>
        <w:trPr>
          <w:trHeight w:val="33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Indicate by check mark</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w w:val="98"/>
              </w:rPr>
              <w:t>whether the registrant</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w w:val="95"/>
              </w:rPr>
              <w:t>files or will file annual</w:t>
            </w:r>
          </w:p>
        </w:tc>
      </w:tr>
      <w:tr>
        <w:trPr>
          <w:trHeight w:val="168"/>
        </w:trPr>
        <w:tc>
          <w:tcPr>
            <w:tcW w:w="452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w w:val="97"/>
              </w:rPr>
              <w:t>reports under cover Form 20-F or Form 40-F.</w:t>
            </w:r>
          </w:p>
        </w:tc>
        <w:tc>
          <w:tcPr>
            <w:tcW w:w="2220" w:type="dxa"/>
            <w:vAlign w:val="bottom"/>
          </w:tcPr>
          <w:p>
            <w:pPr>
              <w:spacing w:after="0"/>
              <w:rPr>
                <w:sz w:val="14"/>
                <w:szCs w:val="14"/>
                <w:color w:val="auto"/>
              </w:rPr>
            </w:pPr>
          </w:p>
        </w:tc>
      </w:tr>
      <w:tr>
        <w:trPr>
          <w:trHeight w:val="336"/>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Form 20-F |X|   Form 40-F</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|_|</w:t>
            </w:r>
          </w:p>
        </w:tc>
      </w:tr>
      <w:tr>
        <w:trPr>
          <w:trHeight w:val="33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Indicate by check mark</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w w:val="98"/>
              </w:rPr>
              <w:t>whether the registrant</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by furnishing the</w:t>
            </w:r>
          </w:p>
        </w:tc>
      </w:tr>
    </w:tbl>
    <w:p>
      <w:pPr>
        <w:spacing w:after="0" w:line="5"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information contained in this Form is also thereby furnishing the information to the Commission pursuant to Rule 12g3-2(b) under the Securities Exchange Act of 1934.</w:t>
      </w:r>
    </w:p>
    <w:p>
      <w:pPr>
        <w:spacing w:after="0" w:line="167" w:lineRule="exact"/>
        <w:rPr>
          <w:sz w:val="24"/>
          <w:szCs w:val="24"/>
          <w:color w:val="auto"/>
        </w:rPr>
      </w:pPr>
    </w:p>
    <w:p>
      <w:pPr>
        <w:ind w:left="2800"/>
        <w:spacing w:after="0"/>
        <w:tabs>
          <w:tab w:leader="none" w:pos="358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On April 28, 2004, the Registrant announced its financial results for the three months ended March 31, 2004. Attached hereto as Exhibit 99.1 is the press release relating to such announcement and attached hereto as Exhibit 99.2 are the Registrant's unaudited condensed interim consolidated financial statements as of March 31, 2004 and for the three month period then ended.</w:t>
      </w:r>
    </w:p>
    <w:p>
      <w:pPr>
        <w:spacing w:after="0" w:line="163" w:lineRule="exact"/>
        <w:rPr>
          <w:sz w:val="24"/>
          <w:szCs w:val="24"/>
          <w:color w:val="auto"/>
        </w:rPr>
      </w:pPr>
    </w:p>
    <w:p>
      <w:pPr>
        <w:ind w:right="4019" w:firstLine="525"/>
        <w:spacing w:after="0" w:line="261" w:lineRule="auto"/>
        <w:rPr>
          <w:sz w:val="20"/>
          <w:szCs w:val="20"/>
          <w:color w:val="auto"/>
        </w:rPr>
      </w:pPr>
      <w:r>
        <w:rPr>
          <w:rFonts w:ascii="Courier New" w:cs="Courier New" w:eastAsia="Courier New" w:hAnsi="Courier New"/>
          <w:sz w:val="14"/>
          <w:szCs w:val="14"/>
          <w:color w:val="auto"/>
        </w:rPr>
        <w:t>This Form 6-K is being incorporated by reference in all effective registration statements filed by us under the Securities Act of 1933.</w:t>
      </w:r>
    </w:p>
    <w:p>
      <w:pPr>
        <w:sectPr>
          <w:pgSz w:w="11900" w:h="16838" w:orient="portrait"/>
          <w:cols w:equalWidth="0" w:num="1">
            <w:col w:w="10239"/>
          </w:cols>
          <w:pgMar w:left="220" w:top="225" w:right="1440" w:bottom="1440" w:gutter="0" w:footer="0" w:header="0"/>
        </w:sectPr>
      </w:pPr>
    </w:p>
    <w:bookmarkStart w:id="1" w:name="page2"/>
    <w:bookmarkEnd w:id="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Tamar Cohen</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Tamar Cohen</w:t>
      </w:r>
    </w:p>
    <w:p>
      <w:pPr>
        <w:ind w:left="280"/>
        <w:spacing w:after="0" w:line="237" w:lineRule="auto"/>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3">
            <w:col w:w="440" w:space="180"/>
            <w:col w:w="2160" w:space="720"/>
            <w:col w:w="6739"/>
          </w:cols>
          <w:pgMar w:left="220" w:top="617" w:right="1440" w:bottom="1440" w:gutter="0" w:footer="0" w:header="0"/>
          <w:type w:val="continuous"/>
        </w:sectPr>
      </w:pPr>
    </w:p>
    <w:bookmarkStart w:id="2" w:name="page3"/>
    <w:bookmarkEnd w:id="2"/>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SEMICONDUCTOR LTD. ANNOUNCES FIRST QUARTER 2004 RESULTS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Wednesday April 28, 8:00 am ET</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REVENUES INCREASED BY 116 PERCENT YEAR OVER YEAR AND 37 PERCENT QUARTER TO QUARTER</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MIGDAL HAEMEK, Israel--(BUSINESS WIRE)--April 28, 2004--Tower Semiconductor Ltd. (NASDAQ: TSEM; TASE: TSEM) today announced results for the first quarter ended March 31, 2004.</w:t>
      </w:r>
    </w:p>
    <w:p>
      <w:pPr>
        <w:spacing w:after="0" w:line="174"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Revenues for the first fiscal quarter were $27.2 million, an increase of 116 percent over revenues of $12.6 million in the first quarter of 2003, and an increase of 37 percent over prior-quarter revenues of $19.8 million.</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Loss for the quarter was $38.5 million, or $0.61 per share. That compares with a loss of $46.0 million, or $0.91 per share, sequentially and a loss of $14.4 million, or $0.33 per share in the same quarter last year. The increase in loss, as compared with the first quarter of 2003, is primarily attributed to the commencement of Fab 2 depreciation and amortization on Q-3 2003.</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 expects the current quarter's revenues to be in the range of $33 million and $36 million.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 am very pleased with our performance, which is in line with our plans," said Carmel Vernia, Tower's chairman and chief executive officer. "Fab 2 is demonstrating rapid revenues growth and we begin to see the results of its prior years' heavy investments. Fab 1's utilization is on the rise as well, and I'm glad to report it returned to profitability in Q-1 2004. Both fabs are winning new designs in prototyping and early-production activities for new and existing customers. Overall I am confident we have the infrastructure and organization in place to leverage the global upturn in the semiconductor industry into a successful business."</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will host a conference call to discuss these results on Wednesday, April 28, 2004 at 11:00 a.m. Eastern time / 18:00 Israel time. To participate, call 1-800-289-0543 (U.S. toll-free number) or 1-913-981-5526 (international) and mention ID code: TOWER. Callers in Israel are invited to call locally, at 03-925-5910. The conference call also will be Web cast live at www.companyboardroom.com and at www.towersemi.com. The call will be available on both Web sites for replay for 90 days.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Tower Semiconductor Ltd. is a pure-play independent wafer foundry established in 1993. The company manufactures integrated circuits with geometries ranging from 1.0 to 0.18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3" w:lineRule="exact"/>
        <w:rPr>
          <w:sz w:val="20"/>
          <w:szCs w:val="20"/>
          <w:color w:val="auto"/>
        </w:rPr>
      </w:pPr>
    </w:p>
    <w:p>
      <w:pPr>
        <w:ind w:right="3239" w:firstLine="10"/>
        <w:spacing w:after="0" w:line="255" w:lineRule="auto"/>
        <w:tabs>
          <w:tab w:leader="none" w:pos="3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capitalize on increases in demand for foundry services, (vi) meeting the conditions to receive Israeli government grants and tax benefits approved for Fab 2 and obtaining the approval of the Israeli Investment Center to extend the five-year investment period under our Fab 2 approved enterprise program and of amendments to our modified business plan, (vii) attracting additional customers, (viii) not receiving orders from our wafer partners and technology providers, (ix) failing to maintain and develop our technology processes and services, (x) competing effectively, (xi) our large amount of debt and our satisfying the covenants set forth in our amended facility agreement, and (xii) achieving acceptable device yields, product performance and delivery times (xiii) the completion of the documentation for the Siliconix agreement.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ectPr>
          <w:pgSz w:w="11900" w:h="16838" w:orient="portrait"/>
          <w:cols w:equalWidth="0" w:num="1">
            <w:col w:w="10239"/>
          </w:cols>
          <w:pgMar w:left="220" w:top="135" w:right="1440" w:bottom="1440" w:gutter="0" w:footer="0" w:header="0"/>
        </w:sectPr>
      </w:pPr>
    </w:p>
    <w:bookmarkStart w:id="3" w:name="page4"/>
    <w:bookmarkEnd w:id="3"/>
    <w:p>
      <w:pPr>
        <w:jc w:val="center"/>
        <w:ind w:right="417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179"/>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5860" w:type="dxa"/>
            <w:vAlign w:val="bottom"/>
            <w:gridSpan w:val="3"/>
          </w:tcPr>
          <w:p>
            <w:pPr>
              <w:ind w:left="440"/>
              <w:spacing w:after="0" w:line="169" w:lineRule="exact"/>
              <w:rPr>
                <w:sz w:val="20"/>
                <w:szCs w:val="20"/>
                <w:color w:val="auto"/>
              </w:rPr>
            </w:pPr>
            <w:r>
              <w:rPr>
                <w:rFonts w:ascii="Courier New" w:cs="Courier New" w:eastAsia="Courier New" w:hAnsi="Courier New"/>
                <w:sz w:val="15"/>
                <w:szCs w:val="15"/>
                <w:color w:val="auto"/>
                <w:w w:val="99"/>
              </w:rPr>
              <w:t>(dollars in thousands, except share data and per share data)</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560" w:type="dxa"/>
            <w:vAlign w:val="bottom"/>
          </w:tcPr>
          <w:p>
            <w:pPr>
              <w:spacing w:after="0"/>
              <w:rPr>
                <w:sz w:val="24"/>
                <w:szCs w:val="24"/>
                <w:color w:val="auto"/>
              </w:rPr>
            </w:pPr>
          </w:p>
        </w:tc>
        <w:tc>
          <w:tcPr>
            <w:tcW w:w="1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March 31,</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11,346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short-term interest-bearing</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deposits designated for investments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relating to Fab 2</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78,265</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44,042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15,555</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14,852</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21,584</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2,342</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146,944</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100,305</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4,734</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4,848</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10,734</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10,848</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566,821</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568,412</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 NET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105,397</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108,770</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$ 829,896</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45,051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40,249</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8,198</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53,249</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49,813</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431,000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431,000</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24,933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25,783</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8,167</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5,935</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LIABILITY IN RESPECT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45,830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46,347</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563,179</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558,878</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Ordinary shares</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16,248</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516,962</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427,881</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 receivables and unearned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compensation</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(257,395)</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(218,904)</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275,789</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238,529</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266,717</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229,457</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 AND SHAREHOLDERS'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EQUITY</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$ 829,896</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456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4" w:name="page5"/>
    <w:bookmarkEnd w:id="4"/>
    <w:p>
      <w:pPr>
        <w:jc w:val="center"/>
        <w:ind w:right="4099"/>
        <w:spacing w:after="0" w:line="235" w:lineRule="auto"/>
        <w:rPr>
          <w:sz w:val="20"/>
          <w:szCs w:val="20"/>
          <w:color w:val="auto"/>
        </w:rPr>
      </w:pPr>
      <w:r>
        <w:rPr>
          <w:rFonts w:ascii="Courier New" w:cs="Courier New" w:eastAsia="Courier New" w:hAnsi="Courier New"/>
          <w:sz w:val="15"/>
          <w:szCs w:val="15"/>
          <w:color w:val="auto"/>
        </w:rPr>
        <w:t>TOWER SEMICONDUCTOR LTD. AND SUBSIDIARY CONSOLIDATED STATEMENTS OF OPERATIONS (dollars in thousands, except share data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38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w:t>
            </w: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380" w:type="dxa"/>
            <w:vAlign w:val="bottom"/>
          </w:tcPr>
          <w:p>
            <w:pPr>
              <w:spacing w:after="0"/>
              <w:rPr>
                <w:sz w:val="14"/>
                <w:szCs w:val="14"/>
                <w:color w:val="auto"/>
              </w:rPr>
            </w:pPr>
          </w:p>
        </w:tc>
        <w:tc>
          <w:tcPr>
            <w:tcW w:w="2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38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80" w:type="dxa"/>
            <w:vAlign w:val="bottom"/>
          </w:tcPr>
          <w:p>
            <w:pPr>
              <w:spacing w:after="0"/>
              <w:rPr>
                <w:sz w:val="14"/>
                <w:szCs w:val="14"/>
                <w:color w:val="auto"/>
              </w:rPr>
            </w:pPr>
          </w:p>
        </w:tc>
        <w:tc>
          <w:tcPr>
            <w:tcW w:w="2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4380" w:type="dxa"/>
            <w:vAlign w:val="bottom"/>
          </w:tcPr>
          <w:p>
            <w:pPr>
              <w:spacing w:after="0"/>
              <w:rPr>
                <w:sz w:val="14"/>
                <w:szCs w:val="14"/>
                <w:color w:val="auto"/>
              </w:rPr>
            </w:pPr>
          </w:p>
        </w:tc>
        <w:tc>
          <w:tcPr>
            <w:tcW w:w="2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$ 27,247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$ 12,592</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50,149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17,934</w:t>
            </w:r>
          </w:p>
        </w:tc>
      </w:tr>
      <w:tr>
        <w:trPr>
          <w:trHeight w:val="168"/>
        </w:trPr>
        <w:tc>
          <w:tcPr>
            <w:tcW w:w="438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380" w:type="dxa"/>
            <w:vAlign w:val="bottom"/>
          </w:tcPr>
          <w:p>
            <w:pPr>
              <w:ind w:left="620"/>
              <w:spacing w:after="0"/>
              <w:rPr>
                <w:sz w:val="20"/>
                <w:szCs w:val="20"/>
                <w:color w:val="auto"/>
              </w:rPr>
            </w:pPr>
            <w:r>
              <w:rPr>
                <w:rFonts w:ascii="Courier New" w:cs="Courier New" w:eastAsia="Courier New" w:hAnsi="Courier New"/>
                <w:sz w:val="15"/>
                <w:szCs w:val="15"/>
                <w:color w:val="auto"/>
              </w:rPr>
              <w:t>GROSS LOSS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(22,902)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(5,342)</w:t>
            </w:r>
          </w:p>
        </w:tc>
      </w:tr>
      <w:tr>
        <w:trPr>
          <w:trHeight w:val="168"/>
        </w:trPr>
        <w:tc>
          <w:tcPr>
            <w:tcW w:w="438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38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3,505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3,857</w:t>
            </w:r>
          </w:p>
        </w:tc>
      </w:tr>
      <w:tr>
        <w:trPr>
          <w:trHeight w:val="168"/>
        </w:trPr>
        <w:tc>
          <w:tcPr>
            <w:tcW w:w="4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5,591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5,644</w:t>
            </w:r>
          </w:p>
        </w:tc>
      </w:tr>
      <w:tr>
        <w:trPr>
          <w:trHeight w:val="168"/>
        </w:trPr>
        <w:tc>
          <w:tcPr>
            <w:tcW w:w="438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380" w:type="dxa"/>
            <w:vAlign w:val="bottom"/>
          </w:tcPr>
          <w:p>
            <w:pPr>
              <w:spacing w:after="0"/>
              <w:rPr>
                <w:sz w:val="24"/>
                <w:szCs w:val="2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9,096</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9,501</w:t>
            </w:r>
          </w:p>
        </w:tc>
      </w:tr>
      <w:tr>
        <w:trPr>
          <w:trHeight w:val="336"/>
        </w:trPr>
        <w:tc>
          <w:tcPr>
            <w:tcW w:w="4380" w:type="dxa"/>
            <w:vAlign w:val="bottom"/>
          </w:tcPr>
          <w:p>
            <w:pPr>
              <w:spacing w:after="0"/>
              <w:rPr>
                <w:sz w:val="24"/>
                <w:szCs w:val="2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6"/>
        </w:trPr>
        <w:tc>
          <w:tcPr>
            <w:tcW w:w="4380" w:type="dxa"/>
            <w:vAlign w:val="bottom"/>
          </w:tcPr>
          <w:p>
            <w:pPr>
              <w:ind w:left="620"/>
              <w:spacing w:after="0"/>
              <w:rPr>
                <w:sz w:val="20"/>
                <w:szCs w:val="20"/>
                <w:color w:val="auto"/>
              </w:rPr>
            </w:pPr>
            <w:r>
              <w:rPr>
                <w:rFonts w:ascii="Courier New" w:cs="Courier New" w:eastAsia="Courier New" w:hAnsi="Courier New"/>
                <w:sz w:val="15"/>
                <w:szCs w:val="15"/>
                <w:color w:val="auto"/>
              </w:rPr>
              <w:t>OPERATING LOSS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(31,998)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(14,843)</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(6,531)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380" w:type="dxa"/>
            <w:vAlign w:val="bottom"/>
          </w:tcPr>
          <w:p>
            <w:pPr>
              <w:ind w:left="620"/>
              <w:spacing w:after="0"/>
              <w:rPr>
                <w:sz w:val="20"/>
                <w:szCs w:val="20"/>
                <w:color w:val="auto"/>
              </w:rPr>
            </w:pPr>
            <w:r>
              <w:rPr>
                <w:rFonts w:ascii="Courier New" w:cs="Courier New" w:eastAsia="Courier New" w:hAnsi="Courier New"/>
                <w:sz w:val="15"/>
                <w:szCs w:val="15"/>
                <w:color w:val="auto"/>
              </w:rPr>
              <w:t>LOSS FOR THE PERIOD</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$(38,491)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$(14,350)</w:t>
            </w:r>
          </w:p>
        </w:tc>
      </w:tr>
      <w:tr>
        <w:trPr>
          <w:trHeight w:val="168"/>
        </w:trPr>
        <w:tc>
          <w:tcPr>
            <w:tcW w:w="438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380" w:type="dxa"/>
            <w:vAlign w:val="bottom"/>
          </w:tcPr>
          <w:p>
            <w:pPr>
              <w:ind w:left="540"/>
              <w:spacing w:after="0"/>
              <w:rPr>
                <w:sz w:val="20"/>
                <w:szCs w:val="20"/>
                <w:color w:val="auto"/>
              </w:rPr>
            </w:pPr>
            <w:r>
              <w:rPr>
                <w:rFonts w:ascii="Courier New" w:cs="Courier New" w:eastAsia="Courier New" w:hAnsi="Courier New"/>
                <w:sz w:val="15"/>
                <w:szCs w:val="15"/>
                <w:color w:val="auto"/>
              </w:rPr>
              <w:t>Loss per share  (a)</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(0.61)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(0.33)</w:t>
            </w:r>
          </w:p>
        </w:tc>
      </w:tr>
      <w:tr>
        <w:trPr>
          <w:trHeight w:val="168"/>
        </w:trPr>
        <w:tc>
          <w:tcPr>
            <w:tcW w:w="438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73" w:lineRule="exact"/>
        <w:rPr>
          <w:sz w:val="20"/>
          <w:szCs w:val="20"/>
          <w:color w:val="auto"/>
        </w:rPr>
      </w:pPr>
    </w:p>
    <w:p>
      <w:pPr>
        <w:ind w:left="540" w:right="3399" w:hanging="530"/>
        <w:spacing w:after="0" w:line="235"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in accordance with U.S. GAAP would be $(0.62) for the three months ended March 31, 2004 ($(0.33) for the three months ended March 31, 2003).</w:t>
      </w:r>
    </w:p>
    <w:p>
      <w:pPr>
        <w:spacing w:after="0" w:line="167"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Contact:</w:t>
      </w:r>
    </w:p>
    <w:p>
      <w:pPr>
        <w:spacing w:after="0" w:line="5" w:lineRule="exact"/>
        <w:rPr>
          <w:rFonts w:ascii="Courier New" w:cs="Courier New" w:eastAsia="Courier New" w:hAnsi="Courier New"/>
          <w:sz w:val="15"/>
          <w:szCs w:val="15"/>
          <w:color w:val="auto"/>
        </w:rPr>
      </w:pPr>
    </w:p>
    <w:p>
      <w:pPr>
        <w:ind w:left="440" w:right="82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 Agency Contact: Loomis Group</w:t>
      </w:r>
    </w:p>
    <w:p>
      <w:pPr>
        <w:ind w:left="440" w:right="74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Julie Lass, +1 713-526-3737 lassj@loomisgroup.com</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w:t>
      </w:r>
    </w:p>
    <w:p>
      <w:pPr>
        <w:spacing w:after="0" w:line="5" w:lineRule="exact"/>
        <w:rPr>
          <w:rFonts w:ascii="Courier New" w:cs="Courier New" w:eastAsia="Courier New" w:hAnsi="Courier New"/>
          <w:sz w:val="15"/>
          <w:szCs w:val="15"/>
          <w:color w:val="auto"/>
        </w:rPr>
      </w:pPr>
    </w:p>
    <w:p>
      <w:pPr>
        <w:ind w:left="440" w:right="71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Relations Contact: Fusion IR &amp; Communications Sheldon Lutch, +1 212-268 1816 sheldon@fusionir.com</w:t>
      </w:r>
    </w:p>
    <w:p>
      <w:pPr>
        <w:spacing w:after="0" w:line="2" w:lineRule="exact"/>
        <w:rPr>
          <w:rFonts w:ascii="Courier New" w:cs="Courier New" w:eastAsia="Courier New" w:hAnsi="Courier New"/>
          <w:sz w:val="15"/>
          <w:szCs w:val="15"/>
          <w:color w:val="auto"/>
        </w:rPr>
      </w:pP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w:t>
      </w:r>
    </w:p>
    <w:p>
      <w:pPr>
        <w:spacing w:after="0" w:line="5" w:lineRule="exact"/>
        <w:rPr>
          <w:rFonts w:ascii="Courier New" w:cs="Courier New" w:eastAsia="Courier New" w:hAnsi="Courier New"/>
          <w:sz w:val="15"/>
          <w:szCs w:val="15"/>
          <w:color w:val="auto"/>
        </w:rPr>
      </w:pPr>
    </w:p>
    <w:p>
      <w:pPr>
        <w:ind w:left="440" w:right="77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Corporate Contact Tower Semiconductor USA</w:t>
      </w:r>
    </w:p>
    <w:p>
      <w:pPr>
        <w:ind w:left="440" w:right="69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Axelrod, +1 408-330-6871 pr@towersemi.com</w:t>
      </w:r>
    </w:p>
    <w:p>
      <w:pPr>
        <w:sectPr>
          <w:pgSz w:w="11900" w:h="16838" w:orient="portrait"/>
          <w:cols w:equalWidth="0" w:num="1">
            <w:col w:w="10239"/>
          </w:cols>
          <w:pgMar w:left="220" w:top="624"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 CONDENSED INTERIM</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FINANCIAL STATEMENTS</w:t>
      </w:r>
    </w:p>
    <w:tbl>
      <w:tblPr>
        <w:tblLayout w:type="fixed"/>
        <w:tblInd w:w="0" w:type="dxa"/>
        <w:tblCellMar>
          <w:top w:w="0" w:type="dxa"/>
          <w:left w:w="0" w:type="dxa"/>
          <w:bottom w:w="0" w:type="dxa"/>
          <w:right w:w="0" w:type="dxa"/>
        </w:tblCellMar>
      </w:tblPr>
      <w:tr>
        <w:trPr>
          <w:trHeight w:val="168"/>
        </w:trPr>
        <w:tc>
          <w:tcPr>
            <w:tcW w:w="596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6"/>
              </w:rPr>
              <w:t>AS OF MARCH 31, 2004</w:t>
            </w:r>
          </w:p>
        </w:tc>
        <w:tc>
          <w:tcPr>
            <w:tcW w:w="1040" w:type="dxa"/>
            <w:vAlign w:val="bottom"/>
          </w:tcPr>
          <w:p>
            <w:pPr>
              <w:spacing w:after="0"/>
              <w:rPr>
                <w:sz w:val="14"/>
                <w:szCs w:val="14"/>
                <w:color w:val="auto"/>
              </w:rPr>
            </w:pPr>
          </w:p>
        </w:tc>
      </w:tr>
      <w:tr>
        <w:trPr>
          <w:trHeight w:val="819"/>
        </w:trPr>
        <w:tc>
          <w:tcPr>
            <w:tcW w:w="5960" w:type="dxa"/>
            <w:vAlign w:val="bottom"/>
          </w:tcPr>
          <w:p>
            <w:pPr>
              <w:ind w:left="1840"/>
              <w:spacing w:after="0"/>
              <w:rPr>
                <w:sz w:val="20"/>
                <w:szCs w:val="20"/>
                <w:color w:val="auto"/>
              </w:rPr>
            </w:pPr>
            <w:r>
              <w:rPr>
                <w:rFonts w:ascii="Courier New" w:cs="Courier New" w:eastAsia="Courier New" w:hAnsi="Courier New"/>
                <w:sz w:val="15"/>
                <w:szCs w:val="15"/>
                <w:color w:val="auto"/>
              </w:rPr>
              <w:t>TOWER SEMICONDUCTOR LTD. AND SUBSIDIARY</w:t>
            </w:r>
          </w:p>
        </w:tc>
        <w:tc>
          <w:tcPr>
            <w:tcW w:w="1040" w:type="dxa"/>
            <w:vAlign w:val="bottom"/>
          </w:tcPr>
          <w:p>
            <w:pPr>
              <w:spacing w:after="0"/>
              <w:rPr>
                <w:sz w:val="24"/>
                <w:szCs w:val="24"/>
                <w:color w:val="auto"/>
              </w:rPr>
            </w:pPr>
          </w:p>
        </w:tc>
      </w:tr>
      <w:tr>
        <w:trPr>
          <w:trHeight w:val="336"/>
        </w:trPr>
        <w:tc>
          <w:tcPr>
            <w:tcW w:w="596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6"/>
              </w:rPr>
              <w:t>INDEX TO UNAUDITED CONDENSED INTERIM</w:t>
            </w:r>
          </w:p>
        </w:tc>
        <w:tc>
          <w:tcPr>
            <w:tcW w:w="1040" w:type="dxa"/>
            <w:vAlign w:val="bottom"/>
          </w:tcPr>
          <w:p>
            <w:pPr>
              <w:spacing w:after="0"/>
              <w:rPr>
                <w:sz w:val="24"/>
                <w:szCs w:val="24"/>
                <w:color w:val="auto"/>
              </w:rPr>
            </w:pPr>
          </w:p>
        </w:tc>
      </w:tr>
      <w:tr>
        <w:trPr>
          <w:trHeight w:val="168"/>
        </w:trPr>
        <w:tc>
          <w:tcPr>
            <w:tcW w:w="596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CONSOLIDATED FINANCIAL STATEMENTS</w:t>
            </w:r>
          </w:p>
        </w:tc>
        <w:tc>
          <w:tcPr>
            <w:tcW w:w="1040" w:type="dxa"/>
            <w:vAlign w:val="bottom"/>
          </w:tcPr>
          <w:p>
            <w:pPr>
              <w:spacing w:after="0"/>
              <w:rPr>
                <w:sz w:val="14"/>
                <w:szCs w:val="14"/>
                <w:color w:val="auto"/>
              </w:rPr>
            </w:pPr>
          </w:p>
        </w:tc>
      </w:tr>
      <w:tr>
        <w:trPr>
          <w:trHeight w:val="336"/>
        </w:trPr>
        <w:tc>
          <w:tcPr>
            <w:tcW w:w="596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6"/>
              </w:rPr>
              <w:t>AS OF MARCH 31, 2004</w:t>
            </w:r>
          </w:p>
        </w:tc>
        <w:tc>
          <w:tcPr>
            <w:tcW w:w="1040" w:type="dxa"/>
            <w:vAlign w:val="bottom"/>
          </w:tcPr>
          <w:p>
            <w:pPr>
              <w:spacing w:after="0"/>
              <w:rPr>
                <w:sz w:val="24"/>
                <w:szCs w:val="24"/>
                <w:color w:val="auto"/>
              </w:rPr>
            </w:pPr>
          </w:p>
        </w:tc>
      </w:tr>
      <w:tr>
        <w:trPr>
          <w:trHeight w:val="336"/>
        </w:trPr>
        <w:tc>
          <w:tcPr>
            <w:tcW w:w="59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9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ACCOUNTANTS' REVIEW REPORT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r>
    </w:tbl>
    <w:p>
      <w:pPr>
        <w:sectPr>
          <w:pgSz w:w="11900" w:h="16838" w:orient="portrait"/>
          <w:cols w:equalWidth="0" w:num="1">
            <w:col w:w="10239"/>
          </w:cols>
          <w:pgMar w:left="220" w:top="13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Tower Semiconductor Ltd.</w:t>
      </w:r>
    </w:p>
    <w:p>
      <w:pPr>
        <w:spacing w:after="0" w:line="238" w:lineRule="auto"/>
        <w:rPr>
          <w:sz w:val="20"/>
          <w:szCs w:val="20"/>
          <w:color w:val="auto"/>
        </w:rPr>
      </w:pPr>
      <w:r>
        <w:rPr>
          <w:rFonts w:ascii="Courier New" w:cs="Courier New" w:eastAsia="Courier New" w:hAnsi="Courier New"/>
          <w:sz w:val="15"/>
          <w:szCs w:val="15"/>
          <w:color w:val="auto"/>
        </w:rPr>
        <w:t>Migdal Ha'emek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 REVIEW OF UNAUDITED CONDENSED INTERIM</w:t>
      </w:r>
    </w:p>
    <w:p>
      <w:pPr>
        <w:ind w:left="1400"/>
        <w:spacing w:after="0" w:line="237" w:lineRule="auto"/>
        <w:rPr>
          <w:sz w:val="20"/>
          <w:szCs w:val="20"/>
          <w:color w:val="auto"/>
        </w:rPr>
      </w:pPr>
      <w:r>
        <w:rPr>
          <w:rFonts w:ascii="Courier New" w:cs="Courier New" w:eastAsia="Courier New" w:hAnsi="Courier New"/>
          <w:sz w:val="15"/>
          <w:szCs w:val="15"/>
          <w:color w:val="auto"/>
        </w:rPr>
        <w:t>CONSOLIDATED FINANCIAL STATEMENTS AS OF MARCH 31, 2004</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("the Company") and its subsidiary, as follows:</w:t>
      </w:r>
    </w:p>
    <w:p>
      <w:pPr>
        <w:spacing w:after="0" w:line="167"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Balance sheet as of March 31, 2004.</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Statement of operations for the three months ended March 31, 2004.</w:t>
      </w:r>
    </w:p>
    <w:p>
      <w:pPr>
        <w:spacing w:after="0" w:line="172" w:lineRule="exact"/>
        <w:rPr>
          <w:rFonts w:ascii="Courier New" w:cs="Courier New" w:eastAsia="Courier New" w:hAnsi="Courier New"/>
          <w:sz w:val="15"/>
          <w:szCs w:val="15"/>
          <w:color w:val="auto"/>
        </w:rPr>
      </w:pPr>
    </w:p>
    <w:p>
      <w:pPr>
        <w:ind w:left="540" w:right="3319" w:hanging="530"/>
        <w:spacing w:after="0" w:line="234" w:lineRule="auto"/>
        <w:tabs>
          <w:tab w:leader="none" w:pos="1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changes in shareholders' equity for the three months ended March 31, 2004.</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Statement of cash flows for the three months ended March 31, 2004.</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periods presented is summarized in Note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of Deloitte Touche Tohmatsu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April 28, 2004</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617" w:right="1440" w:bottom="1440" w:gutter="0" w:footer="0" w:header="0"/>
        </w:sectPr>
      </w:pPr>
    </w:p>
    <w:bookmarkStart w:id="7" w:name="page8"/>
    <w:bookmarkEnd w:id="7"/>
    <w:p>
      <w:pPr>
        <w:jc w:val="center"/>
        <w:ind w:right="350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500"/>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6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AS OF MARCH 31,</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780" w:type="dxa"/>
            <w:vAlign w:val="bottom"/>
          </w:tcPr>
          <w:p>
            <w:pPr>
              <w:spacing w:after="0"/>
              <w:rPr>
                <w:sz w:val="14"/>
                <w:szCs w:val="14"/>
                <w:color w:val="auto"/>
              </w:rPr>
            </w:pP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spacing w:after="0"/>
              <w:rPr>
                <w:sz w:val="14"/>
                <w:szCs w:val="14"/>
                <w:color w:val="auto"/>
              </w:rPr>
            </w:pP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11,346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78,265</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21,924</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44,042</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DOUBTFUL ACCOUNTS OF $0, $125 AND $0, RESPECTIVELY)</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15,555</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6,700</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11,631</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14,852</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24,558</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21,584</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10,765</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2,342</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1,710</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146,944</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86,807</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100,305</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4,734</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12,056</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4,848</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6,000</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10,734</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18,056</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10,848</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566,821</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527,486</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568,412</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 NET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105,397</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105,718</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108,770</w:t>
            </w:r>
          </w:p>
        </w:tc>
      </w:tr>
      <w:tr>
        <w:trPr>
          <w:trHeight w:val="168"/>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$ 829,896</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$ 738,067</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DEBT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45,051</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82,902</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40,249</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8,198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7,583</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53,249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94,485</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49,813</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431,000</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282,000</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431,000</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24,933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24,505</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25,783</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8,167</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5,749</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5,935</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LIABILITY IN RESPECT</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45,830</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47,246</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46,347</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563,179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453,985</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558,878</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150,000,000, 70,000,000 AND 150,000,000 SHARES, RESPECTIVELY;</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 66,882,383, 44,735,532 AND 52,996,097 SHARES, RESPECTIVELY</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16,248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11,294</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13,150</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516,962</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400,887</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427,881</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 AND UNEARNED COMPENSATION</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3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(257,395)</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(118,993)</w:t>
            </w:r>
          </w:p>
        </w:tc>
        <w:tc>
          <w:tcPr>
            <w:tcW w:w="3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(218,904)</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275,789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293,154</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238,529</w:t>
            </w:r>
          </w:p>
        </w:tc>
      </w:tr>
      <w:tr>
        <w:trPr>
          <w:trHeight w:val="168"/>
        </w:trPr>
        <w:tc>
          <w:tcPr>
            <w:tcW w:w="6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266,717</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284,082</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229,457</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$ 829,896</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$ 738,067</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$ 788,335</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600"/>
          </w:cols>
          <w:pgMar w:left="220" w:top="785" w:right="1079" w:bottom="1440" w:gutter="0" w:footer="0" w:header="0"/>
        </w:sectPr>
      </w:pPr>
    </w:p>
    <w:bookmarkStart w:id="8" w:name="page9"/>
    <w:bookmarkEnd w:id="8"/>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OPERATIONS</w:t>
      </w:r>
    </w:p>
    <w:tbl>
      <w:tblPr>
        <w:tblLayout w:type="fixed"/>
        <w:tblInd w:w="0" w:type="dxa"/>
        <w:tblCellMar>
          <w:top w:w="0" w:type="dxa"/>
          <w:left w:w="0" w:type="dxa"/>
          <w:bottom w:w="0" w:type="dxa"/>
          <w:right w:w="0" w:type="dxa"/>
        </w:tblCellMar>
      </w:tblPr>
      <w:tr>
        <w:trPr>
          <w:trHeight w:val="168"/>
        </w:trPr>
        <w:tc>
          <w:tcPr>
            <w:tcW w:w="648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1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88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900" w:type="dxa"/>
            <w:vAlign w:val="bottom"/>
          </w:tcPr>
          <w:p>
            <w:pPr>
              <w:spacing w:after="0"/>
              <w:rPr>
                <w:sz w:val="14"/>
                <w:szCs w:val="14"/>
                <w:color w:val="auto"/>
              </w:rPr>
            </w:pP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2004</w:t>
            </w:r>
          </w:p>
        </w:tc>
        <w:tc>
          <w:tcPr>
            <w:tcW w:w="3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2003</w:t>
            </w:r>
          </w:p>
        </w:tc>
        <w:tc>
          <w:tcPr>
            <w:tcW w:w="36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27,247</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12,592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61,368</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6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50,149</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17,934</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122,395</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GROSS LOSS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(22,902)</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(5,342)</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(61,027)</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3,505</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3,857</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20,709</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5,591</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5,644</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22,615</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9,096</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9,501</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43,324</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OPERATING LOSS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(31,998)</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(14,843)</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(104,351)</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(EXPENSE), NET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(6,531)</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(9,826)</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36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(38,491)</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(14,350)</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ORDINARY SHARE</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per share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(0.61)</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(0.33)</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USED TO COMPUTE</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(38,484)</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(14,350)</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$(114,114)</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NUMBER OF ORDINARY</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63,026</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43,436</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47,608</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617" w:right="1440" w:bottom="1440" w:gutter="0" w:footer="0" w:header="0"/>
        </w:sectPr>
      </w:pPr>
    </w:p>
    <w:bookmarkStart w:id="9" w:name="page10"/>
    <w:bookmarkEnd w:id="9"/>
    <w:p>
      <w:pPr>
        <w:ind w:left="2460"/>
        <w:spacing w:after="0"/>
        <w:rPr>
          <w:sz w:val="20"/>
          <w:szCs w:val="20"/>
          <w:color w:val="auto"/>
        </w:rPr>
      </w:pPr>
      <w:r>
        <w:rPr>
          <w:rFonts w:ascii="Courier New" w:cs="Courier New" w:eastAsia="Courier New" w:hAnsi="Courier New"/>
          <w:sz w:val="15"/>
          <w:szCs w:val="15"/>
          <w:color w:val="auto"/>
        </w:rPr>
        <w:t>TOWER SEMICONDUCTOR LTD.</w:t>
      </w:r>
    </w:p>
    <w:tbl>
      <w:tblPr>
        <w:tblLayout w:type="fixed"/>
        <w:tblInd w:w="0" w:type="dxa"/>
        <w:tblCellMar>
          <w:top w:w="0" w:type="dxa"/>
          <w:left w:w="0" w:type="dxa"/>
          <w:bottom w:w="0" w:type="dxa"/>
          <w:right w:w="0" w:type="dxa"/>
        </w:tblCellMar>
      </w:tblPr>
      <w:tr>
        <w:trPr>
          <w:trHeight w:val="168"/>
        </w:trPr>
        <w:tc>
          <w:tcPr>
            <w:tcW w:w="34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STATEMENTS OF CHANGES</w:t>
            </w:r>
          </w:p>
        </w:tc>
        <w:tc>
          <w:tcPr>
            <w:tcW w:w="276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IN SHAREHOLDERS' EQUITY</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180" w:type="dxa"/>
            <w:vAlign w:val="bottom"/>
            <w:gridSpan w:val="4"/>
          </w:tcPr>
          <w:p>
            <w:pPr>
              <w:ind w:left="880"/>
              <w:spacing w:after="0" w:line="168" w:lineRule="exact"/>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73"/>
        </w:trPr>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SHAREHOLDER</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PROCEEDS</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RECEIVABLES</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ORDINARY SHARES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ADDITIONAL</w:t>
            </w:r>
          </w:p>
        </w:tc>
        <w:tc>
          <w:tcPr>
            <w:tcW w:w="480" w:type="dxa"/>
            <w:vAlign w:val="bottom"/>
          </w:tcPr>
          <w:p>
            <w:pPr>
              <w:spacing w:after="0"/>
              <w:rPr>
                <w:sz w:val="14"/>
                <w:szCs w:val="14"/>
                <w:color w:val="auto"/>
              </w:rPr>
            </w:pPr>
          </w:p>
        </w:tc>
        <w:tc>
          <w:tcPr>
            <w:tcW w:w="78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9"/>
              </w:rPr>
              <w:t>ON</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AND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ACCOUNT OF</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UNEARNED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TREASURY</w:t>
            </w: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SHARE CAPITAL</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DEFICIT</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42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1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52,996,097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$13,150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$ 427,881</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$16,428</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(218,904)</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$(9,072)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$ 229,457</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2,346,786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15,901</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(16,428)</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COSTS - PUBLIC OFFERING</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11,444,500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72,536</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95,000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(38,491)</w:t>
            </w:r>
          </w:p>
        </w:tc>
        <w:tc>
          <w:tcPr>
            <w:tcW w:w="8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(38,491)</w:t>
            </w:r>
          </w:p>
        </w:tc>
      </w:tr>
      <w:tr>
        <w:trPr>
          <w:trHeight w:val="168"/>
        </w:trPr>
        <w:tc>
          <w:tcPr>
            <w:tcW w:w="342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MARCH 31, 2004</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66,882,383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$16,248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$ 516,962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(257,395)</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$(9,072)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$ 266,717</w:t>
            </w:r>
          </w:p>
        </w:tc>
      </w:tr>
      <w:tr>
        <w:trPr>
          <w:trHeight w:val="168"/>
        </w:trPr>
        <w:tc>
          <w:tcPr>
            <w:tcW w:w="342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44,735,532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$ 400,808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(104,643)</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$(9,072)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$ 298,334</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 THE FAB 2 CONSTRUCTOR</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ISSUANCE COSTS</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(14,350)</w:t>
            </w:r>
          </w:p>
        </w:tc>
        <w:tc>
          <w:tcPr>
            <w:tcW w:w="8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(14,350)</w:t>
            </w:r>
          </w:p>
        </w:tc>
      </w:tr>
      <w:tr>
        <w:trPr>
          <w:trHeight w:val="168"/>
        </w:trPr>
        <w:tc>
          <w:tcPr>
            <w:tcW w:w="342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MARCH 31, 2003</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(UNAUDITED)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44,735,532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$11,294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$ 400,887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(118,993)</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$(9,072)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$ 284,082</w:t>
            </w:r>
          </w:p>
        </w:tc>
      </w:tr>
      <w:tr>
        <w:trPr>
          <w:trHeight w:val="168"/>
        </w:trPr>
        <w:tc>
          <w:tcPr>
            <w:tcW w:w="342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44,735,532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$ 400,808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(104,643)</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$(9,072)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$ 298,334</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CHANGES DURING 2003:</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 THE FAB 2 CONSTRUCTOR</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STOCK-BASED COMPENSATION RELATED TO THE</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FACILITY AGREEMENT WITH THE BANKS</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4,205</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8,260,565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22,723</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16,428</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(114,261)</w:t>
            </w:r>
          </w:p>
        </w:tc>
        <w:tc>
          <w:tcPr>
            <w:tcW w:w="8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(114,261)</w:t>
            </w:r>
          </w:p>
        </w:tc>
      </w:tr>
      <w:tr>
        <w:trPr>
          <w:trHeight w:val="168"/>
        </w:trPr>
        <w:tc>
          <w:tcPr>
            <w:tcW w:w="342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52,996,097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$ 427,881</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$16,428</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(218,904)</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$(9,072)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$ 229,457</w:t>
            </w:r>
          </w:p>
        </w:tc>
      </w:tr>
      <w:tr>
        <w:trPr>
          <w:trHeight w:val="168"/>
        </w:trPr>
        <w:tc>
          <w:tcPr>
            <w:tcW w:w="3420" w:type="dxa"/>
            <w:vAlign w:val="bottom"/>
          </w:tcPr>
          <w:p>
            <w:pPr>
              <w:spacing w:after="0"/>
              <w:rPr>
                <w:sz w:val="14"/>
                <w:szCs w:val="14"/>
                <w:color w:val="auto"/>
              </w:rPr>
            </w:pP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1540"/>
          </w:cols>
          <w:pgMar w:left="220" w:top="617" w:right="139" w:bottom="1440" w:gutter="0" w:footer="0" w:header="0"/>
        </w:sectPr>
      </w:pPr>
    </w:p>
    <w:bookmarkStart w:id="10" w:name="page11"/>
    <w:bookmarkEnd w:id="10"/>
    <w:p>
      <w:pPr>
        <w:jc w:val="center"/>
        <w:ind w:right="366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660"/>
        <w:spacing w:after="0" w:line="237" w:lineRule="auto"/>
        <w:rPr>
          <w:sz w:val="20"/>
          <w:szCs w:val="20"/>
          <w:color w:val="auto"/>
        </w:rPr>
      </w:pPr>
      <w:r>
        <w:rPr>
          <w:rFonts w:ascii="Courier New" w:cs="Courier New" w:eastAsia="Courier New" w:hAnsi="Courier New"/>
          <w:sz w:val="15"/>
          <w:szCs w:val="15"/>
          <w:color w:val="auto"/>
        </w:rPr>
        <w:t>CONSOLIDATED STATEMENTS OF CASH FLOWS (dollars in</w:t>
      </w:r>
    </w:p>
    <w:tbl>
      <w:tblPr>
        <w:tblLayout w:type="fixed"/>
        <w:tblInd w:w="0" w:type="dxa"/>
        <w:tblCellMar>
          <w:top w:w="0" w:type="dxa"/>
          <w:left w:w="0" w:type="dxa"/>
          <w:bottom w:w="0" w:type="dxa"/>
          <w:right w:w="0" w:type="dxa"/>
        </w:tblCellMar>
      </w:tblPr>
      <w:tr>
        <w:trPr>
          <w:trHeight w:val="169"/>
        </w:trPr>
        <w:tc>
          <w:tcPr>
            <w:tcW w:w="6960" w:type="dxa"/>
            <w:vAlign w:val="bottom"/>
          </w:tcPr>
          <w:p>
            <w:pPr>
              <w:ind w:left="1400"/>
              <w:spacing w:after="0" w:line="169" w:lineRule="exact"/>
              <w:rPr>
                <w:sz w:val="20"/>
                <w:szCs w:val="20"/>
                <w:color w:val="auto"/>
              </w:rPr>
            </w:pPr>
            <w:r>
              <w:rPr>
                <w:rFonts w:ascii="Courier New" w:cs="Courier New" w:eastAsia="Courier New" w:hAnsi="Courier New"/>
                <w:sz w:val="15"/>
                <w:szCs w:val="15"/>
                <w:color w:val="auto"/>
              </w:rPr>
              <w:t>thousands, except share data and per share data)</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w w:val="98"/>
              </w:rPr>
              <w:t>THREE MONTHS ENDED</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6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w:t>
            </w:r>
          </w:p>
        </w:tc>
        <w:tc>
          <w:tcPr>
            <w:tcW w:w="88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6960" w:type="dxa"/>
            <w:vAlign w:val="bottom"/>
          </w:tcPr>
          <w:p>
            <w:pPr>
              <w:spacing w:after="0"/>
              <w:rPr>
                <w:sz w:val="14"/>
                <w:szCs w:val="14"/>
                <w:color w:val="auto"/>
              </w:rPr>
            </w:pP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2004</w:t>
            </w:r>
          </w:p>
        </w:tc>
        <w:tc>
          <w:tcPr>
            <w:tcW w:w="3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2003</w:t>
            </w:r>
          </w:p>
        </w:tc>
        <w:tc>
          <w:tcPr>
            <w:tcW w:w="3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spacing w:after="0"/>
              <w:rPr>
                <w:sz w:val="14"/>
                <w:szCs w:val="14"/>
                <w:color w:val="auto"/>
              </w:rPr>
            </w:pP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(38,491)</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(14,350)</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26,929</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4,664</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54,611</w:t>
            </w: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DEVALUATION OF CONVERTIBLE DEBENTURES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(900)</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w:t>
            </w: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(3,924)</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756</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(4,175)</w:t>
            </w: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 CURRENT ASSETS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(1,748)</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(2,547)</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1,264</w:t>
            </w: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(2,202)</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(6,221)</w:t>
            </w: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INCREASE IN TRADE ACCOUNTS PAYABLE</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3,309</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3,409</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801</w:t>
            </w: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(1,366)</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(508)</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1,467</w:t>
            </w: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INCREASE IN OTHER LONG-TERM LIABILITIES</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2,232</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(16,199)</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(8,277)</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(66,779)</w:t>
            </w:r>
          </w:p>
        </w:tc>
      </w:tr>
      <w:tr>
        <w:trPr>
          <w:trHeight w:val="168"/>
        </w:trPr>
        <w:tc>
          <w:tcPr>
            <w:tcW w:w="69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DECREASE IN LONG-TERM LIABILITY</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 RESPECT OF CUSTOMERS' ADVANCES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(16,716)</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(8,277)</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(67,678)</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INVESTING ACTIVITIES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CASH, SHORT-TERM AND LONG TERM INTEREST-BEARING</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DEPOSITS DESIGNATED FOR INVESTMENTS RELATING TO FAB 2</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(34,109)</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29,251</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14,341</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(25,254)</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(48,026)</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(179,310)</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2,511</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6,720</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33,811</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(5,760)</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(22,098)</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DEPOSITS, NET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(60,516)</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(16,315)</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(142,534)</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FINANCING ACTIVITIES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(COSTS RELATED TO) ISSUANCE OF SHARES, NET</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75,465</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24,375</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665</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(13,000)</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LONG-TERM DEBT, NET IN CONNECTION WITH RE-BORROWING</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187,000</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76,130</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28,885</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214,803</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(1,102)</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4,293</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4,591</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12,448</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7,857</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AND CASH EQUIVALENTS - END OF PERIOD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11,346</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ACTIVITIES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16,259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27,209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17,160</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STOCK-BASED COMPENSATION RELATED TO</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FACILITY AGREEMENT WITH THE BANKS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4,205</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3,153</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 DURING THE PERIOD FOR INTEREST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6,531</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4,417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15,674</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 DURING THE PERIOD FOR INCOME TAXES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696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760"/>
          </w:cols>
          <w:pgMar w:left="220" w:top="617" w:right="919" w:bottom="1440" w:gutter="0" w:footer="0" w:header="0"/>
        </w:sectPr>
      </w:pPr>
    </w:p>
    <w:bookmarkStart w:id="11" w:name="page12"/>
    <w:bookmarkEnd w:id="11"/>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2004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73" w:lineRule="exact"/>
        <w:rPr>
          <w:sz w:val="20"/>
          <w:szCs w:val="20"/>
          <w:color w:val="auto"/>
        </w:rPr>
      </w:pPr>
    </w:p>
    <w:p>
      <w:pPr>
        <w:ind w:left="1060" w:right="3239" w:hanging="526"/>
        <w:spacing w:after="0" w:line="255" w:lineRule="auto"/>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March 31, 2004 and for the three months then ended ("interim financial statements") of Tower Semiconductor Ltd. ("the Company") and subsidiary should be read in conjunction with the audited consolidated financial statements of the Company and subsidiary as of December 31, 2003 and for the year then ended, including the notes thereto. In the opinion of management, the interim financial statements include all adjustments necessary for a fair presentation of the financial position and results of operations as of the date and for the interim period presented. The results of operations for the interim period are not necessarily indicative of the results to be expected on a full-year basis.</w:t>
      </w:r>
    </w:p>
    <w:p>
      <w:pPr>
        <w:spacing w:after="0" w:line="164" w:lineRule="exact"/>
        <w:rPr>
          <w:rFonts w:ascii="Courier New" w:cs="Courier New" w:eastAsia="Courier New" w:hAnsi="Courier New"/>
          <w:sz w:val="14"/>
          <w:szCs w:val="14"/>
          <w:color w:val="auto"/>
        </w:rPr>
      </w:pPr>
    </w:p>
    <w:p>
      <w:pPr>
        <w:ind w:left="1060" w:right="3239" w:hanging="526"/>
        <w:spacing w:after="0" w:line="236"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financial statements have been prepared in conformity with generally accepted accounting principles ("GAAP") in Israel, which, as applicable to these interim financial statements, differ in certain respects from GAAP in the United States of America ("U.S. GAAP"), as indicated in Note 5.</w:t>
      </w:r>
    </w:p>
    <w:p>
      <w:pPr>
        <w:spacing w:after="0" w:line="173" w:lineRule="exact"/>
        <w:rPr>
          <w:rFonts w:ascii="Courier New" w:cs="Courier New" w:eastAsia="Courier New" w:hAnsi="Courier New"/>
          <w:sz w:val="15"/>
          <w:szCs w:val="15"/>
          <w:color w:val="auto"/>
        </w:rPr>
      </w:pPr>
    </w:p>
    <w:p>
      <w:pPr>
        <w:ind w:left="106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w:t>
      </w:r>
    </w:p>
    <w:p>
      <w:pPr>
        <w:spacing w:after="0" w:line="172" w:lineRule="exact"/>
        <w:rPr>
          <w:rFonts w:ascii="Courier New" w:cs="Courier New" w:eastAsia="Courier New" w:hAnsi="Courier New"/>
          <w:sz w:val="15"/>
          <w:szCs w:val="15"/>
          <w:color w:val="auto"/>
        </w:rPr>
      </w:pPr>
    </w:p>
    <w:p>
      <w:pPr>
        <w:ind w:left="1060" w:right="34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w:t>
      </w:r>
    </w:p>
    <w:p>
      <w:pPr>
        <w:spacing w:after="0" w:line="1" w:lineRule="exact"/>
        <w:rPr>
          <w:rFonts w:ascii="Courier New" w:cs="Courier New" w:eastAsia="Courier New" w:hAnsi="Courier New"/>
          <w:sz w:val="15"/>
          <w:szCs w:val="15"/>
          <w:color w:val="auto"/>
        </w:rPr>
      </w:pPr>
    </w:p>
    <w:p>
      <w:pPr>
        <w:ind w:left="10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200-millimeter wafers. The Company has entered into several related agreements and other arrangements and has completed public and private financing deals, which, as of the approval date of the interim financial statements, have provided an aggregate of $1,226,100 of financing for Fab 2.</w:t>
      </w:r>
    </w:p>
    <w:p>
      <w:pPr>
        <w:spacing w:after="0" w:line="173"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2003, in which Fab 2 was substantially completed, the Company began commercial production and shipment of wafers to its customers utilizing the 0.18 micron process technology. With the commencement of Fab 2 operations, the Company began to depreciate and amortize Fab 2 assets, as well as to expense most of the ongoing direct costs related to the construction and equipping of Fab 2 and transfer of the Fab 2 technology that had been previously capitalized.</w:t>
      </w:r>
    </w:p>
    <w:p>
      <w:pPr>
        <w:spacing w:after="0" w:line="177"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Fab 2 project is a complex undertaking, which entails substantial risks and uncertainties. For further details concerning the Fab 2 project and related agreements, which were amended several times, risks and uncertainties, see Note 13A to the 2003 audited consolidated financial statements.</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617" w:right="1440" w:bottom="1440" w:gutter="0" w:footer="0" w:header="0"/>
        </w:sectPr>
      </w:pPr>
    </w:p>
    <w:bookmarkStart w:id="12" w:name="page13"/>
    <w:bookmarkEnd w:id="12"/>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2004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MAJOR CUSTOMERS</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Sales to major customers as a percentage of total sales were as follows:</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312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2740" w:type="dxa"/>
            <w:vAlign w:val="bottom"/>
          </w:tcPr>
          <w:p>
            <w:pPr>
              <w:spacing w:after="0"/>
              <w:rPr>
                <w:sz w:val="14"/>
                <w:szCs w:val="14"/>
                <w:color w:val="auto"/>
              </w:rPr>
            </w:pPr>
          </w:p>
        </w:tc>
        <w:tc>
          <w:tcPr>
            <w:tcW w:w="3120" w:type="dxa"/>
            <w:vAlign w:val="bottom"/>
            <w:gridSpan w:val="2"/>
          </w:tcPr>
          <w:p>
            <w:pPr>
              <w:ind w:left="1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40" w:type="dxa"/>
            <w:vAlign w:val="bottom"/>
          </w:tcPr>
          <w:p>
            <w:pPr>
              <w:spacing w:after="0"/>
              <w:rPr>
                <w:sz w:val="14"/>
                <w:szCs w:val="14"/>
                <w:color w:val="auto"/>
              </w:rPr>
            </w:pPr>
          </w:p>
        </w:tc>
        <w:tc>
          <w:tcPr>
            <w:tcW w:w="15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2004</w:t>
            </w:r>
          </w:p>
        </w:tc>
        <w:tc>
          <w:tcPr>
            <w:tcW w:w="1580" w:type="dxa"/>
            <w:vAlign w:val="bottom"/>
          </w:tcPr>
          <w:p>
            <w:pPr>
              <w:jc w:val="center"/>
              <w:ind w:left="1147"/>
              <w:spacing w:after="0" w:line="168" w:lineRule="exact"/>
              <w:rPr>
                <w:sz w:val="20"/>
                <w:szCs w:val="20"/>
                <w:color w:val="auto"/>
              </w:rPr>
            </w:pPr>
            <w:r>
              <w:rPr>
                <w:rFonts w:ascii="Courier New" w:cs="Courier New" w:eastAsia="Courier New" w:hAnsi="Courier New"/>
                <w:sz w:val="15"/>
                <w:szCs w:val="15"/>
                <w:color w:val="auto"/>
                <w:w w:val="99"/>
              </w:rPr>
              <w:t>2003</w:t>
            </w:r>
          </w:p>
        </w:tc>
      </w:tr>
      <w:tr>
        <w:trPr>
          <w:trHeight w:val="168"/>
        </w:trPr>
        <w:tc>
          <w:tcPr>
            <w:tcW w:w="2740" w:type="dxa"/>
            <w:vAlign w:val="bottom"/>
          </w:tcPr>
          <w:p>
            <w:pPr>
              <w:spacing w:after="0"/>
              <w:rPr>
                <w:sz w:val="14"/>
                <w:szCs w:val="14"/>
                <w:color w:val="auto"/>
              </w:rPr>
            </w:pPr>
          </w:p>
        </w:tc>
        <w:tc>
          <w:tcPr>
            <w:tcW w:w="15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11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580" w:type="dxa"/>
            <w:vAlign w:val="bottom"/>
          </w:tcPr>
          <w:p>
            <w:pPr>
              <w:jc w:val="center"/>
              <w:ind w:left="1147"/>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1580" w:type="dxa"/>
            <w:vAlign w:val="bottom"/>
          </w:tcPr>
          <w:p>
            <w:pPr>
              <w:jc w:val="center"/>
              <w:ind w:left="1147"/>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580" w:type="dxa"/>
            <w:vAlign w:val="bottom"/>
          </w:tcPr>
          <w:p>
            <w:pPr>
              <w:jc w:val="center"/>
              <w:ind w:left="1147"/>
              <w:spacing w:after="0" w:line="168" w:lineRule="exact"/>
              <w:rPr>
                <w:sz w:val="20"/>
                <w:szCs w:val="20"/>
                <w:color w:val="auto"/>
              </w:rPr>
            </w:pPr>
            <w:r>
              <w:rPr>
                <w:rFonts w:ascii="Courier New" w:cs="Courier New" w:eastAsia="Courier New" w:hAnsi="Courier New"/>
                <w:sz w:val="15"/>
                <w:szCs w:val="15"/>
                <w:color w:val="auto"/>
                <w:w w:val="88"/>
              </w:rPr>
              <w:t>23</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E</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580" w:type="dxa"/>
            <w:vAlign w:val="bottom"/>
          </w:tcPr>
          <w:p>
            <w:pPr>
              <w:jc w:val="center"/>
              <w:ind w:left="1147"/>
              <w:spacing w:after="0" w:line="168" w:lineRule="exact"/>
              <w:rPr>
                <w:sz w:val="20"/>
                <w:szCs w:val="20"/>
                <w:color w:val="auto"/>
              </w:rPr>
            </w:pPr>
            <w:r>
              <w:rPr>
                <w:rFonts w:ascii="Courier New" w:cs="Courier New" w:eastAsia="Courier New" w:hAnsi="Courier New"/>
                <w:sz w:val="15"/>
                <w:szCs w:val="15"/>
                <w:color w:val="auto"/>
                <w:w w:val="88"/>
              </w:rPr>
              <w:t>15</w:t>
            </w:r>
          </w:p>
        </w:tc>
      </w:tr>
    </w:tbl>
    <w:p>
      <w:pPr>
        <w:spacing w:after="0" w:line="173" w:lineRule="exact"/>
        <w:rPr>
          <w:sz w:val="20"/>
          <w:szCs w:val="20"/>
          <w:color w:val="auto"/>
        </w:rPr>
      </w:pPr>
    </w:p>
    <w:p>
      <w:pPr>
        <w:ind w:left="1060" w:right="3319" w:hanging="526"/>
        <w:spacing w:after="0" w:line="235"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sales to five different customers each of whom accounted for between 5% and 8% of sales during the three months ended March 31, 2004, and to four customers (3%-6%) during the three months ended March 31,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w:t>
      </w:r>
    </w:p>
    <w:p>
      <w:pPr>
        <w:spacing w:after="0" w:line="173" w:lineRule="exact"/>
        <w:rPr>
          <w:sz w:val="20"/>
          <w:szCs w:val="20"/>
          <w:color w:val="auto"/>
        </w:rPr>
      </w:pPr>
    </w:p>
    <w:p>
      <w:pPr>
        <w:ind w:left="1060" w:right="3679" w:hanging="526"/>
        <w:spacing w:after="0" w:line="234"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SHARES ISSUED TO THE PRIMARY WAFER PARTNERS AND EQUITY INVESTORS</w:t>
      </w:r>
    </w:p>
    <w:p>
      <w:pPr>
        <w:spacing w:after="0" w:line="173"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2004, the primary Wafer Partners and Equity Investors were issued an aggregate of 2,346,786 Ordinary Shares of the Company in consideration for their final $16,428 committed investment made in December 2003. The shares were issued at a per share price of $7.00, a price equal to the offering price at the public offering described in Note 4A.</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10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Fab 2 approved enterprise program, investments in respect of Fab 2 are to be completed by December 31, 2005, five years from the date the approval certificate was obtained. Due to the later than planned commencement of construction of Fab 2 and prevailing market conditions, the Company does not currently expect to complete Fab 2 investments by the end of 2005. During 2003 the Company has notified the Investment Center of its revised investment schedule contemplated in an updated plan for the construction and equipping of Fab 2, and has also informed the Investment Center of the reduced rate of annual investments and lower than projected expectations for Fab 2 sales. As of the date of the interim financial statements, the Company understands that the Investment Center has completed its evaluation of the revised investments plan. Accordingly, the company has been filing its capital expenditure reports with the Investment Center by reference to the revised investment schedule contemplated in the revised investment plan, and has been provided with the related Investment Center grants.</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617" w:right="1440" w:bottom="1440" w:gutter="0" w:footer="0" w:header="0"/>
        </w:sectPr>
      </w:pPr>
    </w:p>
    <w:bookmarkStart w:id="13" w:name="page14"/>
    <w:bookmarkEnd w:id="13"/>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2004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66" w:lineRule="exact"/>
        <w:rPr>
          <w:sz w:val="20"/>
          <w:szCs w:val="20"/>
          <w:color w:val="auto"/>
        </w:rPr>
      </w:pPr>
    </w:p>
    <w:p>
      <w:pPr>
        <w:ind w:left="1060" w:hanging="526"/>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 (cont.)</w:t>
      </w:r>
    </w:p>
    <w:p>
      <w:pPr>
        <w:spacing w:after="0" w:line="172" w:lineRule="exact"/>
        <w:rPr>
          <w:rFonts w:ascii="Courier New" w:cs="Courier New" w:eastAsia="Courier New" w:hAnsi="Courier New"/>
          <w:sz w:val="15"/>
          <w:szCs w:val="15"/>
          <w:color w:val="auto"/>
        </w:rPr>
      </w:pPr>
    </w:p>
    <w:p>
      <w:pPr>
        <w:ind w:left="10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While Israeli law currently limits the ability of the Investment Center to extend the investment period beyond five years, the Company's management estimates, based on discussions held with the Investment Center, prior and subsequent to the balance sheet date, that it is probable that satisfactory arrangements will be made to enable the extension of the investment period.</w:t>
      </w:r>
    </w:p>
    <w:p>
      <w:pPr>
        <w:spacing w:after="0" w:line="168"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2" w:lineRule="exact"/>
        <w:rPr>
          <w:rFonts w:ascii="Courier New" w:cs="Courier New" w:eastAsia="Courier New" w:hAnsi="Courier New"/>
          <w:sz w:val="15"/>
          <w:szCs w:val="15"/>
          <w:color w:val="auto"/>
        </w:rPr>
      </w:pPr>
    </w:p>
    <w:p>
      <w:pPr>
        <w:ind w:left="106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reported period, the Company entered into hedging transactions as follows:</w:t>
      </w:r>
    </w:p>
    <w:p>
      <w:pPr>
        <w:spacing w:after="0" w:line="173"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exchange agreements (cylinder options, options and forward contracts) to hedge exposure related to purchase of machinery and equipment and salary and wage costs, the aggregate outstanding amount of which as of March 31, 2004 was $19,390 and $5,200, respectively.</w:t>
      </w:r>
    </w:p>
    <w:p>
      <w:pPr>
        <w:spacing w:after="0" w:line="173" w:lineRule="exact"/>
        <w:rPr>
          <w:rFonts w:ascii="Courier New" w:cs="Courier New" w:eastAsia="Courier New" w:hAnsi="Courier New"/>
          <w:sz w:val="15"/>
          <w:szCs w:val="15"/>
          <w:color w:val="auto"/>
        </w:rPr>
      </w:pPr>
    </w:p>
    <w:p>
      <w:pPr>
        <w:ind w:left="1580" w:right="3239" w:hanging="521"/>
        <w:spacing w:after="0" w:line="256" w:lineRule="auto"/>
        <w:tabs>
          <w:tab w:leader="none" w:pos="15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to hedge interest rate exposure on long-term bank loans under the Facility Agreement, in the aggregate amount as of March 31, 2004 of $80,000. As a result, out of the total $431,000 long-term bank loans under that agreement, as of the balance sheet date, $292,000 is under hedging transactions.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OTHER RECENT DEVELOPMENTS</w:t>
      </w:r>
    </w:p>
    <w:p>
      <w:pPr>
        <w:spacing w:after="0" w:line="166" w:lineRule="exact"/>
        <w:rPr>
          <w:sz w:val="20"/>
          <w:szCs w:val="20"/>
          <w:color w:val="auto"/>
        </w:rPr>
      </w:pPr>
    </w:p>
    <w:p>
      <w:pPr>
        <w:ind w:left="1060" w:hanging="526"/>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OFFERING COMPLETED IN THE FIRST QUARTER OF 2004</w:t>
      </w:r>
    </w:p>
    <w:p>
      <w:pPr>
        <w:spacing w:after="0" w:line="172" w:lineRule="exact"/>
        <w:rPr>
          <w:rFonts w:ascii="Courier New" w:cs="Courier New" w:eastAsia="Courier New" w:hAnsi="Courier New"/>
          <w:sz w:val="15"/>
          <w:szCs w:val="15"/>
          <w:color w:val="auto"/>
        </w:rPr>
      </w:pPr>
    </w:p>
    <w:p>
      <w:pPr>
        <w:ind w:left="106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first quarter of 2004, the Company completed a public offering of its Ordinary Shares at a price of $7.00 per share. Following the offering, and including the partial exercise of over-allotment option the Company granted the underwriters, the Company issued 11,444,500 of its Ordinary Shares, in consideration for gross proceeds of $80,112 (net of related costs - $75,086).</w:t>
      </w:r>
    </w:p>
    <w:p>
      <w:pPr>
        <w:spacing w:after="0" w:line="159"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SILICONIX</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2003, the Company and chip maker Siliconix incorporated, an 80% owned subsidiary of Vishay Intertechnology Inc., entered into a memorandum of understanding ("MOU") for a long-term manufacturing and supply arrangement. Pursuant to the MOU, Siliconix will place with the Company orders for the purchase of wafers to be manufactured at the Company's Fab 1 valued at approximately $200,000 over a seven to ten year period. Siliconix will advance the Company $20,000 to be used primarily for the purchase of additional equipment and other expenses required to satisfy Siliconix orders, which will be credited towards the purchase price of the wafers. The transaction is subject to the approval of both companies' board of directors, the Company's Banks, the Investment Center and to the negotiation of definitive documentation. A definitive agreement is expected to be signed during the second quarter of 2004.</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617" w:right="1440" w:bottom="1440" w:gutter="0" w:footer="0" w:header="0"/>
        </w:sectPr>
      </w:pPr>
    </w:p>
    <w:bookmarkStart w:id="14" w:name="page15"/>
    <w:bookmarkEnd w:id="14"/>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2004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OTHER RECENT DEVELOPMENTS (cont.)</w:t>
      </w:r>
    </w:p>
    <w:p>
      <w:pPr>
        <w:spacing w:after="0" w:line="166" w:lineRule="exact"/>
        <w:rPr>
          <w:sz w:val="20"/>
          <w:szCs w:val="20"/>
          <w:color w:val="auto"/>
        </w:rPr>
      </w:pPr>
    </w:p>
    <w:p>
      <w:pPr>
        <w:ind w:left="1060" w:hanging="526"/>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2003, certain shareholders of the Company filed a shareholders' class action complaint in the United States against the Company and certain of its directors, Wafer Partners and Equity Investors (the "Defendants"). The plaintiffs have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plaintiffs seek damages in unspecified amounts, which could be substantial, and unspecified rescissory relief. The Company believes that the complaint is without merit and is vigorously contesting it. In January 2004, the Company filed with the court a motion to dismiss the action and in April 2004 the plaintiff filed an opposition to the motion to dismiss. As of the date of the interim financial statements, the Court has not rendered a decision with regard to the motion to dismiss.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w:t>
      </w:r>
    </w:p>
    <w:p>
      <w:pPr>
        <w:spacing w:after="0" w:line="173" w:lineRule="exact"/>
        <w:rPr>
          <w:sz w:val="20"/>
          <w:szCs w:val="20"/>
          <w:color w:val="auto"/>
        </w:rPr>
      </w:pPr>
    </w:p>
    <w:p>
      <w:pPr>
        <w:ind w:left="1060" w:right="3239"/>
        <w:spacing w:after="0" w:line="236"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G below for the presentation of the Company's unaudited balance sheet as of March 31, 2004 in accordance with U.S. GAAP.</w:t>
      </w:r>
    </w:p>
    <w:p>
      <w:pPr>
        <w:spacing w:after="0" w:line="174" w:lineRule="exact"/>
        <w:rPr>
          <w:sz w:val="20"/>
          <w:szCs w:val="20"/>
          <w:color w:val="auto"/>
        </w:rPr>
      </w:pPr>
    </w:p>
    <w:p>
      <w:pPr>
        <w:ind w:left="1060" w:right="3399" w:hanging="526"/>
        <w:spacing w:after="0" w:line="234" w:lineRule="auto"/>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173"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cash, short-term and long-term interest-bearing deposits designated for investments relating to Fab 2 should be excluded from current assets and long-term investments and presented separately as a non-current asset. Accordingly, as of March 31, 2004, $78,265 and $4,734 were reclassified, respectively, from current assets and long-term investments to a long-term asset (as of December 31, 2003 - $44,042 and $4,848, respectively).</w:t>
      </w:r>
    </w:p>
    <w:p>
      <w:pPr>
        <w:spacing w:after="0" w:line="159"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2" w:lineRule="exact"/>
        <w:rPr>
          <w:rFonts w:ascii="Courier New" w:cs="Courier New" w:eastAsia="Courier New" w:hAnsi="Courier New"/>
          <w:sz w:val="15"/>
          <w:szCs w:val="15"/>
          <w:color w:val="auto"/>
        </w:rPr>
      </w:pPr>
    </w:p>
    <w:p>
      <w:pPr>
        <w:ind w:left="10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as of March 31, 2004 an amount of $14,587 was reclassified from other long-term liabilities to long-term investments (as of December 31, 2003 - $14,607).</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617" w:right="1440" w:bottom="1440" w:gutter="0" w:footer="0" w:header="0"/>
        </w:sectPr>
      </w:pPr>
    </w:p>
    <w:bookmarkStart w:id="15" w:name="page16"/>
    <w:bookmarkEnd w:id="15"/>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2004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1060" w:hanging="526"/>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March 31, 2004 would have resulted in: an increase in other long-term liabilities in the amount of $10,448; an increase in the Company's current liabilities in the amount of $260; an increase in other comprehensive loss for the three months ended March 31, 2004 in the net amount of $456 and in the accumulated other comprehensive loss component of equity as of such date in the amount of $16,353; and in a decrease of $5,615 in property and equipment, net as of March 31, 2004.</w:t>
      </w:r>
    </w:p>
    <w:p>
      <w:pPr>
        <w:spacing w:after="0" w:line="172"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10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March 31, 2004 in accordance with SFAS 123, as amended by SFAS 148, the Company's pro forma loss and loss per share would have been as follows:</w:t>
      </w:r>
    </w:p>
    <w:p>
      <w:pPr>
        <w:spacing w:after="0" w:line="167"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Three months ended</w:t>
      </w:r>
    </w:p>
    <w:p>
      <w:pPr>
        <w:jc w:val="center"/>
        <w:ind w:right="-540"/>
        <w:spacing w:after="0" w:line="237" w:lineRule="auto"/>
        <w:rPr>
          <w:sz w:val="20"/>
          <w:szCs w:val="20"/>
          <w:color w:val="auto"/>
        </w:rPr>
      </w:pPr>
      <w:r>
        <w:rPr>
          <w:rFonts w:ascii="Courier New" w:cs="Courier New" w:eastAsia="Courier New" w:hAnsi="Courier New"/>
          <w:sz w:val="15"/>
          <w:szCs w:val="15"/>
          <w:color w:val="auto"/>
        </w:rPr>
        <w:t>March 31,</w:t>
      </w:r>
    </w:p>
    <w:p>
      <w:pPr>
        <w:jc w:val="center"/>
        <w:ind w:right="-540"/>
        <w:spacing w:after="0" w:line="238" w:lineRule="auto"/>
        <w:rPr>
          <w:sz w:val="20"/>
          <w:szCs w:val="20"/>
          <w:color w:val="auto"/>
        </w:rPr>
      </w:pPr>
      <w:r>
        <w:rPr>
          <w:rFonts w:ascii="Courier New" w:cs="Courier New" w:eastAsia="Courier New" w:hAnsi="Courier New"/>
          <w:sz w:val="15"/>
          <w:szCs w:val="15"/>
          <w:color w:val="auto"/>
        </w:rPr>
        <w:t>-------------------</w:t>
      </w:r>
    </w:p>
    <w:p>
      <w:pPr>
        <w:jc w:val="center"/>
        <w:ind w:left="280"/>
        <w:spacing w:after="0" w:line="237" w:lineRule="auto"/>
        <w:tabs>
          <w:tab w:leader="none" w:pos="60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jc w:val="center"/>
        <w:ind w:right="-1320"/>
        <w:spacing w:after="0" w:line="238" w:lineRule="auto"/>
        <w:tabs>
          <w:tab w:leader="none" w:pos="240" w:val="left"/>
        </w:tabs>
        <w:rPr>
          <w:sz w:val="20"/>
          <w:szCs w:val="20"/>
          <w:color w:val="auto"/>
        </w:rPr>
      </w:pPr>
      <w:r>
        <w:rPr>
          <w:rFonts w:ascii="Courier New" w:cs="Courier New" w:eastAsia="Courier New" w:hAnsi="Courier New"/>
          <w:sz w:val="15"/>
          <w:szCs w:val="15"/>
          <w:color w:val="auto"/>
        </w:rPr>
        <w:t>--------</w:t>
        <w:tab/>
        <w:t>--------</w:t>
      </w:r>
    </w:p>
    <w:p>
      <w:pPr>
        <w:jc w:val="center"/>
        <w:ind w:right="-5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38" w:lineRule="auto"/>
        <w:rPr>
          <w:sz w:val="20"/>
          <w:szCs w:val="20"/>
          <w:color w:val="auto"/>
        </w:rPr>
      </w:pPr>
      <w:r>
        <w:rPr>
          <w:rFonts w:ascii="Courier New" w:cs="Courier New" w:eastAsia="Courier New" w:hAnsi="Courier New"/>
          <w:sz w:val="15"/>
          <w:szCs w:val="15"/>
          <w:color w:val="auto"/>
        </w:rPr>
        <w:t>PRO FORMA LOSS</w:t>
      </w:r>
    </w:p>
    <w:p>
      <w:pPr>
        <w:spacing w:after="0" w:line="237" w:lineRule="auto"/>
        <w:rPr>
          <w:sz w:val="20"/>
          <w:szCs w:val="20"/>
          <w:color w:val="auto"/>
        </w:rPr>
      </w:pPr>
      <w:r>
        <w:rPr>
          <w:rFonts w:ascii="Courier New" w:cs="Courier New" w:eastAsia="Courier New" w:hAnsi="Courier New"/>
          <w:sz w:val="15"/>
          <w:szCs w:val="15"/>
          <w:color w:val="auto"/>
        </w:rPr>
        <w:t>Loss for the period, as reported</w:t>
      </w:r>
    </w:p>
    <w:p>
      <w:pPr>
        <w:ind w:left="360"/>
        <w:spacing w:after="0" w:line="238" w:lineRule="auto"/>
        <w:rPr>
          <w:sz w:val="20"/>
          <w:szCs w:val="20"/>
          <w:color w:val="auto"/>
        </w:rPr>
      </w:pPr>
      <w:r>
        <w:rPr>
          <w:rFonts w:ascii="Courier New" w:cs="Courier New" w:eastAsia="Courier New" w:hAnsi="Courier New"/>
          <w:sz w:val="15"/>
          <w:szCs w:val="15"/>
          <w:color w:val="auto"/>
        </w:rPr>
        <w:t>according to U.S. GAAP</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(see H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$(38,491)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$(14,350)</w:t>
      </w:r>
    </w:p>
    <w:p>
      <w:pPr>
        <w:spacing w:after="0" w:line="10" w:lineRule="exact"/>
        <w:rPr>
          <w:sz w:val="20"/>
          <w:szCs w:val="20"/>
          <w:color w:val="auto"/>
        </w:rPr>
      </w:pPr>
    </w:p>
    <w:p>
      <w:pPr>
        <w:sectPr>
          <w:pgSz w:w="11900" w:h="16838" w:orient="portrait"/>
          <w:cols w:equalWidth="0" w:num="3">
            <w:col w:w="3840" w:space="720"/>
            <w:col w:w="780" w:space="180"/>
            <w:col w:w="4719"/>
          </w:cols>
          <w:pgMar w:left="220" w:top="617" w:right="1440" w:bottom="1440" w:gutter="0" w:footer="0" w:header="0"/>
          <w:type w:val="continuous"/>
        </w:sectPr>
      </w:pPr>
    </w:p>
    <w:p>
      <w:pPr>
        <w:jc w:val="center"/>
        <w:ind w:right="7519"/>
        <w:spacing w:after="0"/>
        <w:rPr>
          <w:sz w:val="20"/>
          <w:szCs w:val="20"/>
          <w:color w:val="auto"/>
        </w:rPr>
      </w:pPr>
      <w:r>
        <w:rPr>
          <w:rFonts w:ascii="Courier New" w:cs="Courier New" w:eastAsia="Courier New" w:hAnsi="Courier New"/>
          <w:sz w:val="14"/>
          <w:szCs w:val="14"/>
          <w:color w:val="auto"/>
        </w:rPr>
        <w:t>Less - stock-based compensation</w:t>
      </w:r>
    </w:p>
    <w:p>
      <w:pPr>
        <w:spacing w:after="0" w:line="3"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5"/>
          <w:szCs w:val="15"/>
          <w:color w:val="auto"/>
        </w:rPr>
        <w:t>determined under APB 25</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sectPr>
          <w:pgSz w:w="11900" w:h="16838" w:orient="portrait"/>
          <w:cols w:equalWidth="0" w:num="2">
            <w:col w:w="5320" w:space="720"/>
            <w:col w:w="41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 - stock-based compensation</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right="1300" w:firstLine="350"/>
        <w:spacing w:after="0" w:line="465" w:lineRule="auto"/>
        <w:rPr>
          <w:sz w:val="20"/>
          <w:szCs w:val="20"/>
          <w:color w:val="auto"/>
        </w:rPr>
      </w:pPr>
      <w:r>
        <w:rPr>
          <w:rFonts w:ascii="Courier New" w:cs="Courier New" w:eastAsia="Courier New" w:hAnsi="Courier New"/>
          <w:sz w:val="15"/>
          <w:szCs w:val="15"/>
          <w:color w:val="auto"/>
        </w:rPr>
        <w:t>determined under SFAS 123 Pro forma loss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(1,331)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$(39,822)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(1,611)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$(15,942)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3">
            <w:col w:w="3840" w:space="720"/>
            <w:col w:w="780" w:space="180"/>
            <w:col w:w="471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BASIC LOSS PER SHARE As reported according to U.S.</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GAAP (see I below)</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(0.62)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(0.33)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3">
            <w:col w:w="3840" w:space="720"/>
            <w:col w:w="780" w:space="180"/>
            <w:col w:w="471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 forma</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(0.65)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840" w:space="720"/>
            <w:col w:w="780" w:space="180"/>
            <w:col w:w="4719"/>
          </w:cols>
          <w:pgMar w:left="220" w:top="617" w:right="1440" w:bottom="1440" w:gutter="0" w:footer="0" w:header="0"/>
          <w:type w:val="continuous"/>
        </w:sectPr>
      </w:pPr>
    </w:p>
    <w:p>
      <w:pPr>
        <w:spacing w:after="0" w:line="141"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- 10 -</w:t>
      </w:r>
    </w:p>
    <w:p>
      <w:pPr>
        <w:sectPr>
          <w:pgSz w:w="11900" w:h="16838" w:orient="portrait"/>
          <w:cols w:equalWidth="0" w:num="1">
            <w:col w:w="10239"/>
          </w:cols>
          <w:pgMar w:left="220" w:top="617" w:right="1440" w:bottom="1440" w:gutter="0" w:footer="0" w:header="0"/>
          <w:type w:val="continuous"/>
        </w:sectPr>
      </w:pPr>
    </w:p>
    <w:bookmarkStart w:id="16" w:name="page17"/>
    <w:bookmarkEnd w:id="16"/>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2004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1060" w:hanging="526"/>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10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March 31, 2004 and December 31, 2003 in the amount of $2,363 (net of $196 related issuance expenses), and a decrease in convertible debentures as of such dates in the amount of $2,559. The effect of amortization of the discount on the convertible debentures under U.S.GAAP for the three-month period ended March 31, 2004 would have been immaterial.</w:t>
      </w:r>
    </w:p>
    <w:p>
      <w:pPr>
        <w:spacing w:after="0" w:line="164" w:lineRule="exact"/>
        <w:rPr>
          <w:rFonts w:ascii="Courier New" w:cs="Courier New" w:eastAsia="Courier New" w:hAnsi="Courier New"/>
          <w:sz w:val="15"/>
          <w:szCs w:val="15"/>
          <w:color w:val="auto"/>
        </w:rPr>
      </w:pPr>
    </w:p>
    <w:p>
      <w:pPr>
        <w:ind w:left="1060" w:right="3579" w:hanging="526"/>
        <w:spacing w:after="0" w:line="234" w:lineRule="auto"/>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PROCEEDS ON ACCOUNT OF SHARES IN ACCORDANCE WITH U.S. GAAP (SFAS 150)</w:t>
      </w:r>
    </w:p>
    <w:p>
      <w:pPr>
        <w:spacing w:after="0" w:line="173" w:lineRule="exact"/>
        <w:rPr>
          <w:rFonts w:ascii="Courier New" w:cs="Courier New" w:eastAsia="Courier New" w:hAnsi="Courier New"/>
          <w:sz w:val="15"/>
          <w:szCs w:val="15"/>
          <w:color w:val="auto"/>
        </w:rPr>
      </w:pPr>
    </w:p>
    <w:p>
      <w:pPr>
        <w:ind w:left="106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SFAS No. 150, "Accounting For Certain Financial Instruments with Characteristics of Both Liabilities and Equity", a financial instrument that embodies an unconditional obligation (as defined in that guidance), that the issuer must or may settle by issuing a variable number of its equity shares, shall be classified as a liability if, at inception, the monetary value of the obligation is based solely or predominantly on, among others, a fixed monetary amount known at inception. Accordingly, the $16,428 described in Note 3A, and which according to Israeli GAAP was presented as of December 31, 2003 as "Proceeds on account of share capital", were reclassified as of December 31, 2003 under SFAS 150 as "Liability in respect of variable number of shares to be issued". Such presentation for the U.S. GAAP purposes was required since as of December 31, 2003, the amount of shares the Company was to issue in consideration of the aggregate of $16,428 was not determined as of such date, and was actually based on mechanisms that embody a variable number of shares. Following the issuance of shares, as described in Note 3A, the $16,428 amount is presented for U.S. GAAP purposes as well as paid in equity.</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617" w:right="1440" w:bottom="1440" w:gutter="0" w:footer="0" w:header="0"/>
        </w:sectPr>
      </w:pPr>
    </w:p>
    <w:bookmarkStart w:id="17" w:name="page18"/>
    <w:bookmarkEnd w:id="17"/>
    <w:p>
      <w:pPr>
        <w:jc w:val="center"/>
        <w:ind w:right="44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44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MARCH 31, 2004</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BALANCE SHEETS IN ACCORDANCE WITH U.S. GAAP</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5"/>
          </w:tcPr>
          <w:p>
            <w:pPr>
              <w:jc w:val="right"/>
              <w:ind w:right="587"/>
              <w:spacing w:after="0"/>
              <w:rPr>
                <w:sz w:val="20"/>
                <w:szCs w:val="20"/>
                <w:color w:val="auto"/>
              </w:rPr>
            </w:pPr>
            <w:r>
              <w:rPr>
                <w:rFonts w:ascii="Courier New" w:cs="Courier New" w:eastAsia="Courier New" w:hAnsi="Courier New"/>
                <w:sz w:val="15"/>
                <w:szCs w:val="15"/>
                <w:color w:val="auto"/>
              </w:rPr>
              <w:t>AS OF MARCH 31, 2004</w:t>
            </w:r>
          </w:p>
        </w:tc>
        <w:tc>
          <w:tcPr>
            <w:tcW w:w="120" w:type="dxa"/>
            <w:vAlign w:val="bottom"/>
          </w:tcPr>
          <w:p>
            <w:pPr>
              <w:spacing w:after="0"/>
              <w:rPr>
                <w:sz w:val="14"/>
                <w:szCs w:val="14"/>
                <w:color w:val="auto"/>
              </w:rPr>
            </w:pPr>
          </w:p>
        </w:tc>
        <w:tc>
          <w:tcPr>
            <w:tcW w:w="2880" w:type="dxa"/>
            <w:vAlign w:val="bottom"/>
            <w:gridSpan w:val="5"/>
          </w:tcPr>
          <w:p>
            <w:pPr>
              <w:jc w:val="right"/>
              <w:ind w:right="347"/>
              <w:spacing w:after="0"/>
              <w:rPr>
                <w:sz w:val="20"/>
                <w:szCs w:val="20"/>
                <w:color w:val="auto"/>
              </w:rPr>
            </w:pPr>
            <w:r>
              <w:rPr>
                <w:rFonts w:ascii="Courier New" w:cs="Courier New" w:eastAsia="Courier New" w:hAnsi="Courier New"/>
                <w:sz w:val="15"/>
                <w:szCs w:val="15"/>
                <w:color w:val="auto"/>
              </w:rPr>
              <w:t>AS OF DECEMBER 31, 2003</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6"/>
                <w:szCs w:val="6"/>
                <w:color w:val="auto"/>
                <w:w w:val="72"/>
              </w:rPr>
              <w: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820" w:type="dxa"/>
            <w:vAlign w:val="bottom"/>
          </w:tcPr>
          <w:p>
            <w:pPr>
              <w:spacing w:after="0"/>
              <w:rPr>
                <w:sz w:val="14"/>
                <w:szCs w:val="14"/>
                <w:color w:val="auto"/>
              </w:rPr>
            </w:pP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U.S.</w:t>
            </w:r>
          </w:p>
        </w:tc>
        <w:tc>
          <w:tcPr>
            <w:tcW w:w="1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AS PER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AS PER</w:t>
            </w:r>
          </w:p>
        </w:tc>
        <w:tc>
          <w:tcPr>
            <w:tcW w:w="1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 PER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AS PER</w:t>
            </w:r>
          </w:p>
        </w:tc>
      </w:tr>
      <w:tr>
        <w:trPr>
          <w:trHeight w:val="168"/>
        </w:trPr>
        <w:tc>
          <w:tcPr>
            <w:tcW w:w="4820" w:type="dxa"/>
            <w:vAlign w:val="bottom"/>
          </w:tcPr>
          <w:p>
            <w:pPr>
              <w:spacing w:after="0"/>
              <w:rPr>
                <w:sz w:val="14"/>
                <w:szCs w:val="14"/>
                <w:color w:val="auto"/>
              </w:rPr>
            </w:pP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GAAP</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ISRAELI</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ADJUST-</w:t>
            </w: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U.S.</w:t>
            </w:r>
          </w:p>
        </w:tc>
        <w:tc>
          <w:tcPr>
            <w:tcW w:w="1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ISRAELI</w:t>
            </w:r>
          </w:p>
        </w:tc>
        <w:tc>
          <w:tcPr>
            <w:tcW w:w="14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ADJUST-</w:t>
            </w:r>
          </w:p>
        </w:tc>
        <w:tc>
          <w:tcPr>
            <w:tcW w:w="1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4820" w:type="dxa"/>
            <w:vAlign w:val="bottom"/>
          </w:tcPr>
          <w:p>
            <w:pPr>
              <w:spacing w:after="0"/>
              <w:rPr>
                <w:sz w:val="14"/>
                <w:szCs w:val="14"/>
                <w:color w:val="auto"/>
              </w:rPr>
            </w:pP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REMARK</w:t>
            </w:r>
          </w:p>
        </w:tc>
        <w:tc>
          <w:tcPr>
            <w:tcW w:w="1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GAAP</w:t>
            </w: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MENTS</w:t>
            </w: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GAAP</w:t>
            </w:r>
          </w:p>
        </w:tc>
        <w:tc>
          <w:tcPr>
            <w:tcW w:w="1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GAAP</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MENTS</w:t>
            </w:r>
          </w:p>
        </w:tc>
        <w:tc>
          <w:tcPr>
            <w:tcW w:w="1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820" w:type="dxa"/>
            <w:vAlign w:val="bottom"/>
          </w:tcPr>
          <w:p>
            <w:pPr>
              <w:spacing w:after="0"/>
              <w:rPr>
                <w:sz w:val="14"/>
                <w:szCs w:val="14"/>
                <w:color w:val="auto"/>
              </w:rPr>
            </w:pP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30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11,346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11,346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12,448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spacing w:after="0"/>
              <w:rPr>
                <w:sz w:val="14"/>
                <w:szCs w:val="14"/>
                <w:color w:val="auto"/>
              </w:rPr>
            </w:pP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DESIGNATED FOR INVESTMENTS RALATING TO FAB 2</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78,265</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(78,265)</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44,042</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(44,042)</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15,555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15,555</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11,631</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11,631</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14,852</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14,852</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11,073</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11,073</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21,584</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21,584</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19,382</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19,382</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2,342</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2,342</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1,729</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1,729</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146,944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(78,265)</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68,679</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100,305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(44,042)</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56,263</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DESIGNATED FOR INVESTMENTS RALATING TO FAB 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4,734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(4,734)</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4,848</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(4,848)</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B</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6,000</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14,587</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20,587</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14,607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20,607</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10,734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9,853</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20,587</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10,848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9,759</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20,607</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C</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566,821</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(5,615)</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561,206</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568,412</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562,465</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SHORT-TERM AND LONG-TERM</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INTEREST-BEARING DEPOSITS DESIGNATED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INVESTMENTS RELATING TO FAB 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82,999</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82,999</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48,890</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48,890</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105,397</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105,201</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108,770</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108,574</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$ 829,896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8,776</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838,672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788,335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8,464</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796,799</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31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7"/>
              </w:rPr>
              <w:t>=========== =========== ===========</w:t>
            </w:r>
          </w:p>
        </w:tc>
        <w:tc>
          <w:tcPr>
            <w:tcW w:w="9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6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45,051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45,051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40,249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spacing w:after="0"/>
              <w:rPr>
                <w:sz w:val="14"/>
                <w:szCs w:val="14"/>
                <w:color w:val="auto"/>
              </w:rPr>
            </w:pP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40,249</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C</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8,198</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8,458</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9,564</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9,564</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53,249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53,509</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49,813</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49,813</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431,000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431,000</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431,000</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431,000</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24,933</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22,374</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25,783</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23,224</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 C</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8,167</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25,035</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33,202</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24,527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30,462</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LIABILITY IN RESPECT OF A VARIABLE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NUMBER OF SHARES TO BE ISSUED</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F</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16,428</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LIABILITY IN RESPECT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45,830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45,830</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46,347</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46,347</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563,179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22,736</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585,915</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558,878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38,396</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597,274</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ORDINARY SHARES, NIS 1 PAR VALUE - AUTHORIZED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150,000,000 SHARES; ISSUED 66,882,383 AND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52,996,097 SHARES, RESPECTIVELY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16,248</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16,248</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13,150</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13,150</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516,962</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2,363</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519,325</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427,881</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2,363</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430,244</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SHAREHOLDER RECEIVABLES AND UNEARNED COMPENSATION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F</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16,428</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(16,428)</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C</w:t>
            </w: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(16,353)</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(16,353)</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(15,897)</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(15,897)</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H</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(257,395)</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(257,365)</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(218,904)</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(218,874)</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275,789</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(13,960)</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261,829</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238,529</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(29,932)</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208,597</w:t>
            </w:r>
          </w:p>
        </w:tc>
      </w:tr>
      <w:tr>
        <w:trPr>
          <w:trHeight w:val="168"/>
        </w:trPr>
        <w:tc>
          <w:tcPr>
            <w:tcW w:w="4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168"/>
        </w:trPr>
        <w:tc>
          <w:tcPr>
            <w:tcW w:w="4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266,717</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(13,960)</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252,757</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229,457</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(29,932)</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199,525</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482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660" w:type="dxa"/>
            <w:vAlign w:val="bottom"/>
          </w:tcPr>
          <w:p>
            <w:pPr>
              <w:spacing w:after="0"/>
              <w:rPr>
                <w:sz w:val="24"/>
                <w:szCs w:val="24"/>
                <w:color w:val="auto"/>
              </w:rPr>
            </w:pP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$ 829,896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8,776</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838,672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788,335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8,464</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796,799</w:t>
            </w:r>
          </w:p>
        </w:tc>
      </w:tr>
      <w:tr>
        <w:trPr>
          <w:trHeight w:val="168"/>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673"/>
        </w:trPr>
        <w:tc>
          <w:tcPr>
            <w:tcW w:w="4820" w:type="dxa"/>
            <w:vAlign w:val="bottom"/>
          </w:tcPr>
          <w:p>
            <w:pPr>
              <w:ind w:left="3240"/>
              <w:spacing w:after="0"/>
              <w:rPr>
                <w:sz w:val="20"/>
                <w:szCs w:val="20"/>
                <w:color w:val="auto"/>
              </w:rPr>
            </w:pPr>
            <w:r>
              <w:rPr>
                <w:rFonts w:ascii="Courier New" w:cs="Courier New" w:eastAsia="Courier New" w:hAnsi="Courier New"/>
                <w:sz w:val="15"/>
                <w:szCs w:val="15"/>
                <w:color w:val="auto"/>
              </w:rPr>
              <w:t>- 12 -</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540"/>
          </w:cols>
          <w:pgMar w:left="220" w:top="617" w:right="139" w:bottom="1021"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2004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1060" w:hanging="526"/>
        <w:spacing w:after="0"/>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106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(C above) and APB 14 (E above) would not have materially affected the results of operations for the three-month period ended March 31, 2004.</w:t>
      </w:r>
    </w:p>
    <w:p>
      <w:pPr>
        <w:spacing w:after="0" w:line="16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2" w:lineRule="exact"/>
        <w:rPr>
          <w:rFonts w:ascii="Courier New" w:cs="Courier New" w:eastAsia="Courier New" w:hAnsi="Courier New"/>
          <w:sz w:val="15"/>
          <w:szCs w:val="15"/>
          <w:color w:val="auto"/>
        </w:rPr>
      </w:pPr>
    </w:p>
    <w:p>
      <w:pPr>
        <w:ind w:left="106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(SFAS 128, including the implementation of SFAS 133 and SFAS 138, and APB 14 as described in H above), the basic and diluted loss per share for the three-month periods ended March 31, 2004 and 2003 would be $0.62 and $0.33, respectively.</w:t>
      </w:r>
    </w:p>
    <w:p>
      <w:pPr>
        <w:spacing w:after="0" w:line="32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Roman"/>
      <w:start w:val="5"/>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upperLetter"/>
      <w:start w:val="1"/>
    </w:lvl>
    <w:lvl w:ilvl="1">
      <w:lvlJc w:val="left"/>
      <w:lvlText w:val="-"/>
      <w:numFmt w:val="bullet"/>
      <w:start w:val="1"/>
    </w:lvl>
  </w:abstractNum>
  <w:abstractNum w:abstractNumId="7">
    <w:nsid w:val="1F16E9E8"/>
    <w:multiLevelType w:val="hybridMultilevel"/>
    <w:lvl w:ilvl="0">
      <w:lvlJc w:val="left"/>
      <w:lvlText w:val="%1."/>
      <w:numFmt w:val="upperLetter"/>
      <w:start w:val="2"/>
    </w:lvl>
    <w:lvl w:ilvl="1">
      <w:lvlJc w:val="left"/>
      <w:lvlText w:val="(%2)"/>
      <w:numFmt w:val="decimal"/>
      <w:start w:val="1"/>
    </w:lvl>
  </w:abstractNum>
  <w:abstractNum w:abstractNumId="8">
    <w:nsid w:val="1190CDE7"/>
    <w:multiLevelType w:val="hybridMultilevel"/>
    <w:lvl w:ilvl="0">
      <w:lvlJc w:val="left"/>
      <w:lvlText w:val="%1."/>
      <w:numFmt w:val="upperLetter"/>
      <w:start w:val="1"/>
    </w:lvl>
    <w:lvl w:ilvl="1">
      <w:lvlJc w:val="left"/>
      <w:lvlText w:val="-"/>
      <w:numFmt w:val="bullet"/>
      <w:start w:val="1"/>
    </w:lvl>
  </w:abstractNum>
  <w:abstractNum w:abstractNumId="9">
    <w:nsid w:val="66EF438D"/>
    <w:multiLevelType w:val="hybridMultilevel"/>
    <w:lvl w:ilvl="0">
      <w:lvlJc w:val="left"/>
      <w:lvlText w:val="%1."/>
      <w:numFmt w:val="upperLetter"/>
      <w:start w:val="3"/>
    </w:lvl>
  </w:abstractNum>
  <w:abstractNum w:abstractNumId="10">
    <w:nsid w:val="140E0F76"/>
    <w:multiLevelType w:val="hybridMultilevel"/>
    <w:lvl w:ilvl="0">
      <w:lvlJc w:val="left"/>
      <w:lvlText w:val="%1."/>
      <w:numFmt w:val="upperLetter"/>
      <w:start w:val="1"/>
    </w:lvl>
    <w:lvl w:ilvl="1">
      <w:lvlJc w:val="left"/>
      <w:lvlText w:val="-"/>
      <w:numFmt w:val="bullet"/>
      <w:start w:val="1"/>
    </w:lvl>
  </w:abstractNum>
  <w:abstractNum w:abstractNumId="11">
    <w:nsid w:val="3352255A"/>
    <w:multiLevelType w:val="hybridMultilevel"/>
    <w:lvl w:ilvl="0">
      <w:lvlJc w:val="left"/>
      <w:lvlText w:val="%1."/>
      <w:numFmt w:val="upperLetter"/>
      <w:start w:val="3"/>
    </w:lvl>
  </w:abstractNum>
  <w:abstractNum w:abstractNumId="12">
    <w:nsid w:val="109CF92E"/>
    <w:multiLevelType w:val="hybridMultilevel"/>
    <w:lvl w:ilvl="0">
      <w:lvlJc w:val="left"/>
      <w:lvlText w:val="%1."/>
      <w:numFmt w:val="upperLetter"/>
      <w:start w:val="5"/>
    </w:lvl>
    <w:lvl w:ilvl="1">
      <w:lvlJc w:val="left"/>
      <w:lvlText w:val="-"/>
      <w:numFmt w:val="bullet"/>
      <w:start w:val="1"/>
    </w:lvl>
  </w:abstractNum>
  <w:abstractNum w:abstractNumId="13">
    <w:nsid w:val="DED7263"/>
    <w:multiLevelType w:val="hybridMultilevel"/>
    <w:lvl w:ilvl="0">
      <w:lvlJc w:val="left"/>
      <w:lvlText w:val="%1."/>
      <w:numFmt w:val="upperLetter"/>
      <w:start w:val="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2019-12-14T03:30:34Z</dcterms:created>
  <dcterms:modified xsi:type="dcterms:W3CDTF">2019-12-14T03:30:34Z</dcterms:modified>
</cp:coreProperties>
</file>