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Menora Mivtachim Holdings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6,898,163.00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6,898,163.00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6,898,163.00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7" w:orient="portrait"/>
          <w:cols w:equalWidth="0" w:num="2">
            <w:col w:w="1100" w:space="60"/>
            <w:col w:w="9960"/>
          </w:cols>
          <w:pgMar w:left="320" w:top="166" w:right="459" w:bottom="0" w:gutter="0" w:footer="0" w:header="0"/>
        </w:sectPr>
      </w:pPr>
    </w:p>
    <w:p>
      <w:pPr>
        <w:spacing w:after="0" w:line="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111,845,587 Ordinary Shares outstanding as of May 31, 2025 (as reported by the Issuer in Exhibit 99.1 to its Report on Form 6-K filed with the Securities and Exchange Commission on June 12,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Menora Mivtachim Pensions &amp; Gemel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6,046,352.00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6,046,352.00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120"/>
          </w:cols>
          <w:pgMar w:left="320" w:top="166" w:right="4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6,046,352.00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111,845,587 Ordinary Shares outstanding as of May 31, 2025 (as reported by the Issuer in Exhibit 99.1 to its Report on Form 6-K filed with the Securities and Exchange Commission on June 12,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40"/>
          </w:cols>
          <w:pgMar w:left="320" w:top="355" w:right="439" w:bottom="73"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Menora Mivtachim Holdings Ltd. Menora Mivtachim Pensions and Gemel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Menora Mivtachim Holdings Ltd. - Menora House, 23 Jabotinsky St., Ramat Gan 5251102, Israel Menora Mivtachim Pensions and Gemel Ltd. - 23 Jabotinsky St., Ramat Gan 5251102, Israel</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980"/>
        <w:spacing w:after="0" w:line="309" w:lineRule="auto"/>
        <w:rPr>
          <w:sz w:val="20"/>
          <w:szCs w:val="20"/>
          <w:color w:val="auto"/>
        </w:rPr>
      </w:pPr>
      <w:r>
        <w:rPr>
          <w:rFonts w:ascii="Times New Roman" w:cs="Times New Roman" w:eastAsia="Times New Roman" w:hAnsi="Times New Roman"/>
          <w:sz w:val="22"/>
          <w:szCs w:val="22"/>
          <w:color w:val="auto"/>
        </w:rPr>
        <w:t>Menora Mivtachim Holdings Ltd. - Israel Menora Mivtachim Pensions and Gemel Ltd. - Israel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M87915274</w:t>
      </w:r>
    </w:p>
    <w:p>
      <w:pPr>
        <w:spacing w:after="0" w:line="44" w:lineRule="exact"/>
        <w:rPr>
          <w:sz w:val="20"/>
          <w:szCs w:val="20"/>
          <w:color w:val="auto"/>
        </w:rPr>
      </w:pPr>
    </w:p>
    <w:p>
      <w:pPr>
        <w:sectPr>
          <w:pgSz w:w="11900" w:h="16838" w:orient="portrait"/>
          <w:cols w:equalWidth="0" w:num="2">
            <w:col w:w="660" w:space="300"/>
            <w:col w:w="10180"/>
          </w:cols>
          <w:pgMar w:left="320" w:top="355" w:right="439" w:bottom="73" w:gutter="0" w:footer="0" w:header="0"/>
          <w:type w:val="continuous"/>
        </w:sect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40"/>
          </w:cols>
          <w:pgMar w:left="320" w:top="355" w:right="439" w:bottom="73"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4" w:lineRule="auto"/>
        <w:rPr>
          <w:sz w:val="20"/>
          <w:szCs w:val="20"/>
          <w:color w:val="auto"/>
        </w:rPr>
      </w:pPr>
      <w:r>
        <w:rPr>
          <w:rFonts w:ascii="Times New Roman" w:cs="Times New Roman" w:eastAsia="Times New Roman" w:hAnsi="Times New Roman"/>
          <w:sz w:val="21"/>
          <w:szCs w:val="21"/>
          <w:color w:val="auto"/>
        </w:rPr>
        <w:t>See row 9 of cover page of each reporting person. As of December 31, 2025, the securities reported herein were held as follows: 6,046,352 ordinary shares (representing 5.41% of the total ordinary shares outstanding) beneficially owned by Menora Mivtachim Pensions and Gemel Ltd.; 797,343 ordinary shares (representing 0.71% of the total ordinary shares outstanding) beneficially owned by Menora Mivtachim Insurance Ltd.; 42,808 ordinary shares (representing 0.04% of the total ordinary shares outstanding) beneficially owned by Menora Mivtachim Vehistadrut Hamehandesim Nihul Kupot Gemel Ltd.; and 11,660 ordinary shares (representing 0.01% of the total ordinary shares outstanding) beneficially owned by Shomera Insurance Company Ltd. The securities reported herein are beneficially</w:t>
      </w:r>
    </w:p>
    <w:p>
      <w:pPr>
        <w:spacing w:after="0" w:line="6" w:lineRule="exact"/>
        <w:rPr>
          <w:sz w:val="20"/>
          <w:szCs w:val="20"/>
          <w:color w:val="auto"/>
        </w:rPr>
      </w:pPr>
    </w:p>
    <w:p>
      <w:pPr>
        <w:ind w:left="920" w:right="40" w:hanging="912"/>
        <w:spacing w:after="0" w:line="222"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owned by Menora Mivtachim Holdings Ltd. ("Menora Holdings") and by entities that are direct or indirect, wholly-owned or majority-owned, subsidiaries of Menora Holdings (the "Subsidiaries"), such as Menora Mivtachim Insurance Ltd., Shomera Insurance Company Ltd., Menora Mivtachim Pensions and Gemel Ltd., Menora Mivtachim Vehistadrut Hamehandesim Nihul Kupot Gemel Ltd., and Menora Mivtachim Investment Portfolio Management Ltd. The economic interest or beneficial ownership in a portion of the securities covered by this report (including the right to receive or the power to direct the receipt of dividends from, or the proceeds from the sale of, such securities) is held for the benefit of insurance policy holders, the owners of portfolio accounts, or the members of the provident funds or pension funds, as the case may be. This statement on Schedule 13G shall not be construed as an admission by Menora Holdings or by any of the Subsidiaries that it is the beneficial owner of any of such securities covered by this statement on Schedule 13G, and each of Menora Holdings and the Subsidiaries disclaims beneficial ownership of any such securities except to the extent of its pecuniary interest therein.</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each reporting person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of each reporting person and note in Item 4(a) above</w:t>
      </w:r>
    </w:p>
    <w:p>
      <w:pPr>
        <w:spacing w:after="0" w:line="287" w:lineRule="exact"/>
        <w:rPr>
          <w:sz w:val="20"/>
          <w:szCs w:val="20"/>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cover page of each reporting person and note in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060"/>
        <w:spacing w:after="0"/>
        <w:rPr>
          <w:sz w:val="20"/>
          <w:szCs w:val="20"/>
          <w:color w:val="auto"/>
        </w:rPr>
      </w:pPr>
      <w:r>
        <w:rPr>
          <w:rFonts w:ascii="Times New Roman" w:cs="Times New Roman" w:eastAsia="Times New Roman" w:hAnsi="Times New Roman"/>
          <w:sz w:val="22"/>
          <w:szCs w:val="22"/>
          <w:color w:val="auto"/>
        </w:rPr>
        <w:t>Menora Mivtachim Holdings Ltd</w:t>
      </w:r>
    </w:p>
    <w:p>
      <w:pPr>
        <w:spacing w:after="0" w:line="152"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Omri Gal</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Name/Title: VP Finance and Accounting</w:t>
      </w:r>
    </w:p>
    <w:p>
      <w:pPr>
        <w:spacing w:after="0" w:line="44"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02/01/2026</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Lior Yochpaz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Menora Mivtachim Pensions &amp; Gemel Ltd.</w:t>
      </w:r>
    </w:p>
    <w:p>
      <w:pPr>
        <w:spacing w:after="0" w:line="152"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Omri Gal</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Name/Title: VP Finance and Accounting</w:t>
      </w:r>
    </w:p>
    <w:p>
      <w:pPr>
        <w:spacing w:after="0" w:line="44"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02/01/2026</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Lior Yochpaz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1 - Joint Filing Agreement by and among the Reporting Persons, dated as of February 13, 2025 (incorporated herein by reference to Exhibit 1 to the Schedule 13G filed on February 13, 2025).</w:t>
      </w:r>
    </w:p>
    <w:sectPr>
      <w:pgSz w:w="11900" w:h="16838" w:orient="portrait"/>
      <w:cols w:equalWidth="0" w:num="1">
        <w:col w:w="11000"/>
      </w:cols>
      <w:pgMar w:left="360" w:top="15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2026-02-10T12:36:00Z</dcterms:created>
  <dcterms:modified xsi:type="dcterms:W3CDTF">2026-02-10T12:36:00Z</dcterms:modified>
</cp:coreProperties>
</file>