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151765</wp:posOffset>
            </wp:positionH>
            <wp:positionV relativeFrom="page">
              <wp:posOffset>356870</wp:posOffset>
            </wp:positionV>
            <wp:extent cx="725741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1750"/>
                    </a:xfrm>
                    <a:prstGeom prst="rect">
                      <a:avLst/>
                    </a:prstGeom>
                    <a:noFill/>
                  </pic:spPr>
                </pic:pic>
              </a:graphicData>
            </a:graphic>
          </wp:anchor>
        </w:drawing>
        <w:drawing>
          <wp:anchor simplePos="0" relativeHeight="251657728" behindDoc="1" locked="0" layoutInCell="0" allowOverlap="1">
            <wp:simplePos x="0" y="0"/>
            <wp:positionH relativeFrom="page">
              <wp:posOffset>151765</wp:posOffset>
            </wp:positionH>
            <wp:positionV relativeFrom="page">
              <wp:posOffset>467360</wp:posOffset>
            </wp:positionV>
            <wp:extent cx="72574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7620"/>
                    </a:xfrm>
                    <a:prstGeom prst="rect">
                      <a:avLst/>
                    </a:prstGeom>
                    <a:noFill/>
                  </pic:spPr>
                </pic:pic>
              </a:graphicData>
            </a:graphic>
          </wp:anchor>
        </w:drawing>
        <w:t>FORM 6-K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month July 2019 No. 2</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TOWER SEMICONDUCTOR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(Translation of registrant's name into English)</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Ramat Gavriel Industrial Park</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20"/>
          <w:szCs w:val="20"/>
          <w:b w:val="1"/>
          <w:bCs w:val="1"/>
          <w:color w:val="auto"/>
        </w:rPr>
        <w:t>P.O. Box 619, Migdal Haemek, Israel 2310502</w:t>
      </w:r>
    </w:p>
    <w:p>
      <w:pPr>
        <w:ind w:left="4180"/>
        <w:spacing w:after="0"/>
        <w:rPr>
          <w:sz w:val="20"/>
          <w:szCs w:val="20"/>
          <w:color w:val="auto"/>
        </w:rPr>
      </w:pPr>
      <w:r>
        <w:rPr>
          <w:rFonts w:ascii="Arial" w:cs="Arial" w:eastAsia="Arial" w:hAnsi="Arial"/>
          <w:sz w:val="20"/>
          <w:szCs w:val="20"/>
          <w:color w:val="auto"/>
        </w:rPr>
        <w:t>(Address of principal executive offices)</w:t>
      </w:r>
    </w:p>
    <w:p>
      <w:pPr>
        <w:spacing w:after="0" w:line="201" w:lineRule="exact"/>
        <w:rPr>
          <w:sz w:val="24"/>
          <w:szCs w:val="24"/>
          <w:color w:val="auto"/>
        </w:rPr>
      </w:pPr>
    </w:p>
    <w:p>
      <w:pPr>
        <w:ind w:left="600"/>
        <w:spacing w:after="0"/>
        <w:rPr>
          <w:sz w:val="20"/>
          <w:szCs w:val="20"/>
          <w:color w:val="auto"/>
        </w:rPr>
      </w:pPr>
      <w:r>
        <w:rPr>
          <w:rFonts w:ascii="Arial" w:cs="Arial" w:eastAsia="Arial" w:hAnsi="Arial"/>
          <w:sz w:val="20"/>
          <w:szCs w:val="20"/>
          <w:color w:val="auto"/>
        </w:rPr>
        <w:t>Indicate by check mark whether the registrant files or will file annual reports under cover Form 20-F or Form 40-F.</w:t>
      </w:r>
    </w:p>
    <w:p>
      <w:pPr>
        <w:spacing w:after="0" w:line="192" w:lineRule="exact"/>
        <w:rPr>
          <w:sz w:val="24"/>
          <w:szCs w:val="24"/>
          <w:color w:val="auto"/>
        </w:rPr>
      </w:pPr>
    </w:p>
    <w:p>
      <w:pPr>
        <w:jc w:val="center"/>
        <w:spacing w:after="0" w:line="230" w:lineRule="exact"/>
        <w:tabs>
          <w:tab w:leader="none" w:pos="520" w:val="left"/>
        </w:tabs>
        <w:rPr>
          <w:sz w:val="20"/>
          <w:szCs w:val="20"/>
          <w:color w:val="auto"/>
        </w:rPr>
      </w:pPr>
      <w:r>
        <w:rPr>
          <w:rFonts w:ascii="Arial" w:cs="Arial" w:eastAsia="Arial" w:hAnsi="Arial"/>
          <w:sz w:val="20"/>
          <w:szCs w:val="20"/>
          <w:color w:val="auto"/>
        </w:rPr>
        <w:t xml:space="preserve">Form 20-F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Form 40-F </w:t>
      </w:r>
      <w:r>
        <w:rPr>
          <w:rFonts w:ascii="MS PGothic" w:cs="MS PGothic" w:eastAsia="MS PGothic" w:hAnsi="MS PGothic"/>
          <w:sz w:val="18"/>
          <w:szCs w:val="18"/>
          <w:color w:val="auto"/>
        </w:rPr>
        <w:t>☐</w:t>
      </w:r>
    </w:p>
    <w:p>
      <w:pPr>
        <w:spacing w:after="0" w:line="254" w:lineRule="exact"/>
        <w:rPr>
          <w:sz w:val="24"/>
          <w:szCs w:val="24"/>
          <w:color w:val="auto"/>
        </w:rPr>
      </w:pPr>
    </w:p>
    <w:p>
      <w:pPr>
        <w:ind w:firstLine="596"/>
        <w:spacing w:after="0" w:line="254" w:lineRule="auto"/>
        <w:rPr>
          <w:sz w:val="20"/>
          <w:szCs w:val="20"/>
          <w:color w:val="auto"/>
        </w:rPr>
      </w:pPr>
      <w:r>
        <w:rPr>
          <w:rFonts w:ascii="Arial" w:cs="Arial" w:eastAsia="Arial" w:hAnsi="Arial"/>
          <w:sz w:val="20"/>
          <w:szCs w:val="20"/>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8" w:lineRule="exact"/>
        <w:rPr>
          <w:sz w:val="24"/>
          <w:szCs w:val="24"/>
          <w:color w:val="auto"/>
        </w:rPr>
      </w:pPr>
    </w:p>
    <w:p>
      <w:pPr>
        <w:jc w:val="center"/>
        <w:ind w:right="-19"/>
        <w:spacing w:after="0" w:line="230" w:lineRule="exact"/>
        <w:tabs>
          <w:tab w:leader="none" w:pos="540" w:val="left"/>
        </w:tabs>
        <w:rPr>
          <w:sz w:val="20"/>
          <w:szCs w:val="20"/>
          <w:color w:val="auto"/>
        </w:rPr>
      </w:pPr>
      <w:r>
        <w:rPr>
          <w:rFonts w:ascii="Arial" w:cs="Arial" w:eastAsia="Arial" w:hAnsi="Arial"/>
          <w:sz w:val="20"/>
          <w:szCs w:val="20"/>
          <w:color w:val="auto"/>
        </w:rPr>
        <w:t xml:space="preserve">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25741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15875"/>
                    </a:xfrm>
                    <a:prstGeom prst="rect">
                      <a:avLst/>
                    </a:prstGeom>
                    <a:noFill/>
                  </pic:spPr>
                </pic:pic>
              </a:graphicData>
            </a:graphic>
          </wp:anchor>
        </w:drawing>
      </w:r>
    </w:p>
    <w:p>
      <w:pPr>
        <w:sectPr>
          <w:pgSz w:w="11900" w:h="16838" w:orient="portrait"/>
          <w:cols w:equalWidth="0" w:num="1">
            <w:col w:w="11420"/>
          </w:cols>
          <w:pgMar w:left="240" w:top="1099" w:right="239" w:bottom="1440" w:gutter="0" w:footer="0" w:header="0"/>
        </w:sectPr>
      </w:pPr>
    </w:p>
    <w:bookmarkStart w:id="1" w:name="page2"/>
    <w:bookmarkEnd w:id="1"/>
    <w:p>
      <w:pPr>
        <w:jc w:val="center"/>
        <w:ind w:left="1060" w:right="899"/>
        <w:spacing w:after="0" w:line="245" w:lineRule="auto"/>
        <w:rPr>
          <w:sz w:val="20"/>
          <w:szCs w:val="20"/>
          <w:color w:val="auto"/>
        </w:rPr>
      </w:pPr>
      <w:r>
        <w:rPr>
          <w:rFonts w:ascii="Arial" w:cs="Arial" w:eastAsia="Arial" w:hAnsi="Arial"/>
          <w:sz w:val="22"/>
          <w:szCs w:val="22"/>
          <w:color w:val="auto"/>
        </w:rPr>
        <w:t>On July 10, 2019, the Registrant, Cadence and Lumerical Announce the Delivery of Silicon-Photonics and SiGe- Integrated PDK with a Complete Optical Transceiver Design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98425</wp:posOffset>
            </wp:positionV>
            <wp:extent cx="725741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1587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6320" w:type="dxa"/>
            <w:vAlign w:val="bottom"/>
            <w:gridSpan w:val="2"/>
          </w:tcPr>
          <w:p>
            <w:pPr>
              <w:ind w:left="1860"/>
              <w:spacing w:after="0"/>
              <w:rPr>
                <w:sz w:val="20"/>
                <w:szCs w:val="20"/>
                <w:color w:val="auto"/>
              </w:rPr>
            </w:pPr>
            <w:r>
              <w:rPr>
                <w:rFonts w:ascii="Arial" w:cs="Arial" w:eastAsia="Arial" w:hAnsi="Arial"/>
                <w:sz w:val="17"/>
                <w:szCs w:val="17"/>
                <w:b w:val="1"/>
                <w:bCs w:val="1"/>
                <w:color w:val="auto"/>
              </w:rPr>
              <w:t>TOWER SEMICONDUCTOR LTD.</w:t>
            </w:r>
          </w:p>
        </w:tc>
        <w:tc>
          <w:tcPr>
            <w:tcW w:w="1240" w:type="dxa"/>
            <w:vAlign w:val="bottom"/>
          </w:tcPr>
          <w:p>
            <w:pPr>
              <w:spacing w:after="0"/>
              <w:rPr>
                <w:sz w:val="18"/>
                <w:szCs w:val="18"/>
                <w:color w:val="auto"/>
              </w:rPr>
            </w:pPr>
          </w:p>
        </w:tc>
      </w:tr>
      <w:tr>
        <w:trPr>
          <w:trHeight w:val="398"/>
        </w:trPr>
        <w:tc>
          <w:tcPr>
            <w:tcW w:w="3860" w:type="dxa"/>
            <w:vAlign w:val="bottom"/>
          </w:tcPr>
          <w:p>
            <w:pPr>
              <w:ind w:left="700"/>
              <w:spacing w:after="0"/>
              <w:rPr>
                <w:sz w:val="20"/>
                <w:szCs w:val="20"/>
                <w:color w:val="auto"/>
              </w:rPr>
            </w:pPr>
            <w:r>
              <w:rPr>
                <w:rFonts w:ascii="Arial" w:cs="Arial" w:eastAsia="Arial" w:hAnsi="Arial"/>
                <w:sz w:val="17"/>
                <w:szCs w:val="17"/>
                <w:color w:val="auto"/>
              </w:rPr>
              <w:t>Date: July 10, 2019</w:t>
            </w:r>
          </w:p>
        </w:tc>
        <w:tc>
          <w:tcPr>
            <w:tcW w:w="6320" w:type="dxa"/>
            <w:vAlign w:val="bottom"/>
            <w:gridSpan w:val="2"/>
          </w:tcPr>
          <w:p>
            <w:pPr>
              <w:ind w:left="1860"/>
              <w:spacing w:after="0"/>
              <w:rPr>
                <w:sz w:val="20"/>
                <w:szCs w:val="20"/>
                <w:color w:val="auto"/>
              </w:rPr>
            </w:pPr>
            <w:r>
              <w:rPr>
                <w:rFonts w:ascii="Arial" w:cs="Arial" w:eastAsia="Arial" w:hAnsi="Arial"/>
                <w:sz w:val="17"/>
                <w:szCs w:val="17"/>
                <w:color w:val="auto"/>
              </w:rPr>
              <w:t>By:   /s/ Nati Somekh</w:t>
            </w:r>
          </w:p>
        </w:tc>
        <w:tc>
          <w:tcPr>
            <w:tcW w:w="1240" w:type="dxa"/>
            <w:vAlign w:val="bottom"/>
          </w:tcPr>
          <w:p>
            <w:pPr>
              <w:spacing w:after="0"/>
              <w:rPr>
                <w:sz w:val="24"/>
                <w:szCs w:val="24"/>
                <w:color w:val="auto"/>
              </w:rPr>
            </w:pPr>
          </w:p>
        </w:tc>
      </w:tr>
      <w:tr>
        <w:trPr>
          <w:trHeight w:val="179"/>
        </w:trPr>
        <w:tc>
          <w:tcPr>
            <w:tcW w:w="38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0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Name: Nati Somekh</w:t>
            </w:r>
          </w:p>
        </w:tc>
        <w:tc>
          <w:tcPr>
            <w:tcW w:w="1240" w:type="dxa"/>
            <w:vAlign w:val="bottom"/>
          </w:tcPr>
          <w:p>
            <w:pPr>
              <w:spacing w:after="0"/>
              <w:rPr>
                <w:sz w:val="15"/>
                <w:szCs w:val="15"/>
                <w:color w:val="auto"/>
              </w:rPr>
            </w:pPr>
          </w:p>
        </w:tc>
      </w:tr>
      <w:tr>
        <w:trPr>
          <w:trHeight w:val="209"/>
        </w:trPr>
        <w:tc>
          <w:tcPr>
            <w:tcW w:w="3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Title: Corporate Secretary</w:t>
            </w:r>
          </w:p>
        </w:tc>
        <w:tc>
          <w:tcPr>
            <w:tcW w:w="1240" w:type="dxa"/>
            <w:vAlign w:val="bottom"/>
          </w:tcPr>
          <w:p>
            <w:pPr>
              <w:spacing w:after="0"/>
              <w:rPr>
                <w:sz w:val="18"/>
                <w:szCs w:val="18"/>
                <w:color w:val="auto"/>
              </w:rPr>
            </w:pPr>
          </w:p>
        </w:tc>
      </w:tr>
      <w:tr>
        <w:trPr>
          <w:trHeight w:val="590"/>
        </w:trPr>
        <w:tc>
          <w:tcPr>
            <w:tcW w:w="38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3" w:name="page4"/>
    <w:bookmarkEnd w:id="3"/>
    <w:p>
      <w:pPr>
        <w:spacing w:after="0" w:line="200" w:lineRule="exact"/>
        <w:rPr>
          <w:sz w:val="20"/>
          <w:szCs w:val="20"/>
          <w:color w:val="auto"/>
        </w:rPr>
      </w:pPr>
    </w:p>
    <w:p>
      <w:pPr>
        <w:spacing w:after="0" w:line="333" w:lineRule="exact"/>
        <w:rPr>
          <w:sz w:val="20"/>
          <w:szCs w:val="20"/>
          <w:color w:val="auto"/>
        </w:rPr>
      </w:pPr>
    </w:p>
    <w:p>
      <w:pPr>
        <w:spacing w:after="0"/>
        <w:tabs>
          <w:tab w:leader="none" w:pos="9280" w:val="left"/>
        </w:tabs>
        <w:rPr>
          <w:sz w:val="20"/>
          <w:szCs w:val="20"/>
          <w:color w:val="auto"/>
        </w:rPr>
      </w:pPr>
      <w:r>
        <w:rPr>
          <w:rFonts w:ascii="Arial" w:cs="Arial" w:eastAsia="Arial" w:hAnsi="Arial"/>
          <w:sz w:val="17"/>
          <w:szCs w:val="17"/>
          <w:b w:val="1"/>
          <w:bCs w:val="1"/>
          <w:color w:val="auto"/>
        </w:rPr>
        <w:t>NEWS ANNOUNCEMENT</w:t>
      </w:r>
      <w:r>
        <w:rPr>
          <w:sz w:val="20"/>
          <w:szCs w:val="20"/>
          <w:color w:val="auto"/>
        </w:rPr>
        <w:tab/>
      </w:r>
      <w:r>
        <w:rPr>
          <w:rFonts w:ascii="Arial" w:cs="Arial" w:eastAsia="Arial" w:hAnsi="Arial"/>
          <w:sz w:val="16"/>
          <w:szCs w:val="16"/>
          <w:b w:val="1"/>
          <w:bCs w:val="1"/>
          <w:color w:val="auto"/>
        </w:rPr>
        <w:t>FOR IMMEDIATE RELEASE</w:t>
      </w:r>
    </w:p>
    <w:p>
      <w:pPr>
        <w:spacing w:after="0" w:line="292" w:lineRule="exact"/>
        <w:rPr>
          <w:sz w:val="20"/>
          <w:szCs w:val="20"/>
          <w:color w:val="auto"/>
        </w:rPr>
      </w:pPr>
    </w:p>
    <w:p>
      <w:pPr>
        <w:jc w:val="center"/>
        <w:ind w:right="60"/>
        <w:spacing w:after="0" w:line="261" w:lineRule="auto"/>
        <w:rPr>
          <w:sz w:val="20"/>
          <w:szCs w:val="20"/>
          <w:color w:val="auto"/>
        </w:rPr>
      </w:pPr>
      <w:r>
        <w:rPr>
          <w:rFonts w:ascii="Arial" w:cs="Arial" w:eastAsia="Arial" w:hAnsi="Arial"/>
          <w:sz w:val="20"/>
          <w:szCs w:val="20"/>
          <w:b w:val="1"/>
          <w:bCs w:val="1"/>
          <w:color w:val="auto"/>
        </w:rPr>
        <w:t>TowerJazz, Cadence and Lumerical Deliver Silicon-Photonics and SiGe- Integrated PDK with a Complete Optical Transceiver Design Environment</w:t>
      </w:r>
    </w:p>
    <w:p>
      <w:pPr>
        <w:spacing w:after="0" w:line="151"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i w:val="1"/>
          <w:iCs w:val="1"/>
          <w:color w:val="auto"/>
        </w:rPr>
        <w:t>Targeting 400Gb and 800Gb optical fiber applications in data center and telecommunications markets</w:t>
      </w:r>
    </w:p>
    <w:p>
      <w:pPr>
        <w:spacing w:after="0" w:line="223" w:lineRule="exact"/>
        <w:rPr>
          <w:sz w:val="20"/>
          <w:szCs w:val="20"/>
          <w:color w:val="auto"/>
        </w:rPr>
      </w:pPr>
    </w:p>
    <w:p>
      <w:pPr>
        <w:jc w:val="both"/>
        <w:ind w:right="80"/>
        <w:spacing w:after="0" w:line="288" w:lineRule="auto"/>
        <w:rPr>
          <w:sz w:val="20"/>
          <w:szCs w:val="20"/>
          <w:color w:val="auto"/>
        </w:rPr>
      </w:pPr>
      <w:r>
        <w:rPr>
          <w:rFonts w:ascii="Arial" w:cs="Arial" w:eastAsia="Arial" w:hAnsi="Arial"/>
          <w:sz w:val="20"/>
          <w:szCs w:val="20"/>
          <w:b w:val="1"/>
          <w:bCs w:val="1"/>
          <w:color w:val="auto"/>
        </w:rPr>
        <w:t xml:space="preserve">MIGDAL HAEMEK, Israel, San Jose, CA and Vancouver, BC, July 10, 2019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TowerJazz</w:t>
      </w:r>
      <w:r>
        <w:rPr>
          <w:rFonts w:ascii="Arial" w:cs="Arial" w:eastAsia="Arial" w:hAnsi="Arial"/>
          <w:sz w:val="20"/>
          <w:szCs w:val="20"/>
          <w:color w:val="auto"/>
        </w:rPr>
        <w:t>, the global specialty foundry leader, Cadence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Design Systems, Inc. (NASDAQ: CDNS), and </w:t>
      </w:r>
      <w:r>
        <w:rPr>
          <w:rFonts w:ascii="Arial" w:cs="Arial" w:eastAsia="Arial" w:hAnsi="Arial"/>
          <w:sz w:val="20"/>
          <w:szCs w:val="20"/>
          <w:u w:val="single" w:color="auto"/>
          <w:color w:val="auto"/>
        </w:rPr>
        <w:t>Lumerical</w:t>
      </w:r>
      <w:r>
        <w:rPr>
          <w:rFonts w:ascii="Arial" w:cs="Arial" w:eastAsia="Arial" w:hAnsi="Arial"/>
          <w:sz w:val="20"/>
          <w:szCs w:val="20"/>
          <w:color w:val="auto"/>
        </w:rPr>
        <w:t xml:space="preserve"> Inc., a leading developer of photonic design and simulation tools, today announced the availability of a complete custom design </w:t>
      </w:r>
      <w:r>
        <w:rPr>
          <w:rFonts w:ascii="Arial" w:cs="Arial" w:eastAsia="Arial" w:hAnsi="Arial"/>
          <w:sz w:val="20"/>
          <w:szCs w:val="20"/>
          <w:u w:val="single" w:color="auto"/>
          <w:color w:val="auto"/>
        </w:rPr>
        <w:t>Silicon Photonics</w:t>
      </w:r>
      <w:r>
        <w:rPr>
          <w:rFonts w:ascii="Arial" w:cs="Arial" w:eastAsia="Arial" w:hAnsi="Arial"/>
          <w:sz w:val="20"/>
          <w:szCs w:val="20"/>
          <w:color w:val="auto"/>
        </w:rPr>
        <w:t xml:space="preserve"> (SiPho) and </w:t>
      </w:r>
      <w:r>
        <w:rPr>
          <w:rFonts w:ascii="Arial" w:cs="Arial" w:eastAsia="Arial" w:hAnsi="Arial"/>
          <w:sz w:val="20"/>
          <w:szCs w:val="20"/>
          <w:u w:val="single" w:color="auto"/>
          <w:color w:val="auto"/>
        </w:rPr>
        <w:t>Silicon Germanium</w:t>
      </w:r>
      <w:r>
        <w:rPr>
          <w:rFonts w:ascii="Arial" w:cs="Arial" w:eastAsia="Arial" w:hAnsi="Arial"/>
          <w:sz w:val="20"/>
          <w:szCs w:val="20"/>
          <w:color w:val="auto"/>
        </w:rPr>
        <w:t xml:space="preserve"> (SiGe) integrated </w:t>
      </w:r>
      <w:r>
        <w:rPr>
          <w:rFonts w:ascii="Arial" w:cs="Arial" w:eastAsia="Arial" w:hAnsi="Arial"/>
          <w:sz w:val="20"/>
          <w:szCs w:val="20"/>
          <w:u w:val="single" w:color="auto"/>
          <w:color w:val="auto"/>
        </w:rPr>
        <w:t>process design kit</w:t>
      </w:r>
      <w:r>
        <w:rPr>
          <w:rFonts w:ascii="Arial" w:cs="Arial" w:eastAsia="Arial" w:hAnsi="Arial"/>
          <w:sz w:val="20"/>
          <w:szCs w:val="20"/>
          <w:color w:val="auto"/>
        </w:rPr>
        <w:t xml:space="preserve"> (PDK). The differentiated PDK is based on the Cadence</w:t>
      </w:r>
      <w:r>
        <w:rPr>
          <w:rFonts w:ascii="Arial" w:cs="Arial" w:eastAsia="Arial" w:hAnsi="Arial"/>
          <w:sz w:val="33"/>
          <w:szCs w:val="33"/>
          <w:color w:val="auto"/>
          <w:vertAlign w:val="superscript"/>
        </w:rPr>
        <w:t>®</w:t>
      </w:r>
      <w:r>
        <w:rPr>
          <w:rFonts w:ascii="Arial" w:cs="Arial" w:eastAsia="Arial" w:hAnsi="Arial"/>
          <w:sz w:val="20"/>
          <w:szCs w:val="20"/>
          <w:color w:val="auto"/>
        </w:rPr>
        <w:t xml:space="preserve"> Virtuoso</w:t>
      </w:r>
      <w:r>
        <w:rPr>
          <w:rFonts w:ascii="Arial" w:cs="Arial" w:eastAsia="Arial" w:hAnsi="Arial"/>
          <w:sz w:val="33"/>
          <w:szCs w:val="33"/>
          <w:color w:val="auto"/>
          <w:vertAlign w:val="superscript"/>
        </w:rPr>
        <w:t>®</w:t>
      </w:r>
      <w:r>
        <w:rPr>
          <w:rFonts w:ascii="Arial" w:cs="Arial" w:eastAsia="Arial" w:hAnsi="Arial"/>
          <w:sz w:val="20"/>
          <w:szCs w:val="20"/>
          <w:color w:val="auto"/>
        </w:rPr>
        <w:t xml:space="preserve"> custom IC design platform, providing native synthesis using the Cadence CurvyCore engine and Electrical-Optical co-simulation capability in Lumerical’s photonic integrated circuit simulator INTERCONNECT. The complete, photonics-optimized solution provides SiPho designers with a single, streamlined design environment for developing complex multi-fabric systems, while enabling them to collaborate in a shared IC design environment to leverage the electro-optical interface that is critical for enabling 400GB optical transceivers.</w:t>
      </w:r>
    </w:p>
    <w:p>
      <w:pPr>
        <w:spacing w:after="0" w:line="200" w:lineRule="exact"/>
        <w:rPr>
          <w:sz w:val="20"/>
          <w:szCs w:val="20"/>
          <w:color w:val="auto"/>
        </w:rPr>
      </w:pPr>
    </w:p>
    <w:p>
      <w:pPr>
        <w:jc w:val="both"/>
        <w:ind w:right="80"/>
        <w:spacing w:after="0" w:line="339" w:lineRule="auto"/>
        <w:rPr>
          <w:sz w:val="20"/>
          <w:szCs w:val="20"/>
          <w:color w:val="auto"/>
        </w:rPr>
      </w:pPr>
      <w:r>
        <w:rPr>
          <w:rFonts w:ascii="Arial" w:cs="Arial" w:eastAsia="Arial" w:hAnsi="Arial"/>
          <w:sz w:val="19"/>
          <w:szCs w:val="19"/>
          <w:color w:val="auto"/>
        </w:rPr>
        <w:t>“We are excited to expand our industry-leading SiPho technology, and to be the first major foundry to offer, through this collaboration with Cadence and Lumerical, the co-optimization of electrical SiGe and optical SiPho components in a single EDA environment,” said Marco Racanelli, senior vice president and general manager of the Analog IC Business Unit at TowerJazz. “This new capability enables our mutual customers to shortcut development cycles and accelerate the introduction of 400Gb and 800Gb breakthrough products.”</w:t>
      </w:r>
    </w:p>
    <w:p>
      <w:pPr>
        <w:spacing w:after="0" w:line="155" w:lineRule="exact"/>
        <w:rPr>
          <w:sz w:val="20"/>
          <w:szCs w:val="20"/>
          <w:color w:val="auto"/>
        </w:rPr>
      </w:pPr>
    </w:p>
    <w:p>
      <w:pPr>
        <w:jc w:val="both"/>
        <w:ind w:right="80"/>
        <w:spacing w:after="0" w:line="321" w:lineRule="auto"/>
        <w:rPr>
          <w:sz w:val="20"/>
          <w:szCs w:val="20"/>
          <w:color w:val="auto"/>
        </w:rPr>
      </w:pPr>
      <w:r>
        <w:rPr>
          <w:rFonts w:ascii="Arial" w:cs="Arial" w:eastAsia="Arial" w:hAnsi="Arial"/>
          <w:sz w:val="20"/>
          <w:szCs w:val="20"/>
          <w:color w:val="auto"/>
        </w:rPr>
        <w:t>Customers using the new TowerJazz PDK can now confidently synthesize non-Manhattan shaped photonics designs utilizing the Cadence CurvyCore technology, which allows to systematically manage curvilinear shapes within the Cadence Virtuoso design environment using its high-performance shape generation and manipulation infrastructure with dedicated SKILL API.</w:t>
      </w:r>
    </w:p>
    <w:p>
      <w:pPr>
        <w:spacing w:after="0" w:line="169" w:lineRule="exact"/>
        <w:rPr>
          <w:sz w:val="20"/>
          <w:szCs w:val="20"/>
          <w:color w:val="auto"/>
        </w:rPr>
      </w:pPr>
    </w:p>
    <w:p>
      <w:pPr>
        <w:jc w:val="both"/>
        <w:ind w:right="80"/>
        <w:spacing w:after="0" w:line="332" w:lineRule="auto"/>
        <w:rPr>
          <w:sz w:val="20"/>
          <w:szCs w:val="20"/>
          <w:color w:val="auto"/>
        </w:rPr>
      </w:pPr>
      <w:r>
        <w:rPr>
          <w:rFonts w:ascii="Arial" w:cs="Arial" w:eastAsia="Arial" w:hAnsi="Arial"/>
          <w:sz w:val="20"/>
          <w:szCs w:val="20"/>
          <w:color w:val="auto"/>
        </w:rPr>
        <w:t>Delivery of the new TowerJazz PDK encompasses the previously available Lumerical Compact Model Library (CML) to enable a proven, complete solution incorporating co-simulation utilizing industry leading tools.</w:t>
      </w:r>
    </w:p>
    <w:p>
      <w:pPr>
        <w:spacing w:after="0" w:line="158" w:lineRule="exact"/>
        <w:rPr>
          <w:sz w:val="20"/>
          <w:szCs w:val="20"/>
          <w:color w:val="auto"/>
        </w:rPr>
      </w:pPr>
    </w:p>
    <w:p>
      <w:pPr>
        <w:jc w:val="both"/>
        <w:ind w:right="80" w:firstLine="86"/>
        <w:spacing w:after="0" w:line="318" w:lineRule="auto"/>
        <w:rPr>
          <w:sz w:val="20"/>
          <w:szCs w:val="20"/>
          <w:color w:val="auto"/>
        </w:rPr>
      </w:pPr>
      <w:r>
        <w:rPr>
          <w:rFonts w:ascii="Arial" w:cs="Arial" w:eastAsia="Arial" w:hAnsi="Arial"/>
          <w:sz w:val="20"/>
          <w:szCs w:val="20"/>
          <w:color w:val="auto"/>
        </w:rPr>
        <w:t>“TowerJazz and Cadence customers can begin leveraging the high-performance shape generation technology within the Virtuoso design environment to further advance the development of complete multi-chip photonics systems,” said Glen Clark, Vice President, Research and Development at Cadence. “TowerJazz, Lumerical and Cadence have a long history of collaboration that enables our mutual customers to achieve success in delivering quality products to market faster and easier.”</w:t>
      </w:r>
    </w:p>
    <w:p>
      <w:pPr>
        <w:spacing w:after="0" w:line="171" w:lineRule="exact"/>
        <w:rPr>
          <w:sz w:val="20"/>
          <w:szCs w:val="20"/>
          <w:color w:val="auto"/>
        </w:rPr>
      </w:pPr>
    </w:p>
    <w:p>
      <w:pPr>
        <w:jc w:val="both"/>
        <w:ind w:right="80"/>
        <w:spacing w:after="0" w:line="370" w:lineRule="auto"/>
        <w:rPr>
          <w:sz w:val="20"/>
          <w:szCs w:val="20"/>
          <w:color w:val="auto"/>
        </w:rPr>
      </w:pPr>
      <w:r>
        <w:rPr>
          <w:rFonts w:ascii="Arial" w:cs="Arial" w:eastAsia="Arial" w:hAnsi="Arial"/>
          <w:sz w:val="18"/>
          <w:szCs w:val="18"/>
          <w:color w:val="auto"/>
        </w:rPr>
        <w:t>“A touchstone of the commercialization of photonics is ecosystem development by world class companies,” said James Pond, Lumerical CTO. “Our partnership with Cadence and TowerJazz enables photonic integrated circuit designers to co-simulate their electro-optical and photonic components using leading tools they are familiar with, and fabricate those designs at TowerJazz, a foundry they have utmost confidence in.”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about TowerJazz’s technology, please click </w:t>
      </w:r>
      <w:r>
        <w:rPr>
          <w:rFonts w:ascii="Arial" w:cs="Arial" w:eastAsia="Arial" w:hAnsi="Arial"/>
          <w:sz w:val="20"/>
          <w:szCs w:val="20"/>
          <w:u w:val="single" w:color="auto"/>
          <w:color w:val="auto"/>
        </w:rPr>
        <w:t>here</w:t>
      </w:r>
      <w:r>
        <w:rPr>
          <w:rFonts w:ascii="Arial" w:cs="Arial" w:eastAsia="Arial" w:hAnsi="Arial"/>
          <w:sz w:val="20"/>
          <w:szCs w:val="20"/>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about Cadence, please click </w:t>
      </w:r>
      <w:r>
        <w:rPr>
          <w:rFonts w:ascii="Arial" w:cs="Arial" w:eastAsia="Arial" w:hAnsi="Arial"/>
          <w:sz w:val="20"/>
          <w:szCs w:val="20"/>
          <w:u w:val="single" w:color="auto"/>
          <w:color w:val="auto"/>
        </w:rPr>
        <w:t>here</w:t>
      </w:r>
      <w:r>
        <w:rPr>
          <w:rFonts w:ascii="Arial" w:cs="Arial" w:eastAsia="Arial" w:hAnsi="Arial"/>
          <w:sz w:val="20"/>
          <w:szCs w:val="20"/>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about Lumerical, please click </w:t>
      </w:r>
      <w:r>
        <w:rPr>
          <w:rFonts w:ascii="Arial" w:cs="Arial" w:eastAsia="Arial" w:hAnsi="Arial"/>
          <w:sz w:val="20"/>
          <w:szCs w:val="20"/>
          <w:u w:val="single" w:color="auto"/>
          <w:color w:val="auto"/>
        </w:rPr>
        <w:t>here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725741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15875"/>
                    </a:xfrm>
                    <a:prstGeom prst="rect">
                      <a:avLst/>
                    </a:prstGeom>
                    <a:noFill/>
                  </pic:spPr>
                </pic:pic>
              </a:graphicData>
            </a:graphic>
          </wp:anchor>
        </w:drawing>
      </w:r>
    </w:p>
    <w:p>
      <w:pPr>
        <w:sectPr>
          <w:pgSz w:w="11900" w:h="16838" w:orient="portrait"/>
          <w:cols w:equalWidth="0" w:num="1">
            <w:col w:w="11500"/>
          </w:cols>
          <w:pgMar w:left="240" w:top="1440" w:right="15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TowerJazz</w:t>
      </w:r>
    </w:p>
    <w:p>
      <w:pPr>
        <w:spacing w:after="0" w:line="1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19"/>
          <w:szCs w:val="19"/>
          <w:u w:val="single" w:color="auto"/>
          <w:color w:val="auto"/>
        </w:rPr>
        <w:t>www.towerjazz.com</w:t>
      </w:r>
      <w:r>
        <w:rPr>
          <w:rFonts w:ascii="Arial" w:cs="Arial" w:eastAsia="Arial" w:hAnsi="Arial"/>
          <w:sz w:val="19"/>
          <w:szCs w:val="19"/>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Cadence</w:t>
      </w:r>
    </w:p>
    <w:p>
      <w:pPr>
        <w:spacing w:after="0" w:line="1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Cadence enables electronic systems and semiconductor companies to create the innovative end products that are transforming the way people live, work and play. Cadence® software, hardware and semiconductor IP are used by customers to deliver products to market faster. The company’s Intelligent System Design strategy helps customers develop differentiated products—from chips to boards to systems—in mobile, consumer, cloud data center, automotive, aerospace, IoT, industrial and other market segments. Cadence is listed as one of Fortune Magazine's 100 Best Companies to Work For. Learn more at </w:t>
      </w:r>
      <w:r>
        <w:rPr>
          <w:rFonts w:ascii="Arial" w:cs="Arial" w:eastAsia="Arial" w:hAnsi="Arial"/>
          <w:sz w:val="19"/>
          <w:szCs w:val="19"/>
          <w:u w:val="single" w:color="auto"/>
          <w:color w:val="auto"/>
        </w:rPr>
        <w:t>www.cadence.com</w:t>
      </w:r>
      <w:r>
        <w:rPr>
          <w:rFonts w:ascii="Arial" w:cs="Arial" w:eastAsia="Arial" w:hAnsi="Arial"/>
          <w:sz w:val="19"/>
          <w:szCs w:val="19"/>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Lumerical</w:t>
      </w:r>
    </w:p>
    <w:p>
      <w:pPr>
        <w:spacing w:after="0" w:line="1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Lumerical develops photonic simulation software – tools which enable product designers to understand light, and predict how it behaves within complex structures, circuits, and systems. Since being founded in 2003, Lumerical has grown to license its design tools in over 50 countries and its customers include 10 of the top 15 companies in the S&amp;P 1200 Global IT index, and 46 of the top 50 research universities as rated by the Times Higher Education rankings. Lumerical’s substantial impact on the photonic design and simulation community means its tools are among the most widely cited in the scientific press, with references in more than 10,000 scientific publications and patents. Lumerical enables its customers to achieve more with light and establish a leading position in the development of transformative technologies employing photonics. For more information, please visit www.lumerical.com.</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Regarding Forward-Looking Statements</w:t>
      </w:r>
    </w:p>
    <w:p>
      <w:pPr>
        <w:spacing w:after="0" w:line="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TowerJazz Company Contact: </w:t>
      </w:r>
      <w:r>
        <w:rPr>
          <w:rFonts w:ascii="Arial" w:cs="Arial" w:eastAsia="Arial" w:hAnsi="Arial"/>
          <w:sz w:val="20"/>
          <w:szCs w:val="20"/>
          <w:color w:val="auto"/>
        </w:rPr>
        <w:t>Orit Shahar | +972-74-7377440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oritsha@towersemi.com</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TowerJazz Investor Relations Contact: </w:t>
      </w:r>
      <w:r>
        <w:rPr>
          <w:rFonts w:ascii="Arial" w:cs="Arial" w:eastAsia="Arial" w:hAnsi="Arial"/>
          <w:sz w:val="20"/>
          <w:szCs w:val="20"/>
          <w:color w:val="auto"/>
        </w:rPr>
        <w:t>Noit Levi | +972-4-604-7066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noit.levi@towerjazz.com</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2019-12-01T02:04:46Z</dcterms:created>
  <dcterms:modified xsi:type="dcterms:W3CDTF">2019-12-01T02:04:46Z</dcterms:modified>
</cp:coreProperties>
</file>