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109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120" w:right="9740" w:hanging="9"/>
        <w:spacing w:after="0" w:line="254" w:lineRule="exact"/>
        <w:tabs>
          <w:tab w:leader="none" w:pos="579"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580" w:hanging="469"/>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1"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225" w:right="239" w:bottom="1440" w:gutter="0" w:footer="0" w:header="0"/>
        </w:sectPr>
      </w:pPr>
    </w:p>
    <w:bookmarkStart w:id="1" w:name="page2"/>
    <w:bookmarkEnd w:id="1"/>
    <w:p>
      <w:pPr>
        <w:spacing w:after="0"/>
        <w:tabs>
          <w:tab w:leader="none" w:pos="5460" w:val="left"/>
          <w:tab w:leader="none" w:pos="1008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1960" w:hanging="1099"/>
        <w:spacing w:after="0" w:line="230" w:lineRule="auto"/>
        <w:tabs>
          <w:tab w:leader="none" w:pos="196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480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80" w:type="dxa"/>
            <w:vAlign w:val="bottom"/>
          </w:tcPr>
          <w:p>
            <w:pPr>
              <w:spacing w:after="0"/>
              <w:rPr>
                <w:sz w:val="22"/>
                <w:szCs w:val="22"/>
                <w:color w:val="auto"/>
              </w:rPr>
            </w:pPr>
          </w:p>
        </w:tc>
        <w:tc>
          <w:tcPr>
            <w:tcW w:w="68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Senvest Management, LLC</w:t>
            </w: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80" w:type="dxa"/>
            <w:vAlign w:val="bottom"/>
            <w:tcBorders>
              <w:bottom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3"/>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Delaware</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64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48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4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64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8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800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2"/>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8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7.74%</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OO, IA</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1" w:right="239" w:bottom="1440" w:gutter="0" w:footer="0" w:header="0"/>
        </w:sectPr>
      </w:pPr>
    </w:p>
    <w:bookmarkStart w:id="2" w:name="page3"/>
    <w:bookmarkEnd w:id="2"/>
    <w:p>
      <w:pPr>
        <w:spacing w:after="0"/>
        <w:tabs>
          <w:tab w:leader="none" w:pos="5460" w:val="left"/>
          <w:tab w:leader="none" w:pos="1008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2" w:lineRule="exact"/>
        <w:rPr>
          <w:sz w:val="20"/>
          <w:szCs w:val="20"/>
          <w:color w:val="auto"/>
        </w:rPr>
      </w:pPr>
    </w:p>
    <w:p>
      <w:pPr>
        <w:ind w:left="1960" w:hanging="1099"/>
        <w:spacing w:after="0"/>
        <w:tabs>
          <w:tab w:leader="none" w:pos="196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4802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80" w:type="dxa"/>
            <w:vAlign w:val="bottom"/>
          </w:tcPr>
          <w:p>
            <w:pPr>
              <w:spacing w:after="0"/>
              <w:rPr>
                <w:sz w:val="22"/>
                <w:szCs w:val="22"/>
                <w:color w:val="auto"/>
              </w:rPr>
            </w:pPr>
          </w:p>
        </w:tc>
        <w:tc>
          <w:tcPr>
            <w:tcW w:w="68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Richard Mashaal</w:t>
            </w: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80" w:type="dxa"/>
            <w:vAlign w:val="bottom"/>
            <w:tcBorders>
              <w:bottom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64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48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6</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7</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4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64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6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8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800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7,675,154 (including 100,000 shares of Common Stock issuable upon exercise of options)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8000" w:type="dxa"/>
            <w:vAlign w:val="bottom"/>
            <w:gridSpan w:val="2"/>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8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7.74%</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 HC</w:t>
            </w:r>
          </w:p>
        </w:tc>
        <w:tc>
          <w:tcPr>
            <w:tcW w:w="6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13G/A</w:t>
            </w:r>
          </w:p>
        </w:tc>
        <w:tc>
          <w:tcPr>
            <w:tcW w:w="25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w w:val="98"/>
              </w:rPr>
              <w:t>Page 4 of 7 Pages</w:t>
            </w: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418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13"/>
        </w:trPr>
        <w:tc>
          <w:tcPr>
            <w:tcW w:w="1280" w:type="dxa"/>
            <w:vAlign w:val="bottom"/>
          </w:tcPr>
          <w:p>
            <w:pPr>
              <w:spacing w:after="0"/>
              <w:rPr>
                <w:sz w:val="24"/>
                <w:szCs w:val="24"/>
                <w:color w:val="auto"/>
              </w:rPr>
            </w:pPr>
          </w:p>
        </w:tc>
        <w:tc>
          <w:tcPr>
            <w:tcW w:w="418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Tower Semiconductor Ltd. (the "Issuer")</w:t>
            </w:r>
          </w:p>
        </w:tc>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8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7640" w:type="dxa"/>
            <w:vAlign w:val="bottom"/>
            <w:gridSpan w:val="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2500" w:type="dxa"/>
            <w:vAlign w:val="bottom"/>
          </w:tcPr>
          <w:p>
            <w:pPr>
              <w:spacing w:after="0"/>
              <w:rPr>
                <w:sz w:val="24"/>
                <w:szCs w:val="24"/>
                <w:color w:val="auto"/>
              </w:rPr>
            </w:pPr>
          </w:p>
        </w:tc>
      </w:tr>
      <w:tr>
        <w:trPr>
          <w:trHeight w:val="430"/>
        </w:trPr>
        <w:tc>
          <w:tcPr>
            <w:tcW w:w="1280" w:type="dxa"/>
            <w:vAlign w:val="bottom"/>
          </w:tcPr>
          <w:p>
            <w:pPr>
              <w:spacing w:after="0"/>
              <w:rPr>
                <w:sz w:val="24"/>
                <w:szCs w:val="24"/>
                <w:color w:val="auto"/>
              </w:rPr>
            </w:pPr>
          </w:p>
        </w:tc>
        <w:tc>
          <w:tcPr>
            <w:tcW w:w="418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Ramat Gavriel Industrial Park</w:t>
            </w:r>
          </w:p>
        </w:tc>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8"/>
        </w:trPr>
        <w:tc>
          <w:tcPr>
            <w:tcW w:w="1280" w:type="dxa"/>
            <w:vAlign w:val="bottom"/>
          </w:tcPr>
          <w:p>
            <w:pPr>
              <w:spacing w:after="0"/>
              <w:rPr>
                <w:sz w:val="22"/>
                <w:szCs w:val="22"/>
                <w:color w:val="auto"/>
              </w:rPr>
            </w:pPr>
          </w:p>
        </w:tc>
        <w:tc>
          <w:tcPr>
            <w:tcW w:w="418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98"/>
              </w:rPr>
              <w:t>P.O. Box 619, Migdal Haemek, Israel 2310502</w:t>
            </w:r>
          </w:p>
        </w:tc>
        <w:tc>
          <w:tcPr>
            <w:tcW w:w="346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418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764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This statement is filed by Senvest Management, LLC and Richard Mashaal.</w:t>
            </w:r>
          </w:p>
        </w:tc>
        <w:tc>
          <w:tcPr>
            <w:tcW w:w="2500" w:type="dxa"/>
            <w:vAlign w:val="bottom"/>
          </w:tcPr>
          <w:p>
            <w:pPr>
              <w:spacing w:after="0"/>
              <w:rPr>
                <w:sz w:val="24"/>
                <w:szCs w:val="24"/>
                <w:color w:val="auto"/>
              </w:rPr>
            </w:pPr>
          </w:p>
        </w:tc>
      </w:tr>
    </w:tbl>
    <w:p>
      <w:pPr>
        <w:spacing w:after="0" w:line="201" w:lineRule="exact"/>
        <w:rPr>
          <w:sz w:val="20"/>
          <w:szCs w:val="20"/>
          <w:color w:val="auto"/>
        </w:rPr>
      </w:pPr>
    </w:p>
    <w:p>
      <w:pPr>
        <w:jc w:val="both"/>
        <w:ind w:left="1720"/>
        <w:spacing w:after="0" w:line="269" w:lineRule="auto"/>
        <w:rPr>
          <w:sz w:val="20"/>
          <w:szCs w:val="20"/>
          <w:color w:val="auto"/>
        </w:rPr>
      </w:pPr>
      <w:r>
        <w:rPr>
          <w:rFonts w:ascii="Times New Roman" w:cs="Times New Roman" w:eastAsia="Times New Roman" w:hAnsi="Times New Roman"/>
          <w:sz w:val="20"/>
          <w:szCs w:val="20"/>
          <w:color w:val="auto"/>
        </w:rPr>
        <w:t>The reported securities are held in the accounts of Senvest Master Fund, LP, Senvest Technology Partners Master Fund, LP and Senvest Global (KY), LP (collectively, the "</w:t>
      </w:r>
      <w:r>
        <w:rPr>
          <w:rFonts w:ascii="Times New Roman" w:cs="Times New Roman" w:eastAsia="Times New Roman" w:hAnsi="Times New Roman"/>
          <w:sz w:val="20"/>
          <w:szCs w:val="20"/>
          <w:u w:val="single" w:color="auto"/>
          <w:color w:val="auto"/>
        </w:rPr>
        <w:t>Investment Vehicles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720"/>
        <w:spacing w:after="0" w:line="247" w:lineRule="auto"/>
        <w:rPr>
          <w:sz w:val="20"/>
          <w:szCs w:val="20"/>
          <w:color w:val="auto"/>
        </w:rPr>
      </w:pPr>
      <w:r>
        <w:rPr>
          <w:rFonts w:ascii="Times New Roman" w:cs="Times New Roman" w:eastAsia="Times New Roman" w:hAnsi="Times New Roman"/>
          <w:sz w:val="20"/>
          <w:szCs w:val="20"/>
          <w:color w:val="auto"/>
        </w:rPr>
        <w:t>Senvest Management, LLC may be deemed to beneficially own the securities held by the Investment Vehicles by virtue of Senvest Management, LLC's position as investment manager of each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p>
      <w:pPr>
        <w:spacing w:after="0" w:line="190"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w:t>
      </w:r>
    </w:p>
    <w:p>
      <w:pPr>
        <w:spacing w:after="0" w:line="2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Senvest Management, LLC</w:t>
      </w:r>
    </w:p>
    <w:p>
      <w:pPr>
        <w:ind w:left="1720"/>
        <w:spacing w:after="0" w:line="193" w:lineRule="auto"/>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3"/>
          <w:szCs w:val="33"/>
          <w:color w:val="auto"/>
          <w:vertAlign w:val="superscript"/>
        </w:rPr>
        <w:t>nd</w:t>
      </w:r>
      <w:r>
        <w:rPr>
          <w:rFonts w:ascii="Times New Roman" w:cs="Times New Roman" w:eastAsia="Times New Roman" w:hAnsi="Times New Roman"/>
          <w:sz w:val="20"/>
          <w:szCs w:val="20"/>
          <w:color w:val="auto"/>
        </w:rPr>
        <w:t xml:space="preserve"> Floor</w:t>
      </w:r>
    </w:p>
    <w:p>
      <w:pPr>
        <w:ind w:left="172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Richard Mashaal</w:t>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c/o Senvest Management, LLC</w:t>
      </w:r>
    </w:p>
    <w:p>
      <w:pPr>
        <w:ind w:left="1720"/>
        <w:spacing w:after="0" w:line="184" w:lineRule="auto"/>
        <w:rPr>
          <w:sz w:val="20"/>
          <w:szCs w:val="20"/>
          <w:color w:val="auto"/>
        </w:rPr>
      </w:pPr>
      <w:r>
        <w:rPr>
          <w:rFonts w:ascii="Times New Roman" w:cs="Times New Roman" w:eastAsia="Times New Roman" w:hAnsi="Times New Roman"/>
          <w:sz w:val="19"/>
          <w:szCs w:val="19"/>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20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Place of Organization.</w:t>
      </w:r>
    </w:p>
    <w:p>
      <w:pPr>
        <w:spacing w:after="0" w:line="2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Senvest Management, LLC – Delaware</w:t>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Richard Mashaal – Canada</w:t>
      </w:r>
    </w:p>
    <w:p>
      <w:pPr>
        <w:sectPr>
          <w:pgSz w:w="11900" w:h="16838" w:orient="portrait"/>
          <w:cols w:equalWidth="0" w:num="1">
            <w:col w:w="11420"/>
          </w:cols>
          <w:pgMar w:left="240" w:top="221" w:right="2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0"/>
          <w:szCs w:val="20"/>
          <w:color w:val="auto"/>
        </w:rPr>
      </w:pPr>
    </w:p>
    <w:p>
      <w:pPr>
        <w:sectPr>
          <w:pgSz w:w="11900" w:h="16838" w:orient="portrait"/>
          <w:cols w:equalWidth="0" w:num="2">
            <w:col w:w="1000" w:space="720"/>
            <w:col w:w="9700"/>
          </w:cols>
          <w:pgMar w:left="240" w:top="221" w:right="239" w:bottom="1440" w:gutter="0" w:footer="0" w:header="0"/>
          <w:type w:val="continuous"/>
        </w:sectPr>
      </w:pP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Ordinary Shares, par value NIS 15.00 per share</w:t>
      </w:r>
    </w:p>
    <w:p>
      <w:pPr>
        <w:sectPr>
          <w:pgSz w:w="11900" w:h="16838" w:orient="portrait"/>
          <w:cols w:equalWidth="0" w:num="1">
            <w:col w:w="11420"/>
          </w:cols>
          <w:pgMar w:left="240" w:top="221"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0"/>
          <w:szCs w:val="20"/>
          <w:color w:val="auto"/>
        </w:rPr>
      </w:pPr>
    </w:p>
    <w:p>
      <w:pPr>
        <w:sectPr>
          <w:pgSz w:w="11900" w:h="16838" w:orient="portrait"/>
          <w:cols w:equalWidth="0" w:num="2">
            <w:col w:w="1000" w:space="720"/>
            <w:col w:w="9700"/>
          </w:cols>
          <w:pgMar w:left="240" w:top="221" w:right="239" w:bottom="1440" w:gutter="0" w:footer="0" w:header="0"/>
          <w:type w:val="continuous"/>
        </w:sectPr>
      </w:pP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M87915274</w:t>
      </w:r>
    </w:p>
    <w:p>
      <w:pPr>
        <w:sectPr>
          <w:pgSz w:w="11900" w:h="16838" w:orient="portrait"/>
          <w:cols w:equalWidth="0" w:num="1">
            <w:col w:w="11420"/>
          </w:cols>
          <w:pgMar w:left="240" w:top="221"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 240.13d-1(b) or 240.13d-2(b), or (c), check whether the Person Filing is a:</w:t>
      </w:r>
    </w:p>
    <w:p>
      <w:pPr>
        <w:spacing w:after="0" w:line="200" w:lineRule="exact"/>
        <w:rPr>
          <w:sz w:val="20"/>
          <w:szCs w:val="20"/>
          <w:color w:val="auto"/>
        </w:rPr>
      </w:pPr>
    </w:p>
    <w:p>
      <w:pPr>
        <w:sectPr>
          <w:pgSz w:w="11900" w:h="16838" w:orient="portrait"/>
          <w:cols w:equalWidth="0" w:num="2">
            <w:col w:w="1000" w:space="720"/>
            <w:col w:w="9700"/>
          </w:cols>
          <w:pgMar w:left="240" w:top="221" w:right="239" w:bottom="1440" w:gutter="0" w:footer="0" w:header="0"/>
          <w:type w:val="continuous"/>
        </w:sectPr>
      </w:pPr>
    </w:p>
    <w:p>
      <w:pPr>
        <w:spacing w:after="0" w:line="27" w:lineRule="exact"/>
        <w:rPr>
          <w:sz w:val="20"/>
          <w:szCs w:val="20"/>
          <w:color w:val="auto"/>
        </w:rPr>
      </w:pPr>
    </w:p>
    <w:p>
      <w:pPr>
        <w:ind w:left="1820"/>
        <w:spacing w:after="0" w:line="207" w:lineRule="exact"/>
        <w:tabs>
          <w:tab w:leader="none" w:pos="2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Broker or dealer registered under section 15 of the Act (15 U.S.C. 78o);</w:t>
      </w:r>
    </w:p>
    <w:p>
      <w:pPr>
        <w:spacing w:after="0" w:line="200" w:lineRule="exact"/>
        <w:rPr>
          <w:sz w:val="20"/>
          <w:szCs w:val="20"/>
          <w:color w:val="auto"/>
        </w:rPr>
      </w:pPr>
    </w:p>
    <w:p>
      <w:pPr>
        <w:sectPr>
          <w:pgSz w:w="11900" w:h="16838" w:orient="portrait"/>
          <w:cols w:equalWidth="0" w:num="2">
            <w:col w:w="2840" w:space="360"/>
            <w:col w:w="8220"/>
          </w:cols>
          <w:pgMar w:left="240" w:top="221" w:right="239" w:bottom="1440" w:gutter="0" w:footer="0" w:header="0"/>
          <w:type w:val="continuous"/>
        </w:sectPr>
      </w:pPr>
    </w:p>
    <w:p>
      <w:pPr>
        <w:spacing w:after="0" w:line="23" w:lineRule="exact"/>
        <w:rPr>
          <w:sz w:val="20"/>
          <w:szCs w:val="20"/>
          <w:color w:val="auto"/>
        </w:rPr>
      </w:pPr>
    </w:p>
    <w:p>
      <w:pPr>
        <w:ind w:left="1820"/>
        <w:spacing w:after="0" w:line="207" w:lineRule="exact"/>
        <w:tabs>
          <w:tab w:leader="none" w:pos="26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 as defined in section 3(a)(6) of the Act (15 U.S.C. 78c);</w:t>
      </w:r>
    </w:p>
    <w:p>
      <w:pPr>
        <w:sectPr>
          <w:pgSz w:w="11900" w:h="16838" w:orient="portrait"/>
          <w:cols w:equalWidth="0" w:num="2">
            <w:col w:w="2840" w:space="360"/>
            <w:col w:w="8220"/>
          </w:cols>
          <w:pgMar w:left="240" w:top="221" w:right="239" w:bottom="1440" w:gutter="0" w:footer="0" w:header="0"/>
          <w:type w:val="continuous"/>
        </w:sectPr>
      </w:pPr>
    </w:p>
    <w:bookmarkStart w:id="4" w:name="page5"/>
    <w:bookmarkEnd w:id="4"/>
    <w:p>
      <w:pPr>
        <w:spacing w:after="0"/>
        <w:tabs>
          <w:tab w:leader="none" w:pos="5460" w:val="left"/>
          <w:tab w:leader="none" w:pos="1008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420"/>
          </w:cols>
          <w:pgMar w:left="240" w:top="221"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3200" w:right="340" w:hanging="1380"/>
        <w:spacing w:after="0" w:line="253" w:lineRule="exact"/>
        <w:tabs>
          <w:tab w:leader="none" w:pos="2671"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1" w:lineRule="exact"/>
        <w:rPr>
          <w:rFonts w:ascii="Times New Roman" w:cs="Times New Roman" w:eastAsia="Times New Roman" w:hAnsi="Times New Roman"/>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 240.13d-1(b)(1)(ii)(E);</w:t>
      </w:r>
    </w:p>
    <w:p>
      <w:pPr>
        <w:spacing w:after="0" w:line="229" w:lineRule="exact"/>
        <w:rPr>
          <w:rFonts w:ascii="Times New Roman" w:cs="Times New Roman" w:eastAsia="Times New Roman" w:hAnsi="Times New Roman"/>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 240.13d-1(b)(1)(ii)(F);</w:t>
      </w:r>
    </w:p>
    <w:p>
      <w:pPr>
        <w:spacing w:after="0" w:line="229" w:lineRule="exact"/>
        <w:rPr>
          <w:rFonts w:ascii="Times New Roman" w:cs="Times New Roman" w:eastAsia="Times New Roman" w:hAnsi="Times New Roman"/>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3200" w:right="1140" w:hanging="1380"/>
        <w:spacing w:after="0" w:line="253" w:lineRule="exact"/>
        <w:tabs>
          <w:tab w:leader="none" w:pos="2671"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 (12 U.S.C.1813);</w:t>
      </w:r>
    </w:p>
    <w:p>
      <w:pPr>
        <w:spacing w:after="0" w:line="184" w:lineRule="exact"/>
        <w:rPr>
          <w:rFonts w:ascii="Times New Roman" w:cs="Times New Roman" w:eastAsia="Times New Roman" w:hAnsi="Times New Roman"/>
          <w:sz w:val="20"/>
          <w:szCs w:val="20"/>
          <w:color w:val="auto"/>
        </w:rPr>
      </w:pPr>
    </w:p>
    <w:p>
      <w:pPr>
        <w:ind w:left="3200" w:right="100" w:hanging="1380"/>
        <w:spacing w:after="0" w:line="253" w:lineRule="exact"/>
        <w:tabs>
          <w:tab w:leader="none" w:pos="2671"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184" w:lineRule="exact"/>
        <w:rPr>
          <w:rFonts w:ascii="Times New Roman" w:cs="Times New Roman" w:eastAsia="Times New Roman" w:hAnsi="Times New Roman"/>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§240.13d-1(b)(1)(ii)(J);</w:t>
      </w:r>
    </w:p>
    <w:p>
      <w:pPr>
        <w:spacing w:after="0" w:line="229" w:lineRule="exact"/>
        <w:rPr>
          <w:rFonts w:ascii="Times New Roman" w:cs="Times New Roman" w:eastAsia="Times New Roman" w:hAnsi="Times New Roman"/>
          <w:sz w:val="20"/>
          <w:szCs w:val="20"/>
          <w:color w:val="auto"/>
        </w:rPr>
      </w:pPr>
    </w:p>
    <w:p>
      <w:pPr>
        <w:ind w:left="2660" w:hanging="840"/>
        <w:spacing w:after="0" w:line="230" w:lineRule="exact"/>
        <w:tabs>
          <w:tab w:leader="none" w:pos="26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§240.13d-1(b)(1)(ii)(K).</w:t>
      </w:r>
    </w:p>
    <w:p>
      <w:pPr>
        <w:spacing w:after="0" w:line="261" w:lineRule="exact"/>
        <w:rPr>
          <w:sz w:val="20"/>
          <w:szCs w:val="20"/>
          <w:color w:val="auto"/>
        </w:rPr>
      </w:pPr>
    </w:p>
    <w:p>
      <w:pPr>
        <w:ind w:left="1720" w:right="3140"/>
        <w:spacing w:after="0" w:line="296"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_________________________________________</w:t>
      </w:r>
    </w:p>
    <w:p>
      <w:pPr>
        <w:spacing w:after="0" w:line="146"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jc w:val="both"/>
        <w:ind w:left="1620"/>
        <w:spacing w:after="0" w:line="247"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such Reporting Person. The percentages set forth in this Schedule 13G are calculated based upon an aggregate of 99,117,000 Ordinary Shares outstanding as of June 30, 2018 as reported in Exhibit 99.1 attached to the Issuer's Report of Foreign Private Issuer on Form 6-K filed with the Securities and Exchange Commission on July 31, 2018.</w:t>
      </w:r>
    </w:p>
    <w:p>
      <w:pPr>
        <w:spacing w:after="0" w:line="190"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jc w:val="both"/>
        <w:ind w:left="1620"/>
        <w:spacing w:after="0" w:line="269" w:lineRule="auto"/>
        <w:rPr>
          <w:sz w:val="20"/>
          <w:szCs w:val="20"/>
          <w:color w:val="auto"/>
        </w:rPr>
      </w:pPr>
      <w:r>
        <w:rPr>
          <w:rFonts w:ascii="Times New Roman" w:cs="Times New Roman" w:eastAsia="Times New Roman" w:hAnsi="Times New Roman"/>
          <w:sz w:val="20"/>
          <w:szCs w:val="20"/>
          <w:color w:val="auto"/>
        </w:rPr>
        <w:t>The Investment Vehicles have the right to receive and the power to direct the receipt of dividends from, and the proceeds from the sale of the Ordinary Shares.</w:t>
      </w:r>
    </w:p>
    <w:p>
      <w:pPr>
        <w:spacing w:after="0" w:line="169" w:lineRule="exact"/>
        <w:rPr>
          <w:sz w:val="20"/>
          <w:szCs w:val="20"/>
          <w:color w:val="auto"/>
        </w:rPr>
      </w:pPr>
    </w:p>
    <w:p>
      <w:pPr>
        <w:ind w:left="1620" w:right="280" w:hanging="1509"/>
        <w:spacing w:after="0" w:line="273" w:lineRule="auto"/>
        <w:tabs>
          <w:tab w:leader="none" w:pos="16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420"/>
          </w:cols>
          <w:pgMar w:left="240" w:top="221" w:right="239" w:bottom="1440" w:gutter="0" w:footer="0" w:header="0"/>
          <w:type w:val="continuous"/>
        </w:sectPr>
      </w:pPr>
    </w:p>
    <w:bookmarkStart w:id="5" w:name="page6"/>
    <w:bookmarkEnd w:id="5"/>
    <w:p>
      <w:pPr>
        <w:spacing w:after="0"/>
        <w:tabs>
          <w:tab w:leader="none" w:pos="5460" w:val="left"/>
          <w:tab w:leader="none" w:pos="1008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420"/>
          </w:cols>
          <w:pgMar w:left="240" w:top="221"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jc w:val="center"/>
        <w:ind w:right="6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jc w:val="both"/>
        <w:ind w:left="162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1" w:right="239" w:bottom="1440" w:gutter="0" w:footer="0" w:header="0"/>
          <w:type w:val="continuous"/>
        </w:sectPr>
      </w:pPr>
    </w:p>
    <w:bookmarkStart w:id="6" w:name="page7"/>
    <w:bookmarkEnd w:id="6"/>
    <w:p>
      <w:pPr>
        <w:spacing w:after="0"/>
        <w:tabs>
          <w:tab w:leader="none" w:pos="5460" w:val="left"/>
          <w:tab w:leader="none" w:pos="1008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9"/>
          <w:szCs w:val="19"/>
          <w:b w:val="1"/>
          <w:bCs w:val="1"/>
          <w:color w:val="auto"/>
        </w:rPr>
        <w:t>M87915274</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8, 2019</w:t>
      </w:r>
    </w:p>
    <w:p>
      <w:pPr>
        <w:spacing w:after="0" w:line="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SENVEST MANAGEMENT, LLC</w:t>
      </w:r>
    </w:p>
    <w:p>
      <w:pPr>
        <w:spacing w:after="0" w:line="207"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13970</wp:posOffset>
            </wp:positionV>
            <wp:extent cx="3207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Name: Bobby Trahanas</w:t>
      </w:r>
    </w:p>
    <w:p>
      <w:pPr>
        <w:spacing w:after="0" w:line="6"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13970</wp:posOffset>
            </wp:positionV>
            <wp:extent cx="3576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RICHARD MASHAAL</w:t>
      </w:r>
    </w:p>
    <w:sectPr>
      <w:pgSz w:w="11900" w:h="16838" w:orient="portrait"/>
      <w:cols w:equalWidth="0" w:num="1">
        <w:col w:w="11420"/>
      </w:cols>
      <w:pgMar w:left="240" w:top="2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2019-12-05T00:45:02Z</dcterms:created>
  <dcterms:modified xsi:type="dcterms:W3CDTF">2019-12-05T00:45:02Z</dcterms:modified>
</cp:coreProperties>
</file>