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329568.htm"/>
      <w:bookmarkStart w:id="1" w:name="kszk2329568"/>
      <w:bookmarkStart w:id="2" w:name="zk2329568.htm"/>
      <w:bookmarkStart w:id="3" w:name="kszk2329568"/>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ind w:left="0" w:right="0" w:firstLine="72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20-F</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(Mark One)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xml:space="preserve">☐        </w:t>
      </w:r>
      <w:r>
        <w:rPr>
          <w:rFonts w:ascii="Times New Roman;Times;serif" w:hAnsi="Times New Roman;Times;serif"/>
          <w:b/>
          <w:color w:val="000000"/>
          <w:sz w:val="20"/>
        </w:rPr>
        <w:t>REGISTRATION STATEMENT PURSUANT TO SECTION 12(b) OR 12(g) OF THE SECURITIES EXCHANGE ACT OF 1934</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ind w:left="0" w:right="0" w:firstLine="540"/>
        <w:jc w:val="left"/>
        <w:rPr>
          <w:rFonts w:ascii="Times New Roman;serif" w:hAnsi="Times New Roman;serif"/>
          <w:b/>
          <w:color w:val="000000"/>
          <w:sz w:val="22"/>
        </w:rPr>
      </w:pPr>
      <w:r>
        <w:rPr>
          <w:rFonts w:ascii="Times New Roman;serif" w:hAnsi="Times New Roman;serif"/>
          <w:b/>
          <w:color w:val="000000"/>
          <w:sz w:val="22"/>
        </w:rPr>
        <w:br/>
        <w:t xml:space="preserve">☒       </w:t>
      </w:r>
      <w:r>
        <w:rPr>
          <w:rFonts w:ascii="Times New Roman;Times;serif" w:hAnsi="Times New Roman;Times;serif"/>
          <w:b/>
          <w:color w:val="000000"/>
          <w:sz w:val="20"/>
        </w:rPr>
        <w:t>ANNUAL REPORT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540"/>
        <w:jc w:val="left"/>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color w:val="000000"/>
        </w:rPr>
      </w:pPr>
      <w:r>
        <w:rPr>
          <w:color w:val="000000"/>
        </w:rPr>
        <w:t xml:space="preserve">☐       </w:t>
      </w:r>
      <w:r>
        <w:rPr>
          <w:rFonts w:ascii="Times New Roman;Times;serif" w:hAnsi="Times New Roman;Times;serif"/>
          <w:b/>
          <w:color w:val="000000"/>
          <w:sz w:val="20"/>
        </w:rPr>
        <w:t>TRANSITION REPORT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xml:space="preserve">☐       </w:t>
      </w:r>
      <w:r>
        <w:rPr>
          <w:rFonts w:ascii="Times New Roman;Times;serif" w:hAnsi="Times New Roman;Times;serif"/>
          <w:b/>
          <w:color w:val="000000"/>
          <w:sz w:val="20"/>
        </w:rPr>
        <w:t>SHELL COMPANY REPORT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 and 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(Jurisdiction of incorporation or organization)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2310502,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Nati Somekh, +972-4-6506109, natiso@towersemi.com;</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 P.O. Box 619, Migdal Haemek 2310502,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(Name, Telephone, E-mail and/or Facsimile number and Address of Company Contact Person)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__________________________________</w:t>
      </w:r>
    </w:p>
    <w:p>
      <w:pPr>
        <w:pStyle w:val="TextBody"/>
        <w:bidi w:val="0"/>
        <w:spacing w:lineRule="auto" w:line="300" w:before="0" w:after="0"/>
        <w:ind w:left="0" w:right="0" w:firstLine="720"/>
        <w:jc w:val="center"/>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4901"/>
        <w:gridCol w:w="1620"/>
        <w:gridCol w:w="3684"/>
      </w:tblGrid>
      <w:tr>
        <w:trPr/>
        <w:tc>
          <w:tcPr>
            <w:tcW w:w="10205" w:type="dxa"/>
            <w:gridSpan w:val="3"/>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Securities registered or to be registered pursuant to Section 12(b) of the Act:</w:t>
            </w:r>
          </w:p>
          <w:p>
            <w:pPr>
              <w:pStyle w:val="TableContents"/>
              <w:bidi w:val="0"/>
              <w:spacing w:lineRule="auto" w:line="300" w:before="0" w:after="0"/>
              <w:jc w:val="both"/>
              <w:rPr>
                <w:color w:val="000000"/>
              </w:rPr>
            </w:pPr>
            <w:r>
              <w:rPr>
                <w:color w:val="000000"/>
              </w:rPr>
              <w:t> </w:t>
            </w:r>
          </w:p>
        </w:tc>
      </w:tr>
      <w:tr>
        <w:trPr/>
        <w:tc>
          <w:tcPr>
            <w:tcW w:w="4901"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Title of Each Class</w:t>
            </w:r>
          </w:p>
        </w:tc>
        <w:tc>
          <w:tcPr>
            <w:tcW w:w="162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Trading Symbol(s)</w:t>
            </w:r>
          </w:p>
        </w:tc>
        <w:tc>
          <w:tcPr>
            <w:tcW w:w="3684"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Name of Each Exchange on Which Registered</w:t>
            </w:r>
          </w:p>
        </w:tc>
      </w:tr>
      <w:tr>
        <w:trPr/>
        <w:tc>
          <w:tcPr>
            <w:tcW w:w="4901"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Ordinary Shares, par value New Israeli Shekels 15.00 per share</w:t>
            </w:r>
          </w:p>
        </w:tc>
        <w:tc>
          <w:tcPr>
            <w:tcW w:w="162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TSEM</w:t>
            </w:r>
          </w:p>
        </w:tc>
        <w:tc>
          <w:tcPr>
            <w:tcW w:w="3684"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NASDAQ Global Select Market</w:t>
            </w:r>
          </w:p>
        </w:tc>
      </w:tr>
    </w:tbl>
    <w:p>
      <w:pPr>
        <w:pStyle w:val="TextBody"/>
        <w:bidi w:val="0"/>
        <w:spacing w:before="0" w:after="0"/>
        <w:jc w:val="left"/>
        <w:rPr>
          <w:color w:val="000000"/>
        </w:rPr>
      </w:pPr>
      <w:r>
        <w:rPr>
          <w:color w:val="000000"/>
        </w:rPr>
        <w:t> </w:t>
      </w:r>
    </w:p>
    <w:p>
      <w:pPr>
        <w:pStyle w:val="HorizontalLine"/>
        <w:bidi w:val="0"/>
        <w:spacing w:before="200" w:after="200"/>
        <w:jc w:val="left"/>
        <w:rPr/>
      </w:pPr>
      <w:r>
        <w:rPr/>
      </w:r>
    </w:p>
    <w:tbl>
      <w:tblPr>
        <w:tblW w:w="9470" w:type="dxa"/>
        <w:jc w:val="left"/>
        <w:tblInd w:w="0" w:type="dxa"/>
        <w:tblLayout w:type="fixed"/>
        <w:tblCellMar>
          <w:top w:w="0" w:type="dxa"/>
          <w:left w:w="0" w:type="dxa"/>
          <w:bottom w:w="0" w:type="dxa"/>
          <w:right w:w="0" w:type="dxa"/>
        </w:tblCellMar>
      </w:tblPr>
      <w:tblGrid>
        <w:gridCol w:w="9470"/>
      </w:tblGrid>
      <w:tr>
        <w:trPr/>
        <w:tc>
          <w:tcPr>
            <w:tcW w:w="9470" w:type="dxa"/>
            <w:tcBorders/>
            <w:vAlign w:val="center"/>
          </w:tcPr>
          <w:p>
            <w:pPr>
              <w:pStyle w:val="TableContents"/>
              <w:bidi w:val="0"/>
              <w:spacing w:lineRule="auto" w:line="300" w:before="0" w:after="0"/>
              <w:jc w:val="both"/>
              <w:rPr>
                <w:rFonts w:ascii="Times New Roman;Times;serif" w:hAnsi="Times New Roman;Times;serif"/>
                <w:b/>
                <w:color w:val="000000"/>
              </w:rPr>
            </w:pPr>
            <w:r>
              <w:rPr>
                <w:rFonts w:ascii="Times New Roman;Times;serif" w:hAnsi="Times New Roman;Times;serif"/>
                <w:b/>
                <w:color w:val="000000"/>
              </w:rPr>
              <w:t>Securities registered or to be registered pursuant to Section 12(g) of the Act: None</w:t>
            </w:r>
          </w:p>
        </w:tc>
      </w:tr>
      <w:tr>
        <w:trPr/>
        <w:tc>
          <w:tcPr>
            <w:tcW w:w="9470" w:type="dxa"/>
            <w:tcBorders/>
            <w:vAlign w:val="center"/>
          </w:tcPr>
          <w:p>
            <w:pPr>
              <w:pStyle w:val="TableContents"/>
              <w:bidi w:val="0"/>
              <w:spacing w:lineRule="auto" w:line="300" w:before="0" w:after="0"/>
              <w:jc w:val="both"/>
              <w:rPr>
                <w:rFonts w:ascii="Times New Roman;Times;serif" w:hAnsi="Times New Roman;Times;serif"/>
                <w:b/>
                <w:color w:val="000000"/>
              </w:rPr>
            </w:pPr>
            <w:r>
              <w:rPr>
                <w:rFonts w:ascii="Times New Roman;Times;serif" w:hAnsi="Times New Roman;Times;serif"/>
                <w:b/>
                <w:color w:val="000000"/>
              </w:rPr>
              <w:t>Securities for which there is a reporting obligation pursuant to Section 15(d) of the Act: None</w:t>
            </w:r>
          </w:p>
        </w:tc>
      </w:tr>
    </w:tbl>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the number of outstanding shares of each of the issuer’s classes of capital or common stock as of the close of the period covered by the annual report: 109,954,034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a well-known seasoned issuer, as defined in Rule 405 of the Securities Act.</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If this report is an annual or transition report, indicate by check mark if the registrant is not required to file reports pursuant to Section 13 or 15(d) of the Securities Exchange Act of 1934. </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Times;serif" w:hAnsi="Times New Roman;Times;serif"/>
          <w:color w:val="000000"/>
          <w:sz w:val="20"/>
        </w:rPr>
        <w:t xml:space="preserve">Yes </w:t>
      </w:r>
      <w:r>
        <w:rPr>
          <w:rFonts w:ascii="Times New Roman;serif" w:hAnsi="Times New Roman;serif"/>
          <w:color w:val="000000"/>
          <w:sz w:val="20"/>
        </w:rPr>
        <w:t xml:space="preserve">☐       </w:t>
      </w:r>
      <w:r>
        <w:rPr>
          <w:rFonts w:ascii="Times New Roman;Times;serif" w:hAnsi="Times New Roman;Times;serif"/>
          <w:color w:val="000000"/>
          <w:sz w:val="20"/>
        </w:rPr>
        <w:t xml:space="preserve">No </w:t>
      </w:r>
      <w:r>
        <w:rPr>
          <w:rFonts w:ascii="Times New Roman;serif" w:hAnsi="Times New Roman;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pStyle w:val="TextBody"/>
        <w:bidi w:val="0"/>
        <w:spacing w:lineRule="auto" w:line="300" w:before="0" w:after="0"/>
        <w:jc w:val="left"/>
        <w:rPr>
          <w:color w:val="000000"/>
        </w:rPr>
      </w:pPr>
      <w:r>
        <w:rPr>
          <w:color w:val="000000"/>
        </w:rPr>
        <w:t> </w:t>
      </w:r>
    </w:p>
    <w:tbl>
      <w:tblPr>
        <w:tblW w:w="9500" w:type="dxa"/>
        <w:jc w:val="left"/>
        <w:tblInd w:w="0" w:type="dxa"/>
        <w:tblLayout w:type="fixed"/>
        <w:tblCellMar>
          <w:top w:w="0" w:type="dxa"/>
          <w:left w:w="0" w:type="dxa"/>
          <w:bottom w:w="0" w:type="dxa"/>
          <w:right w:w="0" w:type="dxa"/>
        </w:tblCellMar>
      </w:tblPr>
      <w:tblGrid>
        <w:gridCol w:w="2480"/>
        <w:gridCol w:w="1850"/>
        <w:gridCol w:w="2270"/>
        <w:gridCol w:w="2900"/>
      </w:tblGrid>
      <w:tr>
        <w:trPr/>
        <w:tc>
          <w:tcPr>
            <w:tcW w:w="2480" w:type="dxa"/>
            <w:tcBorders/>
            <w:vAlign w:val="center"/>
          </w:tcPr>
          <w:p>
            <w:pPr>
              <w:pStyle w:val="TableContents"/>
              <w:bidi w:val="0"/>
              <w:spacing w:lineRule="auto" w:line="300" w:before="0" w:after="0"/>
              <w:jc w:val="both"/>
              <w:rPr>
                <w:color w:val="000000"/>
              </w:rPr>
            </w:pPr>
            <w:r>
              <w:rPr>
                <w:color w:val="000000"/>
              </w:rPr>
              <w:t xml:space="preserve">☒ </w:t>
            </w:r>
            <w:r>
              <w:rPr>
                <w:rFonts w:ascii="Times New Roman;Times;serif" w:hAnsi="Times New Roman;Times;serif"/>
                <w:color w:val="000000"/>
              </w:rPr>
              <w:t>Large Accelerated filer</w:t>
            </w:r>
          </w:p>
        </w:tc>
        <w:tc>
          <w:tcPr>
            <w:tcW w:w="1850" w:type="dxa"/>
            <w:tcBorders/>
            <w:vAlign w:val="center"/>
          </w:tcPr>
          <w:p>
            <w:pPr>
              <w:pStyle w:val="TableContents"/>
              <w:bidi w:val="0"/>
              <w:spacing w:lineRule="auto" w:line="300" w:before="0" w:after="0"/>
              <w:jc w:val="both"/>
              <w:rPr>
                <w:color w:val="000000"/>
              </w:rPr>
            </w:pPr>
            <w:r>
              <w:rPr>
                <w:color w:val="000000"/>
              </w:rPr>
              <w:t xml:space="preserve">☐ </w:t>
            </w:r>
            <w:r>
              <w:rPr>
                <w:rFonts w:ascii="Times New Roman;Times;serif" w:hAnsi="Times New Roman;Times;serif"/>
                <w:color w:val="000000"/>
              </w:rPr>
              <w:t>Accelerated filer</w:t>
            </w:r>
          </w:p>
        </w:tc>
        <w:tc>
          <w:tcPr>
            <w:tcW w:w="2270" w:type="dxa"/>
            <w:tcBorders/>
            <w:vAlign w:val="center"/>
          </w:tcPr>
          <w:p>
            <w:pPr>
              <w:pStyle w:val="TableContents"/>
              <w:bidi w:val="0"/>
              <w:spacing w:lineRule="auto" w:line="300" w:before="0" w:after="0"/>
              <w:jc w:val="both"/>
              <w:rPr>
                <w:color w:val="000000"/>
              </w:rPr>
            </w:pPr>
            <w:r>
              <w:rPr>
                <w:color w:val="000000"/>
              </w:rPr>
              <w:t xml:space="preserve">☐ </w:t>
            </w:r>
            <w:r>
              <w:rPr>
                <w:rFonts w:ascii="Times New Roman;Times;serif" w:hAnsi="Times New Roman;Times;serif"/>
                <w:color w:val="000000"/>
              </w:rPr>
              <w:t>Non-accelerated filer</w:t>
            </w:r>
          </w:p>
        </w:tc>
        <w:tc>
          <w:tcPr>
            <w:tcW w:w="2900" w:type="dxa"/>
            <w:tcBorders/>
            <w:vAlign w:val="center"/>
          </w:tcPr>
          <w:p>
            <w:pPr>
              <w:pStyle w:val="TableContents"/>
              <w:bidi w:val="0"/>
              <w:spacing w:lineRule="auto" w:line="300" w:before="0" w:after="0"/>
              <w:jc w:val="both"/>
              <w:rPr>
                <w:color w:val="000000"/>
              </w:rPr>
            </w:pPr>
            <w:r>
              <w:rPr>
                <w:color w:val="000000"/>
              </w:rPr>
              <w:t xml:space="preserve">☐ </w:t>
            </w:r>
            <w:r>
              <w:rPr>
                <w:rFonts w:ascii="Times New Roman;Times;serif" w:hAnsi="Times New Roman;Times;serif"/>
                <w:color w:val="000000"/>
              </w:rPr>
              <w:t>Emerging growth company</w:t>
            </w:r>
          </w:p>
        </w:tc>
      </w:tr>
    </w:tbl>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which basis of accounting the registrant has used to prepare the financial statements included in this filing:</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179"/>
        <w:gridCol w:w="5886"/>
        <w:gridCol w:w="3140"/>
      </w:tblGrid>
      <w:tr>
        <w:trPr/>
        <w:tc>
          <w:tcPr>
            <w:tcW w:w="1179"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US GAAP ☒</w:t>
            </w:r>
          </w:p>
        </w:tc>
        <w:tc>
          <w:tcPr>
            <w:tcW w:w="5886"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International Financial Reporting Standards as issued by the International Accounting Standards Board ☐</w:t>
            </w:r>
          </w:p>
        </w:tc>
        <w:tc>
          <w:tcPr>
            <w:tcW w:w="3140" w:type="dxa"/>
            <w:tcBorders/>
            <w:vAlign w:val="center"/>
          </w:tcPr>
          <w:p>
            <w:pPr>
              <w:pStyle w:val="TableContents"/>
              <w:bidi w:val="0"/>
              <w:spacing w:lineRule="auto" w:line="300" w:before="0" w:after="0"/>
              <w:jc w:val="both"/>
              <w:rPr>
                <w:color w:val="000000"/>
              </w:rPr>
            </w:pPr>
            <w:r>
              <w:rPr>
                <w:color w:val="000000"/>
              </w:rPr>
              <w:t xml:space="preserve">                                             </w:t>
            </w:r>
            <w:r>
              <w:rPr>
                <w:rFonts w:ascii="Times New Roman;Times;serif" w:hAnsi="Times New Roman;Times;serif"/>
                <w:color w:val="000000"/>
              </w:rPr>
              <w:t>Other ☐</w:t>
            </w:r>
          </w:p>
        </w:tc>
      </w:tr>
    </w:tbl>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“Other” has been checked in response to the previous question, indicate by check mark which financial statement item the registrant has elected to follow.</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Item 17 ☐        Item 18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this is an annual report, indicate by check mark whether the registrant is a shell company (as defined in Rule 12b-2 of the Exchange Act).</w:t>
      </w:r>
    </w:p>
    <w:p>
      <w:pPr>
        <w:pStyle w:val="TextBody"/>
        <w:bidi w:val="0"/>
        <w:spacing w:lineRule="auto" w:line="300" w:before="0" w:after="0"/>
        <w:ind w:left="0" w:right="0" w:firstLine="720"/>
        <w:jc w:val="both"/>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Times;serif" w:hAnsi="Times New Roman;Times;serif"/>
          <w:color w:val="000000"/>
          <w:sz w:val="20"/>
        </w:rPr>
        <w:t xml:space="preserve">Yes </w:t>
      </w:r>
      <w:r>
        <w:rPr>
          <w:rFonts w:ascii="Times New Roman;serif" w:hAnsi="Times New Roman;serif"/>
          <w:color w:val="000000"/>
          <w:sz w:val="20"/>
        </w:rPr>
        <w:t xml:space="preserve">☐       </w:t>
      </w:r>
      <w:r>
        <w:rPr>
          <w:rFonts w:ascii="Times New Roman;Times;serif" w:hAnsi="Times New Roman;Times;serif"/>
          <w:color w:val="000000"/>
          <w:sz w:val="20"/>
        </w:rPr>
        <w:t xml:space="preserve">No </w:t>
      </w:r>
      <w:r>
        <w:rPr>
          <w:rFonts w:ascii="Times New Roman;serif" w:hAnsi="Times New Roman;serif"/>
          <w:color w:val="000000"/>
          <w:sz w:val="20"/>
        </w:rPr>
        <w:t>☒</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FORWARD 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remind readers that forward-looking statements are merely predictions and therefore inherently subject to uncertainties and other factors and involve known and unknown risks that relate to the Merger Agreement (as defined below) or that could cause the actual results, including revenues from agreements we signed, expansion of our operations, performance, activities, our achievements, to be materially different from any future results, plans to expand our operations, plans to develop and release new products, future performance, future activities, or our future achievements expressed or implied by such forward-looking statements. Additional information about potential risks that relate to the Merger Agreement that could affect our business and financial results is included in the proxy statement on Form 6-K that we furnished to the U.S. Securities and Exchange Commission (“SEC”) on March 11, 2022 and in this annual report in “Item 3. Key Information - D. Risk Factors.”</w:t>
      </w:r>
    </w:p>
    <w:p>
      <w:pPr>
        <w:pStyle w:val="TextBody"/>
        <w:bidi w:val="0"/>
        <w:spacing w:lineRule="auto" w:line="300" w:before="0" w:after="0"/>
        <w:jc w:val="left"/>
        <w:rPr/>
      </w:pPr>
      <w:r>
        <w:rPr/>
        <w:t xml:space="preserve">  </w:t>
      </w:r>
    </w:p>
    <w:p>
      <w:pPr>
        <w:pStyle w:val="TextBody"/>
        <w:bidi w:val="0"/>
        <w:spacing w:lineRule="auto" w:line="300" w:before="0" w:after="0"/>
        <w:jc w:val="center"/>
        <w:rPr>
          <w:color w:val="000000"/>
        </w:rPr>
      </w:pPr>
      <w:r>
        <w:rPr>
          <w:color w:val="000000"/>
        </w:rPr>
        <w:noBreakHyphen/>
        <w:noBreakHyphen/>
        <w:noBreakHyphen/>
        <w:noBreakHyphen/>
        <w:noBreakHyphen/>
        <w:noBreakHyphen/>
        <w:noBreakHyphen/>
        <w:noBreakHyphen/>
        <w:noBreakHyphen/>
        <w:noBreakHyphen/>
        <w:noBreakHyphen/>
        <w:noBreakHyphen/>
      </w:r>
    </w:p>
    <w:p>
      <w:pPr>
        <w:pStyle w:val="TextBody"/>
        <w:bidi w:val="0"/>
        <w:spacing w:lineRule="auto" w:line="300" w:before="0" w:after="0"/>
        <w:ind w:left="0" w:right="0" w:firstLine="720"/>
        <w:jc w:val="both"/>
        <w:rPr>
          <w:color w:val="000000"/>
        </w:rPr>
      </w:pPr>
      <w:r>
        <w:rPr>
          <w:color w:val="000000"/>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this annual report, “Tower” refers to Tower Semiconductor Ltd., an Israeli company, and “we,” “us,” “our,” and “the Company” and words of similar import, refer collectively to Tower and its then-owned and/or consolidated subsidiaries.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references herein to “dollars”, “US dollars,” “USD” or “$” are to United States dollars, all references to “JPY” are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In March 2020, the company name of Jazz Semiconductor was changed to Tower Semiconductor Newport Beach, Inc. (“NPB Co.”) and the name of Jazz US Holdings was changed to Tower Semiconductor NPB Holdings, Inc. As used in this annual report, “Tower NPB” refers to Jazz Technologies, including its subsidiaries, for the period preceding November 23, 2015, and to Jazz US Holdings or Tower Semiconductor NPB Holdings, Inc., under its new name, including its subsidiaries, following such date.</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i</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March 2014, we acquired a 51% equity stake in TowerJazz Panasonic Semiconductor Co., Ltd., (“TPSCo”), a company formed by Panasonic Corporation (“Panasonic” or “Panasonic Corporation”), holding three manufacturing facilities in Japan. In June 2014, Panasonic transferred its shares and assigned its rights and obligations in TPSCo to its wholly-owned subsidiary, Panasonic Semiconductor Solutions Co., Ltd. (“PSCS”). In July 2020, TPSCo changed its name to Tower Partners Semiconductor Co., Ltd. In September 2020, Panasonic sold its shares in PSCS to Nuvoton Technology Corp. (“Nuvoton”), a Taiwan-based semiconductor company, which is majority-owned by Winbond Electronics Corporation, a Taiwan-based specialty memory integrated circuits company. Following the sale, the registered name of PSCS changed to Nuvoton Technology Corporation Japan (“NTCJ”).</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February 2016, we acquired a fabrication facility in San Antonio, Texas, from Maxim Integrated Products Inc. (“Maxim”). The assets and related business that we acquired from Maxim are held and conducted through an indirect wholly-owned US subsidiary, TowerJazz Texas Inc., which is fully owned by Tower US Holdings. In March 2020, the company name of TowerJazz Texas Inc. was changed to Tower Semiconductor San Antonio, Inc. (“Tower SA”).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definitive agreement with ST Microelectronics S.r.l (“ST”) to share a 300mm manufacturing fabrication facility in Agrate, Italy under a collaborative arrangement, following which Tower Semiconductor Italy S.r.l. (“TSIT”), a wholly-owned Italian subsidiary of Tower, was incorporated. The fabrication facility is currently under installation and qualification by ST. The parties are expected to share the cleanroom space and the facility infrastructure, and TSIT will have the right to use one-third of the installed capacity for its foundry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February 15, 2022, we entered into an Agreement and Plan of Merger (as it may be amended from time to time, the “Merger Agreement”), with Intel FS Inc., a Delaware corporation (“Parent”), Steel Titanium 2022 Ltd., a company organized under the laws of the State of Israel and a wholly</w:t>
        <w:noBreakHyphen/>
        <w:t>owned subsidiary of Parent (“Merger Sub”), and Intel Corporation, a Delaware corporation (“Intel”), pursuant to which Merger Sub will merge with and into the Company (and Merger Sub will cease to exist as a separate legal entity), and the Company will be the surviving company and will become a wholly</w:t>
        <w:noBreakHyphen/>
        <w:t>owned subsidiary of Parent and a subsidiary of Intel (the “Merger”), subject to the terms and conditions set forth in the Merger Agreement. If the Merger is completed, the Company will cease to be a publicly traded company and all outstanding ordinary shares, par value NIS 15.00 per share, of the Company (each a “Company Share”) (except for any Company Shares owned by the Company, Parent, Merger Sub or any of their direct or indirect subsidiaries or held in the Company’s treasury (which will remain outstanding and no Merger Consideration (as defined below) or any other consideration will be delivered in exchange therefor)) will be deemed to be transferred to Parent in exchange for the right to receive $53.00 per Company Share in cash, without interest and less any applicable withholding taxes (the “Merger Consideration”).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Our board of directors unanimously approved the Merger and the Merger Agreement. On April 25, 2022, we held an extraordinary general meeting of shareholders (the “EGM”) at which our shareholders approved the Merger Agreement and all other transactions and arrangements contemplated by the Merger Agreement, including the Merger and the Merger Consideration to be received by the shareholders of the Company in the Merger. The completion of the Merger is subject to the satisfaction of certain closing conditions specified in the Merger Agreement, including the receipt of certain regulatory approvals.  To date, certain but not all approvals have been obtained. If the closing conditions are not satisfied or waived and the Merger is not consummated by August 15, 2023 ( </w:t>
      </w:r>
      <w:r>
        <w:rPr>
          <w:rFonts w:ascii="Times New Roman;Times;serif" w:hAnsi="Times New Roman;Times;serif"/>
          <w:b w:val="false"/>
          <w:i w:val="false"/>
          <w:caps w:val="false"/>
          <w:smallCaps w:val="false"/>
          <w:sz w:val="20"/>
        </w:rPr>
        <w:t xml:space="preserve">as previously extended, and as may be further extended in accordance with the Merger Agreement, </w:t>
      </w:r>
      <w:r>
        <w:rPr>
          <w:rFonts w:ascii="Times New Roman;Times;serif" w:hAnsi="Times New Roman;Times;serif"/>
          <w:b w:val="false"/>
          <w:i w:val="false"/>
          <w:caps w:val="false"/>
          <w:smallCaps w:val="false"/>
          <w:color w:val="000000"/>
          <w:sz w:val="20"/>
        </w:rPr>
        <w:t>the “Outside Date”), either we or Intel may, under certain circumstances, choose not to proceed with the Merger. There can be no assurance that any remaining required approval will be obtained or, in the event any existing approval or waiver expires and we file for such approval or waiver again, that such approval or waiver will be obtained, and the timing thereof cannot be predicted.</w:t>
      </w:r>
    </w:p>
    <w:p>
      <w:pPr>
        <w:pStyle w:val="TextBody"/>
        <w:bidi w:val="0"/>
        <w:spacing w:lineRule="auto" w:line="300"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ii</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Unless indicated otherwise by the context, the discussion in this annual report regarding our future business plans and activities does not take into account the effect of the consummation of the Merger.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For further information on the Merger Agreement and its conditions as well as on the EGM, see our reports on Form 6-Ks, including our Proxy Statement on Form 6-K (the “Merger Proxy Statement,” and together, the “Merger-Related Materials”) filed with or furnished to the SEC on February 16, 2022, February 17, 2022, March 11, 2022 and April 25,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consolidated financial statements included in this annual report include the results and balances of Tower and its following subsidiaries: (i) its wholly-owned indirect subsidiary Tower NPB, (ii) its majority-owned subsidiary TPSCo (iii) its wholly-owned indirect subsidiary Tower SA and (iv) its wholly-owned subsidiary TSIT.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NPB Co. operates in Newport Beach, California. “Arai E” means the semiconductor fabrication facility TPSCo operated through July 2022 in Kurihara 4-5-1, Myoko-shi, Niigata, Japan. “Uozu E” means the semiconductor fabrication facility TPSCo operates in Higashiyama 800, Uozu-shi, Toyama, Japan. “Tonami CD” means the semiconductor fabrication facilities TPSCo operates in Higashi-Kaihotsu 271, Tonami-shi, Toyama, Japan. “Fab 9” means the semiconductor fabrication facility Tower SA operates in San Antonio, Texas.  “Fab 10” means the semiconductor fabrication facility that ST is establishing in Agrate, Italy in which TSIT is </w:t>
      </w:r>
      <w:r>
        <w:rPr>
          <w:rFonts w:ascii="Times New Roman;Times;serif" w:hAnsi="Times New Roman;Times;serif"/>
          <w:b w:val="false"/>
          <w:i w:val="false"/>
          <w:caps w:val="false"/>
          <w:smallCaps w:val="false"/>
          <w:sz w:val="20"/>
        </w:rPr>
        <w:t>expected to share manufacturing capacity with ST</w:t>
      </w:r>
      <w:r>
        <w:rPr>
          <w:rFonts w:ascii="Times New Roman;Times;serif" w:hAnsi="Times New Roman;Times;serif"/>
          <w:b w:val="false"/>
          <w:i w:val="false"/>
          <w:caps w:val="false"/>
          <w:smallCaps w:val="false"/>
          <w:color w:val="000000"/>
          <w:sz w:val="20"/>
        </w:rPr>
        <w:t>.</w:t>
      </w:r>
    </w:p>
    <w:p>
      <w:pPr>
        <w:pStyle w:val="TextBody"/>
        <w:bidi w:val="0"/>
        <w:spacing w:lineRule="auto" w:line="300" w:before="0" w:after="0"/>
        <w:jc w:val="left"/>
        <w:rPr/>
      </w:pPr>
      <w:r>
        <w:rPr/>
        <w:t> </w:t>
      </w:r>
    </w:p>
    <w:p>
      <w:pPr>
        <w:pStyle w:val="TextBody"/>
        <w:bidi w:val="0"/>
        <w:spacing w:lineRule="auto" w:line="300" w:before="0" w:after="0"/>
        <w:jc w:val="center"/>
        <w:rPr>
          <w:color w:val="000000"/>
        </w:rPr>
      </w:pPr>
      <w:r>
        <w:rPr>
          <w:color w:val="000000"/>
        </w:rPr>
        <w:noBreakHyphen/>
        <w:noBreakHyphen/>
        <w:noBreakHyphen/>
        <w:noBreakHyphen/>
        <w:noBreakHyphen/>
        <w:noBreakHyphen/>
        <w:noBreakHyphen/>
        <w:noBreakHyphen/>
        <w:noBreakHyphen/>
        <w:noBreakHyphen/>
        <w:noBreakHyphen/>
        <w:noBreakHyphen/>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Arai E, Tonami CD and Fab 9 capacity are to 200-mm wafers, and with respect to Uozu E and Fab 10 are to 300-mm wafers, ranging from 65 nanometers to 1 micron for the manufacture of products using CMOS and analog-based technologies.</w:t>
      </w:r>
    </w:p>
    <w:p>
      <w:pPr>
        <w:pStyle w:val="TextBody"/>
        <w:bidi w:val="0"/>
        <w:spacing w:lineRule="auto" w:line="300" w:before="0" w:after="0"/>
        <w:jc w:val="left"/>
        <w:rPr/>
      </w:pPr>
      <w:r>
        <w:rPr/>
        <w:t> </w:t>
      </w:r>
    </w:p>
    <w:p>
      <w:pPr>
        <w:pStyle w:val="TextBody"/>
        <w:bidi w:val="0"/>
        <w:spacing w:lineRule="auto" w:line="300" w:before="0" w:after="0"/>
        <w:jc w:val="center"/>
        <w:rPr>
          <w:color w:val="000000"/>
        </w:rPr>
      </w:pPr>
      <w:r>
        <w:rPr>
          <w:color w:val="000000"/>
        </w:rPr>
        <w:noBreakHyphen/>
        <w:noBreakHyphen/>
        <w:noBreakHyphen/>
        <w:noBreakHyphen/>
        <w:noBreakHyphen/>
        <w:noBreakHyphen/>
        <w:noBreakHyphen/>
        <w:noBreakHyphen/>
        <w:noBreakHyphen/>
        <w:noBreakHyphen/>
        <w:noBreakHyphen/>
        <w:noBreakHyphen/>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TPSCO® and TPSCo® (and design) are registered trademarks of TPSCo in the U.S. and Japan.</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iii</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 w:name="z4d3ec40aa89b43b59a74ceb31da67da5"/>
      <w:bookmarkStart w:id="5" w:name="z4d3ec40aa89b43b59a74ceb31da67da5"/>
      <w:bookmarkEnd w:id="5"/>
    </w:p>
    <w:tbl>
      <w:tblPr>
        <w:tblW w:w="10205" w:type="dxa"/>
        <w:jc w:val="left"/>
        <w:tblInd w:w="0" w:type="dxa"/>
        <w:tblLayout w:type="fixed"/>
        <w:tblCellMar>
          <w:top w:w="0" w:type="dxa"/>
          <w:left w:w="0" w:type="dxa"/>
          <w:bottom w:w="0" w:type="dxa"/>
          <w:right w:w="0" w:type="dxa"/>
        </w:tblCellMar>
      </w:tblPr>
      <w:tblGrid>
        <w:gridCol w:w="847"/>
        <w:gridCol w:w="1020"/>
        <w:gridCol w:w="8077"/>
        <w:gridCol w:w="261"/>
      </w:tblGrid>
      <w:tr>
        <w:trPr/>
        <w:tc>
          <w:tcPr>
            <w:tcW w:w="847" w:type="dxa"/>
            <w:tcBorders/>
            <w:vAlign w:val="center"/>
          </w:tcPr>
          <w:p>
            <w:pPr>
              <w:pStyle w:val="TableContents"/>
              <w:bidi w:val="0"/>
              <w:spacing w:before="0" w:after="0"/>
              <w:jc w:val="left"/>
              <w:rPr/>
            </w:pPr>
            <w:hyperlink w:anchor="PARTI">
              <w:r>
                <w:rPr>
                  <w:rStyle w:val="InternetLink"/>
                  <w:u w:val="single"/>
                </w:rPr>
                <w:t>PART I</w:t>
              </w:r>
            </w:hyperlink>
          </w:p>
        </w:tc>
        <w:tc>
          <w:tcPr>
            <w:tcW w:w="1020" w:type="dxa"/>
            <w:tcBorders/>
            <w:vAlign w:val="center"/>
          </w:tcPr>
          <w:p>
            <w:pPr>
              <w:pStyle w:val="TableContents"/>
              <w:bidi w:val="0"/>
              <w:spacing w:before="0" w:after="0"/>
              <w:jc w:val="left"/>
              <w:rPr/>
            </w:pPr>
            <w:r>
              <w:rPr/>
              <w:t> </w:t>
            </w:r>
          </w:p>
        </w:tc>
        <w:tc>
          <w:tcPr>
            <w:tcW w:w="8077"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center"/>
              <w:rPr/>
            </w:pPr>
            <w:r>
              <w:rPr/>
              <w:t> </w:t>
            </w:r>
            <w:r>
              <w:rPr/>
              <w:t>1</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1">
              <w:r>
                <w:rPr>
                  <w:rStyle w:val="InternetLink"/>
                  <w:rFonts w:ascii="Times New Roman;Times;serif" w:hAnsi="Times New Roman;Times;serif"/>
                  <w:u w:val="single"/>
                </w:rPr>
                <w:t>ITEM 1.</w:t>
              </w:r>
            </w:hyperlink>
            <w:hyperlink w:anchor="ITEM1">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0"/>
              <w:jc w:val="left"/>
              <w:rPr/>
            </w:pPr>
            <w:hyperlink w:anchor="ITEM1">
              <w:r>
                <w:rPr>
                  <w:rStyle w:val="InternetLink"/>
                  <w:rFonts w:ascii="Times New Roman;Times;serif" w:hAnsi="Times New Roman;Times;serif"/>
                  <w:u w:val="single"/>
                </w:rPr>
                <w:t xml:space="preserve">IDENTITY OF DIRECTORS, SENIOR MANAGEMENT AND </w:t>
              </w:r>
            </w:hyperlink>
            <w:hyperlink w:anchor="ITEM1">
              <w:r>
                <w:rPr>
                  <w:rStyle w:val="InternetLink"/>
                  <w:rFonts w:ascii="Times New Roman;Times;serif" w:hAnsi="Times New Roman;Times;serif"/>
                </w:rPr>
                <w:t>ADVISORS</w:t>
              </w:r>
            </w:hyperlink>
          </w:p>
        </w:tc>
        <w:tc>
          <w:tcPr>
            <w:tcW w:w="261" w:type="dxa"/>
            <w:tcBorders/>
            <w:vAlign w:val="center"/>
          </w:tcPr>
          <w:p>
            <w:pPr>
              <w:pStyle w:val="TableContents"/>
              <w:bidi w:val="0"/>
              <w:spacing w:before="0" w:after="0"/>
              <w:jc w:val="center"/>
              <w:rPr/>
            </w:pPr>
            <w:r>
              <w:rPr/>
              <w:t> </w:t>
            </w:r>
            <w:r>
              <w:rPr/>
              <w:t>1</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2.">
              <w:r>
                <w:rPr>
                  <w:rStyle w:val="InternetLink"/>
                  <w:rFonts w:ascii="Times New Roman;Times;serif" w:hAnsi="Times New Roman;Times;serif"/>
                  <w:u w:val="single"/>
                </w:rPr>
                <w:t>ITEM 2.</w:t>
              </w:r>
            </w:hyperlink>
            <w:hyperlink w:anchor="ITEM2.">
              <w:r>
                <w:rPr>
                  <w:rStyle w:val="InternetLink"/>
                  <w:rFonts w:ascii="Times New Roman;Times;serif" w:hAnsi="Times New Roman;Times;serif"/>
                </w:rPr>
                <w:t xml:space="preserve"> </w:t>
              </w:r>
            </w:hyperlink>
          </w:p>
        </w:tc>
        <w:tc>
          <w:tcPr>
            <w:tcW w:w="8077" w:type="dxa"/>
            <w:tcBorders/>
            <w:vAlign w:val="center"/>
          </w:tcPr>
          <w:p>
            <w:pPr>
              <w:pStyle w:val="TableContents"/>
              <w:bidi w:val="0"/>
              <w:spacing w:lineRule="auto" w:line="300" w:before="0" w:after="0"/>
              <w:jc w:val="both"/>
              <w:rPr/>
            </w:pPr>
            <w:hyperlink w:anchor="ITEM2.">
              <w:r>
                <w:rPr>
                  <w:rStyle w:val="InternetLink"/>
                  <w:rFonts w:ascii="Times New Roman;Times;serif" w:hAnsi="Times New Roman;Times;serif"/>
                  <w:u w:val="single"/>
                </w:rPr>
                <w:t>OFFER STATISTICS AND EXPECTED TIMETABLE</w:t>
              </w:r>
            </w:hyperlink>
          </w:p>
        </w:tc>
        <w:tc>
          <w:tcPr>
            <w:tcW w:w="261" w:type="dxa"/>
            <w:tcBorders/>
            <w:vAlign w:val="center"/>
          </w:tcPr>
          <w:p>
            <w:pPr>
              <w:pStyle w:val="TableContents"/>
              <w:bidi w:val="0"/>
              <w:spacing w:before="0" w:after="0"/>
              <w:jc w:val="center"/>
              <w:rPr/>
            </w:pPr>
            <w:r>
              <w:rPr/>
              <w:t> </w:t>
            </w:r>
            <w:r>
              <w:rPr/>
              <w:t>1</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3.">
              <w:r>
                <w:rPr>
                  <w:rStyle w:val="InternetLink"/>
                  <w:rFonts w:ascii="Times New Roman;Times;serif" w:hAnsi="Times New Roman;Times;serif"/>
                  <w:u w:val="single"/>
                </w:rPr>
                <w:t>ITEM 3.</w:t>
              </w:r>
            </w:hyperlink>
            <w:hyperlink w:anchor="ITEM3.">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0"/>
              <w:jc w:val="left"/>
              <w:rPr/>
            </w:pPr>
            <w:hyperlink w:anchor="ITEM3.">
              <w:r>
                <w:rPr>
                  <w:rStyle w:val="InternetLink"/>
                  <w:rFonts w:ascii="Times New Roman;Times;serif" w:hAnsi="Times New Roman;Times;serif"/>
                  <w:u w:val="single"/>
                </w:rPr>
                <w:t>KEY INFORMATION</w:t>
              </w:r>
            </w:hyperlink>
          </w:p>
        </w:tc>
        <w:tc>
          <w:tcPr>
            <w:tcW w:w="261" w:type="dxa"/>
            <w:tcBorders/>
            <w:vAlign w:val="center"/>
          </w:tcPr>
          <w:p>
            <w:pPr>
              <w:pStyle w:val="TableContents"/>
              <w:bidi w:val="0"/>
              <w:spacing w:before="0" w:after="0"/>
              <w:jc w:val="center"/>
              <w:rPr/>
            </w:pPr>
            <w:r>
              <w:rPr/>
              <w:t> </w:t>
            </w:r>
            <w:r>
              <w:rPr/>
              <w:t>1</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4">
              <w:r>
                <w:rPr>
                  <w:rStyle w:val="InternetLink"/>
                  <w:rFonts w:ascii="Times New Roman;Times;serif" w:hAnsi="Times New Roman;Times;serif"/>
                  <w:u w:val="single"/>
                </w:rPr>
                <w:t>ITEM 4.</w:t>
              </w:r>
            </w:hyperlink>
          </w:p>
        </w:tc>
        <w:tc>
          <w:tcPr>
            <w:tcW w:w="8077" w:type="dxa"/>
            <w:tcBorders/>
            <w:vAlign w:val="center"/>
          </w:tcPr>
          <w:p>
            <w:pPr>
              <w:pStyle w:val="TableContents"/>
              <w:bidi w:val="0"/>
              <w:spacing w:before="0" w:after="0"/>
              <w:jc w:val="left"/>
              <w:rPr/>
            </w:pPr>
            <w:hyperlink w:anchor="ITEM4">
              <w:r>
                <w:rPr>
                  <w:rStyle w:val="InternetLink"/>
                  <w:rFonts w:ascii="Times New Roman;Times;serif" w:hAnsi="Times New Roman;Times;serif"/>
                  <w:u w:val="single"/>
                </w:rPr>
                <w:t>INFORMATION ON THE COMPANY</w:t>
              </w:r>
            </w:hyperlink>
          </w:p>
        </w:tc>
        <w:tc>
          <w:tcPr>
            <w:tcW w:w="261" w:type="dxa"/>
            <w:tcBorders/>
            <w:vAlign w:val="center"/>
          </w:tcPr>
          <w:p>
            <w:pPr>
              <w:pStyle w:val="TableContents"/>
              <w:bidi w:val="0"/>
              <w:spacing w:before="0" w:after="0"/>
              <w:jc w:val="center"/>
              <w:rPr/>
            </w:pPr>
            <w:r>
              <w:rPr/>
              <w:t>21</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4A">
              <w:r>
                <w:rPr>
                  <w:rStyle w:val="InternetLink"/>
                  <w:rFonts w:ascii="Times New Roman;Times;serif" w:hAnsi="Times New Roman;Times;serif"/>
                  <w:u w:val="single"/>
                </w:rPr>
                <w:t>ITEM 4A.</w:t>
              </w:r>
            </w:hyperlink>
          </w:p>
        </w:tc>
        <w:tc>
          <w:tcPr>
            <w:tcW w:w="8077" w:type="dxa"/>
            <w:tcBorders/>
            <w:vAlign w:val="center"/>
          </w:tcPr>
          <w:p>
            <w:pPr>
              <w:pStyle w:val="TableContents"/>
              <w:bidi w:val="0"/>
              <w:spacing w:before="0" w:after="0"/>
              <w:jc w:val="left"/>
              <w:rPr/>
            </w:pPr>
            <w:hyperlink w:anchor="ITEM4A">
              <w:r>
                <w:rPr>
                  <w:rStyle w:val="InternetLink"/>
                  <w:rFonts w:ascii="Times New Roman;Times;serif" w:hAnsi="Times New Roman;Times;serif"/>
                  <w:u w:val="single"/>
                </w:rPr>
                <w:t>UNRESOLVED STAFF COMMENTS</w:t>
              </w:r>
            </w:hyperlink>
          </w:p>
        </w:tc>
        <w:tc>
          <w:tcPr>
            <w:tcW w:w="261" w:type="dxa"/>
            <w:tcBorders/>
            <w:vAlign w:val="center"/>
          </w:tcPr>
          <w:p>
            <w:pPr>
              <w:pStyle w:val="TableContents"/>
              <w:bidi w:val="0"/>
              <w:spacing w:before="0" w:after="0"/>
              <w:jc w:val="center"/>
              <w:rPr/>
            </w:pPr>
            <w:r>
              <w:rPr/>
              <w:t>40</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5.">
              <w:r>
                <w:rPr>
                  <w:rStyle w:val="InternetLink"/>
                  <w:rFonts w:ascii="Times New Roman;Times;serif" w:hAnsi="Times New Roman;Times;serif"/>
                  <w:u w:val="single"/>
                </w:rPr>
                <w:t>ITEM 5.</w:t>
              </w:r>
            </w:hyperlink>
          </w:p>
        </w:tc>
        <w:tc>
          <w:tcPr>
            <w:tcW w:w="8077" w:type="dxa"/>
            <w:tcBorders/>
            <w:vAlign w:val="center"/>
          </w:tcPr>
          <w:p>
            <w:pPr>
              <w:pStyle w:val="TableContents"/>
              <w:bidi w:val="0"/>
              <w:spacing w:before="0" w:after="0"/>
              <w:jc w:val="left"/>
              <w:rPr/>
            </w:pPr>
            <w:hyperlink w:anchor="ITEM5.">
              <w:r>
                <w:rPr>
                  <w:rStyle w:val="InternetLink"/>
                  <w:rFonts w:ascii="Times New Roman;Times;serif" w:hAnsi="Times New Roman;Times;serif"/>
                  <w:u w:val="single"/>
                </w:rPr>
                <w:t>OPERATING AND FINANCIAL REVIEW AND PROSPECTS</w:t>
              </w:r>
            </w:hyperlink>
          </w:p>
        </w:tc>
        <w:tc>
          <w:tcPr>
            <w:tcW w:w="261" w:type="dxa"/>
            <w:tcBorders/>
            <w:vAlign w:val="center"/>
          </w:tcPr>
          <w:p>
            <w:pPr>
              <w:pStyle w:val="TableContents"/>
              <w:bidi w:val="0"/>
              <w:spacing w:before="0" w:after="283"/>
              <w:jc w:val="center"/>
              <w:rPr/>
            </w:pPr>
            <w:r>
              <w:rPr/>
              <w:t>40</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6">
              <w:r>
                <w:rPr>
                  <w:rStyle w:val="InternetLink"/>
                  <w:rFonts w:ascii="Times New Roman;Times;serif" w:hAnsi="Times New Roman;Times;serif"/>
                  <w:u w:val="single"/>
                </w:rPr>
                <w:t>ITEM 6.</w:t>
              </w:r>
            </w:hyperlink>
          </w:p>
        </w:tc>
        <w:tc>
          <w:tcPr>
            <w:tcW w:w="8077" w:type="dxa"/>
            <w:tcBorders/>
            <w:vAlign w:val="center"/>
          </w:tcPr>
          <w:p>
            <w:pPr>
              <w:pStyle w:val="TableContents"/>
              <w:bidi w:val="0"/>
              <w:spacing w:before="0" w:after="0"/>
              <w:jc w:val="left"/>
              <w:rPr/>
            </w:pPr>
            <w:hyperlink w:anchor="ITEM6">
              <w:r>
                <w:rPr>
                  <w:rStyle w:val="InternetLink"/>
                  <w:rFonts w:ascii="Times New Roman;Times;serif" w:hAnsi="Times New Roman;Times;serif"/>
                  <w:u w:val="single"/>
                </w:rPr>
                <w:t>DIRECTORS, SENIOR MANAGEMENT AND EMPLOYEES</w:t>
              </w:r>
            </w:hyperlink>
          </w:p>
        </w:tc>
        <w:tc>
          <w:tcPr>
            <w:tcW w:w="261" w:type="dxa"/>
            <w:tcBorders/>
            <w:vAlign w:val="center"/>
          </w:tcPr>
          <w:p>
            <w:pPr>
              <w:pStyle w:val="TableContents"/>
              <w:bidi w:val="0"/>
              <w:spacing w:before="0" w:after="283"/>
              <w:jc w:val="center"/>
              <w:rPr/>
            </w:pPr>
            <w:r>
              <w:rPr/>
              <w:t>49</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7">
              <w:r>
                <w:rPr>
                  <w:rStyle w:val="InternetLink"/>
                  <w:rFonts w:ascii="Times New Roman;Times;serif" w:hAnsi="Times New Roman;Times;serif"/>
                  <w:u w:val="single"/>
                </w:rPr>
                <w:t>ITEM 7.</w:t>
              </w:r>
            </w:hyperlink>
            <w:hyperlink w:anchor="ITEM7">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0"/>
              <w:jc w:val="left"/>
              <w:rPr/>
            </w:pPr>
            <w:hyperlink w:anchor="ITEM7">
              <w:r>
                <w:rPr>
                  <w:rStyle w:val="InternetLink"/>
                  <w:rFonts w:ascii="Times New Roman;Times;serif" w:hAnsi="Times New Roman;Times;serif"/>
                  <w:u w:val="single"/>
                </w:rPr>
                <w:t>MAJOR SHAREHOLDERS AND RELATED PARTY TRANSACTIONS</w:t>
              </w:r>
            </w:hyperlink>
          </w:p>
        </w:tc>
        <w:tc>
          <w:tcPr>
            <w:tcW w:w="261" w:type="dxa"/>
            <w:tcBorders/>
            <w:vAlign w:val="center"/>
          </w:tcPr>
          <w:p>
            <w:pPr>
              <w:pStyle w:val="TableContents"/>
              <w:bidi w:val="0"/>
              <w:spacing w:before="0" w:after="283"/>
              <w:jc w:val="center"/>
              <w:rPr/>
            </w:pPr>
            <w:r>
              <w:rPr/>
              <w:t>65</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8">
              <w:r>
                <w:rPr>
                  <w:rStyle w:val="InternetLink"/>
                  <w:rFonts w:ascii="Times New Roman;Times;serif" w:hAnsi="Times New Roman;Times;serif"/>
                  <w:u w:val="single"/>
                </w:rPr>
                <w:t>ITEM 8.</w:t>
              </w:r>
            </w:hyperlink>
            <w:hyperlink w:anchor="ITEM8">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0"/>
              <w:jc w:val="left"/>
              <w:rPr/>
            </w:pPr>
            <w:hyperlink w:anchor="ITEM8">
              <w:r>
                <w:rPr>
                  <w:rStyle w:val="InternetLink"/>
                  <w:rFonts w:ascii="Times New Roman;Times;serif" w:hAnsi="Times New Roman;Times;serif"/>
                  <w:u w:val="single"/>
                </w:rPr>
                <w:t>FINANCIAL INFORMATION</w:t>
              </w:r>
            </w:hyperlink>
          </w:p>
        </w:tc>
        <w:tc>
          <w:tcPr>
            <w:tcW w:w="261" w:type="dxa"/>
            <w:tcBorders/>
            <w:vAlign w:val="center"/>
          </w:tcPr>
          <w:p>
            <w:pPr>
              <w:pStyle w:val="TableContents"/>
              <w:bidi w:val="0"/>
              <w:spacing w:before="0" w:after="283"/>
              <w:jc w:val="center"/>
              <w:rPr/>
            </w:pPr>
            <w:r>
              <w:rPr/>
              <w:t>66</w:t>
            </w:r>
          </w:p>
        </w:tc>
      </w:tr>
      <w:tr>
        <w:trPr/>
        <w:tc>
          <w:tcPr>
            <w:tcW w:w="847"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0"/>
              <w:jc w:val="left"/>
              <w:rPr/>
            </w:pPr>
            <w:hyperlink w:anchor="ITEM9">
              <w:r>
                <w:rPr>
                  <w:rStyle w:val="InternetLink"/>
                  <w:rFonts w:ascii="Times New Roman;Times;serif" w:hAnsi="Times New Roman;Times;serif"/>
                  <w:u w:val="single"/>
                </w:rPr>
                <w:t>ITEM 9.</w:t>
              </w:r>
            </w:hyperlink>
            <w:hyperlink w:anchor="ITEM9">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0"/>
              <w:jc w:val="left"/>
              <w:rPr/>
            </w:pPr>
            <w:hyperlink w:anchor="ITEM9">
              <w:r>
                <w:rPr>
                  <w:rStyle w:val="InternetLink"/>
                  <w:rFonts w:ascii="Times New Roman;Times;serif" w:hAnsi="Times New Roman;Times;serif"/>
                  <w:u w:val="single"/>
                </w:rPr>
                <w:t>THE OFFER AND LISTING</w:t>
              </w:r>
            </w:hyperlink>
          </w:p>
        </w:tc>
        <w:tc>
          <w:tcPr>
            <w:tcW w:w="261" w:type="dxa"/>
            <w:tcBorders/>
            <w:vAlign w:val="center"/>
          </w:tcPr>
          <w:p>
            <w:pPr>
              <w:pStyle w:val="TableContents"/>
              <w:bidi w:val="0"/>
              <w:spacing w:before="0" w:after="283"/>
              <w:jc w:val="center"/>
              <w:rPr/>
            </w:pPr>
            <w:r>
              <w:rPr/>
              <w:t>67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0.">
              <w:r>
                <w:rPr>
                  <w:rStyle w:val="InternetLink"/>
                  <w:rFonts w:ascii="Times New Roman;Times;serif" w:hAnsi="Times New Roman;Times;serif"/>
                  <w:u w:val="single"/>
                </w:rPr>
                <w:t>ITEM 10.</w:t>
              </w:r>
            </w:hyperlink>
            <w:hyperlink w:anchor="ITEM10.">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0.">
              <w:r>
                <w:rPr>
                  <w:rStyle w:val="InternetLink"/>
                  <w:rFonts w:ascii="Times New Roman;Times;serif" w:hAnsi="Times New Roman;Times;serif"/>
                  <w:u w:val="single"/>
                </w:rPr>
                <w:t>ADDITIONAL INFORMATION</w:t>
              </w:r>
            </w:hyperlink>
          </w:p>
        </w:tc>
        <w:tc>
          <w:tcPr>
            <w:tcW w:w="261" w:type="dxa"/>
            <w:tcBorders/>
            <w:vAlign w:val="center"/>
          </w:tcPr>
          <w:p>
            <w:pPr>
              <w:pStyle w:val="TableContents"/>
              <w:bidi w:val="0"/>
              <w:spacing w:before="0" w:after="283"/>
              <w:jc w:val="center"/>
              <w:rPr/>
            </w:pPr>
            <w:r>
              <w:rPr/>
              <w:t>67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1">
              <w:r>
                <w:rPr>
                  <w:rStyle w:val="InternetLink"/>
                  <w:rFonts w:ascii="Times New Roman;Times;serif" w:hAnsi="Times New Roman;Times;serif"/>
                  <w:u w:val="single"/>
                </w:rPr>
                <w:t>ITEM 11.</w:t>
              </w:r>
            </w:hyperlink>
          </w:p>
        </w:tc>
        <w:tc>
          <w:tcPr>
            <w:tcW w:w="8077" w:type="dxa"/>
            <w:tcBorders/>
            <w:vAlign w:val="center"/>
          </w:tcPr>
          <w:p>
            <w:pPr>
              <w:pStyle w:val="TableContents"/>
              <w:bidi w:val="0"/>
              <w:spacing w:before="0" w:after="283"/>
              <w:jc w:val="left"/>
              <w:rPr/>
            </w:pPr>
            <w:hyperlink w:anchor="ITEM11">
              <w:r>
                <w:rPr>
                  <w:rStyle w:val="InternetLink"/>
                  <w:rFonts w:ascii="Times New Roman;Times;serif" w:hAnsi="Times New Roman;Times;serif"/>
                  <w:u w:val="single"/>
                </w:rPr>
                <w:t>QUANTITATIVE AND QUALITATIVE DISCLOSURES ABOUT MARKET RISK</w:t>
              </w:r>
            </w:hyperlink>
          </w:p>
        </w:tc>
        <w:tc>
          <w:tcPr>
            <w:tcW w:w="261" w:type="dxa"/>
            <w:tcBorders/>
            <w:vAlign w:val="center"/>
          </w:tcPr>
          <w:p>
            <w:pPr>
              <w:pStyle w:val="TableContents"/>
              <w:bidi w:val="0"/>
              <w:spacing w:before="0" w:after="283"/>
              <w:jc w:val="center"/>
              <w:rPr/>
            </w:pPr>
            <w:r>
              <w:rPr/>
              <w:t>81</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2.">
              <w:r>
                <w:rPr>
                  <w:rStyle w:val="InternetLink"/>
                  <w:rFonts w:ascii="Times New Roman;Times;serif" w:hAnsi="Times New Roman;Times;serif"/>
                  <w:u w:val="single"/>
                </w:rPr>
                <w:t>ITEM 12.</w:t>
              </w:r>
            </w:hyperlink>
          </w:p>
        </w:tc>
        <w:tc>
          <w:tcPr>
            <w:tcW w:w="8077" w:type="dxa"/>
            <w:tcBorders/>
            <w:vAlign w:val="center"/>
          </w:tcPr>
          <w:p>
            <w:pPr>
              <w:pStyle w:val="TableContents"/>
              <w:bidi w:val="0"/>
              <w:spacing w:before="0" w:after="283"/>
              <w:jc w:val="left"/>
              <w:rPr/>
            </w:pPr>
            <w:hyperlink w:anchor="ITEM12.">
              <w:r>
                <w:rPr>
                  <w:rStyle w:val="InternetLink"/>
                  <w:rFonts w:ascii="Times New Roman;Times;serif" w:hAnsi="Times New Roman;Times;serif"/>
                  <w:u w:val="single"/>
                </w:rPr>
                <w:t>DESCRIPTION OF SECURITIES OTHER THAN EQUITY SECURITIES</w:t>
              </w:r>
            </w:hyperlink>
          </w:p>
        </w:tc>
        <w:tc>
          <w:tcPr>
            <w:tcW w:w="261" w:type="dxa"/>
            <w:tcBorders/>
            <w:vAlign w:val="center"/>
          </w:tcPr>
          <w:p>
            <w:pPr>
              <w:pStyle w:val="TableContents"/>
              <w:bidi w:val="0"/>
              <w:spacing w:before="0" w:after="283"/>
              <w:jc w:val="center"/>
              <w:rPr/>
            </w:pPr>
            <w:r>
              <w:rPr/>
              <w:t>83</w:t>
            </w:r>
          </w:p>
        </w:tc>
      </w:tr>
      <w:tr>
        <w:trPr/>
        <w:tc>
          <w:tcPr>
            <w:tcW w:w="847" w:type="dxa"/>
            <w:tcBorders/>
            <w:vAlign w:val="center"/>
          </w:tcPr>
          <w:p>
            <w:pPr>
              <w:pStyle w:val="TableContents"/>
              <w:bidi w:val="0"/>
              <w:spacing w:before="0" w:after="283"/>
              <w:jc w:val="left"/>
              <w:rPr/>
            </w:pPr>
            <w:hyperlink w:anchor="PARTII">
              <w:r>
                <w:rPr>
                  <w:rStyle w:val="InternetLink"/>
                  <w:u w:val="single"/>
                </w:rPr>
                <w:t>PART II</w:t>
              </w:r>
            </w:hyperlink>
          </w:p>
        </w:tc>
        <w:tc>
          <w:tcPr>
            <w:tcW w:w="1020" w:type="dxa"/>
            <w:tcBorders/>
            <w:vAlign w:val="center"/>
          </w:tcPr>
          <w:p>
            <w:pPr>
              <w:pStyle w:val="TableContents"/>
              <w:bidi w:val="0"/>
              <w:spacing w:before="0" w:after="283"/>
              <w:jc w:val="left"/>
              <w:rPr/>
            </w:pPr>
            <w:r>
              <w:rPr/>
              <w:t> </w:t>
            </w:r>
          </w:p>
        </w:tc>
        <w:tc>
          <w:tcPr>
            <w:tcW w:w="8077"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center"/>
              <w:rPr/>
            </w:pPr>
            <w:r>
              <w:rPr/>
              <w:t>83</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3">
              <w:r>
                <w:rPr>
                  <w:rStyle w:val="InternetLink"/>
                  <w:rFonts w:ascii="Times New Roman;Times;serif" w:hAnsi="Times New Roman;Times;serif"/>
                  <w:u w:val="single"/>
                </w:rPr>
                <w:t>ITEM 13.</w:t>
              </w:r>
            </w:hyperlink>
            <w:hyperlink w:anchor="ITEM13">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3">
              <w:r>
                <w:rPr>
                  <w:rStyle w:val="InternetLink"/>
                  <w:rFonts w:ascii="Times New Roman;Times;serif" w:hAnsi="Times New Roman;Times;serif"/>
                  <w:u w:val="single"/>
                </w:rPr>
                <w:t>DEFAULTS, DIVIDEND ARREARAGES AND DELINQUENCIES</w:t>
              </w:r>
            </w:hyperlink>
          </w:p>
        </w:tc>
        <w:tc>
          <w:tcPr>
            <w:tcW w:w="261" w:type="dxa"/>
            <w:tcBorders/>
            <w:vAlign w:val="center"/>
          </w:tcPr>
          <w:p>
            <w:pPr>
              <w:pStyle w:val="TableContents"/>
              <w:bidi w:val="0"/>
              <w:spacing w:before="0" w:after="283"/>
              <w:jc w:val="center"/>
              <w:rPr/>
            </w:pPr>
            <w:r>
              <w:rPr/>
              <w:t>83</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4.">
              <w:r>
                <w:rPr>
                  <w:rStyle w:val="InternetLink"/>
                  <w:rFonts w:ascii="Times New Roman;Times;serif" w:hAnsi="Times New Roman;Times;serif"/>
                  <w:u w:val="single"/>
                </w:rPr>
                <w:t>ITEM 14.</w:t>
              </w:r>
            </w:hyperlink>
            <w:hyperlink w:anchor="ITEM14.">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4.">
              <w:r>
                <w:rPr>
                  <w:rStyle w:val="InternetLink"/>
                  <w:rFonts w:ascii="Times New Roman;Times;serif" w:hAnsi="Times New Roman;Times;serif"/>
                  <w:u w:val="single"/>
                </w:rPr>
                <w:t>MATERIAL MODIFICATIONS TO THE RIGHTS OF SECURITY HOLDERS AND USE OF PROCEEDS</w:t>
              </w:r>
            </w:hyperlink>
          </w:p>
        </w:tc>
        <w:tc>
          <w:tcPr>
            <w:tcW w:w="261" w:type="dxa"/>
            <w:tcBorders/>
            <w:vAlign w:val="center"/>
          </w:tcPr>
          <w:p>
            <w:pPr>
              <w:pStyle w:val="TableContents"/>
              <w:bidi w:val="0"/>
              <w:spacing w:before="0" w:after="283"/>
              <w:jc w:val="center"/>
              <w:rPr/>
            </w:pPr>
            <w:r>
              <w:rPr/>
              <w:t>83</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5.">
              <w:r>
                <w:rPr>
                  <w:rStyle w:val="InternetLink"/>
                  <w:rFonts w:ascii="Times New Roman;Times;serif" w:hAnsi="Times New Roman;Times;serif"/>
                  <w:u w:val="single"/>
                </w:rPr>
                <w:t>ITEM 15.</w:t>
              </w:r>
            </w:hyperlink>
          </w:p>
        </w:tc>
        <w:tc>
          <w:tcPr>
            <w:tcW w:w="8077" w:type="dxa"/>
            <w:tcBorders/>
            <w:vAlign w:val="center"/>
          </w:tcPr>
          <w:p>
            <w:pPr>
              <w:pStyle w:val="TableContents"/>
              <w:bidi w:val="0"/>
              <w:spacing w:before="0" w:after="283"/>
              <w:jc w:val="left"/>
              <w:rPr/>
            </w:pPr>
            <w:hyperlink w:anchor="ITEM15.">
              <w:r>
                <w:rPr>
                  <w:rStyle w:val="InternetLink"/>
                  <w:rFonts w:ascii="Times New Roman;Times;serif" w:hAnsi="Times New Roman;Times;serif"/>
                  <w:u w:val="single"/>
                </w:rPr>
                <w:t>CONTROLS AND PROCEDURES</w:t>
              </w:r>
            </w:hyperlink>
          </w:p>
        </w:tc>
        <w:tc>
          <w:tcPr>
            <w:tcW w:w="261" w:type="dxa"/>
            <w:tcBorders/>
            <w:vAlign w:val="center"/>
          </w:tcPr>
          <w:p>
            <w:pPr>
              <w:pStyle w:val="TableContents"/>
              <w:bidi w:val="0"/>
              <w:spacing w:before="0" w:after="283"/>
              <w:jc w:val="center"/>
              <w:rPr/>
            </w:pPr>
            <w:r>
              <w:rPr/>
              <w:t>83</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
              <w:r>
                <w:rPr>
                  <w:rStyle w:val="InternetLink"/>
                  <w:rFonts w:ascii="Times New Roman;Times;serif" w:hAnsi="Times New Roman;Times;serif"/>
                  <w:u w:val="single"/>
                </w:rPr>
                <w:t>ITEM 16.</w:t>
              </w:r>
            </w:hyperlink>
            <w:hyperlink w:anchor="ITEM16">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6">
              <w:r>
                <w:rPr>
                  <w:rStyle w:val="InternetLink"/>
                  <w:rFonts w:ascii="Times New Roman;Times;serif" w:hAnsi="Times New Roman;Times;serif"/>
                  <w:u w:val="single"/>
                </w:rPr>
                <w:t>RESERVED</w:t>
              </w:r>
            </w:hyperlink>
          </w:p>
        </w:tc>
        <w:tc>
          <w:tcPr>
            <w:tcW w:w="261" w:type="dxa"/>
            <w:tcBorders/>
            <w:vAlign w:val="center"/>
          </w:tcPr>
          <w:p>
            <w:pPr>
              <w:pStyle w:val="TableContents"/>
              <w:bidi w:val="0"/>
              <w:spacing w:before="0" w:after="283"/>
              <w:jc w:val="center"/>
              <w:rPr/>
            </w:pPr>
            <w:r>
              <w:rPr/>
              <w:t>84</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A16">
              <w:r>
                <w:rPr>
                  <w:rStyle w:val="InternetLink"/>
                  <w:rFonts w:ascii="Times New Roman;Times;serif" w:hAnsi="Times New Roman;Times;serif"/>
                  <w:u w:val="single"/>
                </w:rPr>
                <w:t>ITEM 16A.</w:t>
              </w:r>
            </w:hyperlink>
            <w:hyperlink w:anchor="A16">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A16">
              <w:r>
                <w:rPr>
                  <w:rStyle w:val="InternetLink"/>
                  <w:rFonts w:ascii="Times New Roman;Times;serif" w:hAnsi="Times New Roman;Times;serif"/>
                  <w:u w:val="single"/>
                </w:rPr>
                <w:t>AUDIT COMMITTEE FINANCIAL EXPERT</w:t>
              </w:r>
            </w:hyperlink>
          </w:p>
        </w:tc>
        <w:tc>
          <w:tcPr>
            <w:tcW w:w="261" w:type="dxa"/>
            <w:tcBorders/>
            <w:vAlign w:val="center"/>
          </w:tcPr>
          <w:p>
            <w:pPr>
              <w:pStyle w:val="TableContents"/>
              <w:bidi w:val="0"/>
              <w:spacing w:before="0" w:after="283"/>
              <w:jc w:val="center"/>
              <w:rPr/>
            </w:pPr>
            <w:r>
              <w:rPr/>
              <w:t>84</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B16">
              <w:r>
                <w:rPr>
                  <w:rStyle w:val="InternetLink"/>
                  <w:rFonts w:ascii="Times New Roman;Times;serif" w:hAnsi="Times New Roman;Times;serif"/>
                  <w:u w:val="single"/>
                </w:rPr>
                <w:t>ITEM 16B.</w:t>
              </w:r>
            </w:hyperlink>
            <w:hyperlink w:anchor="B16">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B16">
              <w:r>
                <w:rPr>
                  <w:rStyle w:val="InternetLink"/>
                  <w:rFonts w:ascii="Times New Roman;Times;serif" w:hAnsi="Times New Roman;Times;serif"/>
                  <w:u w:val="single"/>
                </w:rPr>
                <w:t>CODE OF ETHICS</w:t>
              </w:r>
            </w:hyperlink>
          </w:p>
        </w:tc>
        <w:tc>
          <w:tcPr>
            <w:tcW w:w="261" w:type="dxa"/>
            <w:tcBorders/>
            <w:vAlign w:val="center"/>
          </w:tcPr>
          <w:p>
            <w:pPr>
              <w:pStyle w:val="TableContents"/>
              <w:bidi w:val="0"/>
              <w:spacing w:before="0" w:after="283"/>
              <w:jc w:val="center"/>
              <w:rPr/>
            </w:pPr>
            <w:r>
              <w:rPr/>
              <w:t>84</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A16C">
              <w:r>
                <w:rPr>
                  <w:rStyle w:val="InternetLink"/>
                  <w:rFonts w:ascii="Times New Roman;Times;serif" w:hAnsi="Times New Roman;Times;serif"/>
                  <w:u w:val="single"/>
                </w:rPr>
                <w:t>ITEM 16C.</w:t>
              </w:r>
            </w:hyperlink>
            <w:hyperlink w:anchor="A16C">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A16C">
              <w:r>
                <w:rPr>
                  <w:rStyle w:val="InternetLink"/>
                  <w:rFonts w:ascii="Times New Roman;Times;serif" w:hAnsi="Times New Roman;Times;serif"/>
                  <w:u w:val="single"/>
                </w:rPr>
                <w:t>PRINCIPAL ACCOUNTANT FEES AND SERVICES</w:t>
              </w:r>
            </w:hyperlink>
          </w:p>
        </w:tc>
        <w:tc>
          <w:tcPr>
            <w:tcW w:w="261" w:type="dxa"/>
            <w:tcBorders/>
            <w:vAlign w:val="center"/>
          </w:tcPr>
          <w:p>
            <w:pPr>
              <w:pStyle w:val="TableContents"/>
              <w:bidi w:val="0"/>
              <w:spacing w:before="0" w:after="283"/>
              <w:jc w:val="center"/>
              <w:rPr/>
            </w:pPr>
            <w:r>
              <w:rPr/>
              <w:t>84</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D">
              <w:r>
                <w:rPr>
                  <w:rStyle w:val="InternetLink"/>
                  <w:rFonts w:ascii="Times New Roman;Times;serif" w:hAnsi="Times New Roman;Times;serif"/>
                  <w:u w:val="single"/>
                </w:rPr>
                <w:t>ITEM 16D.</w:t>
              </w:r>
            </w:hyperlink>
          </w:p>
        </w:tc>
        <w:tc>
          <w:tcPr>
            <w:tcW w:w="8077" w:type="dxa"/>
            <w:tcBorders/>
            <w:vAlign w:val="center"/>
          </w:tcPr>
          <w:p>
            <w:pPr>
              <w:pStyle w:val="TableContents"/>
              <w:bidi w:val="0"/>
              <w:spacing w:before="0" w:after="283"/>
              <w:jc w:val="left"/>
              <w:rPr/>
            </w:pPr>
            <w:hyperlink w:anchor="ITEM16D">
              <w:r>
                <w:rPr>
                  <w:rStyle w:val="InternetLink"/>
                  <w:rFonts w:ascii="Times New Roman;Times;serif" w:hAnsi="Times New Roman;Times;serif"/>
                  <w:u w:val="single"/>
                </w:rPr>
                <w:t>EXEMPTIONS FROM THE LISTING STANDARDS FOR AUDIT COMMITTEES</w:t>
              </w:r>
            </w:hyperlink>
          </w:p>
        </w:tc>
        <w:tc>
          <w:tcPr>
            <w:tcW w:w="261" w:type="dxa"/>
            <w:tcBorders/>
            <w:vAlign w:val="center"/>
          </w:tcPr>
          <w:p>
            <w:pPr>
              <w:pStyle w:val="TableContents"/>
              <w:bidi w:val="0"/>
              <w:spacing w:before="0" w:after="283"/>
              <w:jc w:val="center"/>
              <w:rPr/>
            </w:pPr>
            <w:r>
              <w:rPr/>
              <w:t>85</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E">
              <w:r>
                <w:rPr>
                  <w:rStyle w:val="InternetLink"/>
                  <w:rFonts w:ascii="Times New Roman;Times;serif" w:hAnsi="Times New Roman;Times;serif"/>
                  <w:u w:val="single"/>
                </w:rPr>
                <w:t>ITEM 16E.</w:t>
              </w:r>
            </w:hyperlink>
          </w:p>
        </w:tc>
        <w:tc>
          <w:tcPr>
            <w:tcW w:w="8077" w:type="dxa"/>
            <w:tcBorders/>
            <w:vAlign w:val="center"/>
          </w:tcPr>
          <w:p>
            <w:pPr>
              <w:pStyle w:val="TableContents"/>
              <w:bidi w:val="0"/>
              <w:spacing w:before="0" w:after="283"/>
              <w:jc w:val="left"/>
              <w:rPr/>
            </w:pPr>
            <w:hyperlink w:anchor="ITEM16E">
              <w:r>
                <w:rPr>
                  <w:rStyle w:val="InternetLink"/>
                  <w:rFonts w:ascii="Times New Roman;Times;serif" w:hAnsi="Times New Roman;Times;serif"/>
                  <w:u w:val="single"/>
                </w:rPr>
                <w:t>PURCHASES OF EQUITY SECURITIES BY THE ISSUER AND AFFILIATED PURCHASERS</w:t>
              </w:r>
            </w:hyperlink>
          </w:p>
        </w:tc>
        <w:tc>
          <w:tcPr>
            <w:tcW w:w="261" w:type="dxa"/>
            <w:tcBorders/>
            <w:vAlign w:val="center"/>
          </w:tcPr>
          <w:p>
            <w:pPr>
              <w:pStyle w:val="TableContents"/>
              <w:bidi w:val="0"/>
              <w:spacing w:before="0" w:after="283"/>
              <w:jc w:val="center"/>
              <w:rPr/>
            </w:pPr>
            <w:r>
              <w:rPr/>
              <w:t>85</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F">
              <w:r>
                <w:rPr>
                  <w:rStyle w:val="InternetLink"/>
                  <w:rFonts w:ascii="Times New Roman;Times;serif" w:hAnsi="Times New Roman;Times;serif"/>
                  <w:u w:val="single"/>
                </w:rPr>
                <w:t>ITEM 16F.</w:t>
              </w:r>
            </w:hyperlink>
            <w:hyperlink w:anchor="ITEM16F">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6F">
              <w:r>
                <w:rPr>
                  <w:rStyle w:val="InternetLink"/>
                  <w:rFonts w:ascii="Times New Roman;Times;serif" w:hAnsi="Times New Roman;Times;serif"/>
                  <w:u w:val="single"/>
                </w:rPr>
                <w:t>CHANGE IN REGISTRANT'S CERTIFYING ACCOUNTANT</w:t>
              </w:r>
            </w:hyperlink>
          </w:p>
        </w:tc>
        <w:tc>
          <w:tcPr>
            <w:tcW w:w="261" w:type="dxa"/>
            <w:tcBorders/>
            <w:vAlign w:val="center"/>
          </w:tcPr>
          <w:p>
            <w:pPr>
              <w:pStyle w:val="TableContents"/>
              <w:bidi w:val="0"/>
              <w:spacing w:before="0" w:after="283"/>
              <w:jc w:val="center"/>
              <w:rPr/>
            </w:pPr>
            <w:r>
              <w:rPr/>
              <w:t>85</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G.">
              <w:r>
                <w:rPr>
                  <w:rStyle w:val="InternetLink"/>
                  <w:rFonts w:ascii="Times New Roman;Times;serif" w:hAnsi="Times New Roman;Times;serif"/>
                  <w:u w:val="single"/>
                </w:rPr>
                <w:t>ITEM 16G</w:t>
              </w:r>
            </w:hyperlink>
          </w:p>
        </w:tc>
        <w:tc>
          <w:tcPr>
            <w:tcW w:w="8077" w:type="dxa"/>
            <w:tcBorders/>
            <w:vAlign w:val="center"/>
          </w:tcPr>
          <w:p>
            <w:pPr>
              <w:pStyle w:val="TableContents"/>
              <w:bidi w:val="0"/>
              <w:spacing w:before="0" w:after="283"/>
              <w:jc w:val="left"/>
              <w:rPr/>
            </w:pPr>
            <w:hyperlink w:anchor="ITEM16G.">
              <w:r>
                <w:rPr>
                  <w:rStyle w:val="InternetLink"/>
                  <w:rFonts w:ascii="Times New Roman;Times;serif" w:hAnsi="Times New Roman;Times;serif"/>
                  <w:u w:val="single"/>
                </w:rPr>
                <w:t>CORPORATE GOVERNANCE</w:t>
              </w:r>
            </w:hyperlink>
          </w:p>
        </w:tc>
        <w:tc>
          <w:tcPr>
            <w:tcW w:w="261" w:type="dxa"/>
            <w:tcBorders/>
            <w:vAlign w:val="center"/>
          </w:tcPr>
          <w:p>
            <w:pPr>
              <w:pStyle w:val="TableContents"/>
              <w:bidi w:val="0"/>
              <w:spacing w:before="0" w:after="283"/>
              <w:jc w:val="center"/>
              <w:rPr/>
            </w:pPr>
            <w:r>
              <w:rPr/>
              <w:t>85</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H">
              <w:r>
                <w:rPr>
                  <w:rStyle w:val="InternetLink"/>
                  <w:rFonts w:ascii="Times New Roman;Times;serif" w:hAnsi="Times New Roman;Times;serif"/>
                  <w:u w:val="single"/>
                </w:rPr>
                <w:t>ITEM 16H</w:t>
              </w:r>
            </w:hyperlink>
            <w:hyperlink w:anchor="ITEM16H">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6H">
              <w:r>
                <w:rPr>
                  <w:rStyle w:val="InternetLink"/>
                  <w:rFonts w:ascii="Times New Roman;Times;serif" w:hAnsi="Times New Roman;Times;serif"/>
                  <w:u w:val="single"/>
                </w:rPr>
                <w:t>MINE SAFETY DISCLOSURE</w:t>
              </w:r>
            </w:hyperlink>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A16I">
              <w:r>
                <w:rPr>
                  <w:rStyle w:val="InternetLink"/>
                  <w:rFonts w:ascii="Times New Roman;Times;serif" w:hAnsi="Times New Roman;Times;serif"/>
                </w:rPr>
                <w:t>ITEM 16I</w:t>
              </w:r>
            </w:hyperlink>
          </w:p>
        </w:tc>
        <w:tc>
          <w:tcPr>
            <w:tcW w:w="8077" w:type="dxa"/>
            <w:tcBorders/>
            <w:vAlign w:val="center"/>
          </w:tcPr>
          <w:p>
            <w:pPr>
              <w:pStyle w:val="TableContents"/>
              <w:bidi w:val="0"/>
              <w:spacing w:before="0" w:after="283"/>
              <w:jc w:val="left"/>
              <w:rPr/>
            </w:pPr>
            <w:hyperlink w:anchor="A16I">
              <w:r>
                <w:rPr>
                  <w:rStyle w:val="InternetLink"/>
                  <w:rFonts w:ascii="Times New Roman;Times;serif" w:hAnsi="Times New Roman;Times;serif"/>
                  <w:u w:val="single"/>
                </w:rPr>
                <w:t>DISCLOSURE REGARDING FOREIGN JURISDICTIONS THAT PREVENT INSPECTIONS</w:t>
              </w:r>
            </w:hyperlink>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6J.">
              <w:r>
                <w:rPr>
                  <w:rStyle w:val="InternetLink"/>
                  <w:rFonts w:ascii="Times New Roman;Times;serif" w:hAnsi="Times New Roman;Times;serif"/>
                  <w:u w:val="single"/>
                </w:rPr>
                <w:t>ITEM 16J</w:t>
              </w:r>
            </w:hyperlink>
            <w:hyperlink w:anchor="ITEM16J.">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6J.">
              <w:r>
                <w:rPr>
                  <w:rStyle w:val="InternetLink"/>
                  <w:rFonts w:ascii="Times New Roman;Times;serif" w:hAnsi="Times New Roman;Times;serif"/>
                  <w:u w:val="single"/>
                </w:rPr>
                <w:t>INSIDER TRADING POLICIES</w:t>
              </w:r>
            </w:hyperlink>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lineRule="auto" w:line="300" w:before="0" w:after="0"/>
              <w:jc w:val="both"/>
              <w:rPr/>
            </w:pPr>
            <w:hyperlink w:anchor="PARTIII">
              <w:r>
                <w:rPr>
                  <w:rStyle w:val="InternetLink"/>
                  <w:rFonts w:ascii="Times New Roman;Times;serif" w:hAnsi="Times New Roman;Times;serif"/>
                  <w:color w:val="000000"/>
                </w:rPr>
                <w:t>PART III</w:t>
              </w:r>
            </w:hyperlink>
          </w:p>
        </w:tc>
        <w:tc>
          <w:tcPr>
            <w:tcW w:w="1020" w:type="dxa"/>
            <w:tcBorders/>
            <w:vAlign w:val="center"/>
          </w:tcPr>
          <w:p>
            <w:pPr>
              <w:pStyle w:val="TableContents"/>
              <w:bidi w:val="0"/>
              <w:spacing w:before="0" w:after="283"/>
              <w:jc w:val="left"/>
              <w:rPr/>
            </w:pPr>
            <w:r>
              <w:rPr/>
              <w:t> </w:t>
            </w:r>
          </w:p>
        </w:tc>
        <w:tc>
          <w:tcPr>
            <w:tcW w:w="8077"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7.">
              <w:r>
                <w:rPr>
                  <w:rStyle w:val="InternetLink"/>
                  <w:rFonts w:ascii="Times New Roman;Times;serif" w:hAnsi="Times New Roman;Times;serif"/>
                  <w:u w:val="single"/>
                </w:rPr>
                <w:t>ITEM 17.</w:t>
              </w:r>
            </w:hyperlink>
            <w:hyperlink w:anchor="ITEM17.">
              <w:r>
                <w:rPr>
                  <w:rStyle w:val="InternetLink"/>
                  <w:rFonts w:ascii="Times New Roman;Times;serif" w:hAnsi="Times New Roman;Times;serif"/>
                </w:rPr>
                <w:t xml:space="preserve"> </w:t>
              </w:r>
            </w:hyperlink>
          </w:p>
        </w:tc>
        <w:tc>
          <w:tcPr>
            <w:tcW w:w="8077" w:type="dxa"/>
            <w:tcBorders/>
            <w:vAlign w:val="center"/>
          </w:tcPr>
          <w:p>
            <w:pPr>
              <w:pStyle w:val="TableContents"/>
              <w:bidi w:val="0"/>
              <w:spacing w:before="0" w:after="283"/>
              <w:jc w:val="left"/>
              <w:rPr/>
            </w:pPr>
            <w:hyperlink w:anchor="ITEM17.">
              <w:r>
                <w:rPr>
                  <w:rStyle w:val="InternetLink"/>
                  <w:rFonts w:ascii="Times New Roman;Times;serif" w:hAnsi="Times New Roman;Times;serif"/>
                  <w:u w:val="single"/>
                </w:rPr>
                <w:t>FINANCIAL STATEMENTS</w:t>
              </w:r>
            </w:hyperlink>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8">
              <w:r>
                <w:rPr>
                  <w:rStyle w:val="InternetLink"/>
                  <w:rFonts w:ascii="Times New Roman;Times;serif" w:hAnsi="Times New Roman;Times;serif"/>
                  <w:u w:val="single"/>
                </w:rPr>
                <w:t>ITEM 18.</w:t>
              </w:r>
            </w:hyperlink>
          </w:p>
        </w:tc>
        <w:tc>
          <w:tcPr>
            <w:tcW w:w="8077" w:type="dxa"/>
            <w:tcBorders/>
            <w:vAlign w:val="center"/>
          </w:tcPr>
          <w:p>
            <w:pPr>
              <w:pStyle w:val="TableContents"/>
              <w:bidi w:val="0"/>
              <w:spacing w:before="0" w:after="283"/>
              <w:jc w:val="left"/>
              <w:rPr/>
            </w:pPr>
            <w:hyperlink w:anchor="ITEM18">
              <w:r>
                <w:rPr>
                  <w:rStyle w:val="InternetLink"/>
                  <w:rFonts w:ascii="Times New Roman;Times;serif" w:hAnsi="Times New Roman;Times;serif"/>
                  <w:u w:val="single"/>
                </w:rPr>
                <w:t>FINANCIAL STATEMENTS</w:t>
              </w:r>
            </w:hyperlink>
          </w:p>
        </w:tc>
        <w:tc>
          <w:tcPr>
            <w:tcW w:w="261" w:type="dxa"/>
            <w:tcBorders/>
            <w:vAlign w:val="center"/>
          </w:tcPr>
          <w:p>
            <w:pPr>
              <w:pStyle w:val="TableContents"/>
              <w:bidi w:val="0"/>
              <w:spacing w:before="0" w:after="283"/>
              <w:jc w:val="center"/>
              <w:rPr/>
            </w:pPr>
            <w:r>
              <w:rPr/>
              <w:t>87</w:t>
            </w:r>
          </w:p>
        </w:tc>
      </w:tr>
      <w:tr>
        <w:trPr/>
        <w:tc>
          <w:tcPr>
            <w:tcW w:w="847"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hyperlink w:anchor="ITEM19.">
              <w:r>
                <w:rPr>
                  <w:rStyle w:val="InternetLink"/>
                  <w:rFonts w:ascii="Times New Roman;Times;serif" w:hAnsi="Times New Roman;Times;serif"/>
                  <w:u w:val="single"/>
                </w:rPr>
                <w:t>ITEM 19.</w:t>
              </w:r>
            </w:hyperlink>
          </w:p>
        </w:tc>
        <w:tc>
          <w:tcPr>
            <w:tcW w:w="8077" w:type="dxa"/>
            <w:tcBorders/>
            <w:vAlign w:val="center"/>
          </w:tcPr>
          <w:p>
            <w:pPr>
              <w:pStyle w:val="TableContents"/>
              <w:bidi w:val="0"/>
              <w:spacing w:before="0" w:after="283"/>
              <w:jc w:val="left"/>
              <w:rPr/>
            </w:pPr>
            <w:hyperlink w:anchor="ITEM19.">
              <w:r>
                <w:rPr>
                  <w:rStyle w:val="InternetLink"/>
                  <w:rFonts w:ascii="Times New Roman;Times;serif" w:hAnsi="Times New Roman;Times;serif"/>
                  <w:u w:val="single"/>
                </w:rPr>
                <w:t>EXHIBITS</w:t>
              </w:r>
            </w:hyperlink>
          </w:p>
        </w:tc>
        <w:tc>
          <w:tcPr>
            <w:tcW w:w="261" w:type="dxa"/>
            <w:tcBorders/>
            <w:vAlign w:val="center"/>
          </w:tcPr>
          <w:p>
            <w:pPr>
              <w:pStyle w:val="TableContents"/>
              <w:bidi w:val="0"/>
              <w:spacing w:before="0" w:after="283"/>
              <w:jc w:val="center"/>
              <w:rPr/>
            </w:pPr>
            <w:r>
              <w:rPr/>
              <w:t>87</w:t>
            </w:r>
          </w:p>
        </w:tc>
      </w:tr>
    </w:tbl>
    <w:p>
      <w:pPr>
        <w:pStyle w:val="TextBody"/>
        <w:bidi w:val="0"/>
        <w:spacing w:lineRule="auto" w:line="300" w:before="0" w:after="0"/>
        <w:ind w:left="0" w:right="0" w:firstLine="720"/>
        <w:jc w:val="both"/>
        <w:rPr>
          <w:rFonts w:ascii="Times New Roman;Times;serif" w:hAnsi="Times New Roman;Times;serif"/>
        </w:rPr>
      </w:pPr>
      <w:r>
        <w:rPr>
          <w:rFonts w:ascii="Times New Roman;Times;serif" w:hAnsi="Times New Roman;Times;serif"/>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iv</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bookmarkStart w:id="6" w:name="PARTI"/>
      <w:bookmarkEnd w:id="6"/>
      <w:r>
        <w:rPr>
          <w:rFonts w:ascii="Times New Roman;Times;serif" w:hAnsi="Times New Roman;Times;serif"/>
          <w:b/>
          <w:color w:val="000000"/>
          <w:sz w:val="20"/>
        </w:rPr>
        <w:t>PART 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1</w:t>
      </w:r>
      <w:bookmarkStart w:id="7" w:name="ITEM1"/>
      <w:bookmarkEnd w:id="7"/>
      <w:r>
        <w:rPr>
          <w:rFonts w:ascii="Times New Roman;Times;serif" w:hAnsi="Times New Roman;Times;serif"/>
          <w:b/>
          <w:color w:val="000000"/>
          <w:sz w:val="20"/>
        </w:rPr>
        <w:t>.            IDENTITY OF DIRECTORS, SENIOR MANAGEMENT AND ADVISORS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2.</w:t>
      </w:r>
      <w:bookmarkStart w:id="8" w:name="ITEM2."/>
      <w:bookmarkEnd w:id="8"/>
      <w:r>
        <w:rPr>
          <w:rFonts w:ascii="Times New Roman;Times;serif" w:hAnsi="Times New Roman;Times;serif"/>
          <w:b/>
          <w:color w:val="000000"/>
          <w:sz w:val="20"/>
        </w:rPr>
        <w:t>            OFFER STATISTICS AND EXPECTED TIMETABLE</w:t>
      </w:r>
    </w:p>
    <w:p>
      <w:pPr>
        <w:pStyle w:val="TextBody"/>
        <w:bidi w:val="0"/>
        <w:spacing w:lineRule="auto" w:line="300" w:before="0" w:after="0"/>
        <w:jc w:val="left"/>
        <w:rPr/>
      </w:pPr>
      <w:r>
        <w:rPr/>
        <w:t xml:space="preserve">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3.</w:t>
      </w:r>
      <w:bookmarkStart w:id="9" w:name="ITEM3."/>
      <w:bookmarkEnd w:id="9"/>
      <w:r>
        <w:rPr>
          <w:rFonts w:ascii="Times New Roman;Times;serif" w:hAnsi="Times New Roman;Times;serif"/>
          <w:b/>
          <w:color w:val="000000"/>
          <w:sz w:val="20"/>
        </w:rPr>
        <w:t>            KEY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[RESERVED.]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CAPITALIZATION AND INDEBTEDNESS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REASONS FOR THE OFFER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  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faces many risks. Any of the risks discussed below, including risks related to the Merger, may have an adverse impact on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RISKS AFFECTING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Demand for our foundry services is dependent on the demand in our customers’ end markets, which are typically cyclical and volatile.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customers generally use the semiconductors produced in our fabrication facilities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Because our services may be used in many new applications, it is difficult to accurately forecast demand for all markets. If demand is lower than expected, we may have excess capacity and our revenue may not be sufficient to cover all our costs and serve all our debt, which may adversely affect our financial results and financial position.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Reliance on acquisitions and/or gaining additional capacity for growth involves risks that may adversely affect our future revenues, business and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decide to try to attract new customers and expand the existing business with current customers and/or newly-served markets by expanding our manufacturing footprint and business through acquisitions and joint ventures, as we have done in the past, and/or through obtaining access to additional manufacturing capacity, with or without third-party collaboration. Our success at such expansion is dependent, in part, on finding suitable partners and targets for acquisitions of fabs and/ or capacity through capacity arrangements with companies that already own fabs, successfully negotiating with the seller and/or partner a reasonable price for the acquisition or engagement, successfully financing and consummating such expansion plans, integrating the acquired facilities into our business efficiently and effectively achieving desired synergies and anticipated benefits, and loading the facilities in an amount that may at least cover their operating and other costs. We cannot assure you that we will be successful in executing this business strategy or that we will succeed in increasing our market presence and attracting new customers and business and/or expanding our business with our current customers through that strategy, in order to operate any such additional capacity profitably.</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strategy involves many risks, each of which may negatively affect our profitability and financial position, including the following: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 w:name="z6c622d11ad4040f395e80387d11d5242"/>
      <w:bookmarkStart w:id="11" w:name="z6c622d11ad4040f395e80387d11d5242"/>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Other foundries may bid against us to acquire potential targets. This competition may result in decreased availability of, or increased prices for, suitable acquisition candidates;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 w:name="z58e5de0004284898b3cfce85bda829cc"/>
      <w:bookmarkStart w:id="13" w:name="z58e5de0004284898b3cfce85bda829cc"/>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We may not be able to obtain the necessary regulatory or other approvals, and as a result, or for other reasons, we may fail to consummate certain acquisitions;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 w:name="z2f70a49827e84605895b9c5d6eef512f"/>
      <w:bookmarkStart w:id="15" w:name="z2f70a49827e84605895b9c5d6eef512f"/>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Potential acquisitions and execution of an expansion plan may require the dedication of substantial management effort, time and resources which may divert management from our existing business operations or other strategic opportunities;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 w:name="zd1d94a9f35aa4bbc8a2df8d246de0ea1"/>
      <w:bookmarkStart w:id="17" w:name="zd1d94a9f35aa4bbc8a2df8d246de0ea1"/>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We may not be able to retain experienced management and skilled employees from the businesses we acquire and, if we cannot retain such personnel, we may not be able to attract new skilled employees and experienced management to replace them;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 w:name="z51ce8732122744b3a05de50543015b35"/>
      <w:bookmarkStart w:id="19" w:name="z51ce8732122744b3a05de50543015b35"/>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We may purchase a company with excessive unknown contingent liabilities and/or a cost structure that is not as beneficial as anticipated from the preliminary evaluation or that includes high cost that may result in losses incurred by us if we do not succeed in maintaining high manufacturing levels to cover the cost;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 w:name="zd1f2ae01a7dc4a5c8f47c502b173efa1"/>
      <w:bookmarkStart w:id="21" w:name="zd1f2ae01a7dc4a5c8f47c502b173efa1"/>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We may not be able to obtain sufficient financing which could limit our ability to engage in certain acquisitions and strategic engagements;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 w:name="zf373ce9a73174fb9b0c9f06d46e50947"/>
      <w:bookmarkStart w:id="23" w:name="zf373ce9a73174fb9b0c9f06d46e50947"/>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amount or terms of financing actually required before and after acquisitions considering our current liquidity and cash position may vary from our expectations, resulting in a need for more funding that may not be available to us in order to finance acquisitions, the operations of the target acquired and/or the acquisition of additional equipment that may be required to increase and/or adjust the target’s manufacturing line to address our customer demand and specific technology flows, which may adversely affect our liquidity and balance sheet position.</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may experience difficulty achieving acceptable device yields, product performance and delivery times in the future as a result of manufacturing problems.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Although we continuously enhance our manufacturing capabilities and efficiency, from time to time we have experienced production difficulties that have caused delivery delays and quality control problems. Manufacturing issues we may face include difficulties in upgrading or expanding existing facilities; unexpected breakdowns in our manufacturing equipment and/or related facility systems; unexpected events, such as an electricity outage, affecting the manufacturing process;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Over-demand for our foundry services and/or products may result in bottlenecks in production lines and a loss of customers and revenues, which may adversely affect our profitability and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periods during which demand for our foundry services exceeds our capacity and manufacturing capabilities, we may (i) be unable to fulfill customer demand in whole or in part, in a timely manner or at all; (ii) be unable to assure production of customers’ next generation products; (iii) experience bottlenecks in production lines, which may cause the fabrication facility to slow down and/or halt operations; (iv) be unable to provide additional capacity from any of our worldwide facilities through the transfer of process technologies, successful implementation and timely qualification; and/or (v) be unable to timely and successfully ramp up the manufacturing capacity in the fabrication facility being established by ST in Agrate, Italy due to delays in supply of equipment and/or parts by vendors, delays in equipment installation and qualification schedule, and/or delays in technology transfer and/or new products’ qualifications. As a result, we could lose one or more of our current and/or potential customers, which may adversely affect our reputation, revenues, profitability and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we do not maintain and develop our technology processes and services, we may lose customers and may be unable to attract new ones.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semiconductor market is characterized by rapid change, including rapid technological developments, evolving industry standards, changes in customer and product end user requirements, frequent new product introductions and enhancements, and short product life cycles with declining prices as products mature. Our ability to maintain our current customer base and attract new customers is dependent in part on our ability to continuously develop and produce advanced specialized manufacturing process technologies and purchase the appropriate equipment. If we are unable to successfully develop and produce these processes in a timely manner or at all, or if we are unable to purchase the appropriate equipment required for such processes, we may be unable to maintain our current customer base and may be unable to attract new customers.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The semiconductor foundry business is highly competitive and our competitors may have competitive advantages over us.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Many of our competitors may have one or more of the following competitive advantages over us: greater manufacturing capacity and/or availability of same; a more diverse and established customer base; greater financial, sales, marketing, distribution and other resources; governmental funding or support; better cost structure; and/or better operational performance, including cycle time and yields. If we do not compete successfully, our business and financial results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or IDMs, that allocate a portion of their manufacturing capacity to foundry operations. 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we are unable to successfully locate and negotiate with third-party buyers for the sale of any excess and/or unused equipment and/or manufacturing facility, our financial results may be harmed.</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may decide to stop developing certain product technology lines or wind down or cease manufacturing at a fabrication facility due to company strategy, low margins, low utilization or low customer demand. This results in unused equipment that no longer supports our customers’ needs and may be sold to third-party buyers. We also have obsolete or unutilized equipment from time to time which we may sell. If we are unable to successfully locate and negotiate with potential buyers and sell the excess equipment and/or manufacturing facility in a timely manner for satisfactory consideration, we may be unable to cover our fixed and other costs associated with such decision, which may have a negative effect on our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financial results may fluctuate from quarter to quarter, making it difficult to forecast our future performance.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revenues, expenses and operating results may fluctuate significantly from quarter to quarter due to a number of factors which may be beyond our control. These factors include, among others: the cyclical nature of the semiconductor industry and the volatility of the markets served by our customers; changes in the economic conditions of geographical regions where our customers and their markets are located;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the regulatory or other payment difficulties that may be imposed in a region in which customers reside;  the occurrence of an unexpected event, such as environmental events, an epidemic or pandemic (such as COVID-19), industrial accidents such as fire or explosions, electricity outage, affecting the manufacturing process and shipping quality products without charging our customers significant additional costs; the timing and volume of orders from customers;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products; our ability to maintain existing partners and customers; interest, price index and currency rate fluctuations that were not hedged; and changes in accounting rules affecting our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Due to these factors and risks, it is difficult to predict our future performance and any difference between future performance and initial expectations may ultimately negatively affect our operating results and financial position.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val="false"/>
          <w:i w:val="false"/>
          <w:caps w:val="false"/>
          <w:smallCaps w:val="false"/>
          <w:color w:val="000000"/>
          <w:sz w:val="22"/>
        </w:rPr>
      </w:pPr>
      <w:r>
        <w:rPr>
          <w:rFonts w:ascii="Times New Roman;Times;serif" w:hAnsi="Times New Roman;Times;serif"/>
          <w:b/>
          <w:i/>
          <w:caps w:val="false"/>
          <w:smallCaps w:val="false"/>
          <w:color w:val="000000"/>
          <w:sz w:val="20"/>
        </w:rPr>
        <w:t>We may be required to obtain financing for capacity acquisition related transactions, strategic and/or other growth or M&amp;A opportunities, which we may not be able to obtain</w:t>
      </w:r>
      <w:r>
        <w:rPr>
          <w:rFonts w:ascii="Times New Roman;Times;serif" w:hAnsi="Times New Roman;Times;serif"/>
          <w:b w:val="false"/>
          <w:i w:val="false"/>
          <w:caps w:val="false"/>
          <w:smallCaps w:val="false"/>
          <w:color w:val="000000"/>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order to invest in strategic opportunities in support of our acquisition and capacity growth plans and/or business development activities, or a joint partnership or another large transaction to expand our capacity, including the funding of the equipment for the fabrication facility being established by ST in Agrate, Italy, acquiring leased assets and/ or acquiring additional fabs and/ or capacity through other capacity acquisition related transactions, we may use our current cash balance, deposits and/or investments in marketable securities or may be required to secure additional funds from financing sources, including through public or private offerings of equity and/or debt and/or re-financing or other financing alternatives. The timing, terms, size and pricing of any future fundraising would be subject to the then-prevailing capital market conditions and our business and financial situation, as well as the need to obtain certain regulatory and other consents. Further, inflation and rising interest rates across the global economy have resulted in, and may continue to result in, significant disruption of global financial markets, which may reduce and/ or prevent the ability to execute fundraising transactions and may result in less favorable financial terms, such as increased financing costs and/ or higher shareholders’ dilution. There is no assurance that we will be able to obtain sufficient funding, if at all, from these financing sources or other sources in a timely manner (or on commercially reasonable terms) for such purposes or that we will obtain the required approvals to execute fundraising activities and that such fundraising activities will be successful.  If approvals are not obtained and/or such fundraising activities are not successful, our financial position and operations may be adversely affected.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we do not maintain our current key customers, and/or do not attract new key customers, our business and profitability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2022, 14% of our revenues were generated from NTCJ and 33% of our revenues were derived from an additional five customers, each of which generated between 4% to 9% of our revenues, and the remaining 53% of our revenues were derived from many other smaller customers, as compared to 21% </w:t>
      </w:r>
      <w:r>
        <w:rPr>
          <w:rFonts w:ascii="Times New Roman;Times;serif" w:hAnsi="Times New Roman;Times;serif"/>
          <w:b w:val="false"/>
          <w:i w:val="false"/>
          <w:caps w:val="false"/>
          <w:smallCaps w:val="false"/>
          <w:sz w:val="20"/>
        </w:rPr>
        <w:t xml:space="preserve">of our revenues derived </w:t>
      </w:r>
      <w:r>
        <w:rPr>
          <w:rFonts w:ascii="Times New Roman;Times;serif" w:hAnsi="Times New Roman;Times;serif"/>
          <w:b w:val="false"/>
          <w:i w:val="false"/>
          <w:caps w:val="false"/>
          <w:smallCaps w:val="false"/>
          <w:color w:val="000000"/>
          <w:sz w:val="20"/>
        </w:rPr>
        <w:t xml:space="preserve">from NTCJ,  and 33% </w:t>
      </w:r>
      <w:r>
        <w:rPr>
          <w:rFonts w:ascii="Times New Roman;Times;serif" w:hAnsi="Times New Roman;Times;serif"/>
          <w:b w:val="false"/>
          <w:i w:val="false"/>
          <w:caps w:val="false"/>
          <w:smallCaps w:val="false"/>
          <w:sz w:val="20"/>
        </w:rPr>
        <w:t xml:space="preserve">of our revenues </w:t>
      </w:r>
      <w:r>
        <w:rPr>
          <w:rFonts w:ascii="Times New Roman;Times;serif" w:hAnsi="Times New Roman;Times;serif"/>
          <w:b w:val="false"/>
          <w:i w:val="false"/>
          <w:caps w:val="false"/>
          <w:smallCaps w:val="false"/>
          <w:color w:val="000000"/>
          <w:sz w:val="20"/>
        </w:rPr>
        <w:t>derived from an additional five customers, each of which generated between 4% to 13% of our revenues, and the remaining 46% of our revenues derived from many other smaller customers for the year ended December 31, 2021. While we renegotiate the terms of our commercial agreements from time to time with our customers, there is no assurance as to the financial impact of any revised terms between us and our customers or the volume of orders they may continue to place based on any revised terms. The loss or reduction in volume or sales price to any of our key customers, whether due to business negotiation, termination or expiration of their signed contract(s), the lack of demand in their markets, their insolvency or their unwillingness or inability to perform their obligations under their respective relationships with us, or our inability to renew our engagements with them on commercially reasonable terms, produce their new products, fulfill their demand, or, alternatively, attract new customers to replace such lost business, may materially negatively impact our overall business, revenues and profitability.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relating to Fab 3 lease could harm business, operations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NPB Co. operates our Fab 3 fabrication facility and its offices under a lease contract that was initially in effect until March 2022 and included an option, at NPB Co.’s sole discretion, to extend the lease for an additional five year period, which it elected to exercise for the lease to continue through March 2027. A few years ago, the landlord began a construction project adjacent to the fabrication facility, which may adversely impact the Fab 3 operations, including temporary reductions or interruptions in the supply of utilities to the property, and a portion or all of the fabrication facility may need to be idled temporarily during development, which may adversely affect the business, operations and future financial results. In addition,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Any adverse change to the current lease agreement may adversely impact the business, operations and future financial results.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Certain effects of the COVID-19 pandemic may hurt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full extent to which the COVID-19 pandemic may adversely affect our revenue, business and financial results will depend on future developments that are highly uncertain. Although the general global conditions surrounding the pandemic have been improving, if conditions should instead begin to worsen, we may face a shortage of supply of raw materials, equipment tools and services, potential reduced attendance of employees and service providers to our facilities and offices and potential reductions in customer orders or pricing due to any related or resulting global economic downturn, which may adversely affect our business and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financial results may be adversely affected if we are unable to operate our facilities at satisfactory utilization rates necessary to generate and maintain positive and sustainable gross, operating and net profits.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is common in our industry, a large portion of our total costs is comprised of fixed costs, associated mainly with our manufacturing facilities, while our variable costs are relatively small. Therefore, while during periods when our facilities manufacture at high utilization rates we are able to cover our costs, at times when the utilization rate is low, the reduced revenues may not cover all of the costs since a large portion are fixed costs which remain constant, irrespective of the number of wafers manufactured.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fabs’ production performance metrics and business could be significantly harmed by natural disasters, particularly earthquakes, and fires.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fabs in Israel, southern California and Japan are located in areas which are generally susceptible to seismic activity. Due to the complex and delicate nature of our manufacturing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manufacturing processes and are therefore subject to risk arising from fire, which cannot be completely eliminated.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damage resulting from earthquakes, other natural disasters and fires could seriously disrupt production, cause a loss of wafers in production, deterioration of our fab yield and substantial downtime to reset equipment before resuming production, which could cause a material adverse effect on our business, revenue and profits. Although we maintain insurance policies to mitigate any potential losses that may be caused by earthquakes, other natural disasters and fires, including business interruption insurance, our insurance coverage may not compensate us fully for all of the losses we may incur.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Possible product returns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Products manufactured by us may be returned within specified periods if they are defective or otherwise fail to meet prior agreed upon specifications. Future product returns may have an adverse effect on our business and financial results.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are subject to risks related to our international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generate revenues from customers located in the US, Europe and Asia-Pacific. Because of our international operations, we are vulnerable to the following risks: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 w:name="z71a5588bd9b84d48acaf28aa32779da7"/>
      <w:bookmarkStart w:id="25" w:name="z71a5588bd9b84d48acaf28aa32779da7"/>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JPY and NIS fluctuations against the USD -- see the risk factor below entitled: “Our exposure to currency exchange and interest rate fluctuations may impact our costs and financial results”;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 w:name="z30bd74ada5004d40835a440b4309e36d"/>
      <w:bookmarkStart w:id="27" w:name="z30bd74ada5004d40835a440b4309e36d"/>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burden and cost of compliance with foreign government regulation, as well as compliance with a variety of foreign laws, and the imposition of regulatory requirements, tariffs, import and export restrictions and other trade barriers and restrictions, including the timing and availability of export licenses and permits;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 w:name="z10734bfa64db4a0d90311cb09971a0d9"/>
      <w:bookmarkStart w:id="29" w:name="z10734bfa64db4a0d90311cb09971a0d9"/>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general geopolitical risks, such as political and economic instability, international terrorism, potential hostilities and changes in diplomatic and trade relationships;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 w:name="z122b62ea9d8e4726826fb377f19b8b44"/>
      <w:bookmarkStart w:id="31" w:name="z122b62ea9d8e4726826fb377f19b8b44"/>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adverse foreign and international tax rules and regulations, such as withholding taxes deducted from amounts due to us and not refunded to us by the tax authorities since we are not entitled to foreign tax credit in Israel;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 w:name="z9c046347e4694e6f90e451786542702c"/>
      <w:bookmarkStart w:id="33" w:name="z9c046347e4694e6f90e451786542702c"/>
      <w:bookmarkEnd w:id="33"/>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34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weak protection of our intellectual property rights in certain foreign countries;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4" w:name="z2f279bf4f1fa41e6b01fedc63ed94859"/>
      <w:bookmarkStart w:id="35" w:name="z2f279bf4f1fa41e6b01fedc63ed94859"/>
      <w:bookmarkEnd w:id="35"/>
    </w:p>
    <w:tbl>
      <w:tblPr>
        <w:tblW w:w="5928" w:type="dxa"/>
        <w:jc w:val="left"/>
        <w:tblInd w:w="0" w:type="dxa"/>
        <w:tblLayout w:type="fixed"/>
        <w:tblCellMar>
          <w:top w:w="0" w:type="dxa"/>
          <w:left w:w="0" w:type="dxa"/>
          <w:bottom w:w="0" w:type="dxa"/>
          <w:right w:w="0" w:type="dxa"/>
        </w:tblCellMar>
      </w:tblPr>
      <w:tblGrid>
        <w:gridCol w:w="38"/>
        <w:gridCol w:w="110"/>
        <w:gridCol w:w="5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78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delays in product shipments due to local customs restrictions;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6" w:name="z0c7659db7f9c46f8b3d653cab323ec4f"/>
      <w:bookmarkStart w:id="37" w:name="z0c7659db7f9c46f8b3d653cab323ec4f"/>
      <w:bookmarkEnd w:id="37"/>
    </w:p>
    <w:tbl>
      <w:tblPr>
        <w:tblW w:w="5253" w:type="dxa"/>
        <w:jc w:val="left"/>
        <w:tblInd w:w="0" w:type="dxa"/>
        <w:tblLayout w:type="fixed"/>
        <w:tblCellMar>
          <w:top w:w="0" w:type="dxa"/>
          <w:left w:w="0" w:type="dxa"/>
          <w:bottom w:w="0" w:type="dxa"/>
          <w:right w:w="0" w:type="dxa"/>
        </w:tblCellMar>
      </w:tblPr>
      <w:tblGrid>
        <w:gridCol w:w="38"/>
        <w:gridCol w:w="110"/>
        <w:gridCol w:w="5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10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laws and business practices favoring local companies;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8" w:name="z2c9d54793096416bb8eec4401943ed3b"/>
      <w:bookmarkStart w:id="39" w:name="z2c9d54793096416bb8eec4401943ed3b"/>
      <w:bookmarkEnd w:id="39"/>
    </w:p>
    <w:tbl>
      <w:tblPr>
        <w:tblW w:w="4758" w:type="dxa"/>
        <w:jc w:val="left"/>
        <w:tblInd w:w="0" w:type="dxa"/>
        <w:tblLayout w:type="fixed"/>
        <w:tblCellMar>
          <w:top w:w="0" w:type="dxa"/>
          <w:left w:w="0" w:type="dxa"/>
          <w:bottom w:w="0" w:type="dxa"/>
          <w:right w:w="0" w:type="dxa"/>
        </w:tblCellMar>
      </w:tblPr>
      <w:tblGrid>
        <w:gridCol w:w="38"/>
        <w:gridCol w:w="110"/>
        <w:gridCol w:w="4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61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difficulties in collecting accounts receivable;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0" w:name="z625a747d7ae24930b9724ef92dad2969"/>
      <w:bookmarkStart w:id="41" w:name="z625a747d7ae24930b9724ef92dad2969"/>
      <w:bookmarkEnd w:id="41"/>
    </w:p>
    <w:tbl>
      <w:tblPr>
        <w:tblW w:w="6348" w:type="dxa"/>
        <w:jc w:val="left"/>
        <w:tblInd w:w="0" w:type="dxa"/>
        <w:tblLayout w:type="fixed"/>
        <w:tblCellMar>
          <w:top w:w="0" w:type="dxa"/>
          <w:left w:w="0" w:type="dxa"/>
          <w:bottom w:w="0" w:type="dxa"/>
          <w:right w:w="0" w:type="dxa"/>
        </w:tblCellMar>
      </w:tblPr>
      <w:tblGrid>
        <w:gridCol w:w="38"/>
        <w:gridCol w:w="110"/>
        <w:gridCol w:w="6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0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difficulties and costs of staffing and managing foreign operations.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The production lines of our fabs may stop for certain periods of time due to power outages, water leaks, chemical leaks, supply chain or other issues.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many events that may occur which may adversely affect the manufacturing process in our manufacturing facilities. From time to time, we experience high utilization rates in certain of our manufacturing lines and/or areas, which cause bottlenecks in production lines that may adversely affect our cycle time, yield and delivery schedule. A power outage, even of very limited duration, and/or water leaks, chemical leaks, shortage of parts or other materials which are required for our supply chain or other issues, may result in a loss of wafers in production, deterioration of our fab yield, cycle time and substantial downtime to reset equipment before resuming production, thereby potentially causing an immediate loss of revenue and profitability in a particular period.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affected customers may elect to transfer their product orders to other fabs. While we try to mitigate any potential damage caused by such events and have insurance coverage, which may compensate us partially or fully against certain types of damages, we cannot ensure that such events will not have a negative effect on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financial position and operations may be affected as a result of our long-term debt.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we had approximately $272 million of consolidated principal amount of debt outstanding, comprised as follows: (1) Tower had approximately $19 million outstanding principal amount of Series G debentures, which we repaid in full (principal and interest) on March 31, 2023; (2) TPSCo had loans of approximately $83 million principal amount (the “JP Loan”), carrying a fixed interest rate of approximately 2% per annum, with principal scheduled to be repaid in seven semiannual payments between 2024 and 2027; (3) Tower and its affiliates had capital lease agreements outstanding in the amount of approximately $110 million from JA Mitsui Leasing, repayable between 2023 and 2026; and (4) Tower and its affiliates had other capital and operating leases in the amount of approximately $60 million repayable between 2023 and 2032. Carrying such an amount of long-term debt may have negative consequences on our business,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2" w:name="z425ede158cf44bcaa33172e89288b599"/>
      <w:bookmarkStart w:id="43" w:name="z425ede158cf44bcaa33172e89288b599"/>
      <w:bookmarkEnd w:id="43"/>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2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limiting our ability to fulfill our debt obligations and other liabilities;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4" w:name="z9da89fda706d409eb0e0adc7918a6ace"/>
      <w:bookmarkStart w:id="45" w:name="z9da89fda706d409eb0e0adc7918a6ace"/>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requiring the use of a portion of our cash to service our indebtedness rather than investing our cash to fund our strategic growth opportunities and plans, working capital and capital expenditures;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6" w:name="z09363175e4684f939df23f8b21b98e40"/>
      <w:bookmarkStart w:id="47" w:name="z09363175e4684f939df23f8b21b98e40"/>
      <w:bookmarkEnd w:id="47"/>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93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increasing our vulnerability to adverse economic and industry conditions;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8" w:name="z9233b2c92c6d496baa8ca5c8736b3776"/>
      <w:bookmarkStart w:id="49" w:name="z9233b2c92c6d496baa8ca5c8736b3776"/>
      <w:bookmarkEnd w:id="49"/>
    </w:p>
    <w:tbl>
      <w:tblPr>
        <w:tblW w:w="4803" w:type="dxa"/>
        <w:jc w:val="left"/>
        <w:tblInd w:w="0" w:type="dxa"/>
        <w:tblLayout w:type="fixed"/>
        <w:tblCellMar>
          <w:top w:w="0" w:type="dxa"/>
          <w:left w:w="0" w:type="dxa"/>
          <w:bottom w:w="0" w:type="dxa"/>
          <w:right w:w="0" w:type="dxa"/>
        </w:tblCellMar>
      </w:tblPr>
      <w:tblGrid>
        <w:gridCol w:w="38"/>
        <w:gridCol w:w="110"/>
        <w:gridCol w:w="4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limiting our ability to obtain additional financing;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 w:name="z8988314d5e39406fbbf3931bf1d28105"/>
      <w:bookmarkStart w:id="51" w:name="z8988314d5e39406fbbf3931bf1d28105"/>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limiting our flexibility in planning for, or reacting to, changes in our business and the industry in which we compete;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 w:name="zc535954c8df74e518cc5c1db37afd817"/>
      <w:bookmarkStart w:id="53" w:name="zc535954c8df74e518cc5c1db37afd817"/>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placing us at a competitive disadvantage with respect to less leveraged competitors and competitors that have better access to capital resources;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 w:name="z17de3744165844238ad64388720e3b31"/>
      <w:bookmarkStart w:id="55" w:name="z17de3744165844238ad64388720e3b31"/>
      <w:bookmarkEnd w:id="55"/>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volatility in our non-cash financing expenses due to increases in the fair value of our debt obligations;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6" w:name="z537b10e2b64140c2868f64c4958c6a20"/>
      <w:bookmarkStart w:id="57" w:name="z537b10e2b64140c2868f64c4958c6a20"/>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fluctuations of the payable amounts in USD of the JP Loan, JP leases or other expenses which are denominated in JPY;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8" w:name="z7ae860a85614412c95d63b3b888982bd"/>
      <w:bookmarkStart w:id="59" w:name="z7ae860a85614412c95d63b3b888982bd"/>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potential enforcement by the lenders of their liens against our respective assets, as applicable, if an event of default occurs.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order to service our debt, the applicable interest it carries and other liabilities and obligations and/or improve its terms and conditions and/or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If we are unable to manage fluctuations in cash flow, our business and financial position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0" w:name="zce871fc8786e451f99a2d0c2390ab1e1"/>
      <w:bookmarkStart w:id="61" w:name="zce871fc8786e451f99a2d0c2390ab1e1"/>
      <w:bookmarkEnd w:id="61"/>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5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fluctuations in the level of revenues from our operating activities;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 w:name="zedddf4b2f78644149160cad9f87bccfc"/>
      <w:bookmarkStart w:id="63" w:name="zedddf4b2f78644149160cad9f87bccfc"/>
      <w:bookmarkEnd w:id="63"/>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1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fluctuations in the collection of receivables;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4" w:name="z35afd2582d0d4022bb2e273126a06b24"/>
      <w:bookmarkStart w:id="65" w:name="z35afd2582d0d4022bb2e273126a06b24"/>
      <w:bookmarkEnd w:id="65"/>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6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timing and size of payables;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61da907149b54141bd268f51e23e7255"/>
      <w:bookmarkStart w:id="67" w:name="z61da907149b54141bd268f51e23e7255"/>
      <w:bookmarkEnd w:id="67"/>
    </w:p>
    <w:tbl>
      <w:tblPr>
        <w:tblW w:w="4203" w:type="dxa"/>
        <w:jc w:val="left"/>
        <w:tblInd w:w="0" w:type="dxa"/>
        <w:tblLayout w:type="fixed"/>
        <w:tblCellMar>
          <w:top w:w="0" w:type="dxa"/>
          <w:left w:w="0" w:type="dxa"/>
          <w:bottom w:w="0" w:type="dxa"/>
          <w:right w:w="0" w:type="dxa"/>
        </w:tblCellMar>
      </w:tblPr>
      <w:tblGrid>
        <w:gridCol w:w="38"/>
        <w:gridCol w:w="110"/>
        <w:gridCol w:w="4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timing and size of capital expenditures;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8" w:name="zfe3e586a152c42148cec01cf97ae4445"/>
      <w:bookmarkStart w:id="69" w:name="zfe3e586a152c42148cec01cf97ae4445"/>
      <w:bookmarkEnd w:id="69"/>
    </w:p>
    <w:tbl>
      <w:tblPr>
        <w:tblW w:w="7248" w:type="dxa"/>
        <w:jc w:val="left"/>
        <w:tblInd w:w="0" w:type="dxa"/>
        <w:tblLayout w:type="fixed"/>
        <w:tblCellMar>
          <w:top w:w="0" w:type="dxa"/>
          <w:left w:w="0" w:type="dxa"/>
          <w:bottom w:w="0" w:type="dxa"/>
          <w:right w:w="0" w:type="dxa"/>
        </w:tblCellMar>
      </w:tblPr>
      <w:tblGrid>
        <w:gridCol w:w="38"/>
        <w:gridCol w:w="110"/>
        <w:gridCol w:w="7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10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net impact of JPY/ USD fluctuations on our JPY income and JPY cost;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0" w:name="zfeb06d9ca4a04ed3820fca6cbc20e1bf"/>
      <w:bookmarkStart w:id="71" w:name="zfeb06d9ca4a04ed3820fca6cbc20e1bf"/>
      <w:bookmarkEnd w:id="71"/>
    </w:p>
    <w:tbl>
      <w:tblPr>
        <w:tblW w:w="6588" w:type="dxa"/>
        <w:jc w:val="left"/>
        <w:tblInd w:w="0" w:type="dxa"/>
        <w:tblLayout w:type="fixed"/>
        <w:tblCellMar>
          <w:top w:w="0" w:type="dxa"/>
          <w:left w:w="0" w:type="dxa"/>
          <w:bottom w:w="0" w:type="dxa"/>
          <w:right w:w="0" w:type="dxa"/>
        </w:tblCellMar>
      </w:tblPr>
      <w:tblGrid>
        <w:gridCol w:w="38"/>
        <w:gridCol w:w="110"/>
        <w:gridCol w:w="64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4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impact of capital market conditions on our marketable securities;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2" w:name="z8b33839442f947138f9d779a468f8aa3"/>
      <w:bookmarkStart w:id="73" w:name="z8b33839442f947138f9d779a468f8aa3"/>
      <w:bookmarkEnd w:id="73"/>
    </w:p>
    <w:tbl>
      <w:tblPr>
        <w:tblW w:w="5463" w:type="dxa"/>
        <w:jc w:val="left"/>
        <w:tblInd w:w="0" w:type="dxa"/>
        <w:tblLayout w:type="fixed"/>
        <w:tblCellMar>
          <w:top w:w="0" w:type="dxa"/>
          <w:left w:w="0" w:type="dxa"/>
          <w:bottom w:w="0" w:type="dxa"/>
          <w:right w:w="0" w:type="dxa"/>
        </w:tblCellMar>
      </w:tblPr>
      <w:tblGrid>
        <w:gridCol w:w="38"/>
        <w:gridCol w:w="110"/>
        <w:gridCol w:w="53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3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repayment schedules of our debt service obligations;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4" w:name="zc731268093574786baf641de3099d358"/>
      <w:bookmarkStart w:id="75" w:name="zc731268093574786baf641de3099d358"/>
      <w:bookmarkEnd w:id="75"/>
    </w:p>
    <w:tbl>
      <w:tblPr>
        <w:tblW w:w="8793" w:type="dxa"/>
        <w:jc w:val="left"/>
        <w:tblInd w:w="0" w:type="dxa"/>
        <w:tblLayout w:type="fixed"/>
        <w:tblCellMar>
          <w:top w:w="0" w:type="dxa"/>
          <w:left w:w="0" w:type="dxa"/>
          <w:bottom w:w="0" w:type="dxa"/>
          <w:right w:w="0" w:type="dxa"/>
        </w:tblCellMar>
      </w:tblPr>
      <w:tblGrid>
        <w:gridCol w:w="38"/>
        <w:gridCol w:w="110"/>
        <w:gridCol w:w="86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64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our ability to fulfill our obligations and meet performance milestones under our agreements;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6" w:name="z261c8e9c5a1543cab2e4f727ba2fa78d"/>
      <w:bookmarkStart w:id="77" w:name="z261c8e9c5a1543cab2e4f727ba2fa78d"/>
      <w:bookmarkEnd w:id="77"/>
    </w:p>
    <w:tbl>
      <w:tblPr>
        <w:tblW w:w="4938" w:type="dxa"/>
        <w:jc w:val="left"/>
        <w:tblInd w:w="0" w:type="dxa"/>
        <w:tblLayout w:type="fixed"/>
        <w:tblCellMar>
          <w:top w:w="0" w:type="dxa"/>
          <w:left w:w="0" w:type="dxa"/>
          <w:bottom w:w="0" w:type="dxa"/>
          <w:right w:w="0" w:type="dxa"/>
        </w:tblCellMar>
      </w:tblPr>
      <w:tblGrid>
        <w:gridCol w:w="38"/>
        <w:gridCol w:w="110"/>
        <w:gridCol w:w="4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9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fluctuations in the USD to NIS exchange rate;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8" w:name="zb72274d470d443f6858dbed4671a93b1"/>
      <w:bookmarkStart w:id="79" w:name="zb72274d470d443f6858dbed4671a93b1"/>
      <w:bookmarkEnd w:id="79"/>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inflation rates in Israel, Japan and the United States.</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business could suffer if we are unable to retain and recruit qualified personnel.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do not typically operate with any significant backlog, which makes it difficult for us to forecast our revenues and margins in future periods.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Because we may manufacture wafers based on forecasted demand, rather than actual orders from customers, we may be left with excess inventory.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target manufacturing wafers in an amount matching each customer’s specific purchase order; however,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sales cycles are typically long, and orders ultimately received may not meet our expectations, which may adversely affect our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sales cycles, which we measure from first contact with a customer to first shipment of a product ordered, vary substantially and may last longer than two years,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actually manufactured, which may adversely affect our operating results and financial condition.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If we are unable to purchase equipment and/or raw materials and other manufacturing supplies, or there are delays in the delivery thereof, we may not be able to manufacture our products in a timely fashion. If we must purchase raw materials beyond our needs as required under committed vendor contracts, we may need to amortize or write  such purchases off, which may adversely impact our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potentially delaying the manufacture of our products. There may be delays in the delivery of equipment and/or raw materials and other manufacturing supplies to us, which in turn may harm our capacity increase plans and/ or utilization, qualification and production.  In addition, our manufacturing processes use many raw materials, including silicon wafers, chemicals, gases and various metals as well as other manufacturing supplies and require large amounts of fresh water and electricity. Shortages in supplies of manufacturing equipment, raw materials and other manufacturing supplies could occur for various reasons, including an interruption of supply due to a global pandemic or increased industry demand. Any such shortage or delay in delivery could result in production delays that may result in a loss of existing and/or potential new customers and/or a halt of the manufacturing lines, which may have a material adverse effect on our business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although most of the raw materials used in our manufacturing processes are available from multiple suppliers, certain materials are purchased through sole-sourced vendors under pre-committed volume contracts for specified pre-defined quantities that must be purchased on a monthly, quarterly or annual basis. If such predefined quantities are not required for production when purchased, this may result in excess payment and/ or expenses write-off in the financial statements which may adversely impact our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exposure to currency exchange and interest rate fluctuations may impact our costs and financial results.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our fabs in three different regions: Japan, the United States and Israel. In addition, we have initial activities in Italy related to a new fabrication facility that is being established by ST in Agrate, Italy. The functional currency of the entities operating the fabs in the United States, Israel and Italy is the USD. The functional currency of our subsidiary in Japan is the JPY. Our income, costs, assets and liabilities, are denominated mainly in USD, JPY and NIS, our revenues are denominated mainly in USD and JPY and our cash from operations, investing and financing activities are denominated mainly in USD, JPY and NIS. We are, therefore, exposed to the risk of JPY and NIS currencies’ exchange rate fluctuations in Japan and Israel which may have a material effect on our cost and financial results due to periodic revaluation or evaluation of assets, liabilities, cost and income, in these currencies.  As the establishment of the facility in Italy progresses, we will be further exposed to the Euro exchange rate fluctuations in relation to the USD regarding cost denominated in Euro.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USD cost of our operations in Israel is influenced by changes in the USD-to-NIS exchange rate with respect to costs that are denominated in NIS. Appreciation of the NIS against the USD has the effect of increasing the cost of some of our Israeli purchases and NIS-denominated labor costs in USD terms, which may lead to erosion in our profit margins. We use foreign currency transactions to partially hedge a portion, but not all of this currency exposure, to be contained within a pre-defined fixed range.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majority of TPSCo’s revenues are denominated in JPY and the majority of the expenses of TPSCo are in JPY, which limits the exposure to fluctuations of the USD / JPY exchange rate on TPSCo’s results of operations as the impact on the revenues is mostly offset by the impact on the expenses. In order to mitigate a portion of the net exposure to the USD / JPY exchange rate over the net profit margins, we have entered into hedging transactions which partially hedge our exposure to the currencies’ fluctuation to be contained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currency exchange fluctuations, if any of TPSCo’s banks incur increased costs in financing a credit facility due to changes in law or the unavailability of foreign currency, such bank may exercise its right to increase the interest rate on the credit facility or require us to bear such increased cost as provided for in the applicable credit facility agreement.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depend on intellectual property to succeed in our business, including intellectual property owned by us as well as intellectual property of third parties.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depend on intellectual property in order to provide certain foundry services and design support to our customers. The process of applying for patents to obtain patent protection may take a long time.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also be a party to infringement claims in the future. In the event any third party were to assert infringement claims against us or our customers, we may have to consider alternatives including, but not limited to:</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0" w:name="z3b600ecb0cfc46ff94a8ec2576c5f219"/>
      <w:bookmarkStart w:id="81" w:name="z3b600ecb0cfc46ff94a8ec2576c5f219"/>
      <w:bookmarkEnd w:id="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attempting to negotiate cross-license agreements, which we might not succeed in negotiating or consummating;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2" w:name="z785ddf57dd6d41789ea1238478731dd8"/>
      <w:bookmarkStart w:id="83" w:name="z785ddf57dd6d41789ea1238478731dd8"/>
      <w:bookmarkEnd w:id="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acquiring licenses to the allegedly infringed patents, which may not be available on commercially reasonable terms, if at all;</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4" w:name="z9f4158e2c19b4e0a9329280f2e628d65"/>
      <w:bookmarkStart w:id="85" w:name="z9f4158e2c19b4e0a9329280f2e628d65"/>
      <w:bookmarkEnd w:id="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discontinuing use of certain process technologies, architectures, or designs, which could cause us to stop manufacturing certain integrated circuits if we are unable to design around the allegedly infringed patents;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6" w:name="z229c4420c8154fdbbcb7c3dc8bc4d265"/>
      <w:bookmarkStart w:id="87" w:name="z229c4420c8154fdbbcb7c3dc8bc4d265"/>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litigating the matter in court, which may result in substantial legal fees and paying substantial monetary damages in the event we lose; or</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8" w:name="ze842aac5eb9347d09cb73c9291174441"/>
      <w:bookmarkStart w:id="89" w:name="ze842aac5eb9347d09cb73c9291174441"/>
      <w:bookmarkEnd w:id="89"/>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1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developing non-infringing technologies, which may not be feasible.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one or several of these alternatives may place substantial financial and other burdens on us and hinder our business. If we fail to obtain certain licenses or if we are involved in litigation relating to alleged patent infringement or other intellectual property matters, it may prevent us from manufacturing particular products or using particular technologies, which may adversely impact our business and revenues.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From time to time, we are a party to litigation that may require management time and effort.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are a party to litigation incidental to the conduct of our ongoing business, including class actions, disputes with customers, suppliers, landlords, or other third parties. Litigation requires a certain amount of management time and effort which may adversely affect our business by diverting management focus from business needs.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could be harmed by failure to comply with environmental regulations.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is subject to a variety of laws and governmental regulations in Israel, the U.S., Japan and Italy relating to the use, discharge and disposal of toxic or otherwise hazardous materials used in our factories. If we fail to use, discharge or dispose of hazardous materials appropriately in accordance with applicable environmental laws or regulations, or if such laws change in the future, we may be subject to substantial liability or may be required to suspend or significantly modify our manufacturing operations, which may adversely impact our business and revenues.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Our business strategy is premised on the increasing use of outsourced foundry services by both fabless semiconductor companies and integrated device manufacturers on specialty process technologies, which may change in the future.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our assumption does not prove applicable, our business and financial results may be adversely impacted.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we are unable to collaborate successfully with electronic design automation vendors and third-party design service companies to meet our customers’ design needs, our business may be harmed.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established relationships with electronic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Compliance with existing or future governmental regulations may reduce our sales or increase our manufacturing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export of semiconductors that we manufacture may be subject to U.S., Israeli and/or Japanese export control and other regulations established by other countries. Compliance with existing or evolving U.S., Israeli, Japanese or other applicable governmental regulations (including Italian regulations, once our fabrication facility in Italy is established and commences operations) or obtaining timely domestic or foreign regulatory approvals or certificates may materially disrupt our business by reducing our sales, requiring extensive modifications to processes that we use in our product manufacturing, which could increase our manufacturing costs or require extensive modifications to our customers’ products. We may not export products using or incorporating controlled technology without obtaining an export license, which may not always be granted. These restrictions may make foreign competitors facing less stringent controls on the export of their products more competitive in the global market. The relevant government may not approve any pending or future export license requests.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certain of the integrated circuits we manufacture are defective and integrated into products, we may be subject to product liability claims or other claims which could damage our reputation and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 workforce that is unionized may have an adverse impact on our manufacturing costs as well as on our operations by potential work stoppages, strikes or other collective actions which may disrupt the fabs’ production and adversely affect the fabs’ performance and our operational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Significant portions of the employees at Fab 3 (our Newport Beach, California fab) and at TPSCo’s fabs in Japan are represented by unions and covered by collective bargaining agreements. We cannot predict the effect that union representation or future organizational activities will have on these fabs’ manufacturing cost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their production and adversely affect our fabs’ manufacturing costs, operational performance metrics, and our operational and financial results. In addition, there have been attempts, including recently, by the General Federation of Labor in Israel (“Histadrut”) to organize and establish a representative labor union for our Israeli employees. Under Israeli law, establishing a representative labor union requires that at least one-third of the Israeli employees join the Histadrut and all employees would be liable to pay its membership fees.  While the Histadrut’s attempts have not succeeded to date, if a representative labor union would be established, we would need to conduct negotiations with the representative labor union and the Histadrut with regards to the terms of employment and benefits of the employees, which could result in the incurrence of additional labor costs and/or work stoppages, which in turn could adversely affect our business and Israeli fabs’ operations.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Climate change may negatively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 enacted, such as changes in environmental regulations on the use of per fluorinated compounds, may increase our production costs, which may adversely affect our results of operation and financial condition.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Compliance with US rules and regulations concerning conflict minerals may affect our ability or the ability of our suppliers to purchase raw materials at an effective cost and may adversely affect our business.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It is possible that the SEC under the Biden administration will renew focus on the US conflict minerals rules and other responsible sourcing measures. Any changes effected by the Biden administration concerning the use of conflict minerals could adversely affect the sourcing, availability and pricing of the materials used in the manufacture of our products. In addition, we will likely incur additional costs to comply with any new conflict minerals rules, including costs related to disclosure requirements and conducting diligence procedures to determine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contain minerals not determined to be conflict-free and are unable to alter our products, processes or sources of supply to avoid use of such materials, which may adversely impact our revenue and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Security, cyber and privacy breaches may hurt our business and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Any security breach, including those resulting from a cybersecurity attack </w:t>
      </w:r>
      <w:r>
        <w:rPr>
          <w:rFonts w:ascii="Times New Roman;Times;serif" w:hAnsi="Times New Roman;Times;serif"/>
          <w:b w:val="false"/>
          <w:i w:val="false"/>
          <w:caps w:val="false"/>
          <w:smallCaps w:val="false"/>
          <w:sz w:val="20"/>
        </w:rPr>
        <w:t xml:space="preserve">(such as occurred in September 2020), </w:t>
      </w:r>
      <w:r>
        <w:rPr>
          <w:rFonts w:ascii="Times New Roman;Times;serif" w:hAnsi="Times New Roman;Times;serif"/>
          <w:b w:val="false"/>
          <w:i w:val="false"/>
          <w:caps w:val="false"/>
          <w:smallCaps w:val="false"/>
          <w:color w:val="000000"/>
          <w:sz w:val="20"/>
        </w:rPr>
        <w:t>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noBreakHyphen/>
        <w:t>party action, employee error, malfeasance or otherwise and, as a result, someone obtains unauthorized access to our, our customers' or any third party’s confidential information, our reputation may be damaged, we may face potential disruption and loss, especially due to the possible substantial damage if operations would not be quickly restored and our business may suffer, and we could incur significant liability.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market’s perception of our security measures may be harmed and we could lose sales and customers as well as incur operational damage to our machines and/or products.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Increased attention to, and evolving expectations for, environmental, social, and governance (“ESG”) initiatives could increase our costs or otherwise adversely impact our reputation, operations, business and/or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Companies across industries are facing increasing focus from a variety of stakeholders related to their ESG and sustainability practices. Expectations regarding voluntary ESG initiatives and disclosures and consumer demand for alternative forms of energy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While we engage in voluntary initiatives (such as disclosures, certifications, or improvement goals, among others) and commitments for improvements in ESG to increase our company’s contribution to society and our environment, such initiatives or achievements of such commitments may be costly and may not have the desired effect. Actions that we may take or statements that we may make based on expectations, assumptions, or third-party information that we currently believe to be reasonable may subsequently be determined to be erroneous or subject to other interpretations. Our current actions may subsequently be determined to be insufficient by various stakeholders, and we may be requested to adjust or improve certain ESG initiatives and/or disclosures.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Certain market participants, including major institutional investors and capital providers, use third-party benchmarks and scores to assess companies’ ESG profiles in making investment or voting decisions. Unfavorable ESG ratings could lead to negative investor sentiment towards us or our industry, which could negatively impact our share price as well as our access to and cost of capital. Increasing ESG-related regulation, such as the SEC’s climate disclosure proposal, may also result in increased compliance costs or scrutiny. To the extent ESG matters negatively impact our reputation, it may also impede our ability to compete effectively to attract and retain employees or customers, which may adversely impact our operations, reputation, business and/or financial condition.</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OUR SECURITIES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Fluctuations in the market price of our traded securities may significantly affect our ability to raise new capital.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equity and debt traded securities, regardless of our actual operating performance.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SEC of quarterly reports on Form 10-Q and current reports on Form 8-K. We intend to furnish quarterly reports to the SEC on Form 6-K for so long as we are subject to the reporting requirements of Section 13(g) or 15(d) of the Exchange Act, although the information we furnish may not be the same as the information that is required in quarterly reports on Form 10-Q for U.S. domestic issuers. Foreign private issuers are also exempt from Regulation FD (Fair Disclosure), aimed at preventing issuers from making selective disclosures of material information. Also, as a foreign private issuer, we are permitted to follow certain home country corporate governance practices instead of those otherwise required under the Listing Rules of the Nasdaq Stock Market for domestic U.S. issuers.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We do not expect to pay any dividends in the foreseeable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intend to retain future earnings and our existing cash balance to finance our growth and acquisition strategy, as well as capacity growth and our ongoing operations, and we do not anticipate paying dividends in the foreseeable future. The Israeli Companies Law, 1999 (the “Companies Law”) imposes restrictions on our ability to declare and pay dividends.  In addition, the Merger Agreement includes restrictions with respect to dividends and other distributions.  Therefore, you should not rely on an investment in our ordinary shares if you require and/or expect dividend income from your investments.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OUR OPERATIONS IN ISRAEL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Instability in Israel may harm our business.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Fab 1 and Fab 2 manufacturing facilities, our design center and certain of our corporate and sales offices are located in Israel. In addition, a number of our officers and directors are residents of Israel. Accordingly, political, economic and military conditions in Israel and the surrounding region may directly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Since the establishment of the State of Israel in 1948, Israel has been subject to armed conflicts with neighboring countries, as well as terrorist activities,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Any hostilities involving Israel or the interruption or curtailment of trade between Israel and its trading partners may adversely affect our operations and make it more difficult for us to do business and raise capital. Furthermore, we could experience serious disruption to our manufacturing in Israel if acts associated with any such conflicts result in any serious damage to such manufacturing facilities. In addition, there may also be protests against or sanctions imposed on the State of Israel which may adversely impact our business. Our business interruption insurance may not adequately compensate us for losses that we may incur, and any losses or damages incurred by us may have a material adverse effect on our business. Furthermore, several countries restrict business with the State of Israel and with Israeli companies, which may have an adverse impact on our operating results and financial condition. In addition, actual or perceived political instability in Israel or any negative changes in the political environment, may individually or in the aggregate adversely affect the Israeli economy and, in turn, our business, financial condition, results of operations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In addition, the Israeli Government recently proposed a broad judicial reform in Israel. In response, individuals, organizations and institutions, both within and outside of Israel, have voiced concerns that the proposed judicial reform, if adopted, may negatively impact the business environment in Israel including due to the reluctance of foreign investors to invest or conduct business in Israel, as well as increased currency fluctuations, downgrades in credit rating, increased interest rates, increased inflation affecting payroll and other NIS based costs, increased volatility in securities markets, reduced corporate rating by rating agencies to Israeli companies, unfavorable terms for any fundraising through debt and/ or equity financial vehicles, civil unrest and other changes in macroeconomic conditions. Actual or perceived political or judicial instability in Israel or any negative changes in the political environment may adversely affect the Israeli economy and financial condition and, in turn, our business, financial condition, results of operations, growth prospects, the market price of our shares, our ability to raise additional funds and the terms we will achieve for any such fundraising, if deemed necessary by our management and board of directors</w:t>
      </w:r>
      <w:r>
        <w:rPr>
          <w:rFonts w:ascii="Times New Roman;Times;serif" w:hAnsi="Times New Roman;Times;serif"/>
          <w:b w:val="false"/>
          <w:i w:val="false"/>
          <w:caps w:val="false"/>
          <w:smallCaps w:val="false"/>
          <w:color w:val="0070C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of severe unrest or other conflict, Israeli personnel could be required to serve in the military for extended periods of time. Many male Israeli citizens, including most of our male employees under the age of 40, are subject to compulsory military reserve service and may be called to active duty under emergency circumstances. In response to increases in terrorist activity, there have been periods of significant call-ups of Israeli military reservists, and it is possible that there will be additional call-ups in the future. Our operations in Israel could be disrupted by the absence, for a significant period of time, of one or more of our key employees or a significant number of our other employees due to military service. Such disruption may harm our operations and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If the exemption allowing us to operate our Israeli manufacturing facilities seven days a week or our business license is not renewed, our business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our Israeli manufacturing facilities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It may be difficult to enforce a US judgment against us, our officers and directors or to assert US securities law claims in Israel or serve process on our non-U.S. resident officers and directors.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assert claims under U.S. securities laws or obtain a judgment based on civil liability provisions under U.S. federal securities laws claimed in original actions instituted in Israel. Israeli courts may refuse to hear a claim based on a violation of U.S. securities laws against us or our non-U.S. officers or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Provisions of Israeli law may delay, prevent or otherwise impede a merger with, or an acquisition of, our company, which may delay or prevent a change of control, even when the terms of such a transaction are favorable to us and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Provisions of Israeli law could have the effect of delaying or preventing a change in control and may make it more difficult for a third-party to acquire us, even if doing so would be considered to be beneficial by some of our shareholders. For example,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The rights and responsibilities of our shareholders will be governed by Israeli law which differs in some material respects from the rights and responsibilities of shareholders of U.S. corporations.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rights and fulfilling his or her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These provisions may be interpreted to impose additional obligations and liabilities on holders of our ordinary shares that are not typically imposed on shareholders of U.S. corporations.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RELATING TO THE MERGER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The Merger may not be completed, due to failure to achieve certain closing conditions or otherwise; such a failure could negatively impact our share price, business, operations, financial condition, results of operations and/or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Merger is subject to the satisfaction or waiver of certain closing conditions described in the Merger Agreement, including, among others, that: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0" w:name="zaf2b06f98e494a68b4a88edbd8da8bf9"/>
      <w:bookmarkStart w:id="91" w:name="zaf2b06f98e494a68b4a88edbd8da8bf9"/>
      <w:bookmarkEnd w:id="91"/>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no governmental authority in any jurisdiction has by any law or order, restrained, enjoined or otherwise prohibited the consummation of the Merger;</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expiration or termination of the applicable waiting period, or, where applicable, approvals have been obtained, and all notices to, filings with and consents of the applicable governmental authority have been made or obtained under the Required Clearances (as defined in the Merger Proxy Statement); and</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no Company Material Adverse Effect (as defined in the Merger Proxy Statement, excepting any effects that, individually or in the aggregate, would not prevent or materially impair the Company from consummating the Merger or performing any of its material obligations under the Merger Agreement) shall have occurred since February 15, 2022, and be continuing.</w:t>
            </w:r>
          </w:p>
        </w:tc>
      </w:tr>
    </w:tbl>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 assurance can be given that each of the conditions will be satisfied. In addition, the Merger Agreement may be terminated under the circumstances described in the Merger Proxy Statement. If the conditions are not satisfied or waived in a timely manner and the Merger is not completed, the shareholders of the Company will not receive any of the $53 per share Merger Consideration. However, if the Merger is not completed, in certain circumstances that are specified in the Merger Agreement, Intel shall be obligated to pay the Company a termination fee equal to $353 million in cash.</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If the Merger is not completed (including in the case the Merger Agreement is terminated), our ongoing business</w:t>
      </w:r>
      <w:r>
        <w:rPr>
          <w:rFonts w:ascii="Times New Roman;serif" w:hAnsi="Times New Roman;serif"/>
          <w:b w:val="false"/>
          <w:i w:val="false"/>
          <w:caps w:val="false"/>
          <w:smallCaps w:val="false"/>
          <w:color w:val="0070C0"/>
          <w:sz w:val="22"/>
        </w:rPr>
        <w:t> </w:t>
      </w:r>
      <w:r>
        <w:rPr>
          <w:rFonts w:ascii="Times New Roman;Times;serif" w:hAnsi="Times New Roman;Times;serif"/>
          <w:b w:val="false"/>
          <w:i w:val="false"/>
          <w:caps w:val="false"/>
          <w:smallCaps w:val="false"/>
          <w:color w:val="000000"/>
          <w:sz w:val="20"/>
        </w:rPr>
        <w:t>operations, financial position and share price may be adversely affected. Under such a scenario, our directors, senior management and other employees may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employees, and the market’s perceptions of our prospects, could be adversely affected, which could have a material adverse impact on the trading price of Tower’s ordinary shares and our ability to raise funds through debt or equity vehicles.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also could be subject to litigation related to any failure to complete the Merger. If any one or more of these risks materialize, our financial condition, results of operations, prospects, share price, business, growth plans and/or operations, as well as our ability to raise funds, may be materially adversely affected.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Some of our directors and officers may have interests that may be different from, or in addition to, the interests of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Certain of Tower’s officers and directors may have interests in the transactions contemplated by the Merger Agreement that may be different from, or in addition to, those of Tower’s other shareholders, which interests are described in the Merger Proxy Statement. These interests include, among other things, the rights to accelerated vesting of equity awards, the indemnification and insurance and certain payments and benefits provisions contained in or permitted by the Merger Agreement.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The fact that there is a Merger pending could materially harm our business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While the Merger is pending, we are subject to a number of risks that may harm our business and results of operations,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2" w:name="z981129d601a24f368252fa58ce2ac91a"/>
      <w:bookmarkStart w:id="93" w:name="z981129d601a24f368252fa58ce2ac91a"/>
      <w:bookmarkEnd w:id="93"/>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loss of current customers;</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limitation on the execution of our strategy to expand our business through mergers, acquisitions and other investments, as well as our ability to raise additional funds through offerings of equity and/or debt and/or other financial vehicles;</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the diversion of management and employee attention from implementing our growth strategy in our existing markets or in new markets that we are targeting;</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potential diversion of public attention from our positioning of our independent brand and products in a manner that appeals to customers;</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the fact that we have incurred and will continue to incur expenses related to the Merger prior to its closing;</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our potential inability to respond effectively to competitive pressures, industry developments and future opportunities, in particular, given certain restrictions, limitations and commitments stipulated in the Merger Agreement;</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we could be subject to costly litigation associated with the Merger; and</w:t>
            </w:r>
          </w:p>
          <w:p>
            <w:pPr>
              <w:pStyle w:val="TableContents"/>
              <w:bidi w:val="0"/>
              <w:spacing w:lineRule="auto" w:line="300" w:before="0" w:after="0"/>
              <w:jc w:val="both"/>
              <w:rPr>
                <w:rFonts w:ascii="Times New Roman;Times;serif" w:hAnsi="Times New Roman;Times;serif" w:eastAsia="Times New Roman;Times;serif" w:cs="Times New Roman;Times;serif"/>
                <w:color w:val="000000"/>
              </w:rPr>
            </w:pPr>
            <w:r>
              <w:rPr>
                <w:rFonts w:eastAsia="Times New Roman;Times;serif" w:cs="Times New Roman;Times;serif" w:ascii="Times New Roman;Times;serif" w:hAnsi="Times New Roman;Times;serif"/>
                <w:color w:val="000000"/>
              </w:rPr>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both"/>
              <w:rPr>
                <w:color w:val="000000"/>
              </w:rPr>
            </w:pPr>
            <w:r>
              <w:rPr>
                <w:color w:val="000000"/>
              </w:rPr>
              <w:t>•</w:t>
            </w:r>
          </w:p>
        </w:tc>
        <w:tc>
          <w:tcPr>
            <w:tcW w:w="100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our current and prospective employees may be uncertain about their future roles and relationships with the Company following completion of the Merger, which may adversely affect our ability to attract and retain key personnel.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bidi w:val="0"/>
        <w:spacing w:before="200" w:after="200"/>
        <w:jc w:val="left"/>
        <w:rPr/>
      </w:pPr>
      <w:r>
        <w:rPr/>
      </w:r>
    </w:p>
    <w:p>
      <w:pPr>
        <w:pStyle w:val="TextBody"/>
        <w:bidi w:val="0"/>
        <w:spacing w:lineRule="auto" w:line="300" w:before="0" w:after="0"/>
        <w:jc w:val="both"/>
        <w:rPr>
          <w:rFonts w:ascii="Times New Roman;Times;serif" w:hAnsi="Times New Roman;Times;serif"/>
          <w:b/>
          <w:i/>
          <w:color w:val="000000"/>
        </w:rPr>
      </w:pPr>
      <w:r>
        <w:rPr>
          <w:rFonts w:ascii="Times New Roman;Times;serif" w:hAnsi="Times New Roman;Times;serif"/>
          <w:b/>
          <w:i/>
          <w:color w:val="000000"/>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The COVID-19 pandemic may delay or prevent the completion of the Merger.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Given the ongoing and dynamic nature of the COVID-19 crisis, it is difficult to predict the impact of that crisis on the businesses of Tower and Intel, and there is no guarantee that efforts by Tower or Intel to address the adverse impact of the COVID-19 pandemic will be effective. The Merger may also be delayed or adversely affected by the COVID-19 pandemic, or become more costly due to Tower policies, Intel policies or government policies and actions to protect the health and safety of individuals, or government policies or actions to maintain the functioning of national or global economies and markets could delay or prevent the completion of the Merger. Tower or Intel may also incur additional costs to remedy damages caused by such disruptions, which could adversely affect its financial condition or results of operations.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Our obligation to pay a termination fee under certain circumstances and the restrictions on our ability to solicit or engage in negotiations with respect to other potential acquisition proposals may discourage other potential transactions that may be favorable to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Until the Merger is completed or the Merger Agreement is terminated, with limited exceptions, the Merger Agreement prohibits us from soliciting, encouraging or engaging in negotiations with respect to acquisition proposals or other business combinations. If the Company terminates the Merger Agreement in order to immediately enter into a written definitive agreement with respect to a superior proposal, Tower is required to pay to Parent a termination fee of $206 million. Tower is also required to pay such termination fees under other circumstances described in the Merger Agreement.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If the closing conditions are not satisfied or waived and the Merger is not consummated by the Outside Date, either we or Intel may, under certain circumstances, choose not to proceed with the Merger.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The Merger is subject to the satisfaction or waiver of certain closing conditions described in the Merger Proxy Statement and set forth in the Merger Agreement. The fulfillment of certain of these conditions is beyond our control, such as the expiration or termination of the applicable waiting period, or, where applicable, the receipt of approvals, and the making or receipt of all notices to, filings with and consents under specified regulatory laws. Certain but not all regulatory approvals have been obtained. </w:t>
      </w:r>
      <w:r>
        <w:rPr>
          <w:rFonts w:ascii="Times New Roman;Times;serif" w:hAnsi="Times New Roman;Times;serif"/>
          <w:b w:val="false"/>
          <w:i w:val="false"/>
          <w:caps w:val="false"/>
          <w:smallCaps w:val="false"/>
          <w:sz w:val="20"/>
        </w:rPr>
        <w:t xml:space="preserve">There can be no assurance that any remaining required approval will be obtained or, in the event any existing approval or waiver expires and we file for such approval or waiver again, that such approval or waiver will be obtained, and the timing thereof cannot be predicted.  </w:t>
      </w:r>
      <w:r>
        <w:rPr>
          <w:rFonts w:ascii="Times New Roman;Times;serif" w:hAnsi="Times New Roman;Times;serif"/>
          <w:b w:val="false"/>
          <w:i w:val="false"/>
          <w:caps w:val="false"/>
          <w:smallCaps w:val="false"/>
          <w:color w:val="000000"/>
          <w:sz w:val="20"/>
        </w:rPr>
        <w:t> If the closing conditions are not satisfied or waived and the Merger is not consummated by the Outside Date, either we or Intel may, under certain circumstances, choose not to proceed with the Merger. Either the Company or Intel may terminate the Merger Agreement in accordance with its provisions, notwithstanding the prior receipt of the approval of the Merger by the Company’s shareholders, except that the right to terminate the Merger Agreement would not be available to a party that is in material breach of the Merger Agreement or whose actions or omissions, which constitute a breach of the Merger Agreement, are a principal cause of, or primarily result in, the failure of the Merger to be completed on or before that date.  If the Merger is not completed (including in the case the Merger Agreement is terminated), there may be adverse impact to the Company’s share price, valuation, business position, including its financial and liquidity position and its ability to approach the capital markets to raise funds through equity and / or debt vehicles.</w:t>
      </w:r>
    </w:p>
    <w:p>
      <w:pPr>
        <w:pStyle w:val="TextBody"/>
        <w:bidi w:val="0"/>
        <w:spacing w:lineRule="auto" w:line="300"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Our shareholders could file claims challenging the Merger, which may delay or prevent the closing of the Merger (the “Closing”) and may cause us to incur substantial defense or settlement costs, or otherwise adversely affect the Company.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the date of this annual report, there are no pending lawsuits challenging the Merger. However, potential plaintiffs may file lawsuits challenging the Merger. The outcome of any future claim and / or litigation is uncertain. Such litigation, if not resolved, could prevent or delay completion of the Merger and result in substantial costs to the Company, including any costs associated with the indemnification of directors and officers. One of the conditions to the Closing is the absence of any provision of applicable law or order by any governmental entity that has the effect of restraining, enjoining or otherwise prohibiting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conditions, results of operations and cash flows.</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4</w:t>
      </w:r>
      <w:bookmarkStart w:id="94" w:name="ITEM4"/>
      <w:bookmarkEnd w:id="94"/>
      <w:r>
        <w:rPr>
          <w:rFonts w:ascii="Times New Roman;Times;serif" w:hAnsi="Times New Roman;Times;serif"/>
          <w:b/>
          <w:color w:val="000000"/>
          <w:sz w:val="20"/>
        </w:rPr>
        <w:t>.</w:t>
      </w:r>
      <w:r>
        <w:rPr>
          <w:sz w:val="20"/>
        </w:rPr>
        <w:t xml:space="preserve">            </w:t>
      </w:r>
      <w:r>
        <w:rPr>
          <w:rFonts w:ascii="Times New Roman;Times;serif" w:hAnsi="Times New Roman;Times;serif"/>
          <w:b/>
          <w:color w:val="000000"/>
          <w:sz w:val="20"/>
        </w:rPr>
        <w:t>INFORMATION ON THE COMPANY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HISTORY AND DEVELOPMENT OF THE COMPANY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150-mm wafers and 0.35, 0.18. 0.16 and 0.13 -micron on 200-mm wafers and 65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non-imaging sensors, including sensors on Gallium Nitride, micro-electromechanical systems (MEMS), wireless antenna switch Silicon-on-Insulator (SOI), mixed-signal, radio frequency CMOS (RFCMOS), bipolar CMOS (BiCMOS), and silicon-germanium BiCMOS (SiGe BiCMOS or SiGe), silicon photonics, high voltage CMOS, radio frequency identification (RFID) technologies and power management. To better serve our customers, we have developed and are continuously expanding our technology offerings in these fields. Through our experience and expertise gained during more than twenty-five years of operation, we differentiate ourselves by creating a high level of value for our customers through innovative technological processes, design and engineering support, competitive manufacturing indices, and dedicated customer service.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Semiconductor Ltd., an Israeli company,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We integrated advanced single Poly NVM into the Fab 1 process flows and developed a GaN technological platform (GaN on Si) suitable for fabrication of HEMT transistors, and gas and UV sensors.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2008, we merged with Tower NPB, which holds 100% of NPB Co. and operates Fab 3 located in Newport Beach, California, US. Fab 3 focuses on specialty process technologies for the manufacture of analog and mixed-signal semiconductor devices, and supports geometries ranging from 0.50 to 0.13-micron. NPB Co.’s specialty process technologies include advanced analog, radio frequency, high voltage, bipolar, SOI and silicon germanium bipolar, complementary metal oxide (“SiGe”) semiconductor processes. ICs manufactured at Fab 3 are incorporated into a wide range of products, including cellular phones, wireless local area networking devices, digital TVs, set-top boxes, gaming devices, switches, routers and broadband modems.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In March 2014, we acquired from Panasonic 51% of a newly established company, TPSCo, that manufactures products for Panasonic and other third party customers, using three semiconductor factories located </w:t>
      </w:r>
      <w:r>
        <w:rPr>
          <w:rFonts w:ascii="Times New Roman;Times;serif" w:hAnsi="Times New Roman;Times;serif"/>
          <w:b w:val="false"/>
          <w:i w:val="false"/>
          <w:caps w:val="false"/>
          <w:smallCaps w:val="false"/>
          <w:sz w:val="20"/>
        </w:rPr>
        <w:t>in Hokuriku Japan (Uozu E, Tonami CD and Arai E), which factories were established by Panasonic. Pursuant to the transaction, Panasonic transferred its semiconductor wafer manufacturing process and capacity tools (8 inch and 12 inch) at the three fabs to TPSCo. TPSCo focuses on 65nm and 180nm geometries for the manufacture of RF, power management and CMOS image senor products/applications. In July 2022, as part of the TPSCo agreements and at the request of Panasonic (through PSCS; now name</w:t>
      </w:r>
      <w:r>
        <w:rPr>
          <w:rFonts w:ascii="Times New Roman;Times;serif" w:hAnsi="Times New Roman;Times;serif"/>
          <w:b w:val="false"/>
          <w:i w:val="false"/>
          <w:caps w:val="false"/>
          <w:smallCaps w:val="false"/>
          <w:color w:val="000000"/>
          <w:sz w:val="20"/>
        </w:rPr>
        <w:t>d NTCJ), the operations in Japan were reorganized and restructured such that the Uozu and Tonami facilities remain unchanged, while the Arai manufacturing factory, which manufactured products solely for NTCJ and did not serve Tower’s or TPSCo’s foundry customers, ceased operations effective July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February 2016, we acquired Fab 9, located in San Antonio, Texas, US, from Maxim. The assets and related business that we acquired from Maxim are held and conducted through one of our wholly-owned US subsidiaries, Tower SA. Fab 9 supports process geometries ranging from 0.80 to 0.18 for the manufacture of products using CMOS, power management and analog based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definitive agreement with ST to share cleanroom space of a 300mm manufacturing fabrication facility in Agrate, Italy, currently under establishment by ST, under a collaborative arrangement. The parties will share the cleanroom space and the facility infrastructure, and TSIT will install its own equipment in one-third of the total space, which is expected to be qualified and used to manufacture products for its foundry customers.  Operations at the facility will continue to be managed by ST.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noBreakHyphen/>
        <w:t>owned subsidiary of Parent and a subsidiary of Intel, subject to the terms and conditions set forth in the Merger Agreement.  If the Merger is completed,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  The completion of the Merger is subject to the satisfaction of certain closing conditions specified in the Merger Agreement, including the receipt of certain regulatory approvals.  Certain but not all approvals have been obtained.  If the closing conditions are not satisfied or waived and the Merger is not consummated by the Outside Date, either we or Intel may, under certain circumstances, choose not to proceed with the Merger.  There can be no assurance that any remaining required approvals will be obtained or, in the event any existing approval or waiver expires and we file for such approval or waiver again, that such approval or waiver will be obtained, and the timing thereof cannot be predicted.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SEC maintains an internet website that contains reports, proxy and information statements and other information about issuers, like us, that file electronically with the SEC.  Our filings with the SEC are available to the public through the SEC's website (http://www.sec.gov).  For more information about us, go to http://www.towersemi.com.  Information on our website is not incorporated by reference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BUSINESS OVERVIEW</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INDUSTRY OVERVIEW</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Historically, the semiconductor industry was composed primarily of companies that designed and manufactured integrated circuits ("IC") in their own fabrication facilities, which are known as integrated device manufacturers (“IDM”).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Numerous emerging applications require 3D integration, in particular, high precision wafer bonding. Challenges related to the enhanced reliability, e.g., of the automotive products, dictate more stringent demands to the fabrication processes.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 Low power consumption is demonstrated in applications related to the systems enabled with Artificial Intelligence (AI) and edge computing using AI which allow for the analysis and filtering of data closer to the sensors such that only the relevant data is sent to the cloud. The AI edge devices are incorporated into products with sensors related to Internet of Things (IoT), in particular ASICs with embedded sensors, medical devices and applications focused on entertainment, infotainment and safety, which combine analog and digital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non- imaging sensors of different types, high voltage CMOS, bipolar CMOS (BiCMOS), silicon germanium BiCMOS (SiGe BiCMOS), bipolar CMOS double-diffused metal oxide semiconductor (BCD), silicon photonics platforms, NVM technologies and special devices for enabling chips with AI. Due to our extensive and diversified work in specialized process technologies, we have the required skills to provide quality and flexibility in this technology intensive environment which is rapidly changing. We work closely with our customers to provide them with unique and specialized solutions needed for their business success.</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Foundries may also offer customers competitive complementary services through design, testing, and other technical services.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MANUFACTURING PROCESSES AND SPECIALIZED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manufacture ICs on silicon wafers, generally using the customer’s proprietary circuit designs. In some cases, we provide our customers with our own proprietary or third-party design elements. The end product of our manufacturing process is a silicon wafer containing multiple identical ICs. In most cases, our customer assumes responsibility for dicing, assembly, packaging and testing.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high-performance mixed signal ICs.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manufacture using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to manufacture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IC manufacturing services and attract industry-leading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offer process transfer services to IDMs that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for the manufacture of an advanced technology node that is very costly to build themselves. Our process transfer services include development, transfer, and extensive optimization as defined by customer needs.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With our world-class engineering team, well established transfer methodologies and vast manufacturing experience, we offer state of the art production lines for core bulk CMOS and specialized technologies such as RF SOI, integrated into back-end-of-line (BEOL) TMR/MTJ (magnetic tunnel junction) sensors, silicon photonics, SiGe and MEMS, among others.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 trusted, customer-oriented service provider that has built a solid reputation in the foundry industry over more than twenty-nine years. We have built strong relationships with customers. Our consistent focus on providing high-quality, value-added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continuously target to expand our manufacturing footprint and business by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offer from time to time a wide range of support services for the establishment of new semiconductor fabrication facilities or the ramp up of existing facilities owned by third parties, using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derived a significant amount of our revenues for the year ended December 31, 2022 from our target specialized markets: RF CMOS, including SiGe power IC and discrete devices, CMOS image sensors, non-imaging sensors, wireless communication and high-performance analog. We are highly experienced in these markets, having been an early entrant and having developed unique proprietary technologies, including through licensing and joint development efforts with our customers and other technology companies.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specific process technologies that we currently focus on include: radio frequency CMOS (RF CMOS), including SiGe CMOS image sensors (CIS) and  non-imaging sensors on high resistance silicon, advanced analog CMOS, radio frequency identification (RFID), bipolar CMOS (BiCMOS), silicon germanium (SiGe BiCMOS), high voltage CMOS, silicon-on-insulator (SOI) platforms for power management, RF and sensor applications, LDMOS transistors, MEMS and wafer bonding technologies, as well as technologies for enabling AI, in particular original Y-Flash memristors.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CMOS Image Sensors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CMOS image sensors are ICs used to capture an image in a wide variety of consumer, communications, medical, automotive and industrial market applications, including camera-equipped cell phones, digital still, video,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currently actively involved in the high-end sensor and applications specific markets, which include applications such as high end video, high end photography, industrial machine vision, dental x-ray, medical x-ray, automotive sensors, security sensors and time of flight (ToF) three dimensional sensors for entertainment, commercial and industrial applications, as well as image sensors with record frame rates for registration of ultra-fast processes.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gained the market potential using CMOS process technology for a digital camera-on-a-chip, which integrates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portfolio, optical characterization of a CMOS process, an innovative patented stitching manufacturing technology for large sensors, up to a one die per 300mm wafer and prototype packaging. The CMOS image sensors that we manufacture include 180nm on 200mm wafers and 65nm on 300mm wafers with pixel sizes down to 1.12 micron utilizing dual light pipe technology, delivering outstanding image quality for a broad spectrum of digital imaging applications.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Specifically, our CIS portfolio includes pixels ranging from 1.12 micron up to 150 microns, all developed by us. We provide both rolling shutter and global shutter pixels. The latter are used mainly in the industrial sensor and in the three-dimensional sensor markets. Our advanced technology used in CMOS image sensors enables improved optical and electrical performance such as low dark current, low noise, high well capacity, high quantum efficiency and high uniformity of pixels utilizing deep sub-micron process technologies, enabling the manufacturing of very sophisticated and high performance camera module solutions. Our state-of-the-art pixels are used in a variety of new markets, such as the high-end machine vision cameras and the rapidly growing ToF 3D sensor market. In addition, our advanced global shutter technology and global shutter pixels, as small as 2.5um, enable excellent performance, especially, very high shutter efficiency.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X-ray market, we offer our innovative patented “stitching” technology on 0.18-micron process as well as on 65nm technology on 300mm wafers and a variety of 15 to 150-micron pixels that are optimized for X-ray applications. These pixels are used by our customers in dental (intra and extraoral) and other medical X-ray products (such as C-Arm surgery machines, angiography and mammography) as well as in the industrial NDT (Not Destructive Testing) X-Ray market.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stitching technology, a cornerstone of our X-Ray sensors technology, enables semiconductor exposure tools to manufacture single ultra-high-resolution CMOS image sensors containing millions of pixels at sensor sizes far larger than the photo exposure tool (scanner) field size.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technology is used by us in the manufacturing of large X-Ray sensors (up to one die per wafer) on 8” and 12” wafers as well as high-end large format photography and industrial sensors with special pixels that we have developed specifically for this market. In addition, this technology is also being used by us in display backplanes, for large virtual reality (VR) displays.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past years, we have completed and qualified our next generation CMOS sensor technology, namely BSI and wafer stacking, which combines a digital CMOS wafer with an imager wafer that is then thinned for backside illumination (BSI) with billions of electrical Cu-Cu connections between the two wafers. We now offer both BSI and stacking technologies in 200mm (in cooperation with a third-party that manufactures the BSI part of the process on our wafers, using our own developed BSI technology) and in 300mm in our own facilities at TPSCo. We continue to develop this technology with additional deep trenches (DTI) between pixels as well as a unique layer to enhance near infrared response.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specially developed our near Infra-Red imaging technology for gesture recognition systems and a series of spectrally sensitive image sensors, including proximity sensors and sensors sensitive in the UV range. We also announced our iToF (indirect time of flight) technology with outstanding performance parameters for fast autofocus and face recognition functions in mobile devices, which started production in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developed SPAD (single photon avalanche diodes) technology for dToF (direct time of flight) LIDAR (light detection and range) applications in mobile devices, smart automotive advanced driver assistance systems (ADAS) and autonomous driving (AD) vehicles. We also further developed our stacked technology to support the stacking of a very advanced technology node CMOS wafer with a state of the art SPAD imager, with pixel level electrical connections between the wafers.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MEMS and Displays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MEMS area, we manufacture a MEMS microphone device for ear buds and other command operated devices. Speech recognition AI is being used in such devices. For high-fidelity speech recognition, differentiated performance of high-dynamic range and low-noise microphones are needed.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manufacture MEMS switches technology for fast RF antenna switching and accelerometers for a variety of applications.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display market is undergoing a dramatic change from LCD-based screens with LED backlighting into micro LED or micro OLED displays, allowing substantially higher dynamic range with true black and higher brightness. The display market spans from small displays, such as smartwatch or VR goggles displays, through smartphone, tablet and laptop displays, to large format TV displays. In today’s technology, all of these displays are glass based, where the small ones are usually OLED displays while the large ones are LCD based with LED backlight. The true LED displays, namely, displays where each pixel is a LED, that provide unprecedented performance in illuminance and dynamic range, are extremely expensive and large. The major change expected in the coming decade is the ability to create these from micro LEDs and place them on a backplane in a cost effective way, or even have a monolithic array of micro LEDs as a screen for the small screen applications. Such micro LEDs cannot be performed on glass and the most promising way is to create them on silicon wafers (GaN on silicon). In entering this new display area, we are working on the silicon part of GaN nano wire based LEDs, both pre and post GaN growth. In addition, we use our patented stitched technology for the development of CMOS back planes for large die micro-OLED arrays (monolithic approach) and LCOS displays for the virtual reality market.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RF CMOS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recent years, more and more designers opt to develop high frequency products based on RF CMOS technologies. The superior cost structure of CMOS technologies enables high volume, low cost production of high frequency products. We use our mixed signal expertise to leverage and develop processes and provide services for customers that utilize CMOS technologies and require high frequency performance.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RF CMOS process technologies have more features than advanced analog CMOS process technologies of our competitors and are well suited for wireless electronics. These process technologies generally incorporate integrated inductors, high performance variable capacitors and RF laterally diffused metal oxide semiconductor transistors into an advanced analog CMOS process technology. In addition to the smart process features, our RF offering includes design kits with RF models, device simulation and physical layouts tailored specifically for RF performance. We currently have RF CMOS process technologies in 0.25 micron, 0.18 micron, 0.13 micron and 65 nanometer.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Further, we have RFCMOS process built on silicon-on-insulator (SOI) substrates (RFSOI). These RFSOI process technologies include devices optimized to deliver higher performance and improved isolation relative to devices in our RFCMOS process. We currently have RFSOI process technologies in 0.18 micron, 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BiCMOS for RF and High Performance Analog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BiCMOS process technologies have more features than RF CMOS process technologies and are well suited for higher performance applications such as satellite and global positioning system (GPS) receivers and optical transceivers. These process technologies generally incorporate high-speed bipolar transistors into an RF CMOS process. The equipment requirements for BiCMOS manufacturing are specialized and assume enhanced tool capabilities to achieve high yield manufacturing.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SiGe BiCMOS process technologies have more features than BiCMOS processes and are well suited for more advanced RF and high performance analog semiconductors such as high-speed, low noise,  front-end wireless components, optical networking components, automotive radar components, hard-disk drive pre-amplifiers, power amplifiers and low-noise amplifiers. These integrated circuits generally incorporate silicon germanium bipolar transistors, which are formed by the deposition of a thin layer of silicon germanium within a bipolar transistor, to achieve higher speed, lower noise, and more efficient power performance than the BiCMOS process technology. It is also possible to achieve higher speed using SiGe BiCMOS process technologies equivalent to those demonstrated in standard RF CMOS processes that are two process generations smaller in line 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RF CMOS process technology. We developed enhanced tool capabilities in cooperation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technologies available.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Silicon Photonics (SiPho)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industry-leading silicon photonics platform targets optical networking and data center interconnect applications. The SiPho process complements the Company’s SiGe BiCMOS processes by providing a companion solution able to integrate optical components in the expanding data communication market. The platform enables integration of photodetectors, optical modulators and other optical components that have in the past been assembled in optical modules as discrete components and can now be integrated in a single die potentially lowering cost, reducing footprint and improving performance of advanced optical transceivers.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Power and Power Management ICs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power technologies are generally divided into a low-voltage BCD offering and a high-voltage offering, including 140V Resurf, 200V SOI and 700V ultra-high voltage technologies.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than advanced analog CMOS processes such as 5V, 8V, 12V, 40V and 60V devices, and, in the case of BCD, bipolar devices integrated into an advanced analog CMOS process. We currently have BCD offerings in 0.5 micron, 0.35 micron, 0.25 micron, 0.18 micron and 65 nanometer.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higher voltage technologies, which include 140V Resurf, 200V SOI and 700V ultra-high voltage platform, support applications such as gate drivers for discrete high-power transistors and automotive, industrial, AC adaptor and lighting markets.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have developed a unique NVM solution (Y-Flash) specifically for power and power management applications in our 0.18 micron platforms. We have developed a series of Y-flash based modules of up to 16kbit, which have been integrated in various power management products of our customers. We have also introduced high density single Poly silicon memory arrays of other intellectual property vendors into our CMOS process flows.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using phase-change materials for more advanced RF switches, scaling the features we offer today to the 65 nanometer process, including the integration of advanced SiGe transistors with 65 nanometer CMOS, and copper metallization.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bidi w:val="0"/>
        <w:spacing w:before="200" w:after="200"/>
        <w:jc w:val="left"/>
        <w:rPr/>
      </w:pPr>
      <w:r>
        <w:rPr/>
      </w:r>
    </w:p>
    <w:p>
      <w:pPr>
        <w:pStyle w:val="TextBody"/>
        <w:bidi w:val="0"/>
        <w:spacing w:lineRule="auto" w:line="300" w:before="0" w:after="0"/>
        <w:ind w:left="0" w:right="0" w:firstLine="720"/>
        <w:jc w:val="center"/>
        <w:rPr>
          <w:rFonts w:ascii="Times New Roman;Times;serif" w:hAnsi="Times New Roman;Times;serif"/>
          <w:b/>
          <w:color w:val="000000"/>
          <w:sz w:val="20"/>
        </w:rPr>
      </w:pPr>
      <w:r>
        <w:rPr>
          <w:rFonts w:ascii="Times New Roman;Times;serif" w:hAnsi="Times New Roman;Times;serif"/>
          <w:b/>
          <w:color w:val="000000"/>
          <w:sz w:val="20"/>
        </w:rPr>
        <w:t>CUSTOMERS, MARKETING AND SALES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marketing and sales strategy seeks to further solidify our position as the leading foundry of high value analog semiconductor solutions, by increasing our market share at existing customers and expanding our global customer base. We have marketing, sales, design support engineers, field application engineers and customer support personnel located in many countries worldwide, who have been hired and assigned to these roles based on their industry experience, customer relationships and understanding of the semiconductor marketplace.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sales cycle is generally 9 to 24 months or longer for new customers and can be as short as 6 to 12 months for existing customers. The typical stages in the sales cycle process from initial contact until production are: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5" w:name="z1192581b499447bab2ef002fc83e7b04"/>
      <w:bookmarkStart w:id="96" w:name="z1192581b499447bab2ef002fc83e7b04"/>
      <w:bookmarkEnd w:id="96"/>
    </w:p>
    <w:tbl>
      <w:tblPr>
        <w:tblW w:w="2118" w:type="dxa"/>
        <w:jc w:val="left"/>
        <w:tblInd w:w="0" w:type="dxa"/>
        <w:tblLayout w:type="fixed"/>
        <w:tblCellMar>
          <w:top w:w="0" w:type="dxa"/>
          <w:left w:w="0" w:type="dxa"/>
          <w:bottom w:w="0" w:type="dxa"/>
          <w:right w:w="0" w:type="dxa"/>
        </w:tblCellMar>
      </w:tblPr>
      <w:tblGrid>
        <w:gridCol w:w="38"/>
        <w:gridCol w:w="110"/>
        <w:gridCol w:w="1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97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technical evaluation;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7" w:name="z944804047e9b4ca296bd60b895bc7565"/>
      <w:bookmarkStart w:id="98" w:name="z944804047e9b4ca296bd60b895bc7565"/>
      <w:bookmarkEnd w:id="98"/>
    </w:p>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73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product design to our specifications, including integration of third party intellectual property;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9" w:name="zed30926df0e9407b99518869acbc5170"/>
      <w:bookmarkStart w:id="100" w:name="zed30926df0e9407b99518869acbc5170"/>
      <w:bookmarkEnd w:id="100"/>
    </w:p>
    <w:tbl>
      <w:tblPr>
        <w:tblW w:w="6063" w:type="dxa"/>
        <w:jc w:val="left"/>
        <w:tblInd w:w="0" w:type="dxa"/>
        <w:tblLayout w:type="fixed"/>
        <w:tblCellMar>
          <w:top w:w="0" w:type="dxa"/>
          <w:left w:w="0" w:type="dxa"/>
          <w:bottom w:w="0" w:type="dxa"/>
          <w:right w:w="0" w:type="dxa"/>
        </w:tblCellMar>
      </w:tblPr>
      <w:tblGrid>
        <w:gridCol w:w="38"/>
        <w:gridCol w:w="110"/>
        <w:gridCol w:w="5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9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photomask - design and third-party photomask manufacturing;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1" w:name="z6069934c97b1457791ce8ba72a4d3d70"/>
      <w:bookmarkStart w:id="102" w:name="z6069934c97b1457791ce8ba72a4d3d70"/>
      <w:bookmarkEnd w:id="102"/>
    </w:p>
    <w:tbl>
      <w:tblPr>
        <w:tblW w:w="2013" w:type="dxa"/>
        <w:jc w:val="left"/>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86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silicon prototyping;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3" w:name="z6133dfdae4df418ba9d68de187502fb6"/>
      <w:bookmarkStart w:id="104" w:name="z6133dfdae4df418ba9d68de187502fb6"/>
      <w:bookmarkEnd w:id="104"/>
    </w:p>
    <w:tbl>
      <w:tblPr>
        <w:tblW w:w="1893" w:type="dxa"/>
        <w:jc w:val="left"/>
        <w:tblInd w:w="0" w:type="dxa"/>
        <w:tblLayout w:type="fixed"/>
        <w:tblCellMar>
          <w:top w:w="0" w:type="dxa"/>
          <w:left w:w="0" w:type="dxa"/>
          <w:bottom w:w="0" w:type="dxa"/>
          <w:right w:w="0" w:type="dxa"/>
        </w:tblCellMar>
      </w:tblPr>
      <w:tblGrid>
        <w:gridCol w:w="38"/>
        <w:gridCol w:w="110"/>
        <w:gridCol w:w="1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74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assembly and test;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5" w:name="zcb98efb9a2124e1fb2920ce697720831"/>
      <w:bookmarkStart w:id="106" w:name="zcb98efb9a2124e1fb2920ce697720831"/>
      <w:bookmarkEnd w:id="106"/>
    </w:p>
    <w:tbl>
      <w:tblPr>
        <w:tblW w:w="3213" w:type="dxa"/>
        <w:jc w:val="left"/>
        <w:tblInd w:w="0" w:type="dxa"/>
        <w:tblLayout w:type="fixed"/>
        <w:tblCellMar>
          <w:top w:w="0" w:type="dxa"/>
          <w:left w:w="0" w:type="dxa"/>
          <w:bottom w:w="0" w:type="dxa"/>
          <w:right w:w="0" w:type="dxa"/>
        </w:tblCellMar>
      </w:tblPr>
      <w:tblGrid>
        <w:gridCol w:w="38"/>
        <w:gridCol w:w="110"/>
        <w:gridCol w:w="3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06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validation and qualification;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7" w:name="zd46b6e10a7704fbe927b6fb36ae9a1b6"/>
      <w:bookmarkStart w:id="108" w:name="zd46b6e10a7704fbe927b6fb36ae9a1b6"/>
      <w:bookmarkEnd w:id="108"/>
    </w:p>
    <w:tbl>
      <w:tblPr>
        <w:tblW w:w="1263" w:type="dxa"/>
        <w:jc w:val="left"/>
        <w:tblInd w:w="0" w:type="dxa"/>
        <w:tblLayout w:type="fixed"/>
        <w:tblCellMar>
          <w:top w:w="0" w:type="dxa"/>
          <w:left w:w="0" w:type="dxa"/>
          <w:bottom w:w="0" w:type="dxa"/>
          <w:right w:w="0" w:type="dxa"/>
        </w:tblCellMar>
      </w:tblPr>
      <w:tblGrid>
        <w:gridCol w:w="38"/>
        <w:gridCol w:w="110"/>
        <w:gridCol w:w="1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1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production.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primary customers of our foundry and design services are fabless semiconductor companies and IDMs. Our customers include many analog and mixed-signal industry leaders, serving a variety of end market segments. A portion of our product sales are made pursuant to long-term contracts with our customers, under which we agree to reserve manufacturing capacity for certain purchasing commitments. During the year ended December 31, 2022, we had six significant customers that each contributed between 4% to 14% of our revenues. During the year ended December 31, 2021, we had six significant customers that each contributed between 4% to 21% of our revenues. During the year ended December 31, 2020, we had six significant customers that each contributed between 4% to 25% of our revenues.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the geographical distribution, by percentage, of our net revenues for the periods indicated:</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9" w:name="zae03c7e93f3b4bdcb55d274ba94c4de6"/>
      <w:bookmarkStart w:id="110" w:name="zae03c7e93f3b4bdcb55d274ba94c4de6"/>
      <w:bookmarkEnd w:id="110"/>
    </w:p>
    <w:tbl>
      <w:tblPr>
        <w:tblW w:w="5065" w:type="dxa"/>
        <w:jc w:val="left"/>
        <w:tblInd w:w="0" w:type="dxa"/>
        <w:tblLayout w:type="fixed"/>
        <w:tblCellMar>
          <w:top w:w="0" w:type="dxa"/>
          <w:left w:w="0" w:type="dxa"/>
          <w:bottom w:w="0" w:type="dxa"/>
          <w:right w:w="0" w:type="dxa"/>
        </w:tblCellMar>
      </w:tblPr>
      <w:tblGrid>
        <w:gridCol w:w="2120"/>
        <w:gridCol w:w="60"/>
        <w:gridCol w:w="85"/>
        <w:gridCol w:w="540"/>
        <w:gridCol w:w="305"/>
        <w:gridCol w:w="85"/>
        <w:gridCol w:w="85"/>
        <w:gridCol w:w="540"/>
        <w:gridCol w:w="305"/>
        <w:gridCol w:w="85"/>
        <w:gridCol w:w="85"/>
        <w:gridCol w:w="540"/>
        <w:gridCol w:w="230"/>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Year ended December 31,</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30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30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2020</w:t>
            </w:r>
          </w:p>
        </w:tc>
        <w:tc>
          <w:tcPr>
            <w:tcW w:w="23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United States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44</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212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Japan</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w:t>
            </w:r>
          </w:p>
        </w:tc>
        <w:tc>
          <w:tcPr>
            <w:tcW w:w="30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w:t>
            </w:r>
          </w:p>
        </w:tc>
        <w:tc>
          <w:tcPr>
            <w:tcW w:w="30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w:t>
            </w:r>
          </w:p>
        </w:tc>
        <w:tc>
          <w:tcPr>
            <w:tcW w:w="23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212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Asia, excluding Japan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212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Europe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w:t>
            </w:r>
          </w:p>
        </w:tc>
        <w:tc>
          <w:tcPr>
            <w:tcW w:w="30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w:t>
            </w:r>
          </w:p>
        </w:tc>
        <w:tc>
          <w:tcPr>
            <w:tcW w:w="30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w:t>
            </w:r>
          </w:p>
        </w:tc>
        <w:tc>
          <w:tcPr>
            <w:tcW w:w="23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212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30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price our products on a per wafer basis, taking into account the unique value of our technology and its ability to enable customers to differentiate their products, the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customers use our processes to design and market a broad range of analog and mixed-signal semiconductors for diverse end markets, including wired and wireless high-speed communications, consumer electronics, automotive, medical, security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 magnetic field and gas and UV sensors.</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b/>
          <w:color w:val="000000"/>
          <w:sz w:val="20"/>
        </w:rPr>
      </w:pPr>
      <w:r>
        <w:rPr>
          <w:rFonts w:ascii="Times New Roman;Times;serif" w:hAnsi="Times New Roman;Times;serif"/>
          <w:b/>
          <w:color w:val="000000"/>
          <w:sz w:val="20"/>
        </w:rPr>
        <w:t>COMPETITION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global semiconductor foundry industry is highly competitive. We compete most directly in the specialty segment with foundries such as GlobalFoundries (mainly in the RF business), Vanguard Semiconductor, DongBu, X-Fab and Hua Hong Semiconductor. We also compete in some areas with the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some capacity for specialty process technologies. The rest of the foundry industry, including existing Chinese, Korean and Malaysian foundries, generally target either industry standard 8-inch CMOS processing or specialty process technologies. Most of the foundries with which we compete are located in Asia-Pacific that benefit from their close proximity to Asian companies involved in the design of ICs and the Asian customer base.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principal elements of competition in the wafer foundry market are: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1" w:name="z8c18b5d9a2cc438ca7e6efb6d50f51c0"/>
      <w:bookmarkStart w:id="112" w:name="z8c18b5d9a2cc438ca7e6efb6d50f51c0"/>
      <w:bookmarkEnd w:id="112"/>
    </w:p>
    <w:tbl>
      <w:tblPr>
        <w:tblW w:w="4008" w:type="dxa"/>
        <w:jc w:val="left"/>
        <w:tblInd w:w="0" w:type="dxa"/>
        <w:tblLayout w:type="fixed"/>
        <w:tblCellMar>
          <w:top w:w="0" w:type="dxa"/>
          <w:left w:w="0" w:type="dxa"/>
          <w:bottom w:w="0" w:type="dxa"/>
          <w:right w:w="0" w:type="dxa"/>
        </w:tblCellMar>
      </w:tblPr>
      <w:tblGrid>
        <w:gridCol w:w="38"/>
        <w:gridCol w:w="110"/>
        <w:gridCol w:w="38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8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technology offering and future roadmap;</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3" w:name="z1762cba11ba845fa84789eb9b5c65f1c"/>
      <w:bookmarkStart w:id="114" w:name="z1762cba11ba845fa84789eb9b5c65f1c"/>
      <w:bookmarkEnd w:id="114"/>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0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product performance;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5" w:name="ze85ce488bc704273800ba27dd2f1d5ef"/>
      <w:bookmarkStart w:id="116" w:name="ze85ce488bc704273800ba27dd2f1d5ef"/>
      <w:bookmarkEnd w:id="116"/>
    </w:p>
    <w:tbl>
      <w:tblPr>
        <w:tblW w:w="3198" w:type="dxa"/>
        <w:jc w:val="left"/>
        <w:tblInd w:w="0" w:type="dxa"/>
        <w:tblLayout w:type="fixed"/>
        <w:tblCellMar>
          <w:top w:w="0" w:type="dxa"/>
          <w:left w:w="0" w:type="dxa"/>
          <w:bottom w:w="0" w:type="dxa"/>
          <w:right w:w="0" w:type="dxa"/>
        </w:tblCellMar>
      </w:tblPr>
      <w:tblGrid>
        <w:gridCol w:w="38"/>
        <w:gridCol w:w="110"/>
        <w:gridCol w:w="3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05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system level technical expertise;</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7" w:name="zbfb2f7dad2c7464abe7e5d141fed824c"/>
      <w:bookmarkStart w:id="118" w:name="zbfb2f7dad2c7464abe7e5d141fed824c"/>
      <w:bookmarkEnd w:id="118"/>
    </w:p>
    <w:tbl>
      <w:tblPr>
        <w:tblW w:w="3813" w:type="dxa"/>
        <w:jc w:val="left"/>
        <w:tblInd w:w="0" w:type="dxa"/>
        <w:tblLayout w:type="fixed"/>
        <w:tblCellMar>
          <w:top w:w="0" w:type="dxa"/>
          <w:left w:w="0" w:type="dxa"/>
          <w:bottom w:w="0" w:type="dxa"/>
          <w:right w:w="0" w:type="dxa"/>
        </w:tblCellMar>
      </w:tblPr>
      <w:tblGrid>
        <w:gridCol w:w="38"/>
        <w:gridCol w:w="110"/>
        <w:gridCol w:w="36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66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research and development capabilities;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19" w:name="z5f2fd9d48b844c68bbf79f256228405e"/>
      <w:bookmarkStart w:id="120" w:name="z5f2fd9d48b844c68bbf79f256228405e"/>
      <w:bookmarkEnd w:id="120"/>
    </w:p>
    <w:tbl>
      <w:tblPr>
        <w:tblW w:w="3018" w:type="dxa"/>
        <w:jc w:val="left"/>
        <w:tblInd w:w="0" w:type="dxa"/>
        <w:tblLayout w:type="fixed"/>
        <w:tblCellMar>
          <w:top w:w="0" w:type="dxa"/>
          <w:left w:w="0" w:type="dxa"/>
          <w:bottom w:w="0" w:type="dxa"/>
          <w:right w:w="0" w:type="dxa"/>
        </w:tblCellMar>
      </w:tblPr>
      <w:tblGrid>
        <w:gridCol w:w="38"/>
        <w:gridCol w:w="110"/>
        <w:gridCol w:w="2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87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access to intellectual property;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1" w:name="z9b83e83ccd1c419b884c3edb30ad876a"/>
      <w:bookmarkStart w:id="122" w:name="z9b83e83ccd1c419b884c3edb30ad876a"/>
      <w:bookmarkEnd w:id="122"/>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6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customer technical support;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3" w:name="z6b833ed89ca9494a9edda770e3284244"/>
      <w:bookmarkStart w:id="124" w:name="z6b833ed89ca9494a9edda770e3284244"/>
      <w:bookmarkEnd w:id="124"/>
    </w:p>
    <w:tbl>
      <w:tblPr>
        <w:tblW w:w="1668" w:type="dxa"/>
        <w:jc w:val="left"/>
        <w:tblInd w:w="0" w:type="dxa"/>
        <w:tblLayout w:type="fixed"/>
        <w:tblCellMar>
          <w:top w:w="0" w:type="dxa"/>
          <w:left w:w="0" w:type="dxa"/>
          <w:bottom w:w="0" w:type="dxa"/>
          <w:right w:w="0" w:type="dxa"/>
        </w:tblCellMar>
      </w:tblPr>
      <w:tblGrid>
        <w:gridCol w:w="38"/>
        <w:gridCol w:w="110"/>
        <w:gridCol w:w="1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52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design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5" w:name="zf47ee4d8648e45b7b103720097df02a1"/>
      <w:bookmarkStart w:id="126" w:name="zf47ee4d8648e45b7b103720097df02a1"/>
      <w:bookmarkEnd w:id="126"/>
    </w:p>
    <w:tbl>
      <w:tblPr>
        <w:tblW w:w="3423" w:type="dxa"/>
        <w:jc w:val="left"/>
        <w:tblInd w:w="0" w:type="dxa"/>
        <w:tblLayout w:type="fixed"/>
        <w:tblCellMar>
          <w:top w:w="0" w:type="dxa"/>
          <w:left w:w="0" w:type="dxa"/>
          <w:bottom w:w="0" w:type="dxa"/>
          <w:right w:w="0" w:type="dxa"/>
        </w:tblCellMar>
      </w:tblPr>
      <w:tblGrid>
        <w:gridCol w:w="38"/>
        <w:gridCol w:w="110"/>
        <w:gridCol w:w="3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27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product development kits (PDKs);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7" w:name="ze259bf4a88184f65bf9d81147a28c8db"/>
      <w:bookmarkStart w:id="128" w:name="ze259bf4a88184f65bf9d81147a28c8db"/>
      <w:bookmarkEnd w:id="128"/>
    </w:p>
    <w:tbl>
      <w:tblPr>
        <w:tblW w:w="3963" w:type="dxa"/>
        <w:jc w:val="left"/>
        <w:tblInd w:w="0" w:type="dxa"/>
        <w:tblLayout w:type="fixed"/>
        <w:tblCellMar>
          <w:top w:w="0" w:type="dxa"/>
          <w:left w:w="0" w:type="dxa"/>
          <w:bottom w:w="0" w:type="dxa"/>
          <w:right w:w="0" w:type="dxa"/>
        </w:tblCellMar>
      </w:tblPr>
      <w:tblGrid>
        <w:gridCol w:w="38"/>
        <w:gridCol w:w="110"/>
        <w:gridCol w:w="38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8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manufacturing operational performance;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9" w:name="z1b7bc42a4d484df882143b4c13939c98"/>
      <w:bookmarkStart w:id="130" w:name="z1b7bc42a4d484df882143b4c13939c98"/>
      <w:bookmarkEnd w:id="130"/>
    </w:p>
    <w:tbl>
      <w:tblPr>
        <w:tblW w:w="1683" w:type="dxa"/>
        <w:jc w:val="left"/>
        <w:tblInd w:w="0" w:type="dxa"/>
        <w:tblLayout w:type="fixed"/>
        <w:tblCellMar>
          <w:top w:w="0" w:type="dxa"/>
          <w:left w:w="0" w:type="dxa"/>
          <w:bottom w:w="0" w:type="dxa"/>
          <w:right w:w="0" w:type="dxa"/>
        </w:tblCellMar>
      </w:tblPr>
      <w:tblGrid>
        <w:gridCol w:w="38"/>
        <w:gridCol w:w="110"/>
        <w:gridCol w:w="15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53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quality systems;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1" w:name="z078ab4fc12ca4364af6aa0ac2c6bf28f"/>
      <w:bookmarkStart w:id="132" w:name="z078ab4fc12ca4364af6aa0ac2c6bf28f"/>
      <w:bookmarkEnd w:id="132"/>
    </w:p>
    <w:tbl>
      <w:tblPr>
        <w:tblW w:w="1668" w:type="dxa"/>
        <w:jc w:val="left"/>
        <w:tblInd w:w="0" w:type="dxa"/>
        <w:tblLayout w:type="fixed"/>
        <w:tblCellMar>
          <w:top w:w="0" w:type="dxa"/>
          <w:left w:w="0" w:type="dxa"/>
          <w:bottom w:w="0" w:type="dxa"/>
          <w:right w:w="0" w:type="dxa"/>
        </w:tblCellMar>
      </w:tblPr>
      <w:tblGrid>
        <w:gridCol w:w="38"/>
        <w:gridCol w:w="110"/>
        <w:gridCol w:w="1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52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product quality;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3" w:name="zb23a9d78fc5e45b3b0a42defdd3b233d"/>
      <w:bookmarkStart w:id="134" w:name="zb23a9d78fc5e45b3b0a42defdd3b233d"/>
      <w:bookmarkEnd w:id="134"/>
    </w:p>
    <w:tbl>
      <w:tblPr>
        <w:tblW w:w="2223" w:type="dxa"/>
        <w:jc w:val="left"/>
        <w:tblInd w:w="0" w:type="dxa"/>
        <w:tblLayout w:type="fixed"/>
        <w:tblCellMar>
          <w:top w:w="0" w:type="dxa"/>
          <w:left w:w="0" w:type="dxa"/>
          <w:bottom w:w="0" w:type="dxa"/>
          <w:right w:w="0" w:type="dxa"/>
        </w:tblCellMar>
      </w:tblPr>
      <w:tblGrid>
        <w:gridCol w:w="38"/>
        <w:gridCol w:w="110"/>
        <w:gridCol w:w="2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07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manufacturing yields;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5" w:name="z448c756d4bc74bee9d4204dc86baed86"/>
      <w:bookmarkStart w:id="136" w:name="z448c756d4bc74bee9d4204dc86baed86"/>
      <w:bookmarkEnd w:id="136"/>
    </w:p>
    <w:tbl>
      <w:tblPr>
        <w:tblW w:w="2988" w:type="dxa"/>
        <w:jc w:val="left"/>
        <w:tblInd w:w="0" w:type="dxa"/>
        <w:tblLayout w:type="fixed"/>
        <w:tblCellMar>
          <w:top w:w="0" w:type="dxa"/>
          <w:left w:w="0" w:type="dxa"/>
          <w:bottom w:w="0" w:type="dxa"/>
          <w:right w:w="0" w:type="dxa"/>
        </w:tblCellMar>
      </w:tblPr>
      <w:tblGrid>
        <w:gridCol w:w="38"/>
        <w:gridCol w:w="110"/>
        <w:gridCol w:w="2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84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customer support and service;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7" w:name="z0c20790e03ea430894bfe21dbdefd09f"/>
      <w:bookmarkStart w:id="138" w:name="z0c20790e03ea430894bfe21dbdefd09f"/>
      <w:bookmarkEnd w:id="138"/>
    </w:p>
    <w:tbl>
      <w:tblPr>
        <w:tblW w:w="903" w:type="dxa"/>
        <w:jc w:val="left"/>
        <w:tblInd w:w="0" w:type="dxa"/>
        <w:tblLayout w:type="fixed"/>
        <w:tblCellMar>
          <w:top w:w="0" w:type="dxa"/>
          <w:left w:w="0" w:type="dxa"/>
          <w:bottom w:w="0" w:type="dxa"/>
          <w:right w:w="0" w:type="dxa"/>
        </w:tblCellMar>
      </w:tblPr>
      <w:tblGrid>
        <w:gridCol w:w="38"/>
        <w:gridCol w:w="110"/>
        <w:gridCol w:w="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pricing;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9" w:name="z9a516ce9cb76412ebd155d9f3d3be77a"/>
      <w:bookmarkStart w:id="140" w:name="z9a516ce9cb76412ebd155d9f3d3be77a"/>
      <w:bookmarkEnd w:id="140"/>
    </w:p>
    <w:tbl>
      <w:tblPr>
        <w:tblW w:w="2343" w:type="dxa"/>
        <w:jc w:val="left"/>
        <w:tblInd w:w="0" w:type="dxa"/>
        <w:tblLayout w:type="fixed"/>
        <w:tblCellMar>
          <w:top w:w="0" w:type="dxa"/>
          <w:left w:w="0" w:type="dxa"/>
          <w:bottom w:w="0" w:type="dxa"/>
          <w:right w:w="0" w:type="dxa"/>
        </w:tblCellMar>
      </w:tblPr>
      <w:tblGrid>
        <w:gridCol w:w="38"/>
        <w:gridCol w:w="110"/>
        <w:gridCol w:w="2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19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management expertise;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1" w:name="z7f6a125f822742c182e425dd2ff953da"/>
      <w:bookmarkStart w:id="142" w:name="z7f6a125f822742c182e425dd2ff953da"/>
      <w:bookmarkEnd w:id="142"/>
    </w:p>
    <w:tbl>
      <w:tblPr>
        <w:tblW w:w="3183" w:type="dxa"/>
        <w:jc w:val="left"/>
        <w:tblInd w:w="0" w:type="dxa"/>
        <w:tblLayout w:type="fixed"/>
        <w:tblCellMar>
          <w:top w:w="0" w:type="dxa"/>
          <w:left w:w="0" w:type="dxa"/>
          <w:bottom w:w="0" w:type="dxa"/>
          <w:right w:w="0" w:type="dxa"/>
        </w:tblCellMar>
      </w:tblPr>
      <w:tblGrid>
        <w:gridCol w:w="38"/>
        <w:gridCol w:w="110"/>
        <w:gridCol w:w="3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03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strategic customer relationships;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3" w:name="zc9ec1e48a2db4660a06cfa931ec2d754"/>
      <w:bookmarkStart w:id="144" w:name="zc9ec1e48a2db4660a06cfa931ec2d754"/>
      <w:bookmarkEnd w:id="144"/>
    </w:p>
    <w:tbl>
      <w:tblPr>
        <w:tblW w:w="2523" w:type="dxa"/>
        <w:jc w:val="left"/>
        <w:tblInd w:w="0" w:type="dxa"/>
        <w:tblLayout w:type="fixed"/>
        <w:tblCellMar>
          <w:top w:w="0" w:type="dxa"/>
          <w:left w:w="0" w:type="dxa"/>
          <w:bottom w:w="0" w:type="dxa"/>
          <w:right w:w="0" w:type="dxa"/>
        </w:tblCellMar>
      </w:tblPr>
      <w:tblGrid>
        <w:gridCol w:w="38"/>
        <w:gridCol w:w="110"/>
        <w:gridCol w:w="23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37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capacity availability;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5" w:name="z5d5aa3abe8d446809e63979f91b3580d"/>
      <w:bookmarkStart w:id="146" w:name="z5d5aa3abe8d446809e63979f91b3580d"/>
      <w:bookmarkEnd w:id="146"/>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12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stability and reliability of supply.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Some of our competitors, notably the pure-play advanced technology node-driven foundry service providers, have greater manufacturing capacity, may have greater scope and/or a greater number of research and development resources, better cost structure and greater financial, marketing and other resources. As a result, these companies may be able to compete more aggressively over a longer period of time than us.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seek to compete primarily on the basis of advanced specialty analog/mixed-signal technology, research and development, breadth of process offering, production quality, technical support, and our design and engineering services. We have a highly differentiated specialty offering and proven track record in analog/mixed-signal markets, which enables us to effectively compete with larger foundry service providers.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Some semiconductor companies have advanced their CMOS designs to 5-10 nanometer.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 generation products. We are not currently capable, nor do our current plans include, the manufacture of products using CMOS processes at these smaller geometries.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WAFER FABRICATION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Wafer fabrication is an intricate process that consists of constructing layers of conducting and insulating materials on raw wafers in intricate patterns that define the IC’s function. IC manufacturing requires hundreds of interrelated steps performed on different types of equipment, and each step must be completed with extreme accuracy for finished ICs to work properly. The process can be summarized as follows: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Circuit Design. IC production begins when a fabless IC company or IDM designs (or engages a third party or us to design) the layout of a device’s components and designates the 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Mask Making. The design for each layer of a semiconductor wafer is imprinted on a photographic negative, called a reticle or mask. The mask is the blueprint for each specific layer of the semiconductor wafer. We engage external mask shops for the manufacture of such masks.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involves electronically inspecting each individual IC in order to identify those that are operable for assembly. Our customers often use third party service providers for the performance of wafer probing although we occasionally provide this service to certain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heat dissipation. Following assembly, the functionality, voltage, current and timing of each IC is tested. After testing, the completed IC is shipped either to our customer or to their customer’s printed circuit board manufacturing facility. Our customers often use third party service providers for the performance of wafer assembly and testing, and to a smaller extent, part of such process is performed independently by us.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RAW MATERIALS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manufacturing processes use many raw materials, including silicon wafers, chemicals, gases and various types of metal targets.  Although most of our raw materials are available from multiple suppliers, certain materials are purchased through sole-sourced vendors. Our raw material procurement policy is to select only those vendors who have demonstrated quality control and reliability on delivery time and to maintain multiple sources for each raw material whenever feasible so that a quality or delivery problem with any one vendor will not adversely affect our operations. We may have long-term supply agreements with our vendors where necessary or beneficial to Tower.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general inventory policy is to maintain a sufficient stock of each principal raw material for the production and rolling forecasts of near-term requirements received from customers. In addition, we have agreements with some material suppliers under which they reserve certain levels of inventory in their warehouses for our use. We typically work with our vendors to plan our raw material requirements on a monthly basis, with pricing generally set on an annual basis. The actual purchase price is generally determined based on the prevailing market conditions. In the past, prices of our principal raw materials have not been volatile to a significant degree. Although we have not experienced any shortage of raw materials that had a material effect on our operations, and current supplies of raw materials we use are adequate, shortages could occur in various critical materials due to interruption of supply or an increase in industry demand.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most important raw material used in our production processes is the silicon wafer, which is the basic raw material from which integrated circuits are made. We have in the past obtained and believe that we will continue to be able to obtain a sufficient supply of silicon wafers. We believe that we have close working relationships with our wafer suppliers. Based on such long-term relationships, we believe that these major suppliers will use their best efforts to accommodate our demand.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certain materials are purchased through sole-sourced vendors under pre-committed volume contracts for specified pre-defined quantities that must be purchased on a monthly, quarterly or annual basis. If such predefined quantities are not required for production when purchased, this may result in excess payment and/or expenses write-off in our financial statements, which may adversely impact our financial results. See “Item 3. Key Information—D. Risk Factors—Risks Affecting Our Business— “If we are unable to purchase equipment and/or raw materials, we may not be able to manufacture our products in a timely fashion”.</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RESEARCH AND DEVELOPMENT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at a customer’s request, we develop a specialty process module, which in accordance with the applicable agreement, may be used for such customer on an exclusive basis or added to our process offering. Such developments are very common in all of our specialty process technologies noted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and development activities have related primarily to our process, device and design development efforts in all specialty areas that were mentioned above, and have been sponsored and funded by us and in certain cases with the partial participation of the Government of the State of Israel through the Israeli Innovation Authority (the “IIA”) (formerly, the Israeli Office of the Chief Scientist), pursuant to the Encouragement of Research, Development and Technological Innovation in the Industry Law 5744-1984 (formerly known as the Encouragement of Industrial Research and Development Law 5744-1984) (the “Innovation Law”) and related regulations and guidelines. Under the terms of the Israeli Government participation and the Innovation Law as currently in effect, a royalty of 3% or up to 5% of the net sales of products and services developed from a project funded by the IIA must generally be paid to the IIA, up to an aggregate of 100% (which may be increased under certain circumstances) of the U.S. dollar-linked value of the grant, plus interest at the rate of 12-month LIBOR. The Innovation Law imposes significant restrictions on manufacturing of products developed with IIA grants outside Israel and on the transfer (including by way of license) of IIA-funded technologies to third parties outside Israel. For example, the transfer or license of IIA-funded technologies to third parties outside Israel requires the prior approval of the IIA, which approval is generally contingent on payment of a redemption fee, calculated according to a formula under the Innovation Law, which may be in the amount of up to six times the grant(s) amount (less paid royalties, if any, and depreciation, but no less than the total amount of grants actually received by us), plus accrued interest.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the above, we may be required to obtain export licenses before exporting certain technology or products to any third party and may be required to comply with Israeli, U.S. and other foreign export regulations, as may be applicable.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Research and development expenses for the years ended December 31, 2022, 2021 and 2020 were $83.9 million, $85.4 million and $78.3 million, respectively, net of government participation of $0.3 million, $0.8 million and $0.9 million, respectively. As of December 31, 2022, we employed 423 professionals in our research and development departments, 48 of whom have PhDs. In addition to our research and development departments located at our facilities in Migdal Haemek, Israel, Newport Beach, California, San Antonio, Texas and Hokuriku Japan, we maintain a design center in Netanya, Israel.</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PROPRIETARY RIGHTS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success depends in part on our ability to obtain patents, licenses and other intellectual property rights related to our production processes. To that end, we have obtained certain patents, acquired patent licenses and intend to continue to seek patents on our 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we held 287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constantly seek to strengthen our technological expertise through relationships with technology companies. We seek to expand our core strengths in CMOS image sensors, non-imaging sensors, embedded flash, power management, AI, RF, SiGe, MEMS, mixed-signal and silicon photonics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DESIGN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memory arrays, mixed-signal and non-volatile memory design blocks. To achieve optimal performance, all of these components must be customized to work with our manufacturing process. These components are used in most of our customers’ chip designs.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periodic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namely, accurate device models, rich PDKs, silicon proven ESD (Electro Static Discharge) protection structures for different voltages ranging from 2KV to 15KV and I/Os, special design rules per application and technical support. Our design support can assist in all or part of the design flow. Our in-depth knowledge of the fab and processes provide a substantive and competitive advantage for our customers, for example when time to market is critical (our design support reduces the number of required runs) or when implementing designs that reach the boundaries of technology. In addition, our IP and design services can assist to relieve some of our customers' issues, providing the specific skills and expertise critical for quick and successful implementation of our customers’ design on our manufacturing process.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our circuit design expertise and our ability to accelerate our customers’ design cycle while reducing their design costs represent one of our more notable competitive strengths.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JAZZ SEMICONDUCTOR TRUSTED FOUNDRY</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purposes of our U.S. aerospace and defense business, Tower and Tower NPB have worked with the Defense Counterintelligence Security Agency of the United States Department of Defense (“DCSA”) to mitigate concern of foreign ownership, control or influence over the operations in Fab 3. The protection and prevention of potential unauthorized access of trusted and classified materials and information was addressed by creating Jazz Semiconductor Trusted Foundry (“JSTF”) as a subsidiary of Newport Fab LLC, which is directly held by NPB Co., and limiting possession of all trusted and classified information solely to JSTF. JSTF maintains facility security clearance (which is currently limited but may be remediated) and trusted foundry status.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ORGANIZATIONAL STRUCTURE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legal name of our company is Tower Semiconductor Ltd. Tower was incorporated under the laws of the State of Israel in 1993.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directly operates our Fab 1 and Fab 2 facilities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Tower’s wholly-owned subsidiary, Tower US Holdings Inc., owns all of the shares of Tower Semiconductor NPB Holdings, Inc., which owns all of the shares of Tower Semiconductor Newport Beach, Inc. (all three companies are incorporated under the laws of the State of Delaware), which operates our Fab 3 facility.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holds a 51% equity stake in Tower Partners Semiconductor Co., Ltd. (Nuvoton Technology Corporation Japan holds the remaining 49%), which is incorporated under the laws of Japan and operates two fabs located in Japan, known as Uozo E and Tonami CD.  A third facility in Japan, Arai E, ceased operation in July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Semiconductor San Antonio, Inc., which is wholly-owned by Tower US Holdings Inc., operates our Fab 9 facility in San Antonio, Texas, USA.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Tower Semiconductor Italy S.r.l., Tower’s wholly-owned Italian subsidiary, is expected to share manufacturing capacity with ST  in a 300mm fabrication facility being established in Agrate, Italy.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 PROPERTY, PLANTS AND EQUIPMENT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MANUFACTURING FACILITIES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manufacture semiconductor wafers at six manufacturing facilities: Fab 1 and Fab 2 facilities in Israel, Fab 3 in Newport Beach, California in the U.S., TPSCo’s fabs (Uozo E and Tonami CD) in Japan (Arai E facility ceased operations in July 2022), and Fab 9 in San Antonio, Texas in the U.S. TSIT is expected to share manufacturing capacity with ST in a 300mm fabrication facility being established by ST in Agrate, Italy.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and the reconfiguration and expansion of existing clean room areas.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Capital expenditures in 2022 and 2021 were $214 million and $279 million, respectively, net of proceeds from sale of equipment and fixed assets of $153 million and $35 million, respectively.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Fab 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Since we commenced manufacturing at Fab 1, we increased its manufacturing capacity and expanded the technologies qualified in the fab, including specialized processes. Fab 1 supports geometries ranging from 1.0 micron to 0.35-micron.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Fab 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2003, we commenced production in our Fab 2, also located in Migdal Haemek, Israel. Fab 2 supports geometries ranging from 0.35 to 0.13-micron,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land on which Fab 2 is located is subject to a long-term lease from the Israel Lands Authority that expires in 2049. The overall clean room area in Fab 2 is approximately 100,000 square feet.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Fab 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NPB Co.’s manufacturing facility, Fab 3, and offices, which we acquired in 2008, are located in Newport Beach, California. Fab 3 supports geometries ranging from 0.80 to 0.13-micron. The manufacturing facility comprises 320,000 square feet, including 120,000 square feet of overall clean room area.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NPB Co. leases its fabrication facility and offices under a lease agreement that was initially in effect until March 2022, and provided NPB Co. an option, at its sole discretion, to extend the lease for an additional five year period, which NPB Co. elected to exercise for the lease to continue through March 2027. Under the lease agreement as currently in effect, (i) NPB Co’s rental payments consist of fixed base rent and fixed management fees and NPB Co.’s pro rata share of certain expenses incurred by the landlord in the ownership of these buildings, including property taxes, building insurance and common area maintenance; and (ii) the lease agreement includes certain obligations of the parties, including certain noise abatement actions in relation to the fabrication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s. See “Item 3. Key Information—D. Risk Factors—Risks Affecting Our Business— Risks relating to Fab 3 lease could harm business, operations and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Uozu E Tonami CD and Arai E fabs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2014, we acquired a 51% equity stake in TPSCo, a company initially formed by Panasonic Corporation to manufacture products for Panasonic and other third-party customers, using three semiconductor factories located in Hokuriku, Japan, which factories were established by Panasonic. Pursuant to the transaction, Panasonic transferred its semiconductor wafer manufacturing process and capacity tools (8 inch and 12 inch) at its three fabs located in Hokuriku (Uozu E, Tonami CD and Arai E) to TPSCo. The fabs support geometrics ranging down to 65 nanometer. The fabs’ land and buildings are leased by PSCS (now named NTCJ) to TPSCo. As part of the TPSCo agreements, at the request of Panasonic (through PSCS; now named NTCJ), the operations in Japan were reorganized and restructured such that the Uozu and Tonami facilities remain unchanged, while the Arai manufacturing factory, which manufactured products solely for NTCJ and did not serve Tower’s or TPSCo’s foundry customers, ceased operations effective July 2022.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Fab 9</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2016, we acquired Fab 9 in San Antonio Texas, USA from Maxim. The assets and related business that we acquired from Maxim are held and conducted through a wholly-owned US subsidiary, Tower SA. Fab 9 supports process geometries ranging from 0.18 to 0.8 micron for the manufacture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Fab  shared with ST in Italy (Fab 10)</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definitive agreement with ST to share a 300mm manufacturing fabrication facility in Agrate, Italy under a collaborative arrangement, following which TSIT, a wholly-owned Italian subsidiary of Tower, was incorporated.  The fabrication facility is currently under installation and qualification by ST. The parties will share the cleanroom space and the facility infrastructure, and TSIT will install equipment in one-third of the total space, which is expected to be qualified and used to manufacture products for its foundry customers. Operations at the facility will continue to be managed by ST.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ENVIRONMENTAL, SAFETY AND QUALITY MATTERS AND CERTIFICATIONS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IATF16949 certified, a stringent automotive quality standard.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that any such potential situations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governmental agencies.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safety, all of our facilities are OHSAS 45001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goal in implementing OHSAS 45001, ISO 14001, ISO 9001 and IATF16949 systems is to continually improve our environmental, health, safety and quality management systems.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are committed to an ESG program with a corporate focus on social contribution and sustainability through diverse initiatives and activities. We have issued a dedicated report on our ESG policies, including our strategy and long-term plan.  We engage in voluntary initiatives (such as disclosures, certifications, or improvement goals, among others) and commitments for improvements in ESG to increase our company’s contribution to society and our environment.</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147" w:name="ITEM4A"/>
      <w:bookmarkEnd w:id="147"/>
      <w:r>
        <w:rPr>
          <w:rFonts w:ascii="Times New Roman;Times;serif" w:hAnsi="Times New Roman;Times;serif"/>
          <w:b/>
          <w:color w:val="000000"/>
          <w:sz w:val="20"/>
        </w:rPr>
        <w:t>ITEM 4A.</w:t>
      </w:r>
      <w:r>
        <w:rPr>
          <w:sz w:val="20"/>
        </w:rPr>
        <w:t>          </w:t>
      </w:r>
      <w:r>
        <w:rPr>
          <w:rFonts w:ascii="Times New Roman;Times;serif" w:hAnsi="Times New Roman;Times;serif"/>
          <w:b/>
          <w:color w:val="000000"/>
          <w:sz w:val="20"/>
        </w:rPr>
        <w:t>UNRESOLVED STAFF COMMENTS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5.</w:t>
      </w:r>
      <w:bookmarkStart w:id="148" w:name="ITEM5."/>
      <w:bookmarkEnd w:id="148"/>
      <w:r>
        <w:rPr>
          <w:sz w:val="20"/>
        </w:rPr>
        <w:t xml:space="preserve">            </w:t>
      </w:r>
      <w:r>
        <w:rPr>
          <w:rFonts w:ascii="Times New Roman;Times;serif" w:hAnsi="Times New Roman;Times;serif"/>
          <w:b/>
          <w:color w:val="000000"/>
          <w:sz w:val="20"/>
        </w:rPr>
        <w:t>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information contained in this section should be read in conjunction with our audited consolidated financial statements and the related notes thereto contained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For a discussion of the year ended December 31, 2021 compared to December 31, 2020, refer to the section contained in our Annual Report on Form 20-F for the fiscal year ended December 31, 2021, "Item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OPERATING RESULTS</w:t>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 pure-play independent specialty foundry dedicated to the manufacturing of semiconductors. As a pure-play foundry, we do not offer products of our own, but focus on producing ICs, based on the design specifications of our customers. We manufacture semiconductors for our customers primarily based on their designs or their end customers’ designs or other third-party designs. We currently offer the process manufacture geometries of 0.35, 0.50, 0.55, 0.60, 0.80-micron and above on 150-mm wafers and 0.35, 0.18. 0.16 and 0.13 -micron on 200-mm wafers and 90 nanometer, 65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 The technology platforms that we offer are focused on the mega trends of seamless connectivity, green everything and interactive smart systems.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 ended December 31, 2022, our revenues were derived from customers located around the globe, of which 49% were located in the United States, 16% in Japan, 26% in Asia (excluding Japan) and 9% in Europe, as compared to 41%, 22%, 30% and 7%, respectively, for the year ended December 31,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 ended December 31, 2022, 14% of our revenues were derived from NTCJ, 33% of our revenues were derived from five different customers, each comprising between 4% to 9% of our revenues, and the remaining 53% of our revenues were derived from many other smaller customers, as compared to 21%, 33% and 46%, respectively, for the year ended December 31,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primary changes in financial and business conditions that could have impacted our business and financial results in 2022 were as follows: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COVID-19 outbreak, which was declared a global pandemic by the World Health Organization during March 2020, did not adversely affect our revenue, business and financial results for the years ended December 31, 2022 and 2021. While we faced some specific supply chain and shortage of supply issues due to local restrictions, lockdowns and isolation periods imposed by the governments of vendors, or due to no or limited international courier delivery services, and while attendance of employees and service providers at our facilities and offices was reduced due to local restrictions and isolation periods imposed by the local government, customer orders and pricing did not materially decrease due to the COVID-19 pandemic or any related or resulting global economic downturn. While at the beginning of the COVID-19 outbreak, customer orders did not increase to the higher levels we had initially planned for, we did not face any material reductions or cancellations of orders and did not face any halt or stoppages of any of our seven manufacturing lines.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order to address the growing demand for our products and to attract and retain our customers, in 2022, we increased by 17% our gross investments in property and equipment from $314 million in 2021 to $367 million in 2022, directed to our fabs in Israel, Italy, the United States and Japan.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noBreakHyphen/>
        <w:t>owned subsidiary of Parent and a subsidiary of Intel, subject to the terms and conditions set forth in the Merger Agreement. If the Merger is completed,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 The completion of Merger is subject to the satisfaction of certain closing conditions specified in the Merger Agreement, including the receipt of certain regulatory approvals.    Certain but not all approvals have been obtained.  If the closing conditions are not satisfied or waived and the Merger is not consummated by the Outside Date, either we or Intel may, under certain circumstances,  choose not to proceed with the Merger.  There can be no assurance that any remaining required approval will be obtained or, in the event any existing approval or waiver expires and we file for such approval or waiver again, that such approval or waiver will be obtained, and the timing thereof cannot be predicted.</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KEY FACTORS AFFECTING OUR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Excluding any effect arising from completion or non-completion of the Merger, the following are key factors that impact our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Ability to attract and retain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 trusted, customer-oriented service provider that has built a solid reputation in the foundry industry over more than twenty-five years. We have built strong relationships with customers. Our consistent focus on providing high-quality, value-add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continuously target to expand our manufacturing footprint, manufacturing capacity and business by addressing current customers’ future needs and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 We also offer from time to time a wide range of support services for the establishment of new semiconductor fabrication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Design wins with new and existing customers.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qualified our libraries and IPs for their products. The revenue that we generate, if any, from each design win can vary significantly. Our long-term sales expectations are based on forecasts from customers, internal estimates of customer demand factoring in expected time to market for end-customer products incorporating our products and associated revenue potential and internal estimates of overall demand based on historical trends.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Selling prices and manufacturing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gross margin has been and will continue to be affected by a variety of factors, including the market demand for semiconductor wafers, timing of changes in pricing, shipment volumes, new product introductions, changes in product mixes, changes in our purchase price of raw materials, including silicon starting material wafers, and manufacturing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manufacturing costs and introducing new and higher value-add products. If we are unable to maintain overall average selling prices or offset any declines in average selling prices with realized savings on product costs, our gross margin will decline.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Investment in capacity growth.</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invested, and intend to continue to invest, in expanding our manufacturing capacity,  developing our products to support our growth and expanding our infrastructure. Specifically, we entered into an agreement with ST in 2021 to share 300mm manufacturing capacity space in Italy, for which we started purchasing, and will continue purchasing, a significant amount of equipment tools, in addition to exploring additional capacity opportunities that may require us to use a significant portion of our cash and, to fund other investments and cash plans, we may want and/or need to raise additional funds by way of debt and/or equity offerings, which funds may not be available at reasonable terms due to  the unfavorable capital market conditions, if at all, and may require consents that may not be provided to us. We plan to continue to invest in our capacity expansion initiatives and existing and new operational capabilities throughout the world through significant capital expenditure, and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internationally, our business and results will become further subject to the risks and challenges of operations in those locations, including potentially higher fixed costs and operating expenses, potential impact of legal and regulatory developments, as well as shareholder dilution and high depreciation on fixed assets that may reduce our profitability.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New Accounting Pronouncements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recently issued accounting pronouncements see Note 2W and Note 2X to our annual financial statements included herein.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color w:val="000000"/>
        </w:rPr>
      </w:pPr>
      <w:r>
        <w:rPr>
          <w:color w:val="000000"/>
        </w:rPr>
        <w:t> </w:t>
      </w:r>
      <w:r>
        <w:rPr>
          <w:rFonts w:ascii="Times New Roman;Times;serif" w:hAnsi="Times New Roman;Times;serif"/>
          <w:color w:val="000000"/>
          <w:sz w:val="20"/>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9" w:name="z35c3883705284edcad9f3a3d9df4d97b"/>
      <w:bookmarkStart w:id="150" w:name="z35c3883705284edcad9f3a3d9df4d97b"/>
      <w:bookmarkEnd w:id="150"/>
    </w:p>
    <w:tbl>
      <w:tblPr>
        <w:tblW w:w="8811" w:type="dxa"/>
        <w:jc w:val="left"/>
        <w:tblInd w:w="0" w:type="dxa"/>
        <w:tblLayout w:type="fixed"/>
        <w:tblCellMar>
          <w:top w:w="0" w:type="dxa"/>
          <w:left w:w="0" w:type="dxa"/>
          <w:bottom w:w="0" w:type="dxa"/>
          <w:right w:w="0" w:type="dxa"/>
        </w:tblCellMar>
      </w:tblPr>
      <w:tblGrid>
        <w:gridCol w:w="5870"/>
        <w:gridCol w:w="60"/>
        <w:gridCol w:w="77"/>
        <w:gridCol w:w="570"/>
        <w:gridCol w:w="278"/>
        <w:gridCol w:w="77"/>
        <w:gridCol w:w="77"/>
        <w:gridCol w:w="570"/>
        <w:gridCol w:w="278"/>
        <w:gridCol w:w="77"/>
        <w:gridCol w:w="77"/>
        <w:gridCol w:w="570"/>
        <w:gridCol w:w="23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1"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Year ended December 31,</w:t>
            </w:r>
          </w:p>
        </w:tc>
        <w:tc>
          <w:tcPr>
            <w:tcW w:w="23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2020</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Statement of Operations Data:</w:t>
            </w:r>
          </w:p>
        </w:tc>
        <w:tc>
          <w:tcPr>
            <w:tcW w:w="60" w:type="dxa"/>
            <w:tcBorders/>
            <w:shd w:fill="CCEEFF" w:val="clear"/>
            <w:vAlign w:val="center"/>
          </w:tcPr>
          <w:p>
            <w:pPr>
              <w:pStyle w:val="TableContents"/>
              <w:bidi w:val="0"/>
              <w:spacing w:before="0" w:after="283"/>
              <w:jc w:val="left"/>
              <w:rPr/>
            </w:pPr>
            <w:r>
              <w:rPr/>
              <w:t> </w:t>
            </w:r>
          </w:p>
        </w:tc>
        <w:tc>
          <w:tcPr>
            <w:tcW w:w="647" w:type="dxa"/>
            <w:gridSpan w:val="2"/>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47" w:type="dxa"/>
            <w:gridSpan w:val="2"/>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47" w:type="dxa"/>
            <w:gridSpan w:val="2"/>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Revenues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w:t>
            </w:r>
          </w:p>
        </w:tc>
        <w:tc>
          <w:tcPr>
            <w:tcW w:w="23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Cost of revenues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72.2</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78.2</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81.6</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Gross Profit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27.8</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21.8</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18.4</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5.0</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5.7</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6.1</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Marketing, general and administrative expense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Restructuring gain from sale of machinery and equipment,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Restructuring expense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0.6</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Operating profit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18.6</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11.0</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7.2</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Financing income (expense), net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(0.8</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(0.8</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0.2</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Other income (expense),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(0.4</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(0.4</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Profit before tax</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17.4</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10.3</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7.0</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Income tax expense,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(0.4</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Net profit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15.9</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10.2</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6.6</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(0.3</w:t>
            </w:r>
          </w:p>
        </w:tc>
        <w:tc>
          <w:tcPr>
            <w:tcW w:w="278"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7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Net profit attributable to the Company</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9.9</w:t>
            </w:r>
          </w:p>
        </w:tc>
        <w:tc>
          <w:tcPr>
            <w:tcW w:w="278"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w:t>
            </w:r>
          </w:p>
        </w:tc>
        <w:tc>
          <w:tcPr>
            <w:tcW w:w="23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Times New Roman;serif" w:hAnsi="Times New Roman;serif"/>
          <w:b/>
          <w:i w:val="false"/>
          <w:caps w:val="false"/>
          <w:smallCaps w:val="false"/>
          <w:color w:val="000000"/>
          <w:sz w:val="22"/>
        </w:rPr>
      </w:pPr>
      <w:r>
        <w:rPr>
          <w:rFonts w:ascii="Times New Roman;Times;serif" w:hAnsi="Times New Roman;Times;serif"/>
          <w:b w:val="false"/>
          <w:i/>
          <w:caps w:val="false"/>
          <w:smallCaps w:val="false"/>
          <w:color w:val="000000"/>
          <w:sz w:val="20"/>
        </w:rPr>
        <w:t>Year ended December 31, 2022 compared to year ended December 31,</w:t>
      </w:r>
      <w:r>
        <w:rPr>
          <w:rFonts w:ascii="Times New Roman;serif" w:hAnsi="Times New Roman;serif"/>
          <w:b/>
          <w:i w:val="false"/>
          <w:caps w:val="false"/>
          <w:smallCaps w:val="false"/>
          <w:color w:val="000000"/>
          <w:sz w:val="22"/>
        </w:rPr>
        <w:t> </w:t>
      </w:r>
      <w:r>
        <w:rPr>
          <w:rFonts w:ascii="Times New Roman;Times;serif" w:hAnsi="Times New Roman;Times;serif"/>
          <w:b/>
          <w:i/>
          <w:caps w:val="false"/>
          <w:smallCaps w:val="false"/>
          <w:color w:val="000000"/>
          <w:sz w:val="20"/>
        </w:rPr>
        <w:t>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Revenues. Revenues for the year ended December 31, 2022 were $1,677.6 million, as compared to $1,508.2 million for the year ended December 31, 2021. The $169.4 million revenue increase is attributed mainly to an increase in the average selling price per product we experienced in 2022 and an increase in the quantity of products (CMOS silicon wafers) manufactured and shipped to our foundry customers from our factories during the year ended December 31, 2022 reduced by revenues from the Arai factory, which manufactured products solely for NTCJ and did not serve the Company’s other customers and ceased operations in July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Cost of Revenues. Cost of revenues for the year ended December 31, 2022 amounted to $1,211.3 million as compared to $1,179.0 million for the year ended December 31, 2021. The $32.3 million increase is mainly due to the increased quantity of wafers manufactured and shipped to our foundry customers from our factories as described above, which resulted in additional variable and other manufacturing cost.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Gross Profit. Gross profit for the year ended December 31, 2022 amounted to $466.3 million as compared to $329.1 million for the year ended December 31, 2021. The $137.2 million increase in gross profit resulted mainly from the $169.4 million revenue increase, net of the $32.3 million increased cost of revenues, as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Research and Development. Research and development expense for the year ended December 31, 2022 amounted to $83.9 million as compared to $85.4 million in the year ended December 31, 2021.</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Marketing, General and Administrative. Marketing, general and administrative expense for the year ended December 31, 2022 amounted to $80.3 million, reflecting 4.8% of revenues, as compared to $77.2 million for the year ended December 31, 2021, reflecting 5.1% of revenues. Our marketing, general and administrative expense demonstrates a similar percentage of revenues in 2022 as compared to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Restructuring gain from sale of machinery and equipment, net. Restructuring gain from sale of machinery and equipment, net for the year ended December 31, 2022 amounted to $20.2 million, and resulted from the gain on sale of machinery and equipment to third parties following the cessation of operations of Arai facility in July 2022, which facility manufactured products solely for NTCJ and did not serve the Company’s other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Restructuring expense. Restructuring expense for the year ended December 31, 2022 amounted to $10.7 million, resulted from Japan operations reorganization and restructuring following the cessation of operations of Arai facility in July 2022, which facility manufactured products solely for NTCJ and did not serve the Company’s other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Operating Profit. Operating profit for the year ended December 31, 2022 amounted to $311.7 million as compared to $166.5 million for the year ended December 31, 2021. The $145.2 million increase in operating profit resulted mainly from the $137.2 million increase in gross profit described above, the $20.2 million restructuring gain from sale of machinery and equipment, net described above, the decrease in research and development of $1.5 million, offset by the $3.1 million increase in marketing, general and administrative expense described above and the $10.7 million restructuring costs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Financing Income (Expense), Net. Financing expense, net for the year ended December 31, 2022 amounted to $12.8 million, similar as compared to financing expense, net of $12.9 million for the year ended December 31,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Income (Expense), Net. Other expense, net for the year ended December 31, 2022 amounted to $6.9 million as compared to other income, net of $1.5 million for the year ended December 31, 2021. Other income (expense), net includes mainly non-recurring items such as gains and losses from the sale and disposal of certain under-utilized and or unneeded property and equipment items, as well as evaluation or devaluation results of equity investments in private companies in accordance with ASC 321.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Income Tax Expense, Net. Income tax expense, net for the year ended December 31, 2022 amounted to $25.5 million as compared to $1.0 million income tax expense, net in the year ended December 31, 2021. This $24.5 million increase in income tax expense, net is mainly a result of $136.9 million higher profit before tax for the year ended December 31, 2022 as compared to the year ended December 31,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Net profit. Net profit for the year ended December 31, 2022 amounted to $266.5 million as compared to a net profit of $154.1 million for the year ended December 31, 2021. The $112.4 million increase in net profit was mainly due to the increase in operating profit described above, offset by the increase in other expense, net and tax expense, net as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Net income attributable to the non-controlling interest. Net income attributable to the non-controlling interest for the year ended December 31, 2022 amounted to $1.9 million as compared to $4.1 million for the year ended December 31, 2021, reflecting a decrease in the profitability of TPSCo, a subsidiary in which we hold 51%.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Net Profit attributable to the company. Net profit attributable to the company for the year ended December 31, 2022 amounted to $264.6 million as compared to $150.0 million for the year ended December 31, 2021. The increase in net profit attributable to the company in the amount of $114.6 million was mainly due to the increase in the net profit of $112.4 million and the decrease in net income attributable to non-controlling interest of $2.2 million, as described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details with regards to risks associated with the COVID-19 pandemic and/or risks that may result from the pandemic, see our disclosure under Note 1 to our consolidated financial statements as of December 31, 2022 and “Item 3. Key Information—D. Risk Factors—Risks Affecting Our Business—Certain effects of the COVID-19 pandemic may hurt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Impact of Currency Fluctuations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operate in three different regions: Japan, the United States and Israel.  In addition, we have initial activities in Italy related to the new fabrication facility that is being established by ST in Agrate, Italy, which facility is expected to be shared with us. The functional currency of our entities in the United States, Israel and Italy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 As the establishment of the facility in Italy progresses, we will be further exposed to the Euro exchange rate fluctuations in relation to the USD regarding the cost denominated in Euro.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USD cost of our operations in Israel is influenced by changes in the USD-to-NIS exchange rate, with respect to costs that are denominated in NIS. During the year ended December 31, 2022, the USD appreciated against the NIS by 13.2%, as compared to 3.3% depreciation during the year ended December 31, 2021. 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of the profit margins. We use foreign currency cylinder and forward transactions to hedge a portion of this currency exposure to be contained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majority of TPSCo revenues are denominated in JPY and the majority of TPSCo expenses are denominated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 ended December 31, 2022, the USD appreciated against the JPY by 14.6%, as compared to 11.7% appreciation during the year ended December 31, 2021. The net effect of the USD appreciation against the JPY on TPSCo’s assets and liabilities denominated in JPY is presented in the Cumulative Translation Adjustment (“CTA”) as part of Other Comprehensive Income (“OCI”) in the balance sheet.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LIQUIDITY AND CAPITAL RESOURCES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we had an aggregate amount of $340.8 million in cash and cash equivalents, as compared to $210.9 million as of December 31, 2021. The main cash activities during the year ended December 31, 2022, were: $529.8 million net cash provided by operating activities; $213.5 million invested in property and equipment, net; $115.9 million invested in short-term deposits, marketable securities and other assets, net; $78.4 million debt repaid, net; and $11.7 million derived from an investment in a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Short-term and long-term debt presented in the balance sheet as of December 31, 2022 amounted to $62.3 million and $210.1 million, respectively, and included bank loans, Series G debentures, operating leases and capital leases. As of December 31, 2022, the aggregate principal amount of outstanding Series G debentures and its carrying amount in the balance sheet was $19.0 million, and was presented as a short-term liability. On March 31, 2023, we repaid the Series G debentures in full (principal plus interest).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on our current operations and expected short term growth, our cash generated from operations, our current and expected available lease lines with third -party leasing companies and existing balance of cash, deposits and marketable securities, we have sufficient resources to meet our cash needs for operating activities, capital expenditures for our existing fabs and debt repayments in the short term and long term.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execute a merger or acquisition transaction(s) per our company strategy, or a joint partnership or another large transaction to expand our capacity, including the funding of the equipment for the fabrication facility being established by ST in Agrate, Italy, acquiring leased assets and/ or acquiring additional fabs and/or capacity through other capacity acquisition related transactions, we may utilize our current cash balance, deposits and/or investments in marketable securities and/or we may be required to secure additional financing by way of public or private offerings of equity and/or debt and/or re-financing or other financing alternatives. The timing, terms, size and pricing of any future fundraising, if any, would be subject to the then-prevailing capital market conditions and our business and financial situation, as well as the need to obtain certain regulatory and other consents. There is no assurance that we would be able to obtain the necessary consents and/or funding in a timely manner, in sufficient amount or on favorable terms. See “Item 3. Key Information—D. Risk Factors—Risks Affecting Our Business— We may be required to obtain financing for capacity acquisition related transactions, strategic and/or other growth and M&amp;A opportunities, which we may not be able to obtain.”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Recent Financing Transactions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Capital Leases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Certain of our subsidiaries enter into, from time to time, capital lease agreements for certain machinery and equipment operated in some of our fabrication facilities, usually for a period of four years, with an option to buy the machinery and equipment after a period of between three to four years from the start of the lease period. The lease agreements contain annual interest rates of up to 1.95% and the assets under the lease agreements are pledged to the lender until the time at which the respective subsidiary buys the assets. The obligations under the capital lease agreements are guaranteed by Tower, except for TPSCo’s obligations under its capital lease agreements.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and 2021, the outstanding capital lease liabilities for fixed assets were $158.1 million and $139.0 million, respectively, of which $39.6 million and $36.3 million, respectively, were included under current maturities of long-term debt. The available lease lines as of December 31, 2022 were $26 million.</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Loan Agreement from Japanese Financial Institutions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2021, TPSCo refinanced its then existing loan with a new 11 billion JPY (approximately $96 million) asset-based loan with a consortium of financial institutions comprised of (i) JA Mitsui Leasing, Ltd., (ii) Mitsubishi HC Capital Inc., (iii) Taishin International Bank Co., Ltd., Tokyo Branch; and (iv) the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 The outstanding principal amount of the JP Loan was $83.4 million as of December 31, 2022.</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JP Loan contains certain financial ratios and covenants, as well as customary events of default and acceleration of the repayment schedule. TPSCo’s obligations under the JP Loan are not guaranteed by Tower, NTCJ, or any of their affiliates.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TPSCo was in compliance with all of the financial ratios and covenants under the JP Loan.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RESEARCH AND DEVELOPMENT, PATENTS AND LICENSES, ETC.</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and development activities are related primarily to our manufacturing process by way of improvements, upgrades and development for our use in the manufacturing of our customers’ products, and have been sponsored and funded by us with some participation by the Israeli government. Our research and development expenses for the years ended December 31, 2022, 2021 and 2020 were $83.9 million, $85.4 million and $78.3 million, respectively, net of government participation of $0.3 million, $0.8 million and $0.9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a description of our research and development policies and our patents and licenses, see “Item 4. Information on the Company– B. Business Overview”.</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  TREND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is a trend within the semiconductor industry toward ever-smaller features and ever-growing wafer sizes. State-of-the-art digital fabs are currently supporting process geometries of down to 5-10 nanometers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We currently offer process geometries of (i) 0.35, 0.50, 0.55, 0.60, 0.80-micron and above on 150-mm wafers; (ii) 0.35, 0.18. 0.16, and 0.13 -micron on 200-mm wafers; and (iii) 65 nanometer on 300-mm wafers. We continue to invest in our portfolio of specialty process technologies and intellectual property (IP) to address the key product and system requirements of our customers, enabling them to compete in their respective markets.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medical and industrial markets. For example, we believe that our specialty SOI, SiGe and phase change materials process technologies can provide performance and cost advantages over current GaAs solutions in the realization of switches and power amplifiers for wireless handsets. Our SiGe and silicon photonic technology can provide speed, power and cost advantage over alternative technologies for high-speed optical transceivers used for data communication in data centers and network infrastructure.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infra-red, ultra-violet and X-ray spectral ranges, develop both ultra small-size cameras and large imagers occupying the whole surface of a 200mm or even a 300mm wafer. We also target the rapidly growing non-visual sensor markets by developing specialized sensors some of them based on nanowire elements to be fabricated on silicon (SOI) and GaN technological platforms, in particular advanced integrated UV, gas and BioFET sensors. In addition, we target the display markets utilizing micro OLED and micro LED technologies on silicon, using our well established processes, and in particular, our stitching technology to create large displays for the AR/VR growing market.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also engaged in development of IPs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which expands our customer base, and broadening our business with existing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recent years, we have accelerated our plans to expand manufacturing capacity, including capacity in our 300mm fab. We are focused on successfully integrating all of our fabs globally and increasing the utilization of our fabs, by attracting new customers and opportunities.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manufacturing flexibility and business continuity in terms of opportunity for capacity availability.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last several years, we have been constantly looking to expand our presence in the global markets, penetrate new geographical areas, increase our served markets and expand our technology offering through business and development ventures.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may also be accomplished through the establishment of new facilities with third party collaboration and/or funding, mergers and acquisitions with potential target fabrication facilities that may include a solid base of customer demand for the increase of our manufacturing capacity and/or development of technologies that may expand our servable and/or available market potential, and increase our revenue, customer base and margins. Such transactions, mergers and acquisitions are also beneficial as they provide our customers with manufacturing diversification and opportunity for additional growth through access to increased capacity. We continuously evaluate potential acquisition opportunities and seek to secure additional manufacturing capacity. Our current cash balance, deposits and/or investments in marketable securities may be used to enable us to realize and execute on such opportunities, and we may require additional financing through, among other things, debt (including convertible debt, bonds, notes or debentures) and/or equity issuances (including shares and warrants), in order to consummate such opportunities and/or fund our other operational and capital expenditure cash needs, as well as our strategy to expand our global footprint, capacity and capabilities. During 2022, we continued to increase our investments in property and equipment to expand the capacities and capabilities of our existing fabs.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 CRITICAL ACCOUNTING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Income Taxes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provision for income taxes is affected by income taxes in a multinational tax environment. The income tax provision is an estimate determined based on current enacted tax laws and tax rates at each of our geographic locations with the use of acceptable allocation methodologies based upon our organizational structure, our operations and business mode of work, and result in applicable local taxable income attributable to those locations.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 ended December 31, 2022, the consolidated provision for income taxes was $25.5 million comprised of amounts related to Israel, Italy, Japan and the U.S., as detailed in Note 19 to our financial statements.</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151" w:name="ITEM6"/>
      <w:bookmarkEnd w:id="151"/>
      <w:r>
        <w:rPr>
          <w:rFonts w:ascii="Times New Roman;Times;serif" w:hAnsi="Times New Roman;Times;serif"/>
          <w:b/>
          <w:color w:val="000000"/>
          <w:sz w:val="20"/>
        </w:rPr>
        <w:t>ITEM 6.</w:t>
      </w:r>
      <w:r>
        <w:rPr>
          <w:sz w:val="20"/>
        </w:rPr>
        <w:t xml:space="preserve">         </w:t>
      </w:r>
      <w:r>
        <w:rPr>
          <w:rFonts w:ascii="Times New Roman;Times;serif" w:hAnsi="Times New Roman;Times;serif"/>
          <w:b/>
          <w:color w:val="000000"/>
          <w:sz w:val="20"/>
        </w:rPr>
        <w:t>DIRECTORS, SENIOR MANAGEMENT AND EMPLOYEES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DIRECTORS AND SENIOR MANAGEMENT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Set forth below is information regarding our senior management and directors as of April 30, 2023:</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2" w:name="zc31e08f8abd74b1bb04710eecffd16cd"/>
      <w:bookmarkStart w:id="153" w:name="zc31e08f8abd74b1bb04710eecffd16cd"/>
      <w:bookmarkEnd w:id="153"/>
    </w:p>
    <w:tbl>
      <w:tblPr>
        <w:tblW w:w="10205" w:type="dxa"/>
        <w:jc w:val="left"/>
        <w:tblInd w:w="0" w:type="dxa"/>
        <w:tblLayout w:type="fixed"/>
        <w:tblCellMar>
          <w:top w:w="0" w:type="dxa"/>
          <w:left w:w="0" w:type="dxa"/>
          <w:bottom w:w="0" w:type="dxa"/>
          <w:right w:w="0" w:type="dxa"/>
        </w:tblCellMar>
      </w:tblPr>
      <w:tblGrid>
        <w:gridCol w:w="710"/>
        <w:gridCol w:w="1477"/>
        <w:gridCol w:w="425"/>
        <w:gridCol w:w="7593"/>
      </w:tblGrid>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Officer</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Management Name</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Age</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Title(s)</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Russell C. Ellwanger</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68</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Chief Executive Officer and Director of Tower, and Chairman of the Board of Directors of its subsidiaries Tower Semiconductor USA, Inc., Tower US Holdings, Inc., Tower Semiconductor NPB Holdings, Inc., Tower Semiconductor Newport Beach, Inc., Tower Partners Semiconductor Co., Ltd., Tower Semiconductor San Antonio, Inc. and Tower Semiconductor Italy, S.r.l.</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B</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Oren Shirazi</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53</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Chief Financial Officer, Senior Vice President of Finance</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Rafi Mor</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59</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Chief Operating Officer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Dr. Marco Racanelli</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56</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Newport Beach Site Manager and Senior Vice President and General Manager of Analog Business Unit</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E</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Nati Somekh</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48</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Chief Legal Officer and Corporate Secretary</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F</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Yossi Netzer</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59</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of Corporate Planning</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G</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Dalit Dahan</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54</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of Human Resources and IT</w:t>
            </w:r>
          </w:p>
        </w:tc>
      </w:tr>
      <w:tr>
        <w:trPr/>
        <w:tc>
          <w:tcPr>
            <w:tcW w:w="71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593"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H</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Guy Eristoff</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61</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Chief Strategy Officer and Head of Pathfinder Activities, Site Manager of Tower Semiconductor San Antonio, Inc.</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I</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Dr. Avi Strum</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61</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and General Manager of the Sensors and Displays Business Unit</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J</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Dani Ashkenazi</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60</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Excellence and Quality</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K</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Noit Levy</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39</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Senior Vice President of Investor Relations and Corporate Communications</w:t>
            </w:r>
          </w:p>
        </w:tc>
      </w:tr>
      <w:tr>
        <w:trPr/>
        <w:tc>
          <w:tcPr>
            <w:tcW w:w="71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593"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Directors Name(*)</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Age</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Title</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L</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Amir Elstein</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67</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Chairman of the Board of Directors</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Kalman Kaufman</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77</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Dana Gross</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55</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Ilan Flato</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66</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P</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Yoav Z. Chelouche</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69</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Q</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Iris Avner</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58</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R</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Michal Vakrat Wolkin</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51</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r>
        <w:trPr/>
        <w:tc>
          <w:tcPr>
            <w:tcW w:w="71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w:t>
            </w:r>
          </w:p>
        </w:tc>
        <w:tc>
          <w:tcPr>
            <w:tcW w:w="147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Avi Hasson</w:t>
            </w:r>
          </w:p>
        </w:tc>
        <w:tc>
          <w:tcPr>
            <w:tcW w:w="42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52</w:t>
            </w:r>
          </w:p>
        </w:tc>
        <w:tc>
          <w:tcPr>
            <w:tcW w:w="7593"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Director</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Russell Ellwanger also serves as a director; his information is included under Senior Management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Russell C. Ellwanger has served as our Chief Executive Officer since May 2005. Mr. Ellwanger has also served as a 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Oren Shirazi has served as our Chief Financial Officer and Senior VP Finance since November 2004. Mr. Shirazi serves as a board member of Tower 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the Haifa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Rafi Mor has served as Chief Operating Officer of Tower since August 2014. Mr. Mor serves as a board member of Tower Semiconductor Newport Beach, Inc., Tower Semiconductor NPB Holdings, Inc., Tower Partners Semiconductor Co., Ltd., Tower Semiconductor San Antonio, Inc. and Tower Semiconductor Italy, S.r.l.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Marco Racanelli has served as Senior Vice President and General Manager of the Analog Business Unit since December 2018,  as the Newport Beach Site Manager since April 2014 and serves as a board member of Tower Semiconductor Newport Beach, Inc. Previously, Dr. Racanelli served as Senior Vice President from June 2012 and General Manager, RF &amp; High Performance Analog Business Group and Aerospace &amp; Defense Group from September 2008.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degree in Electrical Engineering from Lehigh University. Dr. Racanelli holds over 35 U.S. patents.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Nati Somekh has served as Senior Vice President, Chief Legal Officer and Corporate Secretary since February 2010, after serving as Vice President, Chief Legal Officer and Corporate Secretary from September 2008, after serving as Corporate Secretary and General Counsel from March 2005, and as Associate General Counsel from May 2004. From 2001 to 2004, Ms. Somekh was employed by Goldsobel &amp; Kirshen, Adv. Ms. Somekh holds an LL.M. and J.D. degrees from Boston University and a B.A. degree from Johns Hopkins University. Ms. Somekh is a member of the Israel Bar Association and is admitted as an attorney in the State of New York.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Yossi Netzer has served as Senior Vice President of Corporate Planning since July 2012, after serving as VP of Corporate Planning from November 2008, as General Manager of Mixed Signal, RF &amp; Power Management Product Line from 2005 and as Director, FAB 2 Yield &amp; Device Engineering Manager from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Dalit Dahan has served as Senior Vice President of Human Resources and IT since 2008. Prior thereto, Ms. Dahan served as Vice President of Human Resources commencing in April 2004. Ms. Dahan joined us in November 1993 and served as Personnel Manager commencing in April 2000, after having served as Compensation &amp; Benefits Manager and in various other positions in the Human Resources Department. Prior to joining us, Ms. Dahan served as Manager of the North Branch of O.R.S - Manpower Company for three years. Ms. Dahan holds a B.A. degree in social science from Haifa University and an MBA degree from the University of Derby.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Guy Eristoff has served as Site Manager of Tower Semiconductor San Antonio, Inc. since February 2023 and also serves as Chief Strategy Officer and Head of Pathfinder Activities since December 2019. Mr. Eristoff also serves as a member of the board of directors of TPSCo since April 2014. Previously, Mr. Eristoff served as TPSCo’s Chief Executive Officer from its foundation in April 2014 until December 2019. Previously, Mr. Eristoff served as Vice President, Global Operational Excellence at Tower Semiconductor Ltd. Prior to that, Mr. Eristoff served in various positions in the semiconductor industry such as Director of 200mm Fabs Core Engineering at Global-Foundries (Technology Development, Marketing, Industrial Engineering &amp; Central Engineering) for the 200mm Business Unit, General Manager, Singapore and Asia Region at Intevac, Thin Films Section Manager, Thin Films Module Manager and Process Integration Deputy Director at Chartered Semiconductor and Process/Hardware Engineer and Field Service Manager at Applied Materials. Mr. Eristoff holds a B.S. degree in Physics from Rensselaer Polytechnic Institute, (RPI) Troy New York.</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Avi Strum has served as our Senior Vice President and General Manager of the Sensors and Displays Business Unit since 2018, and also serves as a member of the board of directors of TPSCo since 2019. Previously,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degree in Electrical Engineering from the Technion - Israel Institute of Technology.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Dani Ashkenazi has served as Senior Vice President Excellence and Quality since July 2020. Previously, Mr. Ashkenazi served as Senior Vice President and General Manager of Transfer, Optimization and Development Process Services Business Unit (TOPS) and Europe Sales from June 2019, and as Vice President of Worldwide Customer Solutions from 2015. Mr. Ashkenazi served as Vice President of Sales for APAC &amp; Israel from 2008, after serving as General Manager, CMOS Product Line from 2005 and as Director of Customer Support, and Director of Reliability from 2003. Prior to that, Mr. Ashkenazi served as Application Manager at Tower USA in Santa Clara and prior to that Mr. Ashkenazi held engineering management positions within the process, test and product engineering groups. Mr. Ashkenazi holds M.Sc. and B.Sc. degrees in Physics from the Hebrew University of Jerusalem.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Noit Levy has served as Senior Vice President of Investor Relations and Corporate Communications and is heading our investor relations, public relations and marketing communications since 2008, having served as Director of Investor Relations and Public Relations since 2006. From 2001 to 2006 she has served in various other positions within the Company. Ms. Levy holds an MBA degree from Haifa University in Israel and a B.A. degree in Social Science and Management from the College of Management Academic Studies.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Amir Elstein has served as the Chairman of our Board since January 2009.  Mr. Elstein serves as a Director of Teva 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1982. In 1992, Mr. Elstein received his diploma of Senior Business Management from the Hebrew University of Jerusalem.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Kalman Kaufman has served as a director since 2005 and as chairman of the Corporate Governance and Nominating Committee since January 2018. Mr. 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Dana Gross has served as a director since November 2008, as a member of the Corporate Governance and Nominating Committee since January 2018, as a member of the Compensation Committee since February 2013 and as Chair of the Compensation Committee since November 2020.  In addition, Mrs. Gross has served as a director on the board of Tower Semiconductor Newport Beach, Inc., our wholly-owned subsidiary, since March 2009.  Mrs. Gross is currently the Head of Strategic Initiatives at Fiverr International Ltd. and Chief Strategy Officer of Prospera Technologies Ltd., a Valmont Company developing AgTech Data solutions.  Mrs. Gross was the CFO of eToro, a FinTech company that developed a Social Investment network from 2014 to 2016, and the CEO of Btendo, a start-up company that developed MEMS-based PICO projection solutions, until it was acquired by ST Microelectronics in 2012.  Mrs. Gross was a Venture Partner at Viola Ventures, a leading Israeli venture capital firm,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has served on the board of directors of Playtika Holding Corp. since January 2022, and previously served as a director of M-Systems Ltd., Audiocodes Ltd. and Power Dsine Ltd.  Mrs. Gross holds a B.Sc. degree in industrial engineering from Tel-Aviv University and an M.A. degree in business administration from San Jose State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Ilan Flato has served as a director since February 2009 (until November 2016 as an external director, within the meaning 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Yoav Z. Chelouche has served as a director since April 2016, as a member of the Corporate Governance and Nominating Committee since January 2018, and as the Chair and member of our Audit Committee since May 2017.  Mr. Chelouche is classified by the Board of Directors as an audit committee financial expert under applicable SEC rules. Mr. Chelouche serves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the Tel-Aviv Stock Exchange, Ltd. and Malam-Team Ltd. Mr. Chelouche also previously served as Chairman and/or director of several public companies, including Shufersal Ltd. Mr. Chelouche holds a B.A. degree in economics and statistics from Tel-Aviv University and an MBA degree from INSEAD, Fontainebleau, France.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Iris Avner has served as a director since June 2016 (until November 2016 as an external director, within the meaning of 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Michal Vakrat Wolkin has served as a director since September 2020, and as a member of the Corporate Governance and Nominating Committee since November 2020.  Since January 2023, Ms. Wolkin has served as the Director of Global Battery Investments for General Motors.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Israel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Avi Hasson has served as a director since September 2020, and as a member of the Audit Committee and Compensation Committee since November 2020.  Mr. Hasson is classified by the Board of Directors as an audit committee financial expert under applicable SEC rules. Mr. Hasson is the chief executive officer of Start-Up Nation Central, an independent non-profit that connects Israeli innovation to global partners. Mr. Hasson previously served as a partner at Emerge, a leading early 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the Special Majority (as defined in Exhibit 2.1 to this Annual Report under “— Disclosure of Personal Interests of an Office Holder and Approval of Certain Transactions—Approval of Director and Officer Compensation—Executive Officers other than the Chief Executive Officer”).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amended and restated compensation policy for executive officers and directors, which was approved by our shareholders on September 17, 2020, and amended on August 12, 2021,</w:t>
      </w:r>
      <w:r>
        <w:rPr>
          <w:rFonts w:ascii="Times New Roman;Times;serif" w:hAnsi="Times New Roman;Times;serif"/>
          <w:color w:val="0070C0"/>
          <w:sz w:val="20"/>
        </w:rPr>
        <w:t> </w:t>
      </w:r>
      <w:r>
        <w:rPr>
          <w:rFonts w:ascii="Times New Roman;Times;serif" w:hAnsi="Times New Roman;Times;serif"/>
          <w:sz w:val="20"/>
        </w:rPr>
        <w:t>serves as the basis for decisions concerning the financial terms of employment or engagement of our office holders (within the meaning of the Companies Law), including compensation, equity-based awards, indemnification and insurance, severance and other benefits. Our compensation policy is performance-based and is designed to align our officers’ and directors’ interests with those of our company and shareholders in order to enhance shareholder value. Our compensation policy allows us to provide incentives that reflect short-term, mid-term and long-term goals and performance, as well as motivate achievement of company targets, while providing compensation that is competitive in the global marketplace in which we recruit our senior management.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an Israeli company with a significant global footprint, we aim to adopt compensation policies and procedures that match global companies of similar complexity, including semiconductor companies and other companies which compete with us for similar talent.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4" w:name="z0fee09130a214da9b958527b19931c65"/>
      <w:bookmarkStart w:id="155" w:name="z0fee09130a214da9b958527b19931c65"/>
      <w:bookmarkEnd w:id="155"/>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education, skills, expertise and achievements of the relevant office holder;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6" w:name="z3070cf5aeca74a88a534187ee998dbe8"/>
      <w:bookmarkStart w:id="157" w:name="z3070cf5aeca74a88a534187ee998dbe8"/>
      <w:bookmarkEnd w:id="1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role and responsibilities of the office holder, and prior compensation arrangements with the office holder;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8" w:name="z50285e17fc374a44a3238b28031eab84"/>
      <w:bookmarkStart w:id="159" w:name="z50285e17fc374a44a3238b28031eab84"/>
      <w:bookmarkEnd w:id="1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0" w:name="z31c73d63fcdb444bb8a32b6c8c3b5d69"/>
      <w:bookmarkStart w:id="161" w:name="z31c73d63fcdb444bb8a32b6c8c3b5d69"/>
      <w:bookmarkEnd w:id="1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with respect to variable compensation, the possibility of reducing variable compensation at the discretion of the board of directors, and the possibility of setting a limit on the exercise value of non-cash variable equity-based compensation;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2" w:name="z29da91762c13403386fbb2d9f8129c2b"/>
      <w:bookmarkStart w:id="163" w:name="z29da91762c13403386fbb2d9f8129c2b"/>
      <w:bookmarkEnd w:id="1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under the Companies Law, the compensation policy must also include the following features: (i) with respect to variable components of the compensation of the chief executive officer, determining the variable compensation components on long term performance and measurable metrics; however, an immaterial portion of the variable components of the compensation of the chief executive officer, in the amount of up to three monthly salaries per annum, can be discretion-based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(such as directors, including the chairman of the board of directors);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All compensation arrangements of officers and directors are required to be approved in the manner prescribed by applicable law (see details in Exhibit 2.1 to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the year ended December 31, 2022, we paid to all our directors, officers and senior management who served during the period, as a group, an aggregate of $11.6 million in salaries, fees, payments upon termination and bonuses (excluding employer cost, relocation related expenses and equity-based compensation, which are detailed below). The total employer cost for personal vehicles, relocation related expenses, amounts set aside or accrued to provide for insurance, severance, retirement, vacation and similar benefits or expenses for such persons was approximately $2.1 million for the year ended December 31,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Company’s cost (including its employer’s cost), including all compensation paid and/ or value awarded and granted in cash and/or equity vehicles, respectively, to our five most highly compensated officers and/or directors for the year ended December 31, 2022, which consist of the individuals listed in A, D, B, C and I in the table set forth in Item 6A above (collectively referred to herein as the “Covered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Base salary cost gross recorded by the Company for the compensation of Covered Officers A, D, B, C and I for the year ended December 31, 2022, amounted to $0.88 million, $0.45 million, $0.42 million, $0.36 million and $0.29 million, respectively. Executive officers are entitled to social and other benefits in accordance with applicable law, our policies and common practice. The cost of social and other benefits awarded to the Covered Officers A, D, B, C and I for the year ended December 31, 2022, amounted to $0.20 million, $0.16 million, $0.21 million, $0.19 million and $0.16 million, respectively. In addition, relocation and related reimbursement expenses awarded to Covered Officer A for the year ended December 31, 2022, amounted to $0.28 million. No relocation related payments or accruals were made to any of Covered Officers D, B, C and I during the year ended December 31, 2022.</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valuation, in accordance with our compensation policy and subject to applicable law. The bonus cost gross amounts paid by the Company for the compensation of the Covered Officers A, D, B, C and I </w:t>
      </w:r>
      <w:r>
        <w:rPr>
          <w:rFonts w:ascii="Times New Roman;Times;serif" w:hAnsi="Times New Roman;Times;serif"/>
          <w:color w:val="000000"/>
          <w:sz w:val="20"/>
        </w:rPr>
        <w:t>during</w:t>
      </w:r>
      <w:r>
        <w:rPr>
          <w:rFonts w:ascii="Times New Roman;Times;serif" w:hAnsi="Times New Roman;Times;serif"/>
          <w:sz w:val="20"/>
        </w:rPr>
        <w:t xml:space="preserve"> the year ended December 31, 2022, amounted to $1.97 million, $0.73 million, $0.7 million, $0.56 million and $0.35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Equity based compensation for directors and officers is intended to be in the form of restricted stock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in our statements of operations over the applicable vesting schedule.  Total value of equity-based compensation awarded to the Covered Officers A, D, B, C and I and recorded for the year ended December 31, 2022 (calculated based on the total amortization cost recorded in the Company’s statement of operations for the year ended December 31, 2022 with respect to all equity-based grants awarded to the applicable Covered Officer), amounted to $6.3 million, $1.48 million, $1.44 million, $1.08 million and $0.79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Under our compensation policy, we may grant our executive officers certain termination and retirement payments, including a change of control related compensation, subject to the termination of employment of such officer or resignation under certain circumstances as specified in such change of control provision, and subject to receipt of applicable corporate approvals as required by law. In accordance with our compensation policy and the employment terms of our chief executive officer, upon termination of his employment, including upon a change of control, our chief executive officer may be eligible for a payment of twelve monthly base salaries, and in the event of termination of his employment upon a change of control as defined, he may also be entitled to acceleration of all unvested equity. In addition, under our compensation policy, upon a change of control as specified in the applicable change of control compensation provision, all other executive officers may be entitled to a payment in the amount of up to six months’ base salary and acceleration of all unvested equity, and the chairman of the board of directors and other directors may be entitled to acceleration of all or half of their unvested equity, as applicable. No such payment or accrual was made or earned during the year ended December 31,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Following approval of our shareholders and consistent with our compensation policy, we pay each of our directors (other than our chief executive officer who also serves as a director, whose compensation is detailed above, and the chairman of our board of directors, whose compensation is detailed below): (i) an annual fee of $52,500; and (ii) a committee membership fee of up to $6,000 annually and an additional fee of up to $3,000 annually for each committee chairperson; as well as reimbursement for reasonable travel and other expenses in accordance with our policies. In addition, the board of directors may compensate directors for special activities that are performed under special circumstances, in the amount of up to $2,000 per meeting. With regards to the chairman of our board of directors, at our 2022 annual general meeting of shareholders, our shareholders approved the payment of an annual cash fee of $300,000 (paid in monthly installments) and the award of time-based vesting RSUs in the value of $300,000, which vest in three equal installments on each of the three anniversaries of the date of grant. If the service of the chairman of our board of directors is terminated for any reason other than for cause, including by way of resignation, prior to the third anniversary from the date of grant, all his unvested RSUs shall be accelerated. Furthermore, at our 2022 annual general meeting of shareholders, our shareholders approved the award to each of our directors (other than our chief executive officer and the chairman of our board of directors, whose compensation is detailed above) of time</w:t>
      </w:r>
      <w:r>
        <w:rPr>
          <w:rFonts w:ascii="Times New Roman;Times;serif" w:hAnsi="Times New Roman;Times;serif"/>
          <w:color w:val="000000"/>
          <w:sz w:val="20"/>
        </w:rPr>
        <w:t xml:space="preserve">-based vesting </w:t>
      </w:r>
      <w:r>
        <w:rPr>
          <w:rFonts w:ascii="Times New Roman;Times;serif" w:hAnsi="Times New Roman;Times;serif"/>
          <w:sz w:val="20"/>
        </w:rPr>
        <w:t>RSUs in the value of $125,000,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such director has served on the board of directors for five years or more, all his/her unvested RSUs shall be accelerated; and (ii) if such director has served on the board of directors for less than five years, 50% of all his/her unvested RSUs shall be accelerated.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2022, approximately 0.94 million restricted share units (“RSUs”), performance-based-vesting RSUs (“Base PSUs") and upside PSUs, outstanding under the 2013 Plan were awarded to our directors and senior management, of which approximately 0.39 million were awarded to our chief executive officer and approximately 0.02 million were awarded to the chairman of our 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At our 2022 annual general meeting, our shareholders approved an equity grant to our chief executive officer in the value of $6.77 million, 40% of which is RSUs and 60% of which is Base PSUs, and an additional equity grant in the value of $0.41 million as upside PSUs, all vesting over a three- year period (together with the Base PSUs, referred to hereinafter as the “PSUs”). The vesting of the PSUs was subject to the attainment of certain pre-defined financial performance metrics of net profit and cash from operations for the year ended December 31, 2022, weighted equally, and if such 2022 performance measures are met, the PSUs vest over a three year period, such that one third of the PSUs vest at the end of each year from the date of grant.  Actual net profit for 2022 was $264.6 million and cash from operations for 2022 was $529.8 million. Since these 2022 actual financial results exceeded the pre-defined financial performance metrics for the vesting of the PSUs, the chief executive officer is entitled to all of the PSUs, subject to the time-vesting schedule described above. Under the above referenced approval, we granted to the chief executive officer 58,836 time-vested RSUs and 97,080 PSUs, consisting of 88,255 Base PSUs and 8,825 upside PSUs, subject to the time-vesting schedule as detailed above, for a total compensation value of approximately $7.18 million.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further to our shareholders’ approval in July 2022, we granted (i) 6,516 time-based vesting RSUs to the chairman of the board of directors, for a total compensation value of approximately $0.3 million, and (ii) 2,715 time-based vesting RSUs to each of our seven board members who served on the board of directors at the time of such shareholder meeting (excluding the chairman and the chief executive officer), for a total compensation value of approximately $0.87 million. In addition, during 2022, we granted an aggregate of 74,851 time-based vesting RSUs and 123,502 PSUs</w:t>
      </w:r>
      <w:r>
        <w:rPr>
          <w:rFonts w:ascii="Times New Roman;Times;serif" w:hAnsi="Times New Roman;Times;serif"/>
          <w:color w:val="000000"/>
          <w:sz w:val="20"/>
        </w:rPr>
        <w:t>,</w:t>
      </w:r>
      <w:r>
        <w:rPr>
          <w:rFonts w:ascii="Times New Roman;Times;serif" w:hAnsi="Times New Roman;Times;serif"/>
          <w:sz w:val="20"/>
        </w:rPr>
        <w:t xml:space="preserve"> consisting of 112,279 base PSUs and 11,223 upside PSUs, to our senior management described in Item 6A (excluding the chief executive officer) under the 2013 Plan, vesting over a three-year period, for a total compensation value of approximately $9.35 million.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compensation policy includes minimum shareholding guidelines pursuant to which: (i) the chief executive officer is required to own ordinary shares in a minimum value that equals at least three times his annual base salary, commencing May 2024; and (ii) the directors and other executive officers are required to own ordinary shares in a minimum value that equals at least 50% of their respective annual fee or annual base salary, as applicable, commencing July 2025. The chief executive officer, other officers and directors have been provided five years from the date our board of directors approved their respective minimum shareholding guideline to accumulate such minimum holdings until such specified dates, and during such period they must retain at least 20% of the vested time-based RSUs that may be granted to them from the date the respective guideline was approved by the board of directors and until the respective minimum holding is met.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further information concerning our employee equity plans and outstanding employee equity, see Note 15B to the consolidated financial statements included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BOARD PRACTICES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Articles of Association provide that the Board of Directors shall consist of at least five and no more than 11 members. Our Board of Directors is currently comprised of nine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Alternate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Articles of Association provide that any director may,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serving as a director or an alternate director, may act as an alternate director, and the same person may not act as the alternate for more than one director at a time. An alternate director has the same rights and responsibilities as a director, and the appointment of an alternate director does not relieve the appointing director from his/her responsibilities as a director.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External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Companies Law requires Israeli companies with shares that have been offered to the public in or outside of Israel to appoint at least two external directors. However, pursuant to the Companies Regulations (Relief for Companies Whose Shares are Registered for Trading Outside of Israel) – 2000 (the “Relief Regulations”), an Israeli public company whose shares are listed on certain foreign stock exchanges listed in the Relief Regulations, which include the NASDAQ Global Select Market, may elect to exempt itself from the requirement to appoint external directors if it meets both of the following conditions: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4" w:name="z2786cf02bc144cff87647d37bc59c68b"/>
      <w:bookmarkStart w:id="165" w:name="z2786cf02bc144cff87647d37bc59c68b"/>
      <w:bookmarkEnd w:id="165"/>
    </w:p>
    <w:tbl>
      <w:tblPr>
        <w:tblW w:w="5718" w:type="dxa"/>
        <w:jc w:val="left"/>
        <w:tblInd w:w="0" w:type="dxa"/>
        <w:tblLayout w:type="fixed"/>
        <w:tblCellMar>
          <w:top w:w="0" w:type="dxa"/>
          <w:left w:w="0" w:type="dxa"/>
          <w:bottom w:w="0" w:type="dxa"/>
          <w:right w:w="0" w:type="dxa"/>
        </w:tblCellMar>
      </w:tblPr>
      <w:tblGrid>
        <w:gridCol w:w="38"/>
        <w:gridCol w:w="110"/>
        <w:gridCol w:w="5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57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company does not have a controlling shareholder;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6" w:name="zec0d90aafce9405b9192799f421eccfe"/>
      <w:bookmarkStart w:id="167" w:name="zec0d90aafce9405b9192799f421eccfe"/>
      <w:bookmarkEnd w:id="1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company complies with the requirements of the securities laws and stock exchange regulations in the foreign jurisdiction where its shares are listed relating to the appointment of independent directors and composition of audit and compensation committees as applicable to companies that are incorporated under the laws of such foreign jurisdiction.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Relief Regulations, Israeli public companies that meet the above conditions may elect to comply with the applicable rules in the foreign jurisdiction governing the appointment of independent directors and composition of audit and compensation committees as applicable to domestic issuers in the foreign jurisdiction (which with respect to the Company are the Nasdaq Listing Rules and the rules under the Securities Exchange Act of 1934 (the “Exchange Act”)) instead of complying with the Companies Law provisions relating to (i) the appointment of external directors; (ii) certain limitations on the employment or service of an outside director or his or her spouse, children or other relatives, following the cessation of the service as an outside director, by or for the company, its controlling shareholder or an entity controlled by the controlling shareholder; (iii) the composition, meetings and quorum of the audit committee; and (iv) the composition and meetings of the compensation committee. If a company has elected to avail itself from the requirement to appoint external directors and at the time a director is appointed all members of the board of directors are of the same gender, a director of the other gender must be appointed.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Following analysis of our qualification to rely on the exemption, in September 2016, our Board of Directors determined to adopt the exemption, effective as of November 1, 2016. If in the future we were to have a controlling shareholder, we would again be required to comply with the requirements relating to external directors and the composition of the audit committee and compensation committee under Israeli law.</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Director Independence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accordance with the exemption from the Israeli law requirement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corporate governance and nominating committee complies with the requirements of the Nasdaq Listing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audit committee currently consists of Mr. Yoav Z. Chelouche, Mr. Ilan Flato, Mr. Avi Hasson and Mrs. Iris Avner. Mr. Yoav Z. Chelouche serves as the audit committee chairman.</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Composition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Companies Law requires public companies to appoint an audit committee; however, following the Company’s determination to follow the relief provided under the Relief Regulations, as described above, the composition of our audit committee is governed by the rules set forth in the Nasdaq Listing Rules and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of Directors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In addition, our Board of Directors has determined that each member of our audit committee is an audit committee financial expert pursuant to the applicable SEC rules.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Audit Committee role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has adopted an audit committee charter setting forth the responsibilities of the audit committee consistent with the Companies Law, the SEC rules and the Nasdaq Listing Rules, which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8" w:name="z764a6d6515674f3fa2239280b2a27c57"/>
      <w:bookmarkStart w:id="169" w:name="z764a6d6515674f3fa2239280b2a27c57"/>
      <w:bookmarkEnd w:id="1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retaining and terminating our independent auditors, subject to the ratification of the board of directors, and in the case of retention, to that of the shareholders, as applicable in accordance with the Companies Law;</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0" w:name="z50e9f00b8e2f4e8cb15038ed74db4e98"/>
      <w:bookmarkStart w:id="171" w:name="z50e9f00b8e2f4e8cb15038ed74db4e98"/>
      <w:bookmarkEnd w:id="1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pre-approving of audit and non-audit services and related fees and terms, to be provided by the independent auditors;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2" w:name="z76d8ca41b3ee459aa450632b27880d14"/>
      <w:bookmarkStart w:id="173" w:name="z76d8ca41b3ee459aa450632b27880d14"/>
      <w:bookmarkEnd w:id="1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4" w:name="z1bff84e51d564372bc44c7d804e11474"/>
      <w:bookmarkStart w:id="175" w:name="z1bff84e51d564372bc44c7d804e11474"/>
      <w:bookmarkEnd w:id="1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reviewing with management and our independent auditor our annual and quarterly financial statements prior to publication or filing (or submission, as the case may be);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6" w:name="zb6bb1ce79196444cb8f48e8cd83fa6c1"/>
      <w:bookmarkStart w:id="177" w:name="zb6bb1ce79196444cb8f48e8cd83fa6c1"/>
      <w:bookmarkEnd w:id="1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8" w:name="z567f7536e0794031896680fe9531bda5"/>
      <w:bookmarkStart w:id="179" w:name="z567f7536e0794031896680fe9531bda5"/>
      <w:bookmarkEnd w:id="179"/>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34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overviewing Company risk assessment and reviewing regulatory compliance;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0" w:name="zfce154380dbf4018bef3e5a6ab653880"/>
      <w:bookmarkStart w:id="181" w:name="zfce154380dbf4018bef3e5a6ab653880"/>
      <w:bookmarkEnd w:id="1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determining whether to approve certain related party transactions (including transactions in which an office holder has a personal interest) and whether any such transaction is extraordinary or material under Companies Law;</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ead411cf5dd7492d82980e1edf1ce5eb"/>
      <w:bookmarkStart w:id="183" w:name="zead411cf5dd7492d82980e1edf1ce5eb"/>
      <w:bookmarkEnd w:id="1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4" w:name="z6a12400f840140fcac1202228ea0f76c"/>
      <w:bookmarkStart w:id="185" w:name="z6a12400f840140fcac1202228ea0f76c"/>
      <w:bookmarkEnd w:id="1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6" w:name="z6a8568c809084b47ba3245155a9d32b7"/>
      <w:bookmarkStart w:id="187" w:name="z6a8568c809084b47ba3245155a9d32b7"/>
      <w:bookmarkEnd w:id="1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responsible for the handling of employees’ complaints as to the management of our business and the protection to be provided to such employees.</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Compensation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compensation committee is comprised of Mr. Ilan Flato, Mr. Avi Hasson and Mrs. Dana Gross. Mrs. Dana Gross serves as the compensation committee chairperson.</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Composition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Nasdaq Listing Rules, we are required to maintain a compensation committee consisting of at least two directors, each of whom is an independent director within the meaning of the Nasdaq Listing Rules.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of Directors has determined that all of the members of the compensation committee meet the independence requirements for compensation committee service of the Nasdaq Listing Rules and the Exchange Act.</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Compensation Committee role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8" w:name="zdf78e07f3e9c4472958dc23a563a4340"/>
      <w:bookmarkStart w:id="189" w:name="zdf78e07f3e9c4472958dc23a563a4340"/>
      <w:bookmarkEnd w:id="1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recommending to the Board of Directors for its approval (i) a compensation policy for officers and directors, (ii) once every three years, whether to extend the compensation policy, subject to receipt of the required corporate approval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0" w:name="zb53932e3f28f4c6b9da0b806b4705cfb"/>
      <w:bookmarkStart w:id="191" w:name="zb53932e3f28f4c6b9da0b806b4705cfb"/>
      <w:bookmarkEnd w:id="1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approving transactions relating to the terms of office and employment of office holders (within the meaning of the Companies Law), which require the approval of the compensation committee pursuant to the Companies Law;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2" w:name="ze38466c90c9447fabf9e7baa316903e3"/>
      <w:bookmarkStart w:id="193" w:name="ze38466c90c9447fabf9e7baa316903e3"/>
      <w:bookmarkEnd w:id="1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reviewing and approving equity grants to non-executive employees under our equity-based incentive plans.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i/>
          <w:color w:val="000000"/>
        </w:rPr>
      </w:pPr>
      <w:r>
        <w:rPr>
          <w:rFonts w:ascii="Times New Roman;Times;serif" w:hAnsi="Times New Roman;Times;serif"/>
          <w:b/>
          <w:i/>
          <w:color w:val="000000"/>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Corporate Governance and Nominating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corporate governance and nominating committee is comprised of Mr. Kalman Kaufman, Mrs. Dana Gross, Ms. Michal Vakrat Wolkin and Yoav Z. Chelouche. Mr. Kalman Kaufman serves as the corporate governance and nominating committee chairman.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has adopted a corporate governance and nominating committee charter setting forth the responsibilities of the corporate governance and nominating committee, which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4" w:name="z23c57e41309f4b4fbc142cc84536fa73"/>
      <w:bookmarkStart w:id="195" w:name="z23c57e41309f4b4fbc142cc84536fa73"/>
      <w:bookmarkEnd w:id="1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overseeing and assisting our board of directors in reviewing and recommending nominees for election as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6" w:name="z407ec73fa1804205ad95a354b8a5de00"/>
      <w:bookmarkStart w:id="197" w:name="z407ec73fa1804205ad95a354b8a5de00"/>
      <w:bookmarkEnd w:id="197"/>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2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assessing the performance of the members of our board of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8" w:name="z541ccffb0aa3449b92d56c10ef7675fa"/>
      <w:bookmarkStart w:id="199" w:name="z541ccffb0aa3449b92d56c10ef7675fa"/>
      <w:bookmarkEnd w:id="1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reviewing and recommending to our board of directors the structure and members of committees of the board;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0" w:name="za999771d2a7d48fe8ef4ec7a6348c928"/>
      <w:bookmarkStart w:id="201" w:name="za999771d2a7d48fe8ef4ec7a6348c928"/>
      <w:bookmarkEnd w:id="2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assisting our board of directors in carrying out its responsibilities related to chief executive officer succession planning;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2" w:name="z2c7057b421fb4965bedba2b6c7b19bd4"/>
      <w:bookmarkStart w:id="203" w:name="z2c7057b421fb4965bedba2b6c7b19bd4"/>
      <w:bookmarkEnd w:id="2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reviewing and overseeing our corporate governance practices and communication plans for shareholder meetings and to promote effective communication for shareholder meetings;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4" w:name="z1610e878d1d0465788ca8712af7c2398"/>
      <w:bookmarkStart w:id="205" w:name="z1610e878d1d0465788ca8712af7c2398"/>
      <w:bookmarkEnd w:id="205"/>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overseeing our commitment to ESG matters and advising our board of directors on such matters.</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Internal Auditor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Joseph Ginossar of Fahn Kanne, an affiliate of Grant Thornton International, serves as our internal auditor.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Director Service Contracts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than under the employment arrangement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   EMPLOYEES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for the last three fiscal years, the number of our employees engaged in the specified activities.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6" w:name="z329c37f9129f4bb2ab2b67d6898685ed"/>
      <w:bookmarkStart w:id="207" w:name="z329c37f9129f4bb2ab2b67d6898685ed"/>
      <w:bookmarkEnd w:id="207"/>
    </w:p>
    <w:tbl>
      <w:tblPr>
        <w:tblW w:w="7070" w:type="dxa"/>
        <w:jc w:val="left"/>
        <w:tblInd w:w="0" w:type="dxa"/>
        <w:tblLayout w:type="fixed"/>
        <w:tblCellMar>
          <w:top w:w="0" w:type="dxa"/>
          <w:left w:w="0" w:type="dxa"/>
          <w:bottom w:w="0" w:type="dxa"/>
          <w:right w:w="0" w:type="dxa"/>
        </w:tblCellMar>
      </w:tblPr>
      <w:tblGrid>
        <w:gridCol w:w="4835"/>
        <w:gridCol w:w="60"/>
        <w:gridCol w:w="60"/>
        <w:gridCol w:w="560"/>
        <w:gridCol w:w="60"/>
        <w:gridCol w:w="60"/>
        <w:gridCol w:w="60"/>
        <w:gridCol w:w="560"/>
        <w:gridCol w:w="60"/>
        <w:gridCol w:w="60"/>
        <w:gridCol w:w="60"/>
        <w:gridCol w:w="560"/>
        <w:gridCol w:w="7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10"/>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As of December 31,</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2020</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Process and product engineering, R&amp;D and design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994</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Manufacturing and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3,858</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Manufacturing support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Sales and marketing, finance &amp; administration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273</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we had 1,649 employees located in Israel, 1,501 employees located in the United States, 2,434 employees located in Japan and 29 employees located in other countries in the Asia Pacific region and across Europe.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than a special collective agreement relating to our Israeli employees regarding employer payments to pension funds of such employees,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that apply to our employees principally concern the requirement for length of the workday and workweek, mandatory employer’s payments to employees’ pension funds, annual recreation allowance, travel expenses payment and other conditions of employment.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have been attempts, including recently, by the Histadrut to organize and establish a representative labor union for our Israeli employees. Under Israeli law, establishing a representative labor union requires at least one-third of the Israeli employees to join the Histadrut and all employees would be liable to pay its membership fees.  While the Histadrut’s attempts have not succeeded to date, if a representative labor union would be established, we would need to conduct negotiations with the representative labor union and the Histadrut regarding the terms of employment and benefits of the employees.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special collective bargaining agreement to which we are party relating to our Israeli employees, we are required to pay funds to an employee’s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pay an amount equal to 6% of his or her wages to the insurance fund or pension fund, and Tower pays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payments to severance pay is in lieu of payment of severance pay upon termination of employment. Therefore, the monthly payments as mentioned above constitute the entire required payments for severance pay, and we are not required to pay any additional severance upon termination of employment of our Israeli employees for the period during which Sections 14 applies.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portion of the employees at its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union employees who terminate employment are provided with a lump-sum benefit payment.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Most of TPSCo’s employees at its Japan fabs are represented by a union and covered by a collective bargaining agreement. TPSCo established a Defined Contribution Retirement Plan (the “DC Plan”) for its employees, through which TPSCo pays approximately 9% with employee average match of 1% from employee base salary to the DC Plan. Such payment releases the employer from further obligation to any payments upon termination of employment. The payment is remitted either to third party benefit funds that are responsible to invest the funds based on employee preference, or directly, to those employees who elected not to enroll in the DC Plan.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  SHARE OWNERSHIP</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March 31, 2023, no individual director or senior manager beneficially owned (as defined in Rule 13d-3 under the Securities Exchange Act of 1934, as amended) one percent or more of our ordinary shares and all directors and senior managers in the aggregate beneficially owned 0.51% of our ordinary shares. As of March 31, 2023, our directors and senior managers held RSUs and PSUs for an aggregate of approximately 0.84 million of our ordinary shares. For information regarding our equity-based incentive plans, see Note 15B to our consolidated financial statements included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   DISCLOSURE OF A REGISTRANT'S ACTION TO RECOVER ERRONEOUSLY AWARDED COMPENSATION </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08" w:name="ITEM7"/>
      <w:bookmarkEnd w:id="208"/>
      <w:r>
        <w:rPr>
          <w:rFonts w:ascii="Times New Roman;Times;serif" w:hAnsi="Times New Roman;Times;serif"/>
          <w:b/>
          <w:color w:val="000000"/>
          <w:sz w:val="20"/>
        </w:rPr>
        <w:t>ITEM 7.</w:t>
      </w:r>
      <w:r>
        <w:rPr>
          <w:sz w:val="20"/>
        </w:rPr>
        <w:t xml:space="preserve">            </w:t>
      </w:r>
      <w:r>
        <w:rPr>
          <w:rFonts w:ascii="Times New Roman;Times;serif" w:hAnsi="Times New Roman;Times;serif"/>
          <w:b/>
          <w:color w:val="000000"/>
          <w:sz w:val="20"/>
        </w:rPr>
        <w:t>MAJOR SHAREHOLDERS AND RELATED PARTY TRANSACTIONS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MAJOR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Information concerning the beneficial ownership (as defined in Rule 13d-3 under the Securities Exchange Act of 1934, as amended) of our ordinary shares by any person who is known to us to beneficially own 5% or more of our issued and outstanding ordinary shares as of March 31, 2023 is set forth below. The percentage of beneficial ownership of our ordinary shares is based on 110,054,848 million ordinary shares issued and outstanding as of March 31,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voting rights of our major shareholders do not differ from the voting rights of other holders of our ordinary shares.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9" w:name="z718f858352424f77a4e4ea8eb7c8c6ff"/>
      <w:bookmarkStart w:id="210" w:name="z718f858352424f77a4e4ea8eb7c8c6ff"/>
      <w:bookmarkEnd w:id="210"/>
    </w:p>
    <w:tbl>
      <w:tblPr>
        <w:tblW w:w="8261" w:type="dxa"/>
        <w:jc w:val="left"/>
        <w:tblInd w:w="0" w:type="dxa"/>
        <w:tblLayout w:type="fixed"/>
        <w:tblCellMar>
          <w:top w:w="0" w:type="dxa"/>
          <w:left w:w="0" w:type="dxa"/>
          <w:bottom w:w="0" w:type="dxa"/>
          <w:right w:w="0" w:type="dxa"/>
        </w:tblCellMar>
      </w:tblPr>
      <w:tblGrid>
        <w:gridCol w:w="4220"/>
        <w:gridCol w:w="60"/>
        <w:gridCol w:w="135"/>
        <w:gridCol w:w="2216"/>
        <w:gridCol w:w="135"/>
        <w:gridCol w:w="135"/>
        <w:gridCol w:w="135"/>
        <w:gridCol w:w="995"/>
        <w:gridCol w:w="23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Ordinary Shares Beneficially Owned</w:t>
            </w:r>
          </w:p>
        </w:tc>
        <w:tc>
          <w:tcPr>
            <w:tcW w:w="230" w:type="dxa"/>
            <w:tcBorders/>
            <w:vAlign w:val="center"/>
          </w:tcPr>
          <w:p>
            <w:pPr>
              <w:pStyle w:val="TableContents"/>
              <w:bidi w:val="0"/>
              <w:spacing w:before="0" w:after="283"/>
              <w:jc w:val="left"/>
              <w:rPr/>
            </w:pPr>
            <w:r>
              <w:rPr/>
              <w:t> </w:t>
            </w:r>
          </w:p>
        </w:tc>
      </w:tr>
      <w:tr>
        <w:trPr/>
        <w:tc>
          <w:tcPr>
            <w:tcW w:w="4220" w:type="dxa"/>
            <w:tcBorders>
              <w:bottom w:val="single" w:sz="12" w:space="0" w:color="000000"/>
            </w:tcBorders>
            <w:tcMar>
              <w:bottom w:w="28" w:type="dxa"/>
            </w:tcMar>
            <w:vAlign w:val="center"/>
          </w:tcPr>
          <w:p>
            <w:pPr>
              <w:pStyle w:val="TableContents"/>
              <w:bidi w:val="0"/>
              <w:spacing w:lineRule="auto" w:line="300" w:before="0" w:after="0"/>
              <w:jc w:val="both"/>
              <w:rPr>
                <w:rFonts w:ascii="Times New Roman;Times;serif" w:hAnsi="Times New Roman;Times;serif"/>
                <w:b/>
                <w:color w:val="000000"/>
              </w:rPr>
            </w:pPr>
            <w:r>
              <w:rPr>
                <w:rFonts w:ascii="Times New Roman;Times;serif" w:hAnsi="Times New Roman;Times;serif"/>
                <w:b/>
                <w:color w:val="000000"/>
              </w:rPr>
              <w:t>Name of Beneficial Owner</w:t>
            </w:r>
          </w:p>
        </w:tc>
        <w:tc>
          <w:tcPr>
            <w:tcW w:w="60" w:type="dxa"/>
            <w:tcBorders/>
            <w:vAlign w:val="center"/>
          </w:tcPr>
          <w:p>
            <w:pPr>
              <w:pStyle w:val="TableContents"/>
              <w:bidi w:val="0"/>
              <w:spacing w:before="0" w:after="283"/>
              <w:jc w:val="left"/>
              <w:rPr/>
            </w:pPr>
            <w:r>
              <w:rPr/>
              <w:t> </w:t>
            </w:r>
          </w:p>
        </w:tc>
        <w:tc>
          <w:tcPr>
            <w:tcW w:w="235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Number</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Percent (1)</w:t>
            </w:r>
          </w:p>
        </w:tc>
        <w:tc>
          <w:tcPr>
            <w:tcW w:w="23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Clal Insurance Enterprises Holdings Ltd. (2)</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6"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6,027,252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5.48</w:t>
            </w:r>
          </w:p>
        </w:tc>
        <w:tc>
          <w:tcPr>
            <w:tcW w:w="23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____________</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1" w:name="z0359edc1d02f4211ac5052caef56ec83"/>
      <w:bookmarkStart w:id="212" w:name="z0359edc1d02f4211ac5052caef56ec83"/>
      <w:bookmarkEnd w:id="212"/>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(1)</w:t>
            </w:r>
          </w:p>
        </w:tc>
        <w:tc>
          <w:tcPr>
            <w:tcW w:w="9954"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 accordance with the rules of the SEC, assumes (i) the holder’s beneficial ownership of outstanding ordinary shares and all ordinary shares that the holder has a right to purchase within 60 days of March 31, 2023; and (ii) no other exercisable or convertible securities held by other holders has been exercised or converted into ordinary shares.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3" w:name="z8437f42127e04627804c7d6ed4276cab"/>
      <w:bookmarkStart w:id="214" w:name="z8437f42127e04627804c7d6ed4276cab"/>
      <w:bookmarkEnd w:id="214"/>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(2)</w:t>
            </w:r>
          </w:p>
        </w:tc>
        <w:tc>
          <w:tcPr>
            <w:tcW w:w="993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Based solely upon and qualified in its entirety with reference to, a notice provided to the Company by Clal Insurance Enterprises Holdings Ltd. as of March 31, 2023.</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April 1, 2023, based on information provided to us by our transfer agent in the United States, there were a total of 12 holders of record of our ordinary shares, of which 7 were registered with addresses in the United States. Such U.S. record holders were, as of such date, the holders of record of approximately 70%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70% of our outstanding ordinary shares as of such date, including those held for the benefit of the Tel Aviv Stock Exchange clearing house as a member of Depository Trust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RELATED PARTY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than executive and director compensation, executive officer employment arrangements, indemnification and exculpation arrangements and directors’ and officers’ liability insurance policy, as discussed elsewhere in this annual report, for the years 2020, 2021 and 2022 and through the date of the filing of this annual report with the SEC,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18 to the consolidated financial statements included herein.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INTERESTS OF EXPERTS AND COUNSEL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8</w:t>
      </w:r>
      <w:bookmarkStart w:id="215" w:name="ITEM8"/>
      <w:bookmarkEnd w:id="215"/>
      <w:r>
        <w:rPr>
          <w:rFonts w:ascii="Times New Roman;Times;serif" w:hAnsi="Times New Roman;Times;serif"/>
          <w:b/>
          <w:color w:val="000000"/>
          <w:sz w:val="20"/>
        </w:rPr>
        <w:t>.</w:t>
      </w:r>
      <w:r>
        <w:rPr>
          <w:sz w:val="20"/>
        </w:rPr>
        <w:t xml:space="preserve">            </w:t>
      </w:r>
      <w:r>
        <w:rPr>
          <w:rFonts w:ascii="Times New Roman;Times;serif" w:hAnsi="Times New Roman;Times;serif"/>
          <w:b/>
          <w:color w:val="000000"/>
          <w:sz w:val="20"/>
        </w:rPr>
        <w:t>FINANCIAL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CONSOLIDATED STATEMENTS AND OTHER FINANCIAL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“Item 18 –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Legal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NPB Co. leases its fabrication facilities and offices under an operational lease agreement that was initially in effect until March 2022 and provided NPB Co. an option, at its sole discretion, to extend the lease for an additional five year period, which NPB Co. elected to exercise for the lease to continue through March 2027. In the amendments to its lease, (i) NPB Co. secured various contractual safeguards designed to limit and mitigate any adverse impact of construction activities on its fabrication operations; and (ii) the lease agreement includes certain obligations, including certain noise abatement actions in relation to the fabrication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See “Item 3. Key Information—D. Risk Factors—Risks Affecting Our Business— Risks relating to Fab 3 lease could harm business, operations and financial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Dividend Policy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intend to retain our cash balance, deposits, investments in marketable securities and future earnings to finance our growth and acquisition strategy, as well as capacity growth and our ongoing operations, and we do not anticipate paying any dividends in the foreseeable future. The Companies Law imposes restrictions on our ability to declare and pay dividends. In addition, the Merger Agreement includes provisions with respect to dividends restrictions.  If our board of directors will decide in the future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Payment of dividends may be subject to Israeli withholding taxes. See “Item 10. Taxation—E. Israeli Taxation” for additional information.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SIGNIFICANT CHANGES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 significant change has occurred since December 31, 2022, except as disclosed in this annual report.</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16" w:name="ITEM9"/>
      <w:bookmarkEnd w:id="216"/>
      <w:r>
        <w:rPr>
          <w:rFonts w:ascii="Times New Roman;Times;serif" w:hAnsi="Times New Roman;Times;serif"/>
          <w:b/>
          <w:color w:val="000000"/>
          <w:sz w:val="20"/>
        </w:rPr>
        <w:t>ITEM 9.</w:t>
      </w:r>
      <w:r>
        <w:rPr>
          <w:sz w:val="20"/>
        </w:rPr>
        <w:t xml:space="preserve">            </w:t>
      </w:r>
      <w:r>
        <w:rPr>
          <w:rFonts w:ascii="Times New Roman;Times;serif" w:hAnsi="Times New Roman;Times;serif"/>
          <w:b/>
          <w:color w:val="000000"/>
          <w:sz w:val="20"/>
        </w:rPr>
        <w:t>THE OFFER AND LISTING</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  If the Merger is completed, the Company will become a wholly owned subsidiary of Parent, and the Company Shares will no longer be publicly traded and will be delisted from the NASDAQ Global Select Market and the TASE.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10.</w:t>
      </w:r>
      <w:bookmarkStart w:id="217" w:name="ITEM10."/>
      <w:bookmarkEnd w:id="217"/>
      <w:r>
        <w:rPr>
          <w:sz w:val="20"/>
        </w:rPr>
        <w:t xml:space="preserve">          </w:t>
      </w:r>
      <w:r>
        <w:rPr>
          <w:rFonts w:ascii="Times New Roman;Times;serif" w:hAnsi="Times New Roman;Times;serif"/>
          <w:b/>
          <w:color w:val="000000"/>
          <w:sz w:val="20"/>
        </w:rPr>
        <w:t>ADDITIONAL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  SHARE CAPITAL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   MEMORANDUM AND ARTICLES OF ASSOCIATION</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Registration Number and Purposes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registration number with the Israeli Companies Registrar is 520041997. Pursuant to Section 4 of our Articles of Association, our objective is to engage in any lawful activity.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Shareholder Meetings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Israeli law and our Articles of Association, we are required to hold an annual general meeting of shareholders each year that must be held no later than 15 months from the last annual meeting, upon at least 21 days’ prior notice to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special meeting may be convened by the Board of Directors, at such times as it deems fit, and it is required to convene a special meeting at the request of (i) any two directors or twenty-five percent of the board members or (ii)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of Directors must convene a special meeting and provide notice for the meeting setting forth the date, time and place of the meeting, which generally shall not be convened more than 35 days after the notice for the meeting. If the special meeting is not convened by the Board of Directors as set forth above, the person who requested the Board to convene the meeting may convene the meeting, in the same manner a special meeting is convened by the Board of Directors, provided that such meeting shall not be held after three months have elapsed from the date the request was submitted.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Companies Law and our Articles of Association, resolutions regarding the following matters are required to be approved by our shareholders at a general meeting.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8" w:name="z82785ea16aeb404bbb0d8f19d667edfa"/>
      <w:bookmarkStart w:id="219" w:name="z82785ea16aeb404bbb0d8f19d667edfa"/>
      <w:bookmarkEnd w:id="219"/>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11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amendments to our Articles of Association;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0" w:name="zb2202a2df17b44e6858c682a29f2975b"/>
      <w:bookmarkStart w:id="221" w:name="zb2202a2df17b44e6858c682a29f2975b"/>
      <w:bookmarkEnd w:id="221"/>
    </w:p>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appointment, terms of engagement and termination of engagement of our independent auditors;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2" w:name="z85b03ff976264772a4586e091ec24ac4"/>
      <w:bookmarkStart w:id="223" w:name="z85b03ff976264772a4586e091ec24ac4"/>
      <w:bookmarkEnd w:id="223"/>
    </w:p>
    <w:tbl>
      <w:tblPr>
        <w:tblW w:w="4233" w:type="dxa"/>
        <w:jc w:val="left"/>
        <w:tblInd w:w="0" w:type="dxa"/>
        <w:tblLayout w:type="fixed"/>
        <w:tblCellMar>
          <w:top w:w="0" w:type="dxa"/>
          <w:left w:w="0" w:type="dxa"/>
          <w:bottom w:w="0" w:type="dxa"/>
          <w:right w:w="0" w:type="dxa"/>
        </w:tblCellMar>
      </w:tblPr>
      <w:tblGrid>
        <w:gridCol w:w="38"/>
        <w:gridCol w:w="110"/>
        <w:gridCol w:w="40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8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appointment and dismissal of our directors;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4" w:name="z820715a482f04476bf4799e3d21bacbf"/>
      <w:bookmarkStart w:id="225" w:name="z820715a482f04476bf4799e3d21bacbf"/>
      <w:bookmarkEnd w:id="225"/>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8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approval of certain related party transactions and certain officer and director compensation;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6" w:name="z8dfe63921cb1474d9a61be9987c85265"/>
      <w:bookmarkStart w:id="227" w:name="z8dfe63921cb1474d9a61be9987c85265"/>
      <w:bookmarkEnd w:id="2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increase or reduction of authorized share capital in accordance with the provisions of the Companies Law or the rights of shareholders or a class of shareholders;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8" w:name="ze133f28951ff4195b39df958e92ddb7e"/>
      <w:bookmarkStart w:id="229" w:name="ze133f28951ff4195b39df958e92ddb7e"/>
      <w:bookmarkEnd w:id="229"/>
    </w:p>
    <w:tbl>
      <w:tblPr>
        <w:tblW w:w="1713" w:type="dxa"/>
        <w:jc w:val="left"/>
        <w:tblInd w:w="0" w:type="dxa"/>
        <w:tblLayout w:type="fixed"/>
        <w:tblCellMar>
          <w:top w:w="0" w:type="dxa"/>
          <w:left w:w="0" w:type="dxa"/>
          <w:bottom w:w="0" w:type="dxa"/>
          <w:right w:w="0" w:type="dxa"/>
        </w:tblCellMar>
      </w:tblPr>
      <w:tblGrid>
        <w:gridCol w:w="38"/>
        <w:gridCol w:w="110"/>
        <w:gridCol w:w="15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56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any merger;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0" w:name="z192e30ee32c5493b95c46845d9c105f3"/>
      <w:bookmarkStart w:id="231" w:name="z192e30ee32c5493b95c46845d9c105f3"/>
      <w:bookmarkEnd w:id="2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the exercise of the Board of Directors’ powers by the general meeting, if the Board of Directors is unable to exercise its powers and the exercise of any of its powers is essential for Tower’s proper management.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2022 Annual General Meeting of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of the proposals presented for approval at the 2022 Annual General Meeting of Shareholders of the Company held on July 21, 2022 (the “Meeting”) were approved by the requisite vote of the Company’s shareholders in accordance with the Companies Law and the Company’s articles of association, as described in the Notice and Proxy Statement for the Meeting that was attached as Exhibit 99.1 to a Report of Foreign Private Issuer on Form 6-K furnished by the Company to the SEC on June 9,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Borrowing Powers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However, for the period commencing on the date of execution of the Merger Agreement on February 15, 2022 and until the closing of the Merger (subject to the Merger Agreement being in effect), the Company is subject to certain borrowing related limitations, including with respect to the incurrence, prepayment, and guarantee of indebtedness for borrowed money and the issuance and sale of debt and/or convertible securities, all as set forth in the Merger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  MATERIAL CONTRACTS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information regarding material contracts see Notes 10, 11, 12, 13, 14 and 15 to our consolidated financial statements for the year ended December 31, 2022 and the agreements described under the caption “Item 5. Operating and Financial Review and Prospects - B. Liquidity and Capital Resources”.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TPSCo Agreements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March 2014, we acquired a 51% equity stake in TPSCo from Panasonic. Panasonic transferred its semiconductor wafer manufacturing process and 8-inch and 12-inch capacity tools at its three fabs (Uozu E, Tonami CD and Arai E) to TPSCo, and entered into several agreements  with TPSCo for and in relation to the manufacture of products for Panasonic for a period of five years. In June 2014, Panasonic’s shares in TPSCo were transferred, and its rights and obligations were assigned, to its wholly-owned subsidiary, PSCS. In March 2019, agreements were signed between Tower, TPSCo and PSCS to extend the  aforementioned agreements by an additional three-year period under certain amended terms.  In 2022, the aforementioned agreements were further renewed until March 2027 under certain amended terms.  TPSCo leases its fabrication facility buildings in Japan from NTCJ (formerly named PSCS, see below) under a capital lease contract until at least March 2032.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2020, Panasonic sold its shares in PSCS to Nuvoton Technology Corp. (a Taiwan-based semiconductor company, majority-owned by Winbond Electronics Corporation, a Taiwan-based specialty memory integrated circuits company), which assumed and continues performance of the agreements previously signed between Tower, Panasonic, PSCS and/or TPSCo. Following the September 2020 sale, the registered name of PSCS changed to Nuvoton Technology Corporation Japan (“NTCJ”).  As part of the TPSCo agreements, at the request of Panasonic (through PSCS/ NTCJ), the operations in Japan were reorganized and restructured such that the Uozu and Tonami facilities remain unchanged while the Arai manufacturing factory, which manufactured products solely for NTCJ and did not serve Tower’s or TPSCo’s foundry customers, ceased operations effective July 2022.</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TSIT Agreements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entered into a definitive agreement with ST in September 2021, to share a 300mm manufacturing fabrication facility in Agrate, Italy under a collaborative arrangement, following which TSIT, a wholly-owned subsidiary of Tower, was incorporated. The fabrication facility is currently under installation and qualification by ST. The parties will share the cleanroom space and the facility infrastructure, for the manufacture of products for both ST and TSIT foundry customers.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Intel-Tower Merger Agreement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noBreakHyphen/>
        <w:t>owned subsidiary of Parent and a subsidiary of Intel, subject to the terms and conditions set forth in the Merger Agreement.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the Merger is completed,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Subject to the terms and conditions set forth in the Merger Agreement, at the time at which the Merger will become effective (the “Effective Time”):</w:t>
      </w:r>
    </w:p>
    <w:p>
      <w:pPr>
        <w:pStyle w:val="TextBody"/>
        <w:bidi w:val="0"/>
        <w:spacing w:lineRule="auto" w:line="300" w:before="0" w:after="0"/>
        <w:jc w:val="left"/>
        <w:rPr/>
      </w:pPr>
      <w:r>
        <w:rPr/>
        <w:t> </w:t>
      </w:r>
    </w:p>
    <w:p>
      <w:pPr>
        <w:pStyle w:val="TextBody"/>
        <w:bidi w:val="0"/>
        <w:spacing w:lineRule="auto" w:line="300" w:before="0" w:after="0"/>
        <w:ind w:left="720" w:right="0" w:firstLine="360"/>
        <w:jc w:val="both"/>
        <w:rPr/>
      </w:pPr>
      <w:r>
        <w:rPr>
          <w:color w:val="000000"/>
        </w:rPr>
        <w:t>•</w:t>
      </w:r>
      <w:r>
        <w:rPr/>
        <w:t>          </w:t>
      </w:r>
      <w:r>
        <w:rPr>
          <w:rFonts w:ascii="Times New Roman;Times;serif" w:hAnsi="Times New Roman;Times;serif"/>
          <w:color w:val="000000"/>
          <w:sz w:val="20"/>
        </w:rPr>
        <w:t>Each option to purchase Company Shares that is outstanding and unexercised immediately prior to the Effective Time and either (i) has fully vested as of immediately prior to the Effective Time in accordance with its terms in effect as of the date of the Merger Agreement or (ii) is held by a non</w:t>
        <w:noBreakHyphen/>
        <w:t>employee director of the Company (subject to certain exceptions described in the Merger Proxy Statement) or otherwise is held by an individual who is not a Continuing Employee (as defined in the Merger Agreement) (whether vested or unvested) (each, a “Cashed</w:t>
        <w:noBreakHyphen/>
        <w:t>Out Company Option”) will be canceled and converted into the right to receive a cash amount equal to the product of (x) the number of Company Shares subject to such option, multiplied by (y) the excess, if any, of the Merger Consideration over the applicable per share exercise price for such option. For each option to purchase Company Shares that is unvested and held by a non-employee director who has served on the Company’s board of directors for less than five years as of the Effective Time, only 50% of such option will constitute a Cashed-Out Company Option, and the remainder of the option will be cancelled without consideration at the Effective Time.</w:t>
      </w:r>
    </w:p>
    <w:p>
      <w:pPr>
        <w:pStyle w:val="TextBody"/>
        <w:bidi w:val="0"/>
        <w:spacing w:lineRule="auto" w:line="300" w:before="0" w:after="0"/>
        <w:jc w:val="left"/>
        <w:rPr/>
      </w:pPr>
      <w:r>
        <w:rPr/>
        <w:t> </w:t>
      </w:r>
    </w:p>
    <w:p>
      <w:pPr>
        <w:pStyle w:val="TextBody"/>
        <w:bidi w:val="0"/>
        <w:spacing w:lineRule="auto" w:line="300" w:before="0" w:after="0"/>
        <w:ind w:left="720" w:right="0" w:firstLine="360"/>
        <w:jc w:val="both"/>
        <w:rPr/>
      </w:pPr>
      <w:r>
        <w:rPr>
          <w:color w:val="000000"/>
        </w:rPr>
        <w:t>•</w:t>
      </w:r>
      <w:r>
        <w:rPr/>
        <w:t>          </w:t>
      </w:r>
      <w:r>
        <w:rPr>
          <w:rFonts w:ascii="Times New Roman;Times;serif" w:hAnsi="Times New Roman;Times;serif"/>
          <w:color w:val="000000"/>
          <w:sz w:val="20"/>
        </w:rPr>
        <w:t>Each option to purchase Company Shares held by a Continuing Employee (as defined in the Merger Agreement) that is outstanding immediately prior to the Effective Time and is not a Cashed</w:t>
        <w:noBreakHyphen/>
        <w:t>Out Company Option (each, an “Assumed Option”), will be assumed by Intel and converted into a stock option covering common shares of Intel having substantially the same terms and conditions as the Assumed Option, including the applicable vesting schedule and payment timing, except that each such stock option will cover a number of common shares of Intel equal to the product of the number of Company Shares that were issuable with respect to the Assumed Option immediately prior to the Effective Time multiplied by the Exchange Ratio (as defined below), and rounded down to the nearest whole share, with an exercise price per share equal to the exercise price per share of the Assumed Option immediately prior to the Effective Time, divided by the Exchange Ratio and rounded up to the nearest whole cent and (ii) all references to the “Company” in the applicable equity plan and award agreement will be references to Intel. The “Exchange Ratio” means a fraction, the numerator of which is the Merger Consideration and the denominator of which is the volume weighted average price for a common share of Intel on NASDAQ Global Select Market, calculated based on the ten consecutive trading days ending on the third complete trading day prior to (and excluding) the closing date of the Merger.</w:t>
      </w:r>
    </w:p>
    <w:p>
      <w:pPr>
        <w:pStyle w:val="TextBody"/>
        <w:bidi w:val="0"/>
        <w:spacing w:lineRule="auto" w:line="300" w:before="0" w:after="0"/>
        <w:jc w:val="left"/>
        <w:rPr/>
      </w:pPr>
      <w:r>
        <w:rPr/>
        <w:t> </w:t>
      </w:r>
    </w:p>
    <w:p>
      <w:pPr>
        <w:pStyle w:val="TextBody"/>
        <w:bidi w:val="0"/>
        <w:spacing w:lineRule="auto" w:line="300" w:before="0" w:after="0"/>
        <w:ind w:left="720" w:right="0" w:firstLine="360"/>
        <w:jc w:val="both"/>
        <w:rPr/>
      </w:pPr>
      <w:r>
        <w:rPr>
          <w:color w:val="000000"/>
        </w:rPr>
        <w:t>•</w:t>
      </w:r>
      <w:r>
        <w:rPr/>
        <w:t>          </w:t>
      </w:r>
      <w:r>
        <w:rPr>
          <w:rFonts w:ascii="Times New Roman;Times;serif" w:hAnsi="Times New Roman;Times;serif"/>
          <w:color w:val="000000"/>
          <w:sz w:val="20"/>
        </w:rPr>
        <w:t>Each Company restricted share unit award (each, a “Company RSU”) that is outstanding immediately prior to the Effective Time and either (i) has fully vested immediately prior to the Effective Time in accordance with its terms as in effect as of the date of the Merger Agreement but has not yet been settled in Company Shares prior to the Effective Time or (ii) is held by a non</w:t>
        <w:noBreakHyphen/>
        <w:t>employee director of the Company (subject to certain exceptions in the Merger Proxy Statement) (each, a “Cashed</w:t>
        <w:noBreakHyphen/>
        <w:t>Out Company RSU”), whether or not vested, will be canceled and converted into the right to receive a cash amount equal to the product of (x) the number of Company Shares subject to such Company RSU multiplied by (y) the Merger Consideration. For each Company RSU that is unvested and held by a non-employee director who has served on the Company’s board of directors for less than five years as of the Effective Time, only 50% of such Company RSU will constitute a Cashed-Out Company RSU, and the remainder of the Company RSU will be cancelled without consideration at the Effective Time.</w:t>
      </w:r>
    </w:p>
    <w:p>
      <w:pPr>
        <w:pStyle w:val="TextBody"/>
        <w:bidi w:val="0"/>
        <w:spacing w:lineRule="auto" w:line="300" w:before="0" w:after="0"/>
        <w:jc w:val="left"/>
        <w:rPr/>
      </w:pPr>
      <w:r>
        <w:rPr/>
        <w:t> </w:t>
      </w:r>
    </w:p>
    <w:p>
      <w:pPr>
        <w:pStyle w:val="TextBody"/>
        <w:bidi w:val="0"/>
        <w:spacing w:lineRule="auto" w:line="300" w:before="0" w:after="0"/>
        <w:ind w:left="720" w:right="0" w:firstLine="360"/>
        <w:jc w:val="both"/>
        <w:rPr/>
      </w:pPr>
      <w:r>
        <w:rPr>
          <w:color w:val="000000"/>
        </w:rPr>
        <w:t>•</w:t>
      </w:r>
      <w:r>
        <w:rPr/>
        <w:t>          </w:t>
      </w:r>
      <w:r>
        <w:rPr>
          <w:rFonts w:ascii="Times New Roman;Times;serif" w:hAnsi="Times New Roman;Times;serif"/>
          <w:color w:val="000000"/>
          <w:sz w:val="20"/>
        </w:rPr>
        <w:t>Each Company RSU held by a Continuing Employee that is outstanding immediately prior to the Effective Time and is not a Cashed</w:t>
        <w:noBreakHyphen/>
        <w:t>Out Company RSU (each, an “Assumed RSU”), will be assumed by Intel and converted into an Intel restricted stock unit award having substantially the same terms and conditions as the Assumed RSU, including vesting schedule and payment timing, but covering a number of common shares of Intel equal to the product of (x) the number of Company Shares that were issuable with regard to the Assumed RSU immediately prior to the Effective Time multiplied by (y) the Exchange Ratio and rounding such product down to the nearest whole number and (ii) all references to the “Company” in the applicable equity plan and award agreement will be references to Intel.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Immediately prior to the Effective Time, the level at which the performance goals are satisfied with regard to each Company performance share unit award (a “Company PSU”) that is outstanding immediately prior to the Effective Time will be determined in good faith and approved by the Company’s board of directors (or a committee thereof, as applicable), which number shall be determined based on its determination of the greater of (i) the average performance results for the two most recently completed years prior to the year in which the closing of the Merger occurs, and (ii) actual performance as of the closing of the Merger (determined in accordance with the applicable Company PSU award agreement) (such final amount, the “Performance Satisfied PSUs”). The resulting Performance Satisfied PSUs will be assumed by Intel and automatically converted at the Effective Time into an Intel restricted stock unit award having substantially the same terms and conditions as the Company PSU, other than the performance goals, but covering a number of common shares of Intel equal to the product of (x) the number of Company Shares that were issuable with regard to the Performance Satisfied PSUs multiplied by (y) the Exchange Ratio and rounding such product down to the nearest whole number and (ii) all references to the “Company” in the applicable equity plan and award agreement will be references to Intel.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a more complete description of the treatment of Company equity awards, see the relevant sections in the Merger Proxy Statement.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of the Company, Intel, Parent and Merger Sub have made customary representations, warranties and commitments in the Merger Agreement and the agreement includes certain agreed principles in relation to the conduct of the Company’s business prior to the Closing, including with respect to investments, divestitures, financing and human resource related policies and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Merger Agreement may be terminated under certain circumstances, including if the Merger is not consummated by the Outside Date. If the Merger Agreement is terminated under certain circumstances, including a termination by Parent as a result of a material breach of the Merger Agreement’s no-solicitation obligations by the Company, the Company will be obligated to pay to Parent a termination fee equal to $206 million in cash. If the Merger Agreement is terminated under certain circumstances involving the failure to obtain certain regulatory approvals for the Merger, Parent will be obligated to pay the Company a termination fee equal to $353 million in cash.</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Consummation of the Merger is subject to the satisfaction of certain closing conditions, as specified in the Merger Agreement, including the receipt of certain required regulatory approvals and the approval of Tower’s shareholders at the EGM, which shareholder approval was obtained at the EGM held on April 25, 2022.  Certain but not all approvals have been obtained.   If the closing conditions are not satisfied or waived and the Merger is not consummated by the Outside Date, either we or Intel may, under certain circumstances, choose not to proceed with the Merger. There can be no assurance that any remaining required approval will be obtained or, in the event any existing approval or waiver expires and we file for such approval or waiver again, that such approval or waiver will be obtained, and the timing thereof cannot be predicted.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 EXCHANGE CONTROLS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except under certain circumstances, for nationals of countries that are, or have been, in a state of war with Israel.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 TAXATION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ISRAELI TAXATION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disclosure regarding Israeli and U.S. Federal income tax consequences of the Merger, see “U.S. Federal and Israeli Income Tax Consequences of the Merger” beginning on page 49 of the Merger Proxy.</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General Corporate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Israeli companies are subject to corporate tax currently at the rate of 23%. However, the effective corporate tax rate payable by a company which derives income from a “Preferred Enterprise” (as further discussed below) may be considerably less.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Israeli Tax on Capital Gains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 In the case of a “Substantial Shareholder”, the tax rate is 30%.</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According to the definition of the term under the Israeli Income Tax Ordinance [New Version], 5721-1961 (the “Ordinance”), a “Substantial Shareholder” is generally a person who alone, or together with his relative or another person who collaborates with him on a regular basis, holds, directly or indirectly, at least 10% of any of the “means of control” of the corporation. “Means of control” generally include: (1) the right to vote, (2) the right to receive profits, (3) the right to nominate a director, an officer or any other similar positions in the corporation, (4) the right to receive assets upon liquidation, or (5) the right to instruct someone who holds any of the aforesaid rights regarding the manner in which he or she is to exercise such right(s), and all regardless of the source of such right.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Individual shareholders dealing in securities in Israel are taxed at their marginal tax rates applicable to business income (up to 47% and an additional excess tax, if applicable, as described below).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present Israeli tax legislation, the tax rate applicable to real capital gain derived by Israeli resident corporations from the sale of shares of an Israeli company is the general Israeli corporate tax rate at a rate currently 23%.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(subject to the receipt in advance of a valid certificate from the Israel Tax Authority (“ITA”) allowing for such an exemption).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purchaser of the shares, the stockbrokers who effected the transaction or the financial institution holding the shares through which payment to the seller is made are obligated, subject to the above-referenced exemptions if certain conditions are met, to withhold tax on the real capital gain resulting from a sale of shares at the rate of 25%.</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Israeli Tax on Dividend Income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Israeli resident corporations are generally exempt from Israeli corporate tax for dividends paid on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distributions of dividends other than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Benefited Enterprise or Preferred Enterprise or Preferred Technology Enterprise under the Investment Law, the tax rate is generally not more than 20%. A different rate may be provided pursuant to an applicable tax treaty (subject to the receipt in advance of a valid certificate from the ITA allowing for such reduced tax rate or an exemption).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US-Israel Tax Treaty, Israeli withholding tax on dividends paid to a U.S. resident may not, in general, exceed 25%. Where the recipient is a U.S. resident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Law for the Encouragement of Capital Investments, 5719-1959</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Law for the Encouragement of Capital Investments, 5719-1959, generally referred to as the Investment Law, was originally enacted in order to provide certain incentives for capital investments in production facilities (or other eligible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enterprise’s geographic location in Israel, the specific year in which the enterprise received approval from the Investment Center or the year it was eligible for Approved/Benefited/Preferred Enterprise status under the Investment Law, and the benefits available at that time.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Tax Benefits Prior to the 2005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Prior to an amendment to the Investment Law effective as of April 1, 2005, generally referred to as the 2005 Amendment, a capital investment in eligible production facilities (or other eligible assets) could, upon application to the Investment Center of the Israeli Ministry of Economy (formerly named the Ministry of Industry, Trade and Labor), generally referred to as the “Investment Center,” be designated as an “Approved Enterprise” and accordingly, entitled to certain tax benefits under the Investment Law. Each certificate of approval for an Approved Enterprise relates to a specific investment program in the Approved Enterprise, delineated both by the financial scope of the investment and by the physical characteristics of the facility or the asset.</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Tax Benefits Subsequent to the 2005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2005 Amendment, a company whose facilities meet certain criteria set forth in the 2005 Amendment may claim certain tax benefits offered by the Investment Law (as further described below) directly in its tax returns, without the need to obtain prior approval. In order to receive the tax benefits, a company must make an investment which meets all of the conditions, including exceeding a minimum entitling investment amount, set forth in the Investment Law. Such investment allows a company to receive “Benefited Enterprise” status, and may be made over a period of no more than three years ending at the end of the year in which the company chose to have the tax benefits apply to its Benefited Enterprise, referred to as the “Year of Election.”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plus interest, or other monetary penalties.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Tax Benefits under the 2011 Amendment and thereafter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 amendment to the Investment Law that became effective on January 1, 2011, generally referred to as the 2011 Amendment, made significant changes to the Investment Law, which revamped the tax incentive regime in Israel. The main changes are, inter alia,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2" w:name="zc0dc2509196748b2a1b1454de65a836f"/>
      <w:bookmarkStart w:id="233" w:name="zc0dc2509196748b2a1b1454de65a836f"/>
      <w:bookmarkEnd w:id="2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Industrial companies meeting the criteria set out by the Investment Law for a “Preferred Income” of a “Preferred Enterprise” (as defined below) will be eligible for reduced and flat corporate tax rates of 7.5% (currently, following the 2017 Amendment described below) or 16% in 2017 and thereafter, with the actual tax rates determined by the location of the enterprise in Israel. The location of Tower's fabrication facilities in Israel (also referred to as “Zone A”) entitles it to benefit from a tax rate of 7.5% on its Preferred Income. According to the 2011 Amendment, the tax incentives offered by the Investment Law are no longer dependent neither on minimum qualified investments nor on foreign ownership.</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4" w:name="z274a17c289ee44d5b613e6817df7fafb"/>
      <w:bookmarkStart w:id="235" w:name="z274a17c289ee44d5b613e6817df7fafb"/>
      <w:bookmarkEnd w:id="2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 company can enjoy both government grants and tax benefits concurrently. Governmental grants will not necessarily be dependent on the extent of enterprise’s investment in assets and/or equipment. The approval of “Preferred Enterprise” status by either the ITA or the Investment Center will be accepted by the other. Therefore, a Preferred Enterprise may be eligible to receive both tax incentives and government grants, under certain conditions.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6" w:name="z897305c37c164effb7d2ce7d61b53516"/>
      <w:bookmarkStart w:id="237" w:name="z897305c37c164effb7d2ce7d61b53516"/>
      <w:bookmarkEnd w:id="2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Under the transition provisions, any tax benefits obtained prior to 2011 shall continue to apply until expired, unless the company elects to apply the provisions of the new provisions to its income.</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bidi w:val="0"/>
        <w:spacing w:before="200" w:after="20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color w:val="000000"/>
          <w:sz w:val="20"/>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and excluding certain products that are sourced from Israel’s natural resources);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Investment Law also determines the conditions and limitations applying to the tax benefits offered to a “Special Preferred Enterprise” (as defined below). A “Special Preferred Enterprise” will be able to enjoy corporate income tax rate in a rate of 5% if located in a development Zone A and 8% if not located in a development Zone 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according to the Investment Law provisions.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 (although, if such dividends are subsequently distributed to individuals or a non-Israeli company, withholding tax at a rate of 20% or such lower rate as may be provided in an applicable tax treaty will apply (subject to the receipt in advance of a valid certificate from the ITA allowing for such reduced tax rate or an exemption)).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of the 2011 Amendment do not apply to existing Benefited Enterprises or Approved Enterprises, which will continue to be entitled to the tax benefits under the Investment Law as in effect prior to the 2011 Amendment. Nevertheless, a company owning such enterprises may choose to apply the 2011 Amendment to its existing enterprises while waiving benefits provided under the Investment Law as in effect prior to the 2011 Amendment. Once a company elects to be classified as a Preferred Enterprise under the provisions of the 2011 Amendment, the election cannot be rescinded and such company will no longer enjoy the tax benefits of its Approved/Benefited Enterprises.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Tower’s fabrication facilities located in Israel qualify as a Preferred Enterprise, it is entitled to the 7.5% preferred tax rate described above with respect to its Preferred Income, and therefore, applies a 7.5% tax rate in determining its Israeli current tax provision, deferred tax assets and liabilities in connection with its Preferred Income. Tower has not yet notified the Israeli tax authorities of its election to apply the 7.5% tax rate to its Preferred Income since it is not required to do so while having significant accumulated net operating losses for tax purposes, which are carried forward with no expiration date.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Tax benefits under the 2017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2017 Amendment was enacted as part of the Economic Efficiency Law that was published on December 29, 2016, and became effective as of January 1, 2017. The 2017 Amendment provides new tax benefits for two types of “Preferred Technology Enterprises,” as described below, and is in addition to the other existing tax beneficial programs under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Israel Innovation Authority (previously known as the Israeli Office of the Chief Scientist), which we refer to as the IIA.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2017 Amendment further provides that a technology company satisfying certain conditions (group turnover of at least NIS 10 billion) will qualify as a “Special Preferred Technology Enterprise” and will thereby enjoy a reduced corporate tax rate of 6% on its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subject to the receipt in advance of a valid certificate from the ITA allowing for a reduced tax rate of 20%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20% or such lower rate as may be provided in an applicable tax treaty, will apply). If such dividends are distributed to a foreign company that holds solely or together with other foreign companies 90% or more in the Israeli company and other conditions are met, the withholding tax rate will be 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we have accumulated unused tax carry forward losses, we have not examined yet the full impact of the 2017 Amendment and the degree to which our facilities in Israel will qualify as a Preferred Technology Enterprise, the amount of Preferred Technology Income that we may have and other benefits that we may receive from the 2017 Amendment. As of December 31, 2022, Tower does not qualify with the threshold of group turnover of at least NIS 10 billion.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Tax Benefits under the 2021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 amendment to the Investment Law that became effective on August 15, 2021, generally referred to as the 2021 Amendment, introduced a new dividend distribution ordering rule to cause the distribution of earnings that were tax-exempt under the historical Approved or Beneficial Enterprise regimes (Trapped Earnings), to be on a pro-rata basis from any dividend distribution, which is applicable to distributions starting from August 15, 2021 and onwards. Accordingly, the corporate income tax claw-back will apply to any dividend distribution, as long as the company has Trapped Earnings. As of December 31, 2022, Tower has no Trapped Earnings.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Excess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Subject to the provisions of an applicable tax treaty, individuals who are subject to tax in Israel are also subject to an additional tax at the rate of 3% on the annual taxable income (including, but not limited to, dividends, interest and capital gain) exceeding NIS 663,240 in 2022 and NIS 698,280 in 2023.</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Estate and Gift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Israeli law presently does not impose estate or gift taxes.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U.S. Federal Income Tax Considerations</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8" w:name="zd0e34d3ee7634577a2f896205cd737e9"/>
      <w:bookmarkStart w:id="239" w:name="zd0e34d3ee7634577a2f896205cd737e9"/>
      <w:bookmarkEnd w:id="239"/>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97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an individual citizen or resident of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0" w:name="z315e9d2056bf479a92baf5bdafa73e97"/>
      <w:bookmarkStart w:id="241" w:name="z315e9d2056bf479a92baf5bdafa73e97"/>
      <w:bookmarkEnd w:id="2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 corporation created or organized in or under the laws of the United States or of any state of the United States or the District of Columbia;</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2" w:name="z1038e8fd330842f9b572f86e4d6cf5f7"/>
      <w:bookmarkStart w:id="243" w:name="z1038e8fd330842f9b572f86e4d6cf5f7"/>
      <w:bookmarkEnd w:id="243"/>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an estate, the income of which is subject to U.S. federal income taxation regardless of its source;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4" w:name="z1f0028e768044c21bba16b16dc9a0377"/>
      <w:bookmarkStart w:id="245" w:name="z1f0028e768044c21bba16b16dc9a0377"/>
      <w:bookmarkEnd w:id="2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6" w:name="z72afbfc03599414fbe2beae35d1407ab"/>
      <w:bookmarkStart w:id="247" w:name="z72afbfc03599414fbe2beae35d1407ab"/>
      <w:bookmarkEnd w:id="247"/>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0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insurance companies;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8" w:name="zf5f2f968916e411bbd7ac489577d510f"/>
      <w:bookmarkStart w:id="249" w:name="zf5f2f968916e411bbd7ac489577d510f"/>
      <w:bookmarkEnd w:id="249"/>
    </w:p>
    <w:tbl>
      <w:tblPr>
        <w:tblW w:w="4053" w:type="dxa"/>
        <w:jc w:val="left"/>
        <w:tblInd w:w="0" w:type="dxa"/>
        <w:tblLayout w:type="fixed"/>
        <w:tblCellMar>
          <w:top w:w="0" w:type="dxa"/>
          <w:left w:w="0" w:type="dxa"/>
          <w:bottom w:w="0" w:type="dxa"/>
          <w:right w:w="0" w:type="dxa"/>
        </w:tblCellMar>
      </w:tblPr>
      <w:tblGrid>
        <w:gridCol w:w="38"/>
        <w:gridCol w:w="110"/>
        <w:gridCol w:w="3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0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dealers in stocks, securities or currencies;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0" w:name="z667a7c8982d04f6abcd762628561a3b4"/>
      <w:bookmarkStart w:id="251" w:name="z667a7c8982d04f6abcd762628561a3b4"/>
      <w:bookmarkEnd w:id="251"/>
    </w:p>
    <w:tbl>
      <w:tblPr>
        <w:tblW w:w="4938" w:type="dxa"/>
        <w:jc w:val="left"/>
        <w:tblInd w:w="0" w:type="dxa"/>
        <w:tblLayout w:type="fixed"/>
        <w:tblCellMar>
          <w:top w:w="0" w:type="dxa"/>
          <w:left w:w="0" w:type="dxa"/>
          <w:bottom w:w="0" w:type="dxa"/>
          <w:right w:w="0" w:type="dxa"/>
        </w:tblCellMar>
      </w:tblPr>
      <w:tblGrid>
        <w:gridCol w:w="38"/>
        <w:gridCol w:w="110"/>
        <w:gridCol w:w="4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9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financial institutions and financial services entities;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2" w:name="zd52926f7c2c646dbb0323b97df53e5d2"/>
      <w:bookmarkStart w:id="253" w:name="zd52926f7c2c646dbb0323b97df53e5d2"/>
      <w:bookmarkEnd w:id="253"/>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6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real estate investment trusts;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4" w:name="z08b56548886b4f4cb0fa6cfc798b7ad5"/>
      <w:bookmarkStart w:id="255" w:name="z08b56548886b4f4cb0fa6cfc798b7ad5"/>
      <w:bookmarkEnd w:id="255"/>
    </w:p>
    <w:tbl>
      <w:tblPr>
        <w:tblW w:w="3258" w:type="dxa"/>
        <w:jc w:val="left"/>
        <w:tblInd w:w="0" w:type="dxa"/>
        <w:tblLayout w:type="fixed"/>
        <w:tblCellMar>
          <w:top w:w="0" w:type="dxa"/>
          <w:left w:w="0" w:type="dxa"/>
          <w:bottom w:w="0" w:type="dxa"/>
          <w:right w:w="0" w:type="dxa"/>
        </w:tblCellMar>
      </w:tblPr>
      <w:tblGrid>
        <w:gridCol w:w="38"/>
        <w:gridCol w:w="110"/>
        <w:gridCol w:w="3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11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regulated investment companies;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6" w:name="zb58377e2bfcd489fa883e70c4cb25f33"/>
      <w:bookmarkStart w:id="257" w:name="zb58377e2bfcd489fa883e70c4cb25f33"/>
      <w:bookmarkEnd w:id="257"/>
    </w:p>
    <w:tbl>
      <w:tblPr>
        <w:tblW w:w="8208" w:type="dxa"/>
        <w:jc w:val="left"/>
        <w:tblInd w:w="0" w:type="dxa"/>
        <w:tblLayout w:type="fixed"/>
        <w:tblCellMar>
          <w:top w:w="0" w:type="dxa"/>
          <w:left w:w="0" w:type="dxa"/>
          <w:bottom w:w="0" w:type="dxa"/>
          <w:right w:w="0" w:type="dxa"/>
        </w:tblCellMar>
      </w:tblPr>
      <w:tblGrid>
        <w:gridCol w:w="38"/>
        <w:gridCol w:w="110"/>
        <w:gridCol w:w="8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06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persons that receive ordinary shares as compensation for the performance of services;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8" w:name="z58925da661bd4c18837668ded5522baf"/>
      <w:bookmarkStart w:id="259" w:name="z58925da661bd4c18837668ded5522baf"/>
      <w:bookmarkEnd w:id="259"/>
    </w:p>
    <w:tbl>
      <w:tblPr>
        <w:tblW w:w="2613" w:type="dxa"/>
        <w:jc w:val="left"/>
        <w:tblInd w:w="0" w:type="dxa"/>
        <w:tblLayout w:type="fixed"/>
        <w:tblCellMar>
          <w:top w:w="0" w:type="dxa"/>
          <w:left w:w="0" w:type="dxa"/>
          <w:bottom w:w="0" w:type="dxa"/>
          <w:right w:w="0" w:type="dxa"/>
        </w:tblCellMar>
      </w:tblPr>
      <w:tblGrid>
        <w:gridCol w:w="38"/>
        <w:gridCol w:w="110"/>
        <w:gridCol w:w="24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46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tax-exempt organizations;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0" w:name="z73a73762f7584b4d9bd223021c70ddb9"/>
      <w:bookmarkStart w:id="261" w:name="z73a73762f7584b4d9bd223021c70ddb9"/>
      <w:bookmarkEnd w:id="2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persons that hold ordinary shares as a position in a straddle or as part of a hedging, conversion or other integrated instrument;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2" w:name="z3e0c7c63ae20483a897a99279fc96373"/>
      <w:bookmarkStart w:id="263" w:name="z3e0c7c63ae20483a897a99279fc96373"/>
      <w:bookmarkEnd w:id="263"/>
    </w:p>
    <w:tbl>
      <w:tblPr>
        <w:tblW w:w="5223" w:type="dxa"/>
        <w:jc w:val="left"/>
        <w:tblInd w:w="0" w:type="dxa"/>
        <w:tblLayout w:type="fixed"/>
        <w:tblCellMar>
          <w:top w:w="0" w:type="dxa"/>
          <w:left w:w="0" w:type="dxa"/>
          <w:bottom w:w="0" w:type="dxa"/>
          <w:right w:w="0" w:type="dxa"/>
        </w:tblCellMar>
      </w:tblPr>
      <w:tblGrid>
        <w:gridCol w:w="38"/>
        <w:gridCol w:w="110"/>
        <w:gridCol w:w="5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07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individual retirement and other tax-deferred accounts;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4" w:name="zd1d6c378cd4941df896dec2704bdd0ec"/>
      <w:bookmarkStart w:id="265" w:name="zd1d6c378cd4941df896dec2704bdd0ec"/>
      <w:bookmarkEnd w:id="265"/>
    </w:p>
    <w:tbl>
      <w:tblPr>
        <w:tblW w:w="3168" w:type="dxa"/>
        <w:jc w:val="left"/>
        <w:tblInd w:w="0" w:type="dxa"/>
        <w:tblLayout w:type="fixed"/>
        <w:tblCellMar>
          <w:top w:w="0" w:type="dxa"/>
          <w:left w:w="0" w:type="dxa"/>
          <w:bottom w:w="0" w:type="dxa"/>
          <w:right w:w="0" w:type="dxa"/>
        </w:tblCellMar>
      </w:tblPr>
      <w:tblGrid>
        <w:gridCol w:w="38"/>
        <w:gridCol w:w="110"/>
        <w:gridCol w:w="3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02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expatriates of the United States;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6" w:name="z1c37701439a349518f5b5587f2f0174f"/>
      <w:bookmarkStart w:id="267" w:name="z1c37701439a349518f5b5587f2f0174f"/>
      <w:bookmarkEnd w:id="267"/>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persons (other than Non-U.S. Holders) having a functional currency other than the U.S. dollar;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8" w:name="zd217627589814e41b4f63e2b075bbfcc"/>
      <w:bookmarkStart w:id="269" w:name="zd217627589814e41b4f63e2b075bbfcc"/>
      <w:bookmarkEnd w:id="269"/>
    </w:p>
    <w:tbl>
      <w:tblPr>
        <w:tblW w:w="8433" w:type="dxa"/>
        <w:jc w:val="left"/>
        <w:tblInd w:w="0" w:type="dxa"/>
        <w:tblLayout w:type="fixed"/>
        <w:tblCellMar>
          <w:top w:w="0" w:type="dxa"/>
          <w:left w:w="0" w:type="dxa"/>
          <w:bottom w:w="0" w:type="dxa"/>
          <w:right w:w="0" w:type="dxa"/>
        </w:tblCellMar>
      </w:tblPr>
      <w:tblGrid>
        <w:gridCol w:w="38"/>
        <w:gridCol w:w="110"/>
        <w:gridCol w:w="8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285"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direct, indirect or constructive owners of 10% or more, by voting power or value, of us.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urge you to consult with your own tax advisor regarding the tax consequences of investing in the ordinary shares, including the effects of federal, state, local, foreign and other tax laws.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Distributions Paid on the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non-corporate U.S. holder’s “qualified dividend income” is subject to tax at reduced rates not exceeding 20 % for tax years beginning 2012 (15% for 2011 and prior years) . For this purpose, “qualified dividend income” generally includes dividends paid by a foreign corporation if either:</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0" w:name="z873943a6b11f4e80b006c28c21dcd142"/>
      <w:bookmarkStart w:id="271" w:name="z873943a6b11f4e80b006c28c21dcd142"/>
      <w:bookmarkEnd w:id="271"/>
    </w:p>
    <w:tbl>
      <w:tblPr>
        <w:tblW w:w="10205" w:type="dxa"/>
        <w:jc w:val="left"/>
        <w:tblInd w:w="0" w:type="dxa"/>
        <w:tblLayout w:type="fixed"/>
        <w:tblCellMar>
          <w:top w:w="0" w:type="dxa"/>
          <w:left w:w="0" w:type="dxa"/>
          <w:bottom w:w="0" w:type="dxa"/>
          <w:right w:w="0" w:type="dxa"/>
        </w:tblCellMar>
      </w:tblPr>
      <w:tblGrid>
        <w:gridCol w:w="38"/>
        <w:gridCol w:w="110"/>
        <w:gridCol w:w="814"/>
        <w:gridCol w:w="92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14" w:type="dxa"/>
            <w:tcBorders/>
            <w:vAlign w:val="center"/>
          </w:tcPr>
          <w:p>
            <w:pPr>
              <w:pStyle w:val="TableContents"/>
              <w:bidi w:val="0"/>
              <w:spacing w:before="0" w:after="283"/>
              <w:jc w:val="left"/>
              <w:rPr/>
            </w:pPr>
            <w:r>
              <w:rPr>
                <w:rFonts w:ascii="Times New Roman;Times;serif" w:hAnsi="Times New Roman;Times;serif"/>
                <w:color w:val="000000"/>
              </w:rPr>
              <w:t>(a)</w:t>
            </w:r>
            <w:r>
              <w:rPr/>
              <w:t>          </w:t>
            </w:r>
          </w:p>
        </w:tc>
        <w:tc>
          <w:tcPr>
            <w:tcW w:w="9243"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the stock of that corporation with respect to which the dividends are paid is readily tradable on an established securities market in the U.S.,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2" w:name="zc408e6044a594a90b0e2dd2b82c1325e"/>
      <w:bookmarkStart w:id="273" w:name="zc408e6044a594a90b0e2dd2b82c1325e"/>
      <w:bookmarkEnd w:id="273"/>
    </w:p>
    <w:tbl>
      <w:tblPr>
        <w:tblW w:w="10205" w:type="dxa"/>
        <w:jc w:val="left"/>
        <w:tblInd w:w="0" w:type="dxa"/>
        <w:tblLayout w:type="fixed"/>
        <w:tblCellMar>
          <w:top w:w="0" w:type="dxa"/>
          <w:left w:w="0" w:type="dxa"/>
          <w:bottom w:w="0" w:type="dxa"/>
          <w:right w:w="0" w:type="dxa"/>
        </w:tblCellMar>
      </w:tblPr>
      <w:tblGrid>
        <w:gridCol w:w="38"/>
        <w:gridCol w:w="110"/>
        <w:gridCol w:w="747"/>
        <w:gridCol w:w="9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7" w:type="dxa"/>
            <w:tcBorders/>
            <w:vAlign w:val="center"/>
          </w:tcPr>
          <w:p>
            <w:pPr>
              <w:pStyle w:val="TableContents"/>
              <w:bidi w:val="0"/>
              <w:spacing w:before="0" w:after="283"/>
              <w:jc w:val="left"/>
              <w:rPr/>
            </w:pPr>
            <w:r>
              <w:rPr>
                <w:rFonts w:ascii="Times New Roman;Times;serif" w:hAnsi="Times New Roman;Times;serif"/>
                <w:color w:val="000000"/>
              </w:rPr>
              <w:t>(b)</w:t>
            </w:r>
            <w:r>
              <w:rPr/>
              <w:t>          </w:t>
            </w:r>
          </w:p>
        </w:tc>
        <w:tc>
          <w:tcPr>
            <w:tcW w:w="9310"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current law a U.S. Holder must generally hold his ordinary shares for more than 60 days during a 121 day period beginning 60 days prior to the ex-dividend date, and meet other holding period requirements for qualified dividend income.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Foreign Tax Credit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rFonts w:ascii="Times New Roman;Times;serif" w:hAnsi="Times New Roman;Times;serif"/>
          <w:i/>
          <w:color w:val="000000"/>
          <w:sz w:val="20"/>
        </w:rPr>
      </w:pPr>
      <w:r>
        <w:rPr>
          <w:rFonts w:ascii="Times New Roman;Times;serif" w:hAnsi="Times New Roman;Times;serif"/>
          <w:i/>
          <w:color w:val="000000"/>
          <w:sz w:val="20"/>
        </w:rPr>
        <w:t>Disposition of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Upon the sale or other disposition of ordinary shares, a U.S. Holder generally will recognize capital gains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color w:val="000000"/>
        </w:rPr>
      </w:pPr>
      <w:r>
        <w:rPr>
          <w:color w:val="000000"/>
        </w:rPr>
        <w:t> </w:t>
      </w:r>
      <w:r>
        <w:rPr>
          <w:rFonts w:ascii="Times New Roman;Times;serif" w:hAnsi="Times New Roman;Times;serif"/>
          <w:color w:val="000000"/>
          <w:sz w:val="20"/>
        </w:rPr>
        <w:t>Subject to the discussion below under “Information Reporting and Back-up Withholding”, a Non-U.S. Holder generally will not be subject to U.S. federal income or withholding tax on any gain realized on the sale or exchange of ordinary shares unless: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4" w:name="zb079797a62364a21871e02c9a7eba286"/>
      <w:bookmarkStart w:id="275" w:name="zb079797a62364a21871e02c9a7eba286"/>
      <w:bookmarkEnd w:id="2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that gain is effectively connected with the conduct by the Non-U.S. Holder of a trade or business in the United States,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6" w:name="z3ccec8339af943f782bbcb6c21f76a75"/>
      <w:bookmarkStart w:id="277" w:name="z3ccec8339af943f782bbcb6c21f76a75"/>
      <w:bookmarkEnd w:id="2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 the case of any gain realized by an individual Non-U.S. Holder, that holder is present in the United States for 183 days or more in the taxable year of the sale or exchange, and other conditions are met.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Information Reporting and Back-up Withholding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8" w:name="zb1c2a1aa749c49958513fd216304cee5"/>
      <w:bookmarkStart w:id="279" w:name="zb1c2a1aa749c49958513fd216304cee5"/>
      <w:bookmarkEnd w:id="279"/>
    </w:p>
    <w:tbl>
      <w:tblPr>
        <w:tblW w:w="2423" w:type="dxa"/>
        <w:jc w:val="left"/>
        <w:tblInd w:w="0" w:type="dxa"/>
        <w:tblLayout w:type="fixed"/>
        <w:tblCellMar>
          <w:top w:w="0" w:type="dxa"/>
          <w:left w:w="0" w:type="dxa"/>
          <w:bottom w:w="0" w:type="dxa"/>
          <w:right w:w="0" w:type="dxa"/>
        </w:tblCellMar>
      </w:tblPr>
      <w:tblGrid>
        <w:gridCol w:w="38"/>
        <w:gridCol w:w="110"/>
        <w:gridCol w:w="890"/>
        <w:gridCol w:w="13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0" w:type="dxa"/>
            <w:tcBorders/>
            <w:vAlign w:val="center"/>
          </w:tcPr>
          <w:p>
            <w:pPr>
              <w:pStyle w:val="TableContents"/>
              <w:bidi w:val="0"/>
              <w:spacing w:before="0" w:after="283"/>
              <w:jc w:val="left"/>
              <w:rPr/>
            </w:pPr>
            <w:r>
              <w:rPr>
                <w:rFonts w:ascii="Times New Roman;Times;serif" w:hAnsi="Times New Roman;Times;serif"/>
                <w:color w:val="000000"/>
              </w:rPr>
              <w:t>(1)</w:t>
            </w:r>
            <w:r>
              <w:rPr/>
              <w:t>          </w:t>
            </w:r>
          </w:p>
        </w:tc>
        <w:tc>
          <w:tcPr>
            <w:tcW w:w="1385"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 U.S. person;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0" w:name="z63be05d6456d466fb449d942ac13b71d"/>
      <w:bookmarkStart w:id="281" w:name="z63be05d6456d466fb449d942ac13b71d"/>
      <w:bookmarkEnd w:id="281"/>
    </w:p>
    <w:tbl>
      <w:tblPr>
        <w:tblW w:w="10205" w:type="dxa"/>
        <w:jc w:val="left"/>
        <w:tblInd w:w="0" w:type="dxa"/>
        <w:tblLayout w:type="fixed"/>
        <w:tblCellMar>
          <w:top w:w="0" w:type="dxa"/>
          <w:left w:w="0" w:type="dxa"/>
          <w:bottom w:w="0" w:type="dxa"/>
          <w:right w:w="0" w:type="dxa"/>
        </w:tblCellMar>
      </w:tblPr>
      <w:tblGrid>
        <w:gridCol w:w="38"/>
        <w:gridCol w:w="110"/>
        <w:gridCol w:w="803"/>
        <w:gridCol w:w="9254"/>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03" w:type="dxa"/>
            <w:tcBorders/>
            <w:vAlign w:val="center"/>
          </w:tcPr>
          <w:p>
            <w:pPr>
              <w:pStyle w:val="TableContents"/>
              <w:bidi w:val="0"/>
              <w:spacing w:before="0" w:after="283"/>
              <w:jc w:val="left"/>
              <w:rPr/>
            </w:pPr>
            <w:r>
              <w:rPr>
                <w:rFonts w:ascii="Times New Roman;Times;serif" w:hAnsi="Times New Roman;Times;serif"/>
                <w:color w:val="000000"/>
              </w:rPr>
              <w:t>(2)</w:t>
            </w:r>
            <w:r>
              <w:rPr/>
              <w:t>          </w:t>
            </w:r>
          </w:p>
        </w:tc>
        <w:tc>
          <w:tcPr>
            <w:tcW w:w="9254"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the government of the U.S. or the government of any state or political subdivision of any state (or any agency or instrumentality of any of these governmental units);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2" w:name="z17cdb46db7d14686aa9fa27152d8156d"/>
      <w:bookmarkStart w:id="283" w:name="z17cdb46db7d14686aa9fa27152d8156d"/>
      <w:bookmarkEnd w:id="283"/>
    </w:p>
    <w:tbl>
      <w:tblPr>
        <w:tblW w:w="4118" w:type="dxa"/>
        <w:jc w:val="left"/>
        <w:tblInd w:w="0" w:type="dxa"/>
        <w:tblLayout w:type="fixed"/>
        <w:tblCellMar>
          <w:top w:w="0" w:type="dxa"/>
          <w:left w:w="0" w:type="dxa"/>
          <w:bottom w:w="0" w:type="dxa"/>
          <w:right w:w="0" w:type="dxa"/>
        </w:tblCellMar>
      </w:tblPr>
      <w:tblGrid>
        <w:gridCol w:w="38"/>
        <w:gridCol w:w="110"/>
        <w:gridCol w:w="890"/>
        <w:gridCol w:w="3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0" w:type="dxa"/>
            <w:tcBorders/>
            <w:vAlign w:val="center"/>
          </w:tcPr>
          <w:p>
            <w:pPr>
              <w:pStyle w:val="TableContents"/>
              <w:bidi w:val="0"/>
              <w:spacing w:before="0" w:after="283"/>
              <w:jc w:val="left"/>
              <w:rPr/>
            </w:pPr>
            <w:r>
              <w:rPr>
                <w:rFonts w:ascii="Times New Roman;Times;serif" w:hAnsi="Times New Roman;Times;serif"/>
                <w:color w:val="000000"/>
              </w:rPr>
              <w:t>(3)</w:t>
            </w:r>
            <w:r>
              <w:rPr/>
              <w:t>          </w:t>
            </w:r>
          </w:p>
        </w:tc>
        <w:tc>
          <w:tcPr>
            <w:tcW w:w="3080"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 controlled foreign corporation;</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4" w:name="zd56b01b8bafc4cfc8f1cfa3ed57b57cf"/>
      <w:bookmarkStart w:id="285" w:name="zd56b01b8bafc4cfc8f1cfa3ed57b57cf"/>
      <w:bookmarkEnd w:id="285"/>
    </w:p>
    <w:tbl>
      <w:tblPr>
        <w:tblW w:w="10205" w:type="dxa"/>
        <w:jc w:val="left"/>
        <w:tblInd w:w="0" w:type="dxa"/>
        <w:tblLayout w:type="fixed"/>
        <w:tblCellMar>
          <w:top w:w="0" w:type="dxa"/>
          <w:left w:w="0" w:type="dxa"/>
          <w:bottom w:w="0" w:type="dxa"/>
          <w:right w:w="0" w:type="dxa"/>
        </w:tblCellMar>
      </w:tblPr>
      <w:tblGrid>
        <w:gridCol w:w="38"/>
        <w:gridCol w:w="110"/>
        <w:gridCol w:w="789"/>
        <w:gridCol w:w="9268"/>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89" w:type="dxa"/>
            <w:tcBorders/>
            <w:vAlign w:val="center"/>
          </w:tcPr>
          <w:p>
            <w:pPr>
              <w:pStyle w:val="TableContents"/>
              <w:bidi w:val="0"/>
              <w:spacing w:before="0" w:after="283"/>
              <w:jc w:val="left"/>
              <w:rPr/>
            </w:pPr>
            <w:r>
              <w:rPr>
                <w:rFonts w:ascii="Times New Roman;Times;serif" w:hAnsi="Times New Roman;Times;serif"/>
                <w:color w:val="000000"/>
              </w:rPr>
              <w:t>(4)</w:t>
            </w:r>
            <w:r>
              <w:rPr/>
              <w:t>          </w:t>
            </w:r>
          </w:p>
        </w:tc>
        <w:tc>
          <w:tcPr>
            <w:tcW w:w="9268"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 foreign partnership that is either engaged in a U.S. trade or business or whose United States partners in the aggregate hold more than 50% of the income or capital interests in the partnership;</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6" w:name="z9bff8909f66044b5b54d0455ba65db6a"/>
      <w:bookmarkStart w:id="287" w:name="z9bff8909f66044b5b54d0455ba65db6a"/>
      <w:bookmarkEnd w:id="287"/>
    </w:p>
    <w:tbl>
      <w:tblPr>
        <w:tblW w:w="10205" w:type="dxa"/>
        <w:jc w:val="left"/>
        <w:tblInd w:w="0" w:type="dxa"/>
        <w:tblLayout w:type="fixed"/>
        <w:tblCellMar>
          <w:top w:w="0" w:type="dxa"/>
          <w:left w:w="0" w:type="dxa"/>
          <w:bottom w:w="0" w:type="dxa"/>
          <w:right w:w="0" w:type="dxa"/>
        </w:tblCellMar>
      </w:tblPr>
      <w:tblGrid>
        <w:gridCol w:w="38"/>
        <w:gridCol w:w="110"/>
        <w:gridCol w:w="832"/>
        <w:gridCol w:w="92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2" w:type="dxa"/>
            <w:tcBorders/>
            <w:vAlign w:val="center"/>
          </w:tcPr>
          <w:p>
            <w:pPr>
              <w:pStyle w:val="TableContents"/>
              <w:bidi w:val="0"/>
              <w:spacing w:before="0" w:after="283"/>
              <w:jc w:val="left"/>
              <w:rPr/>
            </w:pPr>
            <w:r>
              <w:rPr>
                <w:rFonts w:ascii="Times New Roman;Times;serif" w:hAnsi="Times New Roman;Times;serif"/>
                <w:color w:val="000000"/>
              </w:rPr>
              <w:t>(5)</w:t>
            </w:r>
            <w:r>
              <w:rPr/>
              <w:t>          </w:t>
            </w:r>
          </w:p>
        </w:tc>
        <w:tc>
          <w:tcPr>
            <w:tcW w:w="9225"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 foreign person that derives 50% or more of its gross income for certain periods from the conduct of a trade or business in the U.S.; 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88" w:name="zfc2f820564574961a4e7ebed36e47b92"/>
      <w:bookmarkStart w:id="289" w:name="zfc2f820564574961a4e7ebed36e47b92"/>
      <w:bookmarkEnd w:id="289"/>
    </w:p>
    <w:tbl>
      <w:tblPr>
        <w:tblW w:w="6263" w:type="dxa"/>
        <w:jc w:val="left"/>
        <w:tblInd w:w="0" w:type="dxa"/>
        <w:tblLayout w:type="fixed"/>
        <w:tblCellMar>
          <w:top w:w="0" w:type="dxa"/>
          <w:left w:w="0" w:type="dxa"/>
          <w:bottom w:w="0" w:type="dxa"/>
          <w:right w:w="0" w:type="dxa"/>
        </w:tblCellMar>
      </w:tblPr>
      <w:tblGrid>
        <w:gridCol w:w="38"/>
        <w:gridCol w:w="110"/>
        <w:gridCol w:w="890"/>
        <w:gridCol w:w="52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0" w:type="dxa"/>
            <w:tcBorders/>
            <w:vAlign w:val="center"/>
          </w:tcPr>
          <w:p>
            <w:pPr>
              <w:pStyle w:val="TableContents"/>
              <w:bidi w:val="0"/>
              <w:spacing w:before="0" w:after="283"/>
              <w:jc w:val="left"/>
              <w:rPr/>
            </w:pPr>
            <w:r>
              <w:rPr>
                <w:rFonts w:ascii="Times New Roman;Times;serif" w:hAnsi="Times New Roman;Times;serif"/>
                <w:color w:val="000000"/>
              </w:rPr>
              <w:t>(6)</w:t>
            </w:r>
            <w:r>
              <w:rPr/>
              <w:t>          </w:t>
            </w:r>
          </w:p>
        </w:tc>
        <w:tc>
          <w:tcPr>
            <w:tcW w:w="5225"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 U.S. branch of a foreign bank or insurance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back-up withholding tax rate is 28%. Back-up withholding and information reporting will not apply to payments made to Non-U. S. Holders if they have provided the required certification that they are not United States persons.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amount of any back-up withholding may be allowed as a credit against a U.S. Holder’s U.S. federal income tax liability and may entitle the holder to a refund, provided that required information is furnished to the IRS.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F.  DIVIDENDS AND PAYING AGENTS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G.  STATEMENT BY EXPERTS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H.  DOCUMENTS ON DISPLAY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required to file reports and other information with the SEC under the Securities Exchange Act of 1934 and the regulations thereunder applicable to foreign private issuers.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The SEC maintains an internet website that contains reports, proxy and information statements and other information about issuers, like us, that file electronically with the SEC. Our filings with the SEC are available to the public through the SEC's website (http://www.sec.gov). Our filings with the SEC are also available to the public on the Israel Securities Authority’s Magna website at </w:t>
      </w:r>
      <w:r>
        <w:rPr>
          <w:rFonts w:ascii="Times New Roman;Times;serif" w:hAnsi="Times New Roman;Times;serif"/>
          <w:b w:val="false"/>
          <w:i w:val="false"/>
          <w:caps w:val="false"/>
          <w:smallCaps w:val="false"/>
          <w:color w:val="000000"/>
          <w:sz w:val="20"/>
          <w:u w:val="single"/>
        </w:rPr>
        <w:t>http://www.isa.gov.il</w:t>
      </w:r>
      <w:r>
        <w:rPr>
          <w:rFonts w:ascii="Times New Roman;Times;serif" w:hAnsi="Times New Roman;Times;serif"/>
          <w:b w:val="false"/>
          <w:i w:val="false"/>
          <w:caps w:val="false"/>
          <w:smallCaps w:val="false"/>
          <w:color w:val="000000"/>
          <w:sz w:val="20"/>
        </w:rPr>
        <w:t xml:space="preserve">, the Tel Aviv Stock Exchange website at </w:t>
      </w:r>
      <w:r>
        <w:rPr>
          <w:rFonts w:ascii="Times New Roman;Times;serif" w:hAnsi="Times New Roman;Times;serif"/>
          <w:b w:val="false"/>
          <w:i w:val="false"/>
          <w:caps w:val="false"/>
          <w:smallCaps w:val="false"/>
          <w:sz w:val="20"/>
          <w:u w:val="single"/>
        </w:rPr>
        <w:t>http://www.maya.tase.co.il</w:t>
      </w:r>
      <w:r>
        <w:rPr>
          <w:rFonts w:ascii="Times New Roman;Times;serif" w:hAnsi="Times New Roman;Times;serif"/>
          <w:b w:val="false"/>
          <w:i w:val="false"/>
          <w:caps w:val="false"/>
          <w:smallCaps w:val="false"/>
          <w:color w:val="000000"/>
          <w:sz w:val="20"/>
        </w:rPr>
        <w:t>, and from commercial document retrieval services. We also generally make available on our own website (</w:t>
      </w:r>
      <w:r>
        <w:rPr>
          <w:rFonts w:ascii="Times New Roman;Times;serif" w:hAnsi="Times New Roman;Times;serif"/>
          <w:b w:val="false"/>
          <w:i w:val="false"/>
          <w:caps w:val="false"/>
          <w:smallCaps w:val="false"/>
          <w:color w:val="000000"/>
          <w:sz w:val="20"/>
          <w:u w:val="single"/>
        </w:rPr>
        <w:t>www.towersemi.com</w:t>
      </w:r>
      <w:r>
        <w:rPr>
          <w:rFonts w:ascii="Times New Roman;Times;serif" w:hAnsi="Times New Roman;Times;serif"/>
          <w:b w:val="false"/>
          <w:i w:val="false"/>
          <w:caps w:val="false"/>
          <w:smallCaps w:val="false"/>
          <w:color w:val="000000"/>
          <w:sz w:val="20"/>
        </w:rPr>
        <w:t>)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   SUBSIDIARY INFORMATION</w:t>
      </w:r>
    </w:p>
    <w:p>
      <w:pPr>
        <w:pStyle w:val="TextBody"/>
        <w:bidi w:val="0"/>
        <w:spacing w:before="0" w:after="0"/>
        <w:jc w:val="left"/>
        <w:rPr/>
      </w:pPr>
      <w:r>
        <w:rPr/>
      </w:r>
    </w:p>
    <w:p>
      <w:pPr>
        <w:pStyle w:val="TextBody"/>
        <w:bidi w:val="0"/>
        <w:spacing w:lineRule="auto" w:line="300" w:before="0" w:after="0"/>
        <w:ind w:left="1440" w:right="0" w:hanging="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J.</w:t>
      </w:r>
      <w:r>
        <w:rPr>
          <w:sz w:val="20"/>
        </w:rPr>
        <w:t xml:space="preserve">  </w:t>
      </w:r>
      <w:r>
        <w:rPr>
          <w:rFonts w:ascii="Times New Roman;Times;serif" w:hAnsi="Times New Roman;Times;serif"/>
          <w:b/>
          <w:color w:val="000000"/>
          <w:sz w:val="20"/>
        </w:rPr>
        <w:t>ANNUAL REPORT TO SECURITY HOLDERS</w:t>
      </w:r>
    </w:p>
    <w:p>
      <w:pPr>
        <w:pStyle w:val="TextBody"/>
        <w:bidi w:val="0"/>
        <w:spacing w:lineRule="auto" w:line="300" w:before="0" w:after="0"/>
        <w:jc w:val="left"/>
        <w:rPr/>
      </w:pPr>
      <w:r>
        <w:rPr/>
        <w:t> </w:t>
      </w:r>
    </w:p>
    <w:p>
      <w:pPr>
        <w:pStyle w:val="TextBody"/>
        <w:bidi w:val="0"/>
        <w:spacing w:lineRule="auto" w:line="300" w:before="0" w:after="0"/>
        <w:ind w:left="1440" w:right="0" w:hanging="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0" w:name="ITEM11"/>
      <w:bookmarkEnd w:id="290"/>
      <w:r>
        <w:rPr>
          <w:rFonts w:ascii="Times New Roman;Times;serif" w:hAnsi="Times New Roman;Times;serif"/>
          <w:b/>
          <w:color w:val="000000"/>
          <w:sz w:val="20"/>
        </w:rPr>
        <w:t>ITEM 11.</w:t>
      </w:r>
      <w:r>
        <w:rPr>
          <w:sz w:val="20"/>
        </w:rPr>
        <w:t>          </w:t>
      </w:r>
      <w:r>
        <w:rPr>
          <w:rFonts w:ascii="Times New Roman;Times;serif" w:hAnsi="Times New Roman;Times;serif"/>
          <w:b/>
          <w:color w:val="000000"/>
          <w:sz w:val="20"/>
        </w:rPr>
        <w:t>QUANTITATIVE AND QUALITATIVE DISCLOSURES ABOUT MARKET RISK</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Risk of Interest Rate Fluctuation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cash equivalents, short-term deposits and investments in marketable securities are exposed to market risk due to fluctuation in interest rates on our cash deposits and/or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JP Loan (with an outstanding principal of approximately $83 million as of December 31, 2022) bears annual fixed interest of 1.95%, and approximately $110 million of our subsidiaries’ equipment capital leases bear fixed interest at rates of approximately 2%. Therefore, we are not subject to cash flow exposure, financing expenses or interest rate fluctuations with respect to the JP Loan or capital leases.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However, in the event that market interest rates for similar debt decrease and are lower than the interest rate provided under our capital leases or loans, our actual financing costs would have been higher than they otherwise would have been had our loans or capital leases provided for interest at a floating interest rate. Assuming a 10% change in market interest rate, the effective impact on our capital leases and loans would be immaterial.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Foreign Exchange Risk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currently operate in three different regions: Japan, the United States and Israel. In addition, we have initial activities in Italy related to the installation of machinery tools at the new fabrication facility that is being established in Agrate, Italy. The functional currency of our entities in the United States, Israel and Italy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  As the establishment of the facility in Italy progresses, we will be further exposed to the Euro exchange rate fluctuations in relation to the USD regarding our costs denominated in Euro.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USD cost of our operations in Israel is influenced by changes in the USD-to-NIS exchange rate, with respect to costs that are denominated in NIS. During the year ended December 31, 2022, the USD appreciated against the NIS by 13.2%, as compared to 3.3% depreciation during the year ended December 31, 2021.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fluctuation of the USD against the NIS can affect our results of operations as it relates to our entity in Israel. Appreciation of the NIS has the effect of increasing the cost, in USD terms, of some of our purchases and labor costs that are denominated in NIS, which may lead to erosion in the profit margins. We use foreign currency cylinder transactions to hedge a portion of this currency exposure to be contained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 ended December 31, 2022, the USD appreciated against the JPY by 14.6%, as compared to 11.7% appreciation during the year ended December 31, 2021. The net effect of USD appreciation against the JPY on TPSCo’s assets and liabilities denominated in JPY is presented in the Cumulative Translation Adjustment (“CTA”) as part of Other Comprehensive Income (“OCI”) in the balance sheet.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Assuming a 10% appreciation of the NIS against the USD on December 31, 2022 (from 3.52 NIS/$ to 3.20 NIS/$), the effective impact on our quarterly Israeli expenses would be higher expenses by approximately $4 million, which would partially be offset by the net impact of the hedging executed using the above-described cylinder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Assuming a 10% appreciation of the JPY against the USD on December 31, 2022 (from 132.0 JPY/$ to 120.0 JPY/$), the effective impact on our quarterly statement of operating results would be lower profitability (higher expenses, net of higher revenue) by approximately $5 million, which would be partially offset by the net impact of the hedging using the above-described cylinder transactions and our natural hedging.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2022, we are subject to currency exchange rate fluctuations of the JPY against the USD in connection with the following JPY-denominated debt financings: (i) approximately $83 million of TPSCo’s loans bearing a fixed interest rate of 1.95% per annum; (ii) approximately $94  million of equipment capital lease agreements with an annual interest rate of approximately 1.85%; and (iii) approximately $16 million of equipment capital lease agreements with an annual interest rate of approximately 1.95%. However, as of December 31, 2022, we had approximately $110 million of cash and cash equivalents and $10 million of short-term deposits, held in JPY currency accounts and deposits, partially mitigating the above JPY debt exposure. Under the current terms of our JPY cash, cash equivalent and debt financing, we have determined that an assumed 10% appreciation of the JPY against the USD rate as of December 31, 2022 (from 132.0 JPY/$ to 120.0 JPY/$), would not have a material effect on our balance sheet as of December 31, 2022.</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12.</w:t>
      </w:r>
      <w:bookmarkStart w:id="291" w:name="ITEM12."/>
      <w:bookmarkEnd w:id="291"/>
      <w:r>
        <w:rPr>
          <w:sz w:val="20"/>
        </w:rPr>
        <w:t xml:space="preserve">          </w:t>
      </w:r>
      <w:r>
        <w:rPr>
          <w:rFonts w:ascii="Times New Roman;Times;serif" w:hAnsi="Times New Roman;Times;serif"/>
          <w:b/>
          <w:color w:val="000000"/>
          <w:sz w:val="20"/>
        </w:rPr>
        <w:t>DESCRIPTION OF SECURITIES OTHER THAN EQUITY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bookmarkStart w:id="292" w:name="PARTII"/>
      <w:bookmarkEnd w:id="292"/>
      <w:r>
        <w:rPr>
          <w:rFonts w:ascii="Times New Roman;Times;serif" w:hAnsi="Times New Roman;Times;serif"/>
          <w:b/>
          <w:color w:val="000000"/>
          <w:sz w:val="20"/>
        </w:rPr>
        <w:t>PART II</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13</w:t>
      </w:r>
      <w:bookmarkStart w:id="293" w:name="ITEM13"/>
      <w:bookmarkEnd w:id="293"/>
      <w:r>
        <w:rPr>
          <w:rFonts w:ascii="Times New Roman;Times;serif" w:hAnsi="Times New Roman;Times;serif"/>
          <w:color w:val="000000"/>
          <w:sz w:val="20"/>
        </w:rPr>
        <w:t>.</w:t>
      </w:r>
      <w:r>
        <w:rPr>
          <w:sz w:val="20"/>
        </w:rPr>
        <w:t>          </w:t>
      </w:r>
      <w:r>
        <w:rPr>
          <w:rFonts w:ascii="Times New Roman;Times;serif" w:hAnsi="Times New Roman;Times;serif"/>
          <w:b/>
          <w:color w:val="000000"/>
          <w:sz w:val="20"/>
        </w:rPr>
        <w:t>DEFAULTS, DIVIDEND ARREARAGES AND DELINQUENCIES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None.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14.</w:t>
      </w:r>
      <w:r>
        <w:rPr>
          <w:sz w:val="20"/>
        </w:rPr>
        <w:t xml:space="preserve"> </w:t>
      </w:r>
      <w:bookmarkStart w:id="294" w:name="ITEM14."/>
      <w:bookmarkEnd w:id="294"/>
      <w:r>
        <w:rPr>
          <w:sz w:val="20"/>
        </w:rPr>
        <w:t xml:space="preserve">         </w:t>
      </w:r>
      <w:r>
        <w:rPr>
          <w:rFonts w:ascii="Times New Roman;Times;serif" w:hAnsi="Times New Roman;Times;serif"/>
          <w:b/>
          <w:color w:val="000000"/>
          <w:sz w:val="20"/>
        </w:rPr>
        <w:t>MATERIAL MODIFICATIONS TO THE RIGHTS OF SECURITY HOLDERS AND USE OF PROCEEDS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15.</w:t>
      </w:r>
      <w:r>
        <w:rPr>
          <w:sz w:val="20"/>
        </w:rPr>
        <w:t xml:space="preserve"> </w:t>
      </w:r>
      <w:bookmarkStart w:id="295" w:name="ITEM15."/>
      <w:bookmarkEnd w:id="295"/>
      <w:r>
        <w:rPr>
          <w:sz w:val="20"/>
        </w:rPr>
        <w:t xml:space="preserve">         </w:t>
      </w:r>
      <w:r>
        <w:rPr>
          <w:rFonts w:ascii="Times New Roman;Times;serif" w:hAnsi="Times New Roman;Times;serif"/>
          <w:b/>
          <w:color w:val="000000"/>
          <w:sz w:val="20"/>
        </w:rPr>
        <w:t>CONTROLS AND PROCEDURES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Evaluation of Disclosure Controls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 Based on our evaluation, management has concluded that our internal control over financial reporting was effective as of December 31, 2022.</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Attestation Report of the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effectiveness of our internal control over financial reporting as of December 31, 2022 has been audited by Brightman Almagor Zohar &amp; Co., Certified Public Accountants, a Firm in the Deloitte Global Network, an independent registered public accounting firm, as stated in their report which appears herein.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has been no change in our internal control over financial reporting during the period covered by this annual report that has materially affected, or is reasonably likely to materially affect, our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6" w:name="ITEM16"/>
      <w:bookmarkEnd w:id="296"/>
      <w:r>
        <w:rPr>
          <w:rFonts w:ascii="Times New Roman;Times;serif" w:hAnsi="Times New Roman;Times;serif"/>
          <w:b/>
          <w:color w:val="000000"/>
          <w:sz w:val="20"/>
        </w:rPr>
        <w:t>ITEM 16.</w:t>
      </w:r>
      <w:r>
        <w:rPr>
          <w:sz w:val="20"/>
        </w:rPr>
        <w:t>          </w:t>
      </w:r>
      <w:r>
        <w:rPr>
          <w:rFonts w:ascii="Times New Roman;Times;serif" w:hAnsi="Times New Roman;Times;serif"/>
          <w:b/>
          <w:color w:val="000000"/>
          <w:sz w:val="20"/>
        </w:rPr>
        <w:t>[RESERVED]</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16A</w:t>
      </w:r>
      <w:bookmarkStart w:id="297" w:name="A16"/>
      <w:bookmarkEnd w:id="297"/>
      <w:r>
        <w:rPr>
          <w:rFonts w:ascii="Times New Roman;Times;serif" w:hAnsi="Times New Roman;Times;serif"/>
          <w:b/>
          <w:color w:val="000000"/>
          <w:sz w:val="20"/>
        </w:rPr>
        <w:t>.</w:t>
      </w:r>
      <w:r>
        <w:rPr>
          <w:sz w:val="20"/>
        </w:rPr>
        <w:t xml:space="preserve">       </w:t>
      </w:r>
      <w:r>
        <w:rPr>
          <w:rFonts w:ascii="Times New Roman;Times;serif" w:hAnsi="Times New Roman;Times;serif"/>
          <w:b/>
          <w:color w:val="000000"/>
          <w:sz w:val="20"/>
        </w:rPr>
        <w:t>AUDIT COMMITTEE FINANCIAL EXPERT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has determined that all four members of our audit committee, Mr. Ilan Flato, Mr. Yoav Chelouche, Mr. Avi Hasson and Ms. Iris Avner, are audit committee financial experts under applicable SEC rules and are independent as defined by NASDAQ Marketplace Rules.</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16B</w:t>
      </w:r>
      <w:bookmarkStart w:id="298" w:name="B16"/>
      <w:bookmarkEnd w:id="298"/>
      <w:r>
        <w:rPr>
          <w:rFonts w:ascii="Times New Roman;Times;serif" w:hAnsi="Times New Roman;Times;serif"/>
          <w:b/>
          <w:color w:val="000000"/>
          <w:sz w:val="20"/>
        </w:rPr>
        <w:t>.</w:t>
      </w:r>
      <w:r>
        <w:rPr>
          <w:sz w:val="20"/>
        </w:rPr>
        <w:t xml:space="preserve">       </w:t>
      </w:r>
      <w:r>
        <w:rPr>
          <w:rFonts w:ascii="Times New Roman;Times;serif" w:hAnsi="Times New Roman;Times;serif"/>
          <w:b/>
          <w:color w:val="000000"/>
          <w:sz w:val="20"/>
        </w:rPr>
        <w:t>CODE OF ETHICS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16C.</w:t>
      </w:r>
      <w:bookmarkStart w:id="299" w:name="A16C"/>
      <w:bookmarkEnd w:id="299"/>
      <w:r>
        <w:rPr>
          <w:sz w:val="20"/>
        </w:rPr>
        <w:t xml:space="preserve">       </w:t>
      </w:r>
      <w:r>
        <w:rPr>
          <w:rFonts w:ascii="Times New Roman;Times;serif" w:hAnsi="Times New Roman;Times;serif"/>
          <w:b/>
          <w:color w:val="000000"/>
          <w:sz w:val="20"/>
        </w:rPr>
        <w:t>PRINCIPAL ACCOUNTANT FEES AND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presents fees for professional services rendered by our independent registered public accounting firm for audit services, audit-related services and tax services: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0" w:name="z71d232ce502647f28a8e75c79521b485"/>
      <w:bookmarkStart w:id="301" w:name="z71d232ce502647f28a8e75c79521b485"/>
      <w:bookmarkEnd w:id="301"/>
    </w:p>
    <w:tbl>
      <w:tblPr>
        <w:tblW w:w="5003" w:type="dxa"/>
        <w:jc w:val="left"/>
        <w:tblInd w:w="0" w:type="dxa"/>
        <w:tblLayout w:type="fixed"/>
        <w:tblCellMar>
          <w:top w:w="0" w:type="dxa"/>
          <w:left w:w="0" w:type="dxa"/>
          <w:bottom w:w="0" w:type="dxa"/>
          <w:right w:w="0" w:type="dxa"/>
        </w:tblCellMar>
      </w:tblPr>
      <w:tblGrid>
        <w:gridCol w:w="2195"/>
        <w:gridCol w:w="60"/>
        <w:gridCol w:w="161"/>
        <w:gridCol w:w="1030"/>
        <w:gridCol w:w="142"/>
        <w:gridCol w:w="142"/>
        <w:gridCol w:w="161"/>
        <w:gridCol w:w="1037"/>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3"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(US dollars in Thousands)</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Audit Fees (1)</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819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835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Audit-Related Fees (2)</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58</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Tax Fees (3)</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All Other Fees</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878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r>
    </w:p>
    <w:p>
      <w:pPr>
        <w:pStyle w:val="TextBody"/>
        <w:bidi w:val="0"/>
        <w:spacing w:lineRule="auto" w:line="300" w:before="0" w:after="0"/>
        <w:ind w:left="0" w:right="0" w:firstLine="720"/>
        <w:jc w:val="both"/>
        <w:rPr>
          <w:sz w:val="20"/>
        </w:rPr>
      </w:pPr>
      <w:r>
        <w:rPr>
          <w:rFonts w:ascii="Times New Roman;Times;serif" w:hAnsi="Times New Roman;Times;serif"/>
          <w:color w:val="000000"/>
          <w:sz w:val="20"/>
        </w:rPr>
        <w:t>(1)</w:t>
      </w:r>
      <w:r>
        <w:rPr>
          <w:sz w:val="20"/>
        </w:rPr>
        <w:t>          </w:t>
      </w:r>
      <w:r>
        <w:rPr>
          <w:rFonts w:ascii="Times New Roman;Times;serif" w:hAnsi="Times New Roman;Times;serif"/>
          <w:color w:val="000000"/>
          <w:sz w:val="20"/>
        </w:rPr>
        <w:t>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and reviews of our interim financial results submitted on Form 6-K.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rFonts w:ascii="Times New Roman;Times;serif" w:hAnsi="Times New Roman;Times;serif"/>
          <w:color w:val="000000"/>
          <w:sz w:val="20"/>
        </w:rPr>
        <w:t>(2)</w:t>
      </w:r>
      <w:r>
        <w:rPr>
          <w:sz w:val="20"/>
        </w:rPr>
        <w:t>          </w:t>
      </w:r>
      <w:r>
        <w:rPr>
          <w:rFonts w:ascii="Times New Roman;Times;serif" w:hAnsi="Times New Roman;Times;serif"/>
          <w:color w:val="000000"/>
          <w:sz w:val="20"/>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 and out of pocket expenses reimbursement.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rFonts w:ascii="Times New Roman;Times;serif" w:hAnsi="Times New Roman;Times;serif"/>
          <w:color w:val="000000"/>
          <w:sz w:val="20"/>
        </w:rPr>
        <w:t>(3)</w:t>
      </w:r>
      <w:r>
        <w:rPr>
          <w:sz w:val="20"/>
        </w:rPr>
        <w:t>          </w:t>
      </w:r>
      <w:r>
        <w:rPr>
          <w:rFonts w:ascii="Times New Roman;Times;serif" w:hAnsi="Times New Roman;Times;serif"/>
          <w:color w:val="000000"/>
          <w:sz w:val="20"/>
        </w:rPr>
        <w:t>Tax fees consist of fees for tax compliance services and tax returns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accordance with our audit committee charter, which requires audit committee pre-approval of audit and non-audit services to be provided by the independent auditors and related fees and terms, all of the services for which audit related fees and tax fees were paid in 2022 and 2021 to our independent auditors were pre-approved by the audit committee.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302" w:name="ITEM16D"/>
      <w:bookmarkEnd w:id="302"/>
      <w:r>
        <w:rPr>
          <w:rFonts w:ascii="Times New Roman;Times;serif" w:hAnsi="Times New Roman;Times;serif"/>
          <w:b/>
          <w:color w:val="000000"/>
          <w:sz w:val="20"/>
        </w:rPr>
        <w:t>ITEM 16D.</w:t>
      </w:r>
      <w:r>
        <w:rPr>
          <w:sz w:val="20"/>
        </w:rPr>
        <w:t xml:space="preserve">       </w:t>
      </w:r>
      <w:r>
        <w:rPr>
          <w:rFonts w:ascii="Times New Roman;Times;serif" w:hAnsi="Times New Roman;Times;serif"/>
          <w:b/>
          <w:color w:val="000000"/>
          <w:sz w:val="20"/>
        </w:rPr>
        <w:t>EXEMPTIONS FROM THE LISTING STANDARDS FOR AUDIT COMMITTEES</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16E</w:t>
      </w:r>
      <w:bookmarkStart w:id="303" w:name="ITEM16E"/>
      <w:bookmarkEnd w:id="303"/>
      <w:r>
        <w:rPr>
          <w:rFonts w:ascii="Times New Roman;Times;serif" w:hAnsi="Times New Roman;Times;serif"/>
          <w:b/>
          <w:color w:val="000000"/>
          <w:sz w:val="20"/>
        </w:rPr>
        <w:t>.</w:t>
      </w:r>
      <w:r>
        <w:rPr>
          <w:sz w:val="20"/>
        </w:rPr>
        <w:t xml:space="preserve">       </w:t>
      </w:r>
      <w:r>
        <w:rPr>
          <w:rFonts w:ascii="Times New Roman;Times;serif" w:hAnsi="Times New Roman;Times;serif"/>
          <w:b/>
          <w:color w:val="000000"/>
          <w:sz w:val="20"/>
        </w:rPr>
        <w:t>PURCHASES OF EQUITY SECURITIES BY THE ISSUER AND AFFILIATED PURCHASERS</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16F</w:t>
      </w:r>
      <w:bookmarkStart w:id="304" w:name="ITEM16F"/>
      <w:bookmarkEnd w:id="304"/>
      <w:r>
        <w:rPr>
          <w:rFonts w:ascii="Times New Roman;Times;serif" w:hAnsi="Times New Roman;Times;serif"/>
          <w:b/>
          <w:color w:val="000000"/>
          <w:sz w:val="20"/>
        </w:rPr>
        <w:t>.        CHANGE IN REGISTRANT'S CERTIFYING ACCOUNTANT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16G.</w:t>
      </w:r>
      <w:bookmarkStart w:id="305" w:name="ITEM16G."/>
      <w:bookmarkEnd w:id="305"/>
      <w:r>
        <w:rPr>
          <w:rFonts w:ascii="Times New Roman;Times;serif" w:hAnsi="Times New Roman;Times;serif"/>
          <w:b/>
          <w:color w:val="000000"/>
          <w:sz w:val="20"/>
        </w:rPr>
        <w:t>       CORPORATE GOVERNANCE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6" w:name="z5bc1175ec67f400ab0035d48efb48c66"/>
      <w:bookmarkStart w:id="307" w:name="z5bc1175ec67f400ab0035d48efb48c66"/>
      <w:bookmarkEnd w:id="3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Distribution of certain reports to shareholders.  As opposed to the Nasdaq Listing Rule 5250(d), which requires listed issuers to make annual reports available to 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our audited financial statements are available to our shareholders at our offices and will only mail such reports to shareholders upon request.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08" w:name="z89228e5e47d94da49fc80997e117dd80"/>
      <w:bookmarkStart w:id="309" w:name="z89228e5e47d94da49fc80997e117dd80"/>
      <w:bookmarkEnd w:id="3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Independent director meetings. Our Board has not adopted a policy of conducting regularly scheduled meetings at which only our independent directors are present, as permitted by Israeli law. We do not follow the requirements of Nasdaq Listing Rule 5605(b)(2).</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0" w:name="z353737e597654392bda68bae2e462b7e"/>
      <w:bookmarkStart w:id="311" w:name="z353737e597654392bda68bae2e462b7e"/>
      <w:bookmarkEnd w:id="3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Compensation of officers. We follow Israeli law and practice with respect to the approval of compensation for our chief executive officer and other executive officers. While our compensation committee currently complies with the provisions of the Nasdaq Listing Rules relating to composition requirements,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the Nasdaq Listing Rule 5605(d) (see Exhibit 2.1 to this Annual Report, “Description of Securities”).</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2" w:name="zb6417644e896453892dd753c520efa49"/>
      <w:bookmarkStart w:id="313" w:name="zb6417644e896453892dd753c520efa49"/>
      <w:bookmarkEnd w:id="3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Director nomination process.  While our corporate governance and nominating committee currently complies with the provisions of the Nasdaq Listing Rules relating to composition requirements, the process 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4" w:name="z4034b1526bf04c4ebbebf5814ba2d120"/>
      <w:bookmarkStart w:id="315" w:name="z4034b1526bf04c4ebbebf5814ba2d120"/>
      <w:bookmarkEnd w:id="3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Audit Committee Charter.  Although we have adopted a formal written audit committee charter, there is no requirement under the Companies Law to do so and the charter as adopted may not specify all the items enumerated in Nasdaq Listing Rule 5605(c)(1).</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6" w:name="z5c751b72b74740ee944c559038d43db0"/>
      <w:bookmarkStart w:id="317" w:name="z5c751b72b74740ee944c559038d43db0"/>
      <w:bookmarkEnd w:id="3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Compensation Committee Charter.  Although we have adopted a formal written compensation committee charter, there is no requirement under the Companies Law to do so and the charter as adopted may not specify all the items enumerated in Nasdaq Listing Rule 5605(d)(1).</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8" w:name="zfb40e0b10f30439aa2f4c063e5d1cb9a"/>
      <w:bookmarkStart w:id="319" w:name="zfb40e0b10f30439aa2f4c063e5d1cb9a"/>
      <w:bookmarkEnd w:id="3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Quorum requirements.  Under our articles of association and as permitted under the Companies Law, a quorum for any meeting of shareholders shall be the 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0" w:name="z35e41db877ee42868c2512045b0fbc97"/>
      <w:bookmarkStart w:id="321" w:name="z35e41db877ee42868c2512045b0fbc97"/>
      <w:bookmarkEnd w:id="3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Related Party Transactions.  We review and approve all related party transactions in accordance with the requirements and procedures for approval of related party acts and transactions set forth in Sections 268 to 275 the Companies Law, which may not fully reflect the requirements of Nasdaq Listing Rule 5630.</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22" w:name="z9d7ee2cb84904f8f84e0a349dc4d284f"/>
      <w:bookmarkStart w:id="323" w:name="z9d7ee2cb84904f8f84e0a349dc4d284f"/>
      <w:bookmarkEnd w:id="3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Times;serif" w:hAnsi="Times New Roman;Times;serif"/>
                <w:color w:val="000000"/>
              </w:rPr>
            </w:pPr>
            <w:r>
              <w:rPr>
                <w:rFonts w:ascii="Times New Roman;Times;serif" w:hAnsi="Times New Roman;Times;serif"/>
                <w:color w:val="000000"/>
              </w:rPr>
              <w:t>Shareholder Approval.  We seek shareholder approval for all corporate actions requiring such approval under the requirements of the Companies Law, rather than seeking approval for corporate actions in 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approval of the shareholders of each of the merging companies.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Except as stated above, we currently intend to comply with the rules generally applicable to U.S. domestic companies listed on the NASDAQ Global Select Market.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less protection than is accorded to investors under the Nasdaq Listing Rules applicable to domestic issuers. For more information, see “Item 3. “Key Information – D. Risk Factors-Risks Related to the Company – “We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bookmarkStart w:id="324" w:name="ITEM16H"/>
      <w:bookmarkEnd w:id="324"/>
      <w:r>
        <w:rPr>
          <w:rFonts w:ascii="Times New Roman;Times;serif" w:hAnsi="Times New Roman;Times;serif"/>
          <w:b/>
          <w:color w:val="000000"/>
          <w:sz w:val="20"/>
        </w:rPr>
        <w:t>ITEM 16H.       MINE SAFETY DISCLOSURE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16I</w:t>
      </w:r>
      <w:bookmarkStart w:id="325" w:name="A16I"/>
      <w:bookmarkEnd w:id="325"/>
      <w:r>
        <w:rPr>
          <w:rFonts w:ascii="Times New Roman;Times;serif" w:hAnsi="Times New Roman;Times;serif"/>
          <w:b/>
          <w:color w:val="000000"/>
          <w:sz w:val="20"/>
        </w:rPr>
        <w:t>.        DISCLOSURE REGARDING FOREIGN JURISDICTIONS THAT PREVENT INSPECTIONS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16J.</w:t>
      </w:r>
      <w:bookmarkStart w:id="326" w:name="ITEM16J."/>
      <w:bookmarkEnd w:id="326"/>
      <w:r>
        <w:rPr>
          <w:rFonts w:ascii="Times New Roman;Times;serif" w:hAnsi="Times New Roman;Times;serif"/>
          <w:b/>
          <w:color w:val="000000"/>
          <w:sz w:val="20"/>
        </w:rPr>
        <w:t>        INSIDER TRADING POLICIES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PART III</w:t>
      </w:r>
      <w:bookmarkStart w:id="327" w:name="PARTIII"/>
      <w:bookmarkEnd w:id="327"/>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17.</w:t>
      </w:r>
      <w:r>
        <w:rPr>
          <w:sz w:val="20"/>
        </w:rPr>
        <w:t xml:space="preserve"> </w:t>
      </w:r>
      <w:bookmarkStart w:id="328" w:name="ITEM17."/>
      <w:bookmarkStart w:id="329" w:name="TEM17."/>
      <w:bookmarkEnd w:id="328"/>
      <w:bookmarkEnd w:id="329"/>
      <w:r>
        <w:rPr>
          <w:sz w:val="20"/>
        </w:rPr>
        <w:t xml:space="preserve">         </w:t>
      </w:r>
      <w:r>
        <w:rPr>
          <w:rFonts w:ascii="Times New Roman;Times;serif" w:hAnsi="Times New Roman;Times;serif"/>
          <w:b/>
          <w:color w:val="000000"/>
          <w:sz w:val="20"/>
        </w:rPr>
        <w:t>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18</w:t>
      </w:r>
      <w:bookmarkStart w:id="330" w:name="ITEM18"/>
      <w:bookmarkEnd w:id="330"/>
      <w:r>
        <w:rPr>
          <w:rFonts w:ascii="Times New Roman;Times;serif" w:hAnsi="Times New Roman;Times;serif"/>
          <w:b/>
          <w:color w:val="000000"/>
          <w:sz w:val="20"/>
        </w:rPr>
        <w:t>.</w:t>
      </w:r>
      <w:r>
        <w:rPr>
          <w:sz w:val="20"/>
        </w:rPr>
        <w:t>          </w:t>
      </w:r>
      <w:r>
        <w:rPr>
          <w:rFonts w:ascii="Times New Roman;Times;serif" w:hAnsi="Times New Roman;Times;serif"/>
          <w:b/>
          <w:color w:val="000000"/>
          <w:sz w:val="20"/>
        </w:rPr>
        <w:t>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financial statements and related auditors’ report for the year ended December 31, 2022 are included in this annual report beginning on page F-1.</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color w:val="000000"/>
          <w:sz w:val="20"/>
        </w:rPr>
        <w:t>ITEM 19.</w:t>
      </w:r>
      <w:bookmarkStart w:id="331" w:name="ITEM19."/>
      <w:bookmarkEnd w:id="331"/>
      <w:r>
        <w:rPr>
          <w:sz w:val="20"/>
        </w:rPr>
        <w:t xml:space="preserve">          </w:t>
      </w:r>
      <w:r>
        <w:rPr>
          <w:rFonts w:ascii="Times New Roman;Times;serif" w:hAnsi="Times New Roman;Times;serif"/>
          <w:b/>
          <w:color w:val="000000"/>
          <w:sz w:val="20"/>
        </w:rPr>
        <w:t>EXHIBITS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32" w:name="z9541c4cc057a41a6b803fe9bd6f4f14b"/>
      <w:bookmarkStart w:id="333" w:name="z9541c4cc057a41a6b803fe9bd6f4f14b"/>
      <w:bookmarkEnd w:id="333"/>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9885"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Articles of Association of the Company, approved by shareholders on November 14, 2000, as amended (incorporated by reference to Exhibit 3.1 of the Company’s Registration Statement on Form F-1, File No. 333-126909).</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2">
              <w:r>
                <w:rPr>
                  <w:rStyle w:val="InternetLink"/>
                  <w:rFonts w:ascii="Times New Roman;Times;serif" w:hAnsi="Times New Roman;Times;serif"/>
                </w:rPr>
                <w:t>1.2</w:t>
              </w:r>
            </w:hyperlink>
          </w:p>
        </w:tc>
        <w:tc>
          <w:tcPr>
            <w:tcW w:w="9885" w:type="dxa"/>
            <w:tcBorders/>
            <w:vAlign w:val="center"/>
          </w:tcPr>
          <w:p>
            <w:pPr>
              <w:pStyle w:val="TableContents"/>
              <w:bidi w:val="0"/>
              <w:spacing w:lineRule="auto" w:line="300" w:before="0" w:after="0"/>
              <w:jc w:val="both"/>
              <w:rPr/>
            </w:pPr>
            <w:hyperlink r:id="rId3">
              <w:r>
                <w:rPr>
                  <w:rStyle w:val="InternetLink"/>
                  <w:rFonts w:ascii="Times New Roman;Times;serif" w:hAnsi="Times New Roman;Times;serif"/>
                </w:rPr>
                <w:t>Amendment to Articles of Association of the Company (approved by shareholders on December 7, 2003) (incorporated by reference to Exhibit 4.2 to the Registration Statement on Form S-8, File No. 333-117565).</w:t>
              </w:r>
            </w:hyperlink>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bidi w:val="0"/>
        <w:spacing w:before="200" w:after="200"/>
        <w:jc w:val="left"/>
        <w:rPr/>
      </w:pPr>
      <w:r>
        <w:rPr/>
      </w:r>
    </w:p>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4">
              <w:r>
                <w:rPr>
                  <w:rStyle w:val="InternetLink"/>
                  <w:rFonts w:ascii="Times New Roman;Times;serif" w:hAnsi="Times New Roman;Times;serif"/>
                </w:rPr>
                <w:t>1.3</w:t>
              </w:r>
            </w:hyperlink>
          </w:p>
        </w:tc>
        <w:tc>
          <w:tcPr>
            <w:tcW w:w="9885" w:type="dxa"/>
            <w:tcBorders/>
            <w:vAlign w:val="center"/>
          </w:tcPr>
          <w:p>
            <w:pPr>
              <w:pStyle w:val="TableContents"/>
              <w:bidi w:val="0"/>
              <w:spacing w:lineRule="auto" w:line="300" w:before="0" w:after="0"/>
              <w:jc w:val="both"/>
              <w:rPr/>
            </w:pPr>
            <w:hyperlink r:id="rId5">
              <w:r>
                <w:rPr>
                  <w:rStyle w:val="InternetLink"/>
                  <w:rFonts w:ascii="Times New Roman;Times;serif" w:hAnsi="Times New Roman;Times;serif"/>
                </w:rPr>
                <w:t>Amendment to the Articles of Association of the Company (approved by shareholders on September 28, 2006) (incorporated by reference to Exhibit 4.2 of the Company’s Registration Statement on Form S-8, File No. 333-138837).</w:t>
              </w:r>
            </w:hyperlink>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center"/>
              <w:rPr/>
            </w:pPr>
            <w:hyperlink r:id="rId6">
              <w:r>
                <w:rPr>
                  <w:rStyle w:val="InternetLink"/>
                  <w:rFonts w:ascii="Times New Roman;Times;serif" w:hAnsi="Times New Roman;Times;serif"/>
                </w:rPr>
                <w:t xml:space="preserve">1.4 </w:t>
              </w:r>
            </w:hyperlink>
          </w:p>
        </w:tc>
        <w:tc>
          <w:tcPr>
            <w:tcW w:w="9859" w:type="dxa"/>
            <w:tcBorders/>
            <w:vAlign w:val="center"/>
          </w:tcPr>
          <w:p>
            <w:pPr>
              <w:pStyle w:val="TableContents"/>
              <w:bidi w:val="0"/>
              <w:spacing w:lineRule="auto" w:line="300" w:before="0" w:after="0"/>
              <w:jc w:val="both"/>
              <w:rPr/>
            </w:pPr>
            <w:hyperlink r:id="rId7">
              <w:r>
                <w:rPr>
                  <w:rStyle w:val="InternetLink"/>
                  <w:rFonts w:ascii="Times New Roman;Times;serif" w:hAnsi="Times New Roman;Times;serif"/>
                </w:rPr>
                <w:t>Amendment to Articles of Association of Company (approved by shareholders on September 24, 2008) (incorporated by reference to Exhibit 3.4 of the Company’s Registration Statement on Form S-8, File No. 333-153710).</w:t>
              </w:r>
            </w:hyperlink>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8">
              <w:r>
                <w:rPr>
                  <w:rStyle w:val="InternetLink"/>
                </w:rPr>
                <w:t>1.5</w:t>
              </w:r>
            </w:hyperlink>
          </w:p>
        </w:tc>
        <w:tc>
          <w:tcPr>
            <w:tcW w:w="9885" w:type="dxa"/>
            <w:tcBorders/>
            <w:vAlign w:val="center"/>
          </w:tcPr>
          <w:p>
            <w:pPr>
              <w:pStyle w:val="TableContents"/>
              <w:bidi w:val="0"/>
              <w:spacing w:lineRule="auto" w:line="300" w:before="0" w:after="0"/>
              <w:jc w:val="both"/>
              <w:rPr/>
            </w:pPr>
            <w:hyperlink r:id="rId9">
              <w:r>
                <w:rPr>
                  <w:rStyle w:val="InternetLink"/>
                  <w:rFonts w:ascii="Times New Roman;Times;serif" w:hAnsi="Times New Roman;Times;serif"/>
                </w:rPr>
                <w:t>Amendment to Articles of Association of Company (approved by shareholders on August 11, 2011) (incorporated by reference to Exhibit 99.1 of the Form 6-K furnished to the SEC on January 17, 2012).</w:t>
              </w:r>
            </w:hyperlink>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10">
              <w:r>
                <w:rPr>
                  <w:rStyle w:val="InternetLink"/>
                </w:rPr>
                <w:t>1.6</w:t>
              </w:r>
            </w:hyperlink>
          </w:p>
        </w:tc>
        <w:tc>
          <w:tcPr>
            <w:tcW w:w="9885" w:type="dxa"/>
            <w:tcBorders/>
            <w:vAlign w:val="center"/>
          </w:tcPr>
          <w:p>
            <w:pPr>
              <w:pStyle w:val="TableContents"/>
              <w:bidi w:val="0"/>
              <w:spacing w:lineRule="auto" w:line="300" w:before="0" w:after="0"/>
              <w:jc w:val="both"/>
              <w:rPr/>
            </w:pPr>
            <w:hyperlink r:id="rId11">
              <w:r>
                <w:rPr>
                  <w:rStyle w:val="InternetLink"/>
                  <w:rFonts w:ascii="Times New Roman;Times;serif" w:hAnsi="Times New Roman;Times;serif"/>
                </w:rPr>
                <w:t>Amendment to Articles of Association of Company (approved by shareholders on August 2, 2012) (incorporated by reference to proposals 1 and 2 of the proxy statement filed on Form 6-K furnished to the SEC on June 12, 2012, and the Form 6-K furnished to the Securities and Exchange Commission on August 2, 2012).</w:t>
              </w:r>
            </w:hyperlink>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12">
              <w:r>
                <w:rPr>
                  <w:rStyle w:val="InternetLink"/>
                </w:rPr>
                <w:t>1.7</w:t>
              </w:r>
            </w:hyperlink>
          </w:p>
        </w:tc>
        <w:tc>
          <w:tcPr>
            <w:tcW w:w="9885" w:type="dxa"/>
            <w:tcBorders/>
            <w:vAlign w:val="center"/>
          </w:tcPr>
          <w:p>
            <w:pPr>
              <w:pStyle w:val="TableContents"/>
              <w:bidi w:val="0"/>
              <w:spacing w:lineRule="auto" w:line="300" w:before="0" w:after="0"/>
              <w:jc w:val="both"/>
              <w:rPr/>
            </w:pPr>
            <w:hyperlink r:id="rId13">
              <w:r>
                <w:rPr>
                  <w:rStyle w:val="InternetLink"/>
                  <w:rFonts w:ascii="Times New Roman;Times;serif" w:hAnsi="Times New Roman;Times;serif"/>
                </w:rPr>
                <w:t>Amendment to Articles of Association of Company (approved by shareholders on May 23, 2013) (incorporated by reference to Proposal 5 of the proxy statement furnished on Form 6-K to the Securities and Exchange Commission on April 16, 2013).</w:t>
              </w:r>
            </w:hyperlink>
          </w:p>
        </w:tc>
      </w:tr>
    </w:tbl>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14">
              <w:r>
                <w:rPr>
                  <w:rStyle w:val="InternetLink"/>
                  <w:rFonts w:ascii="Times New Roman;Times;serif" w:hAnsi="Times New Roman;Times;serif"/>
                </w:rPr>
                <w:t>2.1</w:t>
              </w:r>
            </w:hyperlink>
          </w:p>
        </w:tc>
        <w:tc>
          <w:tcPr>
            <w:tcW w:w="9885" w:type="dxa"/>
            <w:tcBorders/>
            <w:vAlign w:val="center"/>
          </w:tcPr>
          <w:p>
            <w:pPr>
              <w:pStyle w:val="TableContents"/>
              <w:bidi w:val="0"/>
              <w:spacing w:lineRule="auto" w:line="300" w:before="0" w:after="0"/>
              <w:jc w:val="both"/>
              <w:rPr/>
            </w:pPr>
            <w:hyperlink r:id="rId15">
              <w:r>
                <w:rPr>
                  <w:rStyle w:val="InternetLink"/>
                  <w:rFonts w:ascii="Times New Roman;Times;serif" w:hAnsi="Times New Roman;Times;serif"/>
                </w:rPr>
                <w:t>Description of Securities Registered Under Section 12 (incorporated by reference to Exhibit 2.1 of the Annual Report on Form 20-F filed with the Securities and Exchange Commission on April 30, 2021).</w:t>
              </w:r>
            </w:hyperlink>
          </w:p>
        </w:tc>
      </w:tr>
    </w:tbl>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16">
              <w:r>
                <w:rPr>
                  <w:rStyle w:val="InternetLink"/>
                  <w:rFonts w:ascii="Times New Roman;Times;serif" w:hAnsi="Times New Roman;Times;serif"/>
                </w:rPr>
                <w:t>4.1</w:t>
              </w:r>
            </w:hyperlink>
          </w:p>
        </w:tc>
        <w:tc>
          <w:tcPr>
            <w:tcW w:w="9885" w:type="dxa"/>
            <w:tcBorders/>
            <w:vAlign w:val="center"/>
          </w:tcPr>
          <w:p>
            <w:pPr>
              <w:pStyle w:val="TableContents"/>
              <w:bidi w:val="0"/>
              <w:spacing w:lineRule="auto" w:line="300" w:before="0" w:after="0"/>
              <w:jc w:val="both"/>
              <w:rPr/>
            </w:pPr>
            <w:hyperlink r:id="rId17">
              <w:r>
                <w:rPr>
                  <w:rStyle w:val="InternetLink"/>
                  <w:rFonts w:ascii="Times New Roman;Times;serif" w:hAnsi="Times New Roman;Times;serif"/>
                </w:rPr>
                <w:t>2013 Share Incentive Plan, as amended in 2019 (incorporated by reference to Exhibit 4.1 of the Annual Report on Form 20-F filed with the Securities and Exchange Commission on April 29, 2022).</w:t>
              </w:r>
            </w:hyperlink>
          </w:p>
        </w:tc>
      </w:tr>
    </w:tbl>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18">
              <w:r>
                <w:rPr>
                  <w:rStyle w:val="InternetLink"/>
                  <w:rFonts w:ascii="Times New Roman;Times;serif" w:hAnsi="Times New Roman;Times;serif"/>
                </w:rPr>
                <w:t>4.2</w:t>
              </w:r>
            </w:hyperlink>
          </w:p>
        </w:tc>
        <w:tc>
          <w:tcPr>
            <w:tcW w:w="9885" w:type="dxa"/>
            <w:tcBorders/>
            <w:vAlign w:val="center"/>
          </w:tcPr>
          <w:p>
            <w:pPr>
              <w:pStyle w:val="TableContents"/>
              <w:bidi w:val="0"/>
              <w:spacing w:lineRule="auto" w:line="300" w:before="0" w:after="0"/>
              <w:jc w:val="both"/>
              <w:rPr/>
            </w:pPr>
            <w:hyperlink r:id="rId19">
              <w:r>
                <w:rPr>
                  <w:rStyle w:val="InternetLink"/>
                  <w:rFonts w:ascii="Times New Roman;Times;serif" w:hAnsi="Times New Roman;Times;serif"/>
                </w:rPr>
                <w:t>Compensation Policy for Executive Officers and Directors of the Company (incorporated by reference to Exhibit A to Exhibit 99.1 to the Form 6-K furnished to the Securities and Exchange Commission on August 3, 2020).</w:t>
              </w:r>
            </w:hyperlink>
          </w:p>
        </w:tc>
      </w:tr>
    </w:tbl>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20">
              <w:r>
                <w:rPr>
                  <w:rStyle w:val="InternetLink"/>
                  <w:rFonts w:ascii="Times New Roman;Times;serif" w:hAnsi="Times New Roman;Times;serif"/>
                </w:rPr>
                <w:t>4.3</w:t>
              </w:r>
            </w:hyperlink>
          </w:p>
        </w:tc>
        <w:tc>
          <w:tcPr>
            <w:tcW w:w="9885" w:type="dxa"/>
            <w:tcBorders/>
            <w:vAlign w:val="center"/>
          </w:tcPr>
          <w:p>
            <w:pPr>
              <w:pStyle w:val="TableContents"/>
              <w:bidi w:val="0"/>
              <w:spacing w:lineRule="auto" w:line="300" w:before="0" w:after="0"/>
              <w:jc w:val="both"/>
              <w:rPr/>
            </w:pPr>
            <w:hyperlink r:id="rId21">
              <w:r>
                <w:rPr>
                  <w:rStyle w:val="InternetLink"/>
                  <w:rFonts w:ascii="Times New Roman;Times;serif" w:hAnsi="Times New Roman;Times;serif"/>
                </w:rPr>
                <w:t>Agreement and Plan of Merger, dated as of February 15, 2022, by and among the Company, Intel, Parent and Merger Sub (incorporated by reference to Exhibit 99.1 of the Form 6-K furnished to the SEC on February 16, 2022).</w:t>
              </w:r>
            </w:hyperlink>
          </w:p>
        </w:tc>
      </w:tr>
    </w:tbl>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center"/>
              <w:rPr/>
            </w:pPr>
            <w:hyperlink r:id="rId22">
              <w:r>
                <w:rPr>
                  <w:rStyle w:val="InternetLink"/>
                  <w:rFonts w:ascii="Times New Roman;Times;serif" w:hAnsi="Times New Roman;Times;serif"/>
                </w:rPr>
                <w:t>4.4</w:t>
              </w:r>
            </w:hyperlink>
          </w:p>
        </w:tc>
        <w:tc>
          <w:tcPr>
            <w:tcW w:w="9885" w:type="dxa"/>
            <w:tcBorders/>
            <w:vAlign w:val="center"/>
          </w:tcPr>
          <w:p>
            <w:pPr>
              <w:pStyle w:val="TableContents"/>
              <w:bidi w:val="0"/>
              <w:spacing w:lineRule="auto" w:line="300" w:before="0" w:after="0"/>
              <w:jc w:val="both"/>
              <w:rPr/>
            </w:pPr>
            <w:hyperlink r:id="rId23">
              <w:r>
                <w:rPr>
                  <w:rStyle w:val="InternetLink"/>
                  <w:rFonts w:ascii="Times New Roman;Times;serif" w:hAnsi="Times New Roman;Times;serif"/>
                </w:rPr>
                <w:t>Consortium Agreement, effective as of September 14 , 2021, by and among the Company and ST (certain confidential portions (indicated by brackets and asterisks) have been omitted from this exhibit) (incorporated by reference to Exhibit 4.4 of the Annual Report on Form 20-F filed with the Securities and Exchange Commission on April 29, 2022)</w:t>
              </w:r>
            </w:hyperlink>
            <w:hyperlink r:id="rId24">
              <w:r>
                <w:rPr>
                  <w:rStyle w:val="InternetLink"/>
                  <w:rFonts w:ascii="Times New Roman;Times;serif" w:hAnsi="Times New Roman;Times;serif"/>
                  <w:b/>
                </w:rPr>
                <w:t>.</w:t>
              </w:r>
            </w:hyperlink>
          </w:p>
        </w:tc>
      </w:tr>
    </w:tbl>
    <w:p>
      <w:pPr>
        <w:pStyle w:val="TextBody"/>
        <w:bidi w:val="0"/>
        <w:spacing w:lineRule="auto" w:line="300"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440"/>
        <w:gridCol w:w="1625"/>
      </w:tblGrid>
      <w:tr>
        <w:trPr/>
        <w:tc>
          <w:tcPr>
            <w:tcW w:w="440" w:type="dxa"/>
            <w:tcBorders/>
            <w:vAlign w:val="center"/>
          </w:tcPr>
          <w:p>
            <w:pPr>
              <w:pStyle w:val="TableContents"/>
              <w:bidi w:val="0"/>
              <w:spacing w:before="0" w:after="283"/>
              <w:jc w:val="center"/>
              <w:rPr/>
            </w:pPr>
            <w:hyperlink w:anchor="exhibit_8-1.htm">
              <w:r>
                <w:rPr>
                  <w:rStyle w:val="InternetLink"/>
                  <w:rFonts w:ascii="Times New Roman;Times;serif" w:hAnsi="Times New Roman;Times;serif"/>
                </w:rPr>
                <w:t>#8.1</w:t>
              </w:r>
            </w:hyperlink>
          </w:p>
        </w:tc>
        <w:tc>
          <w:tcPr>
            <w:tcW w:w="1625" w:type="dxa"/>
            <w:tcBorders/>
            <w:vAlign w:val="center"/>
          </w:tcPr>
          <w:p>
            <w:pPr>
              <w:pStyle w:val="TableContents"/>
              <w:bidi w:val="0"/>
              <w:spacing w:lineRule="auto" w:line="300" w:before="0" w:after="0"/>
              <w:jc w:val="both"/>
              <w:rPr/>
            </w:pPr>
            <w:hyperlink w:anchor="exhibit_8-1.htm">
              <w:r>
                <w:rPr>
                  <w:rStyle w:val="InternetLink"/>
                  <w:rFonts w:ascii="Times New Roman;Times;serif" w:hAnsi="Times New Roman;Times;serif"/>
                  <w:b w:val="false"/>
                  <w:i w:val="false"/>
                  <w:caps w:val="false"/>
                  <w:smallCaps w:val="false"/>
                  <w:sz w:val="20"/>
                </w:rPr>
                <w:t>List of Subsidiaries.</w:t>
              </w:r>
            </w:hyperlink>
          </w:p>
        </w:tc>
      </w:tr>
    </w:tbl>
    <w:p>
      <w:pPr>
        <w:pStyle w:val="TextBody"/>
        <w:bidi w:val="0"/>
        <w:spacing w:lineRule="auto" w:line="300"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620"/>
        <w:gridCol w:w="8135"/>
      </w:tblGrid>
      <w:tr>
        <w:trPr/>
        <w:tc>
          <w:tcPr>
            <w:tcW w:w="620" w:type="dxa"/>
            <w:tcBorders/>
            <w:vAlign w:val="center"/>
          </w:tcPr>
          <w:p>
            <w:pPr>
              <w:pStyle w:val="TableContents"/>
              <w:bidi w:val="0"/>
              <w:spacing w:before="0" w:after="283"/>
              <w:jc w:val="center"/>
              <w:rPr/>
            </w:pPr>
            <w:hyperlink w:anchor="exhibit_12-1.htm">
              <w:r>
                <w:rPr>
                  <w:rStyle w:val="InternetLink"/>
                  <w:rFonts w:ascii="Times New Roman;Times;serif" w:hAnsi="Times New Roman;Times;serif"/>
                </w:rPr>
                <w:t xml:space="preserve">#12.1 </w:t>
              </w:r>
            </w:hyperlink>
          </w:p>
        </w:tc>
        <w:tc>
          <w:tcPr>
            <w:tcW w:w="8135" w:type="dxa"/>
            <w:tcBorders/>
            <w:vAlign w:val="center"/>
          </w:tcPr>
          <w:p>
            <w:pPr>
              <w:pStyle w:val="TableContents"/>
              <w:bidi w:val="0"/>
              <w:spacing w:lineRule="auto" w:line="300" w:before="0" w:after="0"/>
              <w:jc w:val="both"/>
              <w:rPr/>
            </w:pPr>
            <w:hyperlink w:anchor="exhibit_12-1.htm">
              <w:r>
                <w:rPr>
                  <w:rStyle w:val="InternetLink"/>
                  <w:rFonts w:ascii="Times New Roman;Times;serif" w:hAnsi="Times New Roman;Times;serif"/>
                  <w:b w:val="false"/>
                  <w:i w:val="false"/>
                  <w:caps w:val="false"/>
                  <w:smallCaps w:val="false"/>
                  <w:sz w:val="20"/>
                </w:rPr>
                <w:t>Certification by Chief Executive Officer pursuant to Section 302 of the Sarbanes-Oxley Act of 2002.</w:t>
              </w:r>
            </w:hyperlink>
          </w:p>
        </w:tc>
      </w:tr>
    </w:tbl>
    <w:p>
      <w:pPr>
        <w:pStyle w:val="TextBody"/>
        <w:bidi w:val="0"/>
        <w:spacing w:lineRule="auto" w:line="300" w:before="0" w:after="0"/>
        <w:ind w:left="0" w:right="0" w:firstLine="720"/>
        <w:jc w:val="both"/>
        <w:rPr/>
      </w:pPr>
      <w:r>
        <w:rPr/>
        <w:t xml:space="preserve">  </w:t>
      </w:r>
    </w:p>
    <w:tbl>
      <w:tblPr>
        <w:tblW w:w="8635" w:type="dxa"/>
        <w:jc w:val="left"/>
        <w:tblInd w:w="0" w:type="dxa"/>
        <w:tblLayout w:type="fixed"/>
        <w:tblCellMar>
          <w:top w:w="0" w:type="dxa"/>
          <w:left w:w="0" w:type="dxa"/>
          <w:bottom w:w="0" w:type="dxa"/>
          <w:right w:w="0" w:type="dxa"/>
        </w:tblCellMar>
      </w:tblPr>
      <w:tblGrid>
        <w:gridCol w:w="560"/>
        <w:gridCol w:w="8075"/>
      </w:tblGrid>
      <w:tr>
        <w:trPr/>
        <w:tc>
          <w:tcPr>
            <w:tcW w:w="560" w:type="dxa"/>
            <w:tcBorders/>
            <w:vAlign w:val="center"/>
          </w:tcPr>
          <w:p>
            <w:pPr>
              <w:pStyle w:val="TableContents"/>
              <w:bidi w:val="0"/>
              <w:spacing w:before="0" w:after="283"/>
              <w:jc w:val="center"/>
              <w:rPr/>
            </w:pPr>
            <w:hyperlink w:anchor="exhibit_12-2.htm">
              <w:r>
                <w:rPr>
                  <w:rStyle w:val="InternetLink"/>
                  <w:rFonts w:ascii="Times New Roman;Times;serif" w:hAnsi="Times New Roman;Times;serif"/>
                </w:rPr>
                <w:t>#12.2</w:t>
              </w:r>
            </w:hyperlink>
          </w:p>
        </w:tc>
        <w:tc>
          <w:tcPr>
            <w:tcW w:w="8075" w:type="dxa"/>
            <w:tcBorders/>
            <w:vAlign w:val="center"/>
          </w:tcPr>
          <w:p>
            <w:pPr>
              <w:pStyle w:val="TableContents"/>
              <w:bidi w:val="0"/>
              <w:spacing w:lineRule="auto" w:line="300" w:before="0" w:after="0"/>
              <w:jc w:val="both"/>
              <w:rPr/>
            </w:pPr>
            <w:hyperlink w:anchor="exhibit_12-2.htm">
              <w:r>
                <w:rPr>
                  <w:rStyle w:val="InternetLink"/>
                  <w:rFonts w:ascii="Times New Roman;Times;serif" w:hAnsi="Times New Roman;Times;serif"/>
                  <w:b w:val="false"/>
                  <w:i w:val="false"/>
                  <w:caps w:val="false"/>
                  <w:smallCaps w:val="false"/>
                  <w:sz w:val="20"/>
                </w:rPr>
                <w:t>Certification by Chief Financial Officer pursuant to Section 302 of the Sarbanes-Oxley Act of 2002.</w:t>
              </w:r>
            </w:hyperlink>
          </w:p>
        </w:tc>
      </w:tr>
    </w:tbl>
    <w:p>
      <w:pPr>
        <w:pStyle w:val="TextBody"/>
        <w:bidi w:val="0"/>
        <w:spacing w:lineRule="auto" w:line="300" w:before="0" w:after="0"/>
        <w:ind w:left="0" w:right="0" w:firstLine="720"/>
        <w:jc w:val="both"/>
        <w:rPr/>
      </w:pPr>
      <w:r>
        <w:rPr/>
        <w:t xml:space="preserve">  </w:t>
      </w:r>
    </w:p>
    <w:tbl>
      <w:tblPr>
        <w:tblW w:w="8695" w:type="dxa"/>
        <w:jc w:val="left"/>
        <w:tblInd w:w="0" w:type="dxa"/>
        <w:tblLayout w:type="fixed"/>
        <w:tblCellMar>
          <w:top w:w="0" w:type="dxa"/>
          <w:left w:w="0" w:type="dxa"/>
          <w:bottom w:w="0" w:type="dxa"/>
          <w:right w:w="0" w:type="dxa"/>
        </w:tblCellMar>
      </w:tblPr>
      <w:tblGrid>
        <w:gridCol w:w="560"/>
        <w:gridCol w:w="8135"/>
      </w:tblGrid>
      <w:tr>
        <w:trPr/>
        <w:tc>
          <w:tcPr>
            <w:tcW w:w="560" w:type="dxa"/>
            <w:tcBorders/>
            <w:vAlign w:val="center"/>
          </w:tcPr>
          <w:p>
            <w:pPr>
              <w:pStyle w:val="TableContents"/>
              <w:bidi w:val="0"/>
              <w:spacing w:before="0" w:after="283"/>
              <w:jc w:val="center"/>
              <w:rPr/>
            </w:pPr>
            <w:hyperlink w:anchor="exhibit_13-1.htm">
              <w:r>
                <w:rPr>
                  <w:rStyle w:val="InternetLink"/>
                  <w:rFonts w:ascii="Times New Roman;Times;serif" w:hAnsi="Times New Roman;Times;serif"/>
                </w:rPr>
                <w:t>#13.1</w:t>
              </w:r>
            </w:hyperlink>
          </w:p>
        </w:tc>
        <w:tc>
          <w:tcPr>
            <w:tcW w:w="8135" w:type="dxa"/>
            <w:tcBorders/>
            <w:vAlign w:val="center"/>
          </w:tcPr>
          <w:p>
            <w:pPr>
              <w:pStyle w:val="TableContents"/>
              <w:bidi w:val="0"/>
              <w:spacing w:lineRule="auto" w:line="300" w:before="0" w:after="0"/>
              <w:jc w:val="both"/>
              <w:rPr/>
            </w:pPr>
            <w:hyperlink w:anchor="exhibit_13-1.htm">
              <w:r>
                <w:rPr>
                  <w:rStyle w:val="InternetLink"/>
                  <w:rFonts w:ascii="Times New Roman;Times;serif" w:hAnsi="Times New Roman;Times;serif"/>
                  <w:b w:val="false"/>
                  <w:i w:val="false"/>
                  <w:caps w:val="false"/>
                  <w:smallCaps w:val="false"/>
                  <w:sz w:val="20"/>
                </w:rPr>
                <w:t>Certification by Chief Executive Officer pursuant to Section 906 of the Sarbanes-Oxley Act of 2002.</w:t>
              </w:r>
            </w:hyperlink>
          </w:p>
        </w:tc>
      </w:tr>
    </w:tbl>
    <w:p>
      <w:pPr>
        <w:pStyle w:val="TextBody"/>
        <w:bidi w:val="0"/>
        <w:spacing w:lineRule="auto" w:line="300" w:before="0" w:after="0"/>
        <w:ind w:left="0" w:right="0" w:firstLine="720"/>
        <w:jc w:val="both"/>
        <w:rPr/>
      </w:pPr>
      <w:r>
        <w:rPr/>
        <w:t xml:space="preserve">  </w:t>
      </w:r>
    </w:p>
    <w:tbl>
      <w:tblPr>
        <w:tblW w:w="8695" w:type="dxa"/>
        <w:jc w:val="left"/>
        <w:tblInd w:w="0" w:type="dxa"/>
        <w:tblLayout w:type="fixed"/>
        <w:tblCellMar>
          <w:top w:w="0" w:type="dxa"/>
          <w:left w:w="0" w:type="dxa"/>
          <w:bottom w:w="0" w:type="dxa"/>
          <w:right w:w="0" w:type="dxa"/>
        </w:tblCellMar>
      </w:tblPr>
      <w:tblGrid>
        <w:gridCol w:w="620"/>
        <w:gridCol w:w="8075"/>
      </w:tblGrid>
      <w:tr>
        <w:trPr/>
        <w:tc>
          <w:tcPr>
            <w:tcW w:w="620" w:type="dxa"/>
            <w:tcBorders/>
            <w:vAlign w:val="center"/>
          </w:tcPr>
          <w:p>
            <w:pPr>
              <w:pStyle w:val="TableContents"/>
              <w:bidi w:val="0"/>
              <w:spacing w:before="0" w:after="283"/>
              <w:jc w:val="center"/>
              <w:rPr/>
            </w:pPr>
            <w:hyperlink w:anchor="exhibit_13-2.htm">
              <w:r>
                <w:rPr>
                  <w:rStyle w:val="InternetLink"/>
                  <w:rFonts w:ascii="Times New Roman;Times;serif" w:hAnsi="Times New Roman;Times;serif"/>
                </w:rPr>
                <w:t xml:space="preserve">#13.2 </w:t>
              </w:r>
            </w:hyperlink>
          </w:p>
        </w:tc>
        <w:tc>
          <w:tcPr>
            <w:tcW w:w="8075" w:type="dxa"/>
            <w:tcBorders/>
            <w:vAlign w:val="center"/>
          </w:tcPr>
          <w:p>
            <w:pPr>
              <w:pStyle w:val="TableContents"/>
              <w:bidi w:val="0"/>
              <w:spacing w:lineRule="auto" w:line="300" w:before="0" w:after="0"/>
              <w:jc w:val="both"/>
              <w:rPr/>
            </w:pPr>
            <w:hyperlink w:anchor="exhibit_13-2.htm">
              <w:r>
                <w:rPr>
                  <w:rStyle w:val="InternetLink"/>
                  <w:rFonts w:ascii="Times New Roman;Times;serif" w:hAnsi="Times New Roman;Times;serif"/>
                  <w:b w:val="false"/>
                  <w:i w:val="false"/>
                  <w:caps w:val="false"/>
                  <w:smallCaps w:val="false"/>
                  <w:sz w:val="20"/>
                </w:rPr>
                <w:t>Certification by Chief Financial Officer pursuant to Section 906 of the Sarbanes-Oxley Act of 2002.</w:t>
              </w:r>
            </w:hyperlink>
          </w:p>
        </w:tc>
      </w:tr>
    </w:tbl>
    <w:p>
      <w:pPr>
        <w:pStyle w:val="TextBody"/>
        <w:bidi w:val="0"/>
        <w:spacing w:lineRule="auto" w:line="300" w:before="0" w:after="0"/>
        <w:ind w:left="0" w:right="0" w:firstLine="720"/>
        <w:jc w:val="both"/>
        <w:rPr/>
      </w:pPr>
      <w:r>
        <w:rPr/>
        <w:t xml:space="preserve">  </w:t>
      </w:r>
    </w:p>
    <w:tbl>
      <w:tblPr>
        <w:tblW w:w="9790" w:type="dxa"/>
        <w:jc w:val="left"/>
        <w:tblInd w:w="0" w:type="dxa"/>
        <w:tblLayout w:type="fixed"/>
        <w:tblCellMar>
          <w:top w:w="0" w:type="dxa"/>
          <w:left w:w="0" w:type="dxa"/>
          <w:bottom w:w="0" w:type="dxa"/>
          <w:right w:w="0" w:type="dxa"/>
        </w:tblCellMar>
      </w:tblPr>
      <w:tblGrid>
        <w:gridCol w:w="620"/>
        <w:gridCol w:w="9170"/>
      </w:tblGrid>
      <w:tr>
        <w:trPr/>
        <w:tc>
          <w:tcPr>
            <w:tcW w:w="620" w:type="dxa"/>
            <w:tcBorders/>
            <w:vAlign w:val="center"/>
          </w:tcPr>
          <w:p>
            <w:pPr>
              <w:pStyle w:val="TableContents"/>
              <w:bidi w:val="0"/>
              <w:spacing w:before="0" w:after="283"/>
              <w:jc w:val="center"/>
              <w:rPr/>
            </w:pPr>
            <w:hyperlink w:anchor="exhibit_15-1.htm">
              <w:r>
                <w:rPr>
                  <w:rStyle w:val="InternetLink"/>
                  <w:rFonts w:ascii="Times New Roman;Times;serif" w:hAnsi="Times New Roman;Times;serif"/>
                </w:rPr>
                <w:t xml:space="preserve">#15.1 </w:t>
              </w:r>
            </w:hyperlink>
          </w:p>
        </w:tc>
        <w:tc>
          <w:tcPr>
            <w:tcW w:w="9170" w:type="dxa"/>
            <w:tcBorders/>
            <w:vAlign w:val="center"/>
          </w:tcPr>
          <w:p>
            <w:pPr>
              <w:pStyle w:val="TableContents"/>
              <w:bidi w:val="0"/>
              <w:spacing w:lineRule="auto" w:line="300" w:before="0" w:after="0"/>
              <w:jc w:val="both"/>
              <w:rPr/>
            </w:pPr>
            <w:hyperlink w:anchor="exhibit_15-1.htm">
              <w:r>
                <w:rPr>
                  <w:rStyle w:val="InternetLink"/>
                  <w:rFonts w:ascii="Times New Roman;Times;serif" w:hAnsi="Times New Roman;Times;serif"/>
                  <w:b w:val="false"/>
                  <w:i w:val="false"/>
                  <w:caps w:val="false"/>
                  <w:smallCaps w:val="false"/>
                  <w:sz w:val="20"/>
                </w:rPr>
                <w:t>Consent of Brightman Almagor Zohar &amp; Co., Certified Public Accountants, a firm in the Deloitte Global Network</w:t>
              </w:r>
            </w:hyperlink>
          </w:p>
        </w:tc>
      </w:tr>
    </w:tbl>
    <w:p>
      <w:pPr>
        <w:pStyle w:val="TextBody"/>
        <w:bidi w:val="0"/>
        <w:spacing w:lineRule="auto" w:line="300" w:before="0" w:after="0"/>
        <w:ind w:left="0" w:right="0" w:firstLine="720"/>
        <w:jc w:val="both"/>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bidi w:val="0"/>
        <w:spacing w:before="200" w:after="200"/>
        <w:jc w:val="left"/>
        <w:rPr/>
      </w:pPr>
      <w:r>
        <w:rPr/>
      </w:r>
    </w:p>
    <w:p>
      <w:pPr>
        <w:pStyle w:val="TextBody"/>
        <w:bidi w:val="0"/>
        <w:spacing w:lineRule="auto" w:line="300"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#101</w:t>
            </w:r>
          </w:p>
        </w:tc>
        <w:tc>
          <w:tcPr>
            <w:tcW w:w="9705"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financial information from Tower Semiconductor Ltd.’s Annual Report on Form 20-F for the year ended December 31, 2022, formatted in XBRL (eXtensible Business Reporting Language):</w:t>
            </w:r>
          </w:p>
        </w:tc>
      </w:tr>
    </w:tbl>
    <w:p>
      <w:pPr>
        <w:pStyle w:val="TextBody"/>
        <w:bidi w:val="0"/>
        <w:spacing w:lineRule="auto" w:line="300" w:before="0" w:after="0"/>
        <w:jc w:val="left"/>
        <w:rPr/>
      </w:pPr>
      <w:r>
        <w:rPr/>
        <w:t xml:space="preserve">  </w:t>
      </w:r>
    </w:p>
    <w:tbl>
      <w:tblPr>
        <w:tblW w:w="5323" w:type="dxa"/>
        <w:jc w:val="left"/>
        <w:tblInd w:w="0" w:type="dxa"/>
        <w:tblLayout w:type="fixed"/>
        <w:tblCellMar>
          <w:top w:w="0" w:type="dxa"/>
          <w:left w:w="0" w:type="dxa"/>
          <w:bottom w:w="0" w:type="dxa"/>
          <w:right w:w="0" w:type="dxa"/>
        </w:tblCellMar>
      </w:tblPr>
      <w:tblGrid>
        <w:gridCol w:w="23"/>
        <w:gridCol w:w="5300"/>
      </w:tblGrid>
      <w:tr>
        <w:trPr/>
        <w:tc>
          <w:tcPr>
            <w:tcW w:w="23" w:type="dxa"/>
            <w:tcBorders/>
            <w:vAlign w:val="center"/>
          </w:tcPr>
          <w:p>
            <w:pPr>
              <w:pStyle w:val="TableContents"/>
              <w:bidi w:val="0"/>
              <w:spacing w:before="0" w:after="283"/>
              <w:jc w:val="left"/>
              <w:rPr/>
            </w:pPr>
            <w:r>
              <w:rPr/>
            </w:r>
          </w:p>
        </w:tc>
        <w:tc>
          <w:tcPr>
            <w:tcW w:w="5300"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Consolidated Balance Sheets as of December 31, 2022 and 2021;</w:t>
            </w:r>
          </w:p>
        </w:tc>
      </w:tr>
    </w:tbl>
    <w:p>
      <w:pPr>
        <w:pStyle w:val="TextBody"/>
        <w:bidi w:val="0"/>
        <w:spacing w:lineRule="auto" w:line="300" w:before="0" w:after="0"/>
        <w:jc w:val="left"/>
        <w:rPr/>
      </w:pPr>
      <w:r>
        <w:rPr/>
        <w:t> </w:t>
      </w:r>
    </w:p>
    <w:tbl>
      <w:tblPr>
        <w:tblW w:w="7783" w:type="dxa"/>
        <w:jc w:val="left"/>
        <w:tblInd w:w="0" w:type="dxa"/>
        <w:tblLayout w:type="fixed"/>
        <w:tblCellMar>
          <w:top w:w="0" w:type="dxa"/>
          <w:left w:w="0" w:type="dxa"/>
          <w:bottom w:w="0" w:type="dxa"/>
          <w:right w:w="0" w:type="dxa"/>
        </w:tblCellMar>
      </w:tblPr>
      <w:tblGrid>
        <w:gridCol w:w="23"/>
        <w:gridCol w:w="7760"/>
      </w:tblGrid>
      <w:tr>
        <w:trPr/>
        <w:tc>
          <w:tcPr>
            <w:tcW w:w="23" w:type="dxa"/>
            <w:tcBorders/>
            <w:vAlign w:val="center"/>
          </w:tcPr>
          <w:p>
            <w:pPr>
              <w:pStyle w:val="TableContents"/>
              <w:bidi w:val="0"/>
              <w:spacing w:before="0" w:after="283"/>
              <w:jc w:val="left"/>
              <w:rPr/>
            </w:pPr>
            <w:r>
              <w:rPr/>
            </w:r>
          </w:p>
        </w:tc>
        <w:tc>
          <w:tcPr>
            <w:tcW w:w="7760"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Consolidated Statements of Operations for the years ended December 31, 2022, 2021 and 2020;</w:t>
            </w:r>
          </w:p>
        </w:tc>
      </w:tr>
    </w:tbl>
    <w:p>
      <w:pPr>
        <w:pStyle w:val="TextBody"/>
        <w:bidi w:val="0"/>
        <w:spacing w:lineRule="auto" w:line="300" w:before="0" w:after="0"/>
        <w:jc w:val="left"/>
        <w:rPr/>
      </w:pPr>
      <w:r>
        <w:rPr/>
        <w:t> </w:t>
      </w:r>
    </w:p>
    <w:tbl>
      <w:tblPr>
        <w:tblW w:w="9568" w:type="dxa"/>
        <w:jc w:val="left"/>
        <w:tblInd w:w="0" w:type="dxa"/>
        <w:tblLayout w:type="fixed"/>
        <w:tblCellMar>
          <w:top w:w="0" w:type="dxa"/>
          <w:left w:w="0" w:type="dxa"/>
          <w:bottom w:w="0" w:type="dxa"/>
          <w:right w:w="0" w:type="dxa"/>
        </w:tblCellMar>
      </w:tblPr>
      <w:tblGrid>
        <w:gridCol w:w="23"/>
        <w:gridCol w:w="9545"/>
      </w:tblGrid>
      <w:tr>
        <w:trPr/>
        <w:tc>
          <w:tcPr>
            <w:tcW w:w="23" w:type="dxa"/>
            <w:tcBorders/>
            <w:vAlign w:val="center"/>
          </w:tcPr>
          <w:p>
            <w:pPr>
              <w:pStyle w:val="TableContents"/>
              <w:bidi w:val="0"/>
              <w:spacing w:before="0" w:after="283"/>
              <w:jc w:val="left"/>
              <w:rPr/>
            </w:pPr>
            <w:r>
              <w:rPr/>
            </w:r>
          </w:p>
        </w:tc>
        <w:tc>
          <w:tcPr>
            <w:tcW w:w="9545"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Consolidated Statements of Changes in Shareholders’ Equity for the years ended December 31, 2022, 2021 and 2020;</w:t>
            </w:r>
          </w:p>
        </w:tc>
      </w:tr>
    </w:tbl>
    <w:p>
      <w:pPr>
        <w:pStyle w:val="TextBody"/>
        <w:bidi w:val="0"/>
        <w:spacing w:lineRule="auto" w:line="300" w:before="0" w:after="0"/>
        <w:jc w:val="left"/>
        <w:rPr/>
      </w:pPr>
      <w:r>
        <w:rPr/>
        <w:t> </w:t>
      </w:r>
    </w:p>
    <w:tbl>
      <w:tblPr>
        <w:tblW w:w="8173" w:type="dxa"/>
        <w:jc w:val="left"/>
        <w:tblInd w:w="0" w:type="dxa"/>
        <w:tblLayout w:type="fixed"/>
        <w:tblCellMar>
          <w:top w:w="0" w:type="dxa"/>
          <w:left w:w="0" w:type="dxa"/>
          <w:bottom w:w="0" w:type="dxa"/>
          <w:right w:w="0" w:type="dxa"/>
        </w:tblCellMar>
      </w:tblPr>
      <w:tblGrid>
        <w:gridCol w:w="23"/>
        <w:gridCol w:w="8150"/>
      </w:tblGrid>
      <w:tr>
        <w:trPr/>
        <w:tc>
          <w:tcPr>
            <w:tcW w:w="23" w:type="dxa"/>
            <w:tcBorders/>
            <w:vAlign w:val="center"/>
          </w:tcPr>
          <w:p>
            <w:pPr>
              <w:pStyle w:val="TableContents"/>
              <w:bidi w:val="0"/>
              <w:spacing w:before="0" w:after="283"/>
              <w:jc w:val="left"/>
              <w:rPr/>
            </w:pPr>
            <w:r>
              <w:rPr/>
            </w:r>
          </w:p>
        </w:tc>
        <w:tc>
          <w:tcPr>
            <w:tcW w:w="8150"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Consolidated Statements of Cash Flows for the years ended December 31, 2022, 2021 and 2020; and</w:t>
            </w:r>
          </w:p>
        </w:tc>
      </w:tr>
    </w:tbl>
    <w:p>
      <w:pPr>
        <w:pStyle w:val="TextBody"/>
        <w:bidi w:val="0"/>
        <w:spacing w:lineRule="auto" w:line="300" w:before="0" w:after="0"/>
        <w:jc w:val="left"/>
        <w:rPr/>
      </w:pPr>
      <w:r>
        <w:rPr/>
        <w:t> </w:t>
      </w:r>
    </w:p>
    <w:tbl>
      <w:tblPr>
        <w:tblW w:w="5653" w:type="dxa"/>
        <w:jc w:val="left"/>
        <w:tblInd w:w="0" w:type="dxa"/>
        <w:tblLayout w:type="fixed"/>
        <w:tblCellMar>
          <w:top w:w="0" w:type="dxa"/>
          <w:left w:w="0" w:type="dxa"/>
          <w:bottom w:w="0" w:type="dxa"/>
          <w:right w:w="0" w:type="dxa"/>
        </w:tblCellMar>
      </w:tblPr>
      <w:tblGrid>
        <w:gridCol w:w="23"/>
        <w:gridCol w:w="5630"/>
      </w:tblGrid>
      <w:tr>
        <w:trPr/>
        <w:tc>
          <w:tcPr>
            <w:tcW w:w="23" w:type="dxa"/>
            <w:tcBorders/>
            <w:vAlign w:val="center"/>
          </w:tcPr>
          <w:p>
            <w:pPr>
              <w:pStyle w:val="TableContents"/>
              <w:bidi w:val="0"/>
              <w:spacing w:before="0" w:after="283"/>
              <w:jc w:val="left"/>
              <w:rPr/>
            </w:pPr>
            <w:r>
              <w:rPr/>
            </w:r>
          </w:p>
        </w:tc>
        <w:tc>
          <w:tcPr>
            <w:tcW w:w="5630"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Notes to Consolidated Financial Statements, tagged as blocks of text.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pPr>
            <w:r>
              <w:rPr/>
            </w:r>
          </w:p>
        </w:tc>
        <w:tc>
          <w:tcPr>
            <w:tcW w:w="10182"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tc>
      </w:tr>
    </w:tbl>
    <w:p>
      <w:pPr>
        <w:pStyle w:val="TextBody"/>
        <w:bidi w:val="0"/>
        <w:spacing w:lineRule="auto" w:line="300" w:before="0" w:after="0"/>
        <w:ind w:left="0" w:right="0" w:firstLine="720"/>
        <w:jc w:val="both"/>
        <w:rPr>
          <w:color w:val="000000"/>
        </w:rPr>
      </w:pPr>
      <w:r>
        <w:rPr>
          <w:color w:val="000000"/>
        </w:rPr>
        <w:t> </w:t>
      </w:r>
    </w:p>
    <w:tbl>
      <w:tblPr>
        <w:tblW w:w="6970" w:type="dxa"/>
        <w:jc w:val="left"/>
        <w:tblInd w:w="0" w:type="dxa"/>
        <w:tblLayout w:type="fixed"/>
        <w:tblCellMar>
          <w:top w:w="0" w:type="dxa"/>
          <w:left w:w="0" w:type="dxa"/>
          <w:bottom w:w="0" w:type="dxa"/>
          <w:right w:w="0" w:type="dxa"/>
        </w:tblCellMar>
      </w:tblPr>
      <w:tblGrid>
        <w:gridCol w:w="500"/>
        <w:gridCol w:w="6470"/>
      </w:tblGrid>
      <w:tr>
        <w:trPr/>
        <w:tc>
          <w:tcPr>
            <w:tcW w:w="500" w:type="dxa"/>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#104</w:t>
            </w:r>
          </w:p>
        </w:tc>
        <w:tc>
          <w:tcPr>
            <w:tcW w:w="6470"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Cover Page Interactive Data File (embedded within the Inline XBRL document)</w:t>
            </w:r>
          </w:p>
        </w:tc>
      </w:tr>
    </w:tbl>
    <w:p>
      <w:pPr>
        <w:pStyle w:val="TextBody"/>
        <w:bidi w:val="0"/>
        <w:spacing w:lineRule="auto" w:line="300" w:before="0" w:after="0"/>
        <w:ind w:left="0" w:right="0" w:firstLine="720"/>
        <w:jc w:val="left"/>
        <w:rPr/>
      </w:pPr>
      <w:r>
        <w:rPr/>
        <w:t xml:space="preserve">  </w:t>
      </w:r>
    </w:p>
    <w:tbl>
      <w:tblPr>
        <w:tblW w:w="1318" w:type="dxa"/>
        <w:jc w:val="left"/>
        <w:tblInd w:w="0" w:type="dxa"/>
        <w:tblLayout w:type="fixed"/>
        <w:tblCellMar>
          <w:top w:w="0" w:type="dxa"/>
          <w:left w:w="0" w:type="dxa"/>
          <w:bottom w:w="0" w:type="dxa"/>
          <w:right w:w="0" w:type="dxa"/>
        </w:tblCellMar>
      </w:tblPr>
      <w:tblGrid>
        <w:gridCol w:w="23"/>
        <w:gridCol w:w="1295"/>
      </w:tblGrid>
      <w:tr>
        <w:trPr/>
        <w:tc>
          <w:tcPr>
            <w:tcW w:w="23"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lineRule="auto" w:line="300"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#Filed herewith</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ind w:left="0" w:right="0" w:firstLine="720"/>
        <w:jc w:val="center"/>
        <w:rPr>
          <w:rFonts w:ascii="Times New Roman;Times;serif" w:hAnsi="Times New Roman;Times;serif"/>
          <w:b/>
          <w:color w:val="000000"/>
        </w:rPr>
      </w:pPr>
      <w:r>
        <w:rPr>
          <w:rFonts w:ascii="Times New Roman;Times;serif" w:hAnsi="Times New Roman;Times;serif"/>
          <w:b/>
          <w:color w:val="000000"/>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registrant hereby certifies that it meets all of the requirements for filing on Form 20-F and that it has duly caused and authorized the undersigned to sign this Annual Report on its behalf.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4" w:name="z02a51af35faf4bb297b76a6e9bf6b28b"/>
      <w:bookmarkStart w:id="335" w:name="z02a51af35faf4bb297b76a6e9bf6b28b"/>
      <w:bookmarkEnd w:id="335"/>
    </w:p>
    <w:tbl>
      <w:tblPr>
        <w:tblW w:w="3688" w:type="dxa"/>
        <w:jc w:val="left"/>
        <w:tblInd w:w="0" w:type="dxa"/>
        <w:tblLayout w:type="fixed"/>
        <w:tblCellMar>
          <w:top w:w="0" w:type="dxa"/>
          <w:left w:w="0" w:type="dxa"/>
          <w:bottom w:w="0" w:type="dxa"/>
          <w:right w:w="0" w:type="dxa"/>
        </w:tblCellMar>
      </w:tblPr>
      <w:tblGrid>
        <w:gridCol w:w="3665"/>
        <w:gridCol w:w="23"/>
      </w:tblGrid>
      <w:tr>
        <w:trPr/>
        <w:tc>
          <w:tcPr>
            <w:tcW w:w="3665" w:type="dxa"/>
            <w:tcBorders/>
            <w:vAlign w:val="center"/>
          </w:tcPr>
          <w:p>
            <w:pPr>
              <w:pStyle w:val="TableContents"/>
              <w:bidi w:val="0"/>
              <w:spacing w:lineRule="auto" w:line="300" w:before="0" w:after="0"/>
              <w:ind w:left="720" w:right="0" w:hanging="0"/>
              <w:jc w:val="both"/>
              <w:rPr>
                <w:rFonts w:ascii="Times New Roman;Times;serif" w:hAnsi="Times New Roman;Times;serif"/>
                <w:color w:val="000000"/>
              </w:rPr>
            </w:pPr>
            <w:r>
              <w:rPr>
                <w:rFonts w:ascii="Times New Roman;Times;serif" w:hAnsi="Times New Roman;Times;serif"/>
                <w:color w:val="000000"/>
              </w:rPr>
              <w:t>TOWER SEMICONDUCTOR LTD.</w:t>
            </w:r>
          </w:p>
          <w:p>
            <w:pPr>
              <w:pStyle w:val="TableContents"/>
              <w:bidi w:val="0"/>
              <w:spacing w:lineRule="auto" w:line="300" w:before="0" w:after="0"/>
              <w:ind w:left="720" w:right="0" w:hanging="0"/>
              <w:jc w:val="left"/>
              <w:rPr/>
            </w:pPr>
            <w:r>
              <w:rPr/>
              <w:t> </w:t>
            </w:r>
          </w:p>
          <w:p>
            <w:pPr>
              <w:pStyle w:val="TableContents"/>
              <w:bidi w:val="0"/>
              <w:spacing w:lineRule="auto" w:line="300" w:before="0" w:after="0"/>
              <w:ind w:left="720" w:right="0" w:hanging="0"/>
              <w:jc w:val="both"/>
              <w:rPr>
                <w:rFonts w:ascii="Times New Roman;Times;serif" w:hAnsi="Times New Roman;Times;serif"/>
                <w:color w:val="000000"/>
              </w:rPr>
            </w:pPr>
            <w:r>
              <w:rPr>
                <w:rFonts w:ascii="Times New Roman;Times;serif" w:hAnsi="Times New Roman;Times;serif"/>
                <w:color w:val="000000"/>
              </w:rPr>
              <w:t xml:space="preserve">By: </w:t>
            </w:r>
            <w:r>
              <w:rPr>
                <w:rFonts w:ascii="Times New Roman;Times;serif" w:hAnsi="Times New Roman;Times;serif"/>
                <w:color w:val="000000"/>
                <w:u w:val="single"/>
              </w:rPr>
              <w:t>/s/ Russell C. Ellwanger</w:t>
            </w:r>
          </w:p>
          <w:p>
            <w:pPr>
              <w:pStyle w:val="TableContents"/>
              <w:bidi w:val="0"/>
              <w:spacing w:lineRule="auto" w:line="300" w:before="0" w:after="0"/>
              <w:ind w:left="720" w:right="0" w:hanging="0"/>
              <w:jc w:val="both"/>
              <w:rPr>
                <w:rFonts w:ascii="Times New Roman;Times;serif" w:hAnsi="Times New Roman;Times;serif"/>
                <w:color w:val="000000"/>
              </w:rPr>
            </w:pPr>
            <w:r>
              <w:rPr>
                <w:rFonts w:ascii="Times New Roman;Times;serif" w:hAnsi="Times New Roman;Times;serif"/>
                <w:color w:val="000000"/>
              </w:rPr>
              <w:t>Russell C. Ellwanger</w:t>
            </w:r>
          </w:p>
          <w:p>
            <w:pPr>
              <w:pStyle w:val="TableContents"/>
              <w:bidi w:val="0"/>
              <w:spacing w:lineRule="auto" w:line="300" w:before="0" w:after="0"/>
              <w:ind w:left="720" w:right="0" w:hanging="0"/>
              <w:jc w:val="both"/>
              <w:rPr>
                <w:rFonts w:ascii="Times New Roman;Times;serif" w:hAnsi="Times New Roman;Times;serif"/>
                <w:color w:val="000000"/>
              </w:rPr>
            </w:pPr>
            <w:r>
              <w:rPr>
                <w:rFonts w:ascii="Times New Roman;Times;serif" w:hAnsi="Times New Roman;Times;serif"/>
                <w:color w:val="000000"/>
              </w:rPr>
              <w:t>Chief Executive Officer</w:t>
            </w:r>
          </w:p>
          <w:p>
            <w:pPr>
              <w:pStyle w:val="TableContents"/>
              <w:bidi w:val="0"/>
              <w:spacing w:lineRule="auto" w:line="300" w:before="0" w:after="0"/>
              <w:ind w:left="720" w:right="0" w:hanging="0"/>
              <w:jc w:val="both"/>
              <w:rPr>
                <w:rFonts w:ascii="Times New Roman;Times;serif" w:hAnsi="Times New Roman;Times;serif"/>
                <w:color w:val="000000"/>
              </w:rPr>
            </w:pPr>
            <w:r>
              <w:rPr>
                <w:rFonts w:ascii="Times New Roman;Times;serif" w:hAnsi="Times New Roman;Times;serif"/>
                <w:color w:val="000000"/>
              </w:rPr>
              <w:t>May 16, 2023</w:t>
            </w:r>
          </w:p>
        </w:tc>
        <w:tc>
          <w:tcPr>
            <w:tcW w:w="23" w:type="dxa"/>
            <w:tcBorders/>
            <w:vAlign w:val="center"/>
          </w:tcPr>
          <w:p>
            <w:pPr>
              <w:pStyle w:val="TableContents"/>
              <w:bidi w:val="0"/>
              <w:spacing w:before="0" w:after="0"/>
              <w:jc w:val="left"/>
              <w:rPr/>
            </w:pPr>
            <w:r>
              <w:rPr/>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bidi w:val="0"/>
        <w:spacing w:before="200" w:after="200"/>
        <w:jc w:val="left"/>
        <w:rPr/>
      </w:pPr>
      <w:r>
        <w:rPr/>
      </w:r>
    </w:p>
    <w:p>
      <w:pPr>
        <w:pStyle w:val="TextBody"/>
        <w:bidi w:val="0"/>
        <w:spacing w:before="0" w:after="283"/>
        <w:jc w:val="left"/>
        <w:rPr/>
      </w:pPr>
      <w:r>
        <w:rPr/>
      </w:r>
    </w:p>
    <w:p>
      <w:pPr>
        <w:pStyle w:val="TextBody"/>
        <w:bidi w:val="0"/>
        <w:spacing w:before="180" w:after="0"/>
        <w:jc w:val="center"/>
        <w:rPr>
          <w:caps w:val="false"/>
          <w:smallCaps w:val="false"/>
        </w:rPr>
      </w:pPr>
      <w:r>
        <w:rPr>
          <w:caps w:val="false"/>
          <w:smallCaps w:val="false"/>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LIMITED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LIMITED 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INDEX TO CONSOLIDATED FINANCIAL STATEMENTS</w:t>
      </w:r>
    </w:p>
    <w:p>
      <w:pPr>
        <w:pStyle w:val="TextBody"/>
        <w:bidi w:val="0"/>
        <w:spacing w:lineRule="auto" w:line="300"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730"/>
        <w:gridCol w:w="920"/>
      </w:tblGrid>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Page</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lineRule="auto" w:line="300" w:before="0" w:after="0"/>
              <w:jc w:val="both"/>
              <w:rPr/>
            </w:pPr>
            <w:hyperlink w:anchor="REPORTOFINDEPENDENTREGISTEREDPUBLICACCOUNTINGFIRM_integixAnchor">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1197)</w:t>
            </w:r>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F-2 - F-5</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BALANCE_integixAnchor">
              <w:r>
                <w:rPr>
                  <w:rStyle w:val="InternetLink"/>
                  <w:rFonts w:ascii="Times New Roman;Times;serif" w:hAnsi="Times New Roman;Times;serif"/>
                  <w:sz w:val="20"/>
                </w:rPr>
                <w:t>BALANCE SHEETS</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OPERATIONS_integixAnchor">
              <w:r>
                <w:rPr>
                  <w:rStyle w:val="InternetLink"/>
                  <w:rFonts w:ascii="Times New Roman;Times;serif" w:hAnsi="Times New Roman;Times;serif"/>
                  <w:sz w:val="20"/>
                </w:rPr>
                <w:t>STATEMENTS OF OPERATIONS</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F-7</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COMPREHENSIVE_integixAnchor">
              <w:r>
                <w:rPr>
                  <w:rStyle w:val="InternetLink"/>
                  <w:rFonts w:ascii="Times New Roman;Times;serif" w:hAnsi="Times New Roman;Times;serif"/>
                  <w:sz w:val="20"/>
                </w:rPr>
                <w:t>STATEMENTS OF COMPREHENSIVE INCOME</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F-8</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EQUITY_integixAnchor">
              <w:r>
                <w:rPr>
                  <w:rStyle w:val="InternetLink"/>
                  <w:rFonts w:ascii="Times New Roman;Times;serif" w:hAnsi="Times New Roman;Times;serif"/>
                  <w:sz w:val="20"/>
                </w:rPr>
                <w:t>STATEMENTS OF CHANGES IN SHAREHOLDERS’ EQUITY</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F-9</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CASH_integixAnchor">
              <w:r>
                <w:rPr>
                  <w:rStyle w:val="InternetLink"/>
                  <w:rFonts w:ascii="Times New Roman;Times;serif" w:hAnsi="Times New Roman;Times;serif"/>
                  <w:sz w:val="20"/>
                </w:rPr>
                <w:t>STATEMENTS OF CASH FLOWS</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F-10 - F-11</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7730" w:type="dxa"/>
            <w:tcBorders/>
            <w:vAlign w:val="center"/>
          </w:tcPr>
          <w:p>
            <w:pPr>
              <w:pStyle w:val="TableContents"/>
              <w:bidi w:val="0"/>
              <w:spacing w:lineRule="auto" w:line="300" w:before="0" w:after="0"/>
              <w:jc w:val="both"/>
              <w:rPr/>
            </w:pPr>
            <w:hyperlink w:anchor="NOTES_integixAnchor">
              <w:r>
                <w:rPr>
                  <w:rStyle w:val="InternetLink"/>
                  <w:rFonts w:ascii="Times New Roman;Times;serif" w:hAnsi="Times New Roman;Times;serif"/>
                  <w:sz w:val="20"/>
                </w:rPr>
                <w:t>NOTES TO FINANCIAL STATEMENTS</w:t>
              </w:r>
            </w:hyperlink>
          </w:p>
        </w:tc>
        <w:tc>
          <w:tcPr>
            <w:tcW w:w="920" w:type="dxa"/>
            <w:tcBorders/>
            <w:vAlign w:val="center"/>
          </w:tcPr>
          <w:p>
            <w:pPr>
              <w:pStyle w:val="TableContents"/>
              <w:bidi w:val="0"/>
              <w:spacing w:lineRule="auto" w:line="300"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F-12 - F-54</w:t>
            </w:r>
          </w:p>
        </w:tc>
      </w:tr>
    </w:tbl>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left"/>
        <w:rPr/>
      </w:pPr>
      <w:r>
        <w:rPr/>
        <w:drawing>
          <wp:inline distT="0" distB="0" distL="0" distR="0">
            <wp:extent cx="2286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2286000" cy="495300"/>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bookmarkStart w:id="336" w:name="REPORTOFINDEPENDENTREGISTEREDPUBLICACCOU"/>
      <w:bookmarkEnd w:id="336"/>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the shareholders and the Board of Directors of Tower Semiconductor Ltd.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have audited the accompanying consolidated balance sheets of Tower Semiconductor Ltd. and subsidiaries (the "Company") as of December 31, 2022 and 2021, the related consolidated statements of operations, comprehensive income,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April 30, 2023, expressed an unqualified opinion on the Company's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- 2</w:t>
      </w:r>
    </w:p>
    <w:p>
      <w:pPr>
        <w:pStyle w:val="HorizontalLine"/>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Critical Audit Matter</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Income Taxes — Income Tax Provision — Refer to Note 19 to the financial statements</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Critical Audit Matter Description</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2022, the consolidated provision for income taxes was $25.5 million comprised of amounts related to Israel, Japan and U.S. operations, as detailed in Note 19.</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How the Critical Audit Matter was addressed in the Audit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procedures related to the determination of the taxable income allocation and income tax provision included the following, among others: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tested the effectiveness of controls over the Company’s process to allocate its taxable income between the different subsidiaries based on the Company's transfer pricing studies.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read and evaluated management’s documentation, including information obtained by management from external tax specialists that detailed the basis of the uncertain tax positions.</w:t>
            </w:r>
          </w:p>
        </w:tc>
      </w:tr>
    </w:tbl>
    <w:p>
      <w:pPr>
        <w:pStyle w:val="TextBody"/>
        <w:bidi w:val="0"/>
        <w:spacing w:lineRule="auto" w:line="300" w:before="0" w:after="0"/>
        <w:jc w:val="both"/>
        <w:rPr/>
      </w:pPr>
      <w:r>
        <w:rPr/>
        <w:t> </w:t>
      </w:r>
    </w:p>
    <w:tbl>
      <w:tblPr>
        <w:tblW w:w="5350" w:type="dxa"/>
        <w:jc w:val="left"/>
        <w:tblInd w:w="0" w:type="dxa"/>
        <w:tblLayout w:type="fixed"/>
        <w:tblCellMar>
          <w:top w:w="0" w:type="dxa"/>
          <w:left w:w="0" w:type="dxa"/>
          <w:bottom w:w="0" w:type="dxa"/>
          <w:right w:w="0" w:type="dxa"/>
        </w:tblCellMar>
      </w:tblPr>
      <w:tblGrid>
        <w:gridCol w:w="75"/>
        <w:gridCol w:w="11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the assistance of our income tax specialists, we evaluated:</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appropriateness of the ranges of outcomes utilized and the pricing conclusions reached within the transfer pricing studies conducted by the Company's external tax specialists.</w:t>
            </w:r>
          </w:p>
        </w:tc>
      </w:tr>
    </w:tbl>
    <w:p>
      <w:pPr>
        <w:pStyle w:val="TextBody"/>
        <w:bidi w:val="0"/>
        <w:spacing w:lineRule="auto" w:line="300" w:before="0" w:after="0"/>
        <w:jc w:val="both"/>
        <w:rPr/>
      </w:pPr>
      <w:r>
        <w:rPr/>
        <w:t> </w:t>
      </w:r>
    </w:p>
    <w:tbl>
      <w:tblPr>
        <w:tblW w:w="9670" w:type="dxa"/>
        <w:jc w:val="left"/>
        <w:tblInd w:w="0" w:type="dxa"/>
        <w:tblLayout w:type="fixed"/>
        <w:tblCellMar>
          <w:top w:w="0" w:type="dxa"/>
          <w:left w:w="0" w:type="dxa"/>
          <w:bottom w:w="0" w:type="dxa"/>
          <w:right w:w="0" w:type="dxa"/>
        </w:tblCellMar>
      </w:tblPr>
      <w:tblGrid>
        <w:gridCol w:w="75"/>
        <w:gridCol w:w="11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transfer pricing methodology utilized by management with alternative methodologies and industry benchmarks.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facts by reading the Company’s correspondence with the relevant tax authorities and any third-party advice obtained by the Company.</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measurement of uncertain tax positions related to transfer pricing based on our knowledge of international and local income tax laws, as well as historical settlement activity from income tax authorities.</w:t>
            </w:r>
          </w:p>
        </w:tc>
      </w:tr>
    </w:tbl>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Brightman Almagor Zohar &amp; Co.</w:t>
        <w:br/>
        <w:t>Certified Public Accountants</w:t>
        <w:br/>
        <w:t>A Firm in The Deloitte Global Network</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Tel Aviv, Israel</w:t>
        <w:br/>
        <w:t>April 30, 2023</w:t>
      </w:r>
    </w:p>
    <w:p>
      <w:pPr>
        <w:pStyle w:val="TextBody"/>
        <w:bidi w:val="0"/>
        <w:spacing w:lineRule="auto" w:line="300" w:before="0" w:after="0"/>
        <w:jc w:val="left"/>
        <w:rPr/>
      </w:pPr>
      <w:r>
        <w:rPr/>
        <w:t> </w:t>
      </w:r>
      <w:r>
        <w:rPr>
          <w:rFonts w:ascii="Times New Roman;Times;serif" w:hAnsi="Times New Roman;Times;serif"/>
          <w:sz w:val="20"/>
        </w:rPr>
        <w:br/>
        <w:t>We have served as the Company's auditor since 1993.</w:t>
      </w:r>
    </w:p>
    <w:p>
      <w:pPr>
        <w:pStyle w:val="TextBody"/>
        <w:bidi w:val="0"/>
        <w:spacing w:lineRule="auto" w:line="300" w:before="0" w:after="0"/>
        <w:jc w:val="center"/>
        <w:rPr/>
      </w:pPr>
      <w:r>
        <w:rPr/>
        <w:drawing>
          <wp:inline distT="0" distB="0" distL="0" distR="0">
            <wp:extent cx="5848350" cy="1724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5848350" cy="1724025"/>
                    </a:xfrm>
                    <a:prstGeom prst="rect">
                      <a:avLst/>
                    </a:prstGeom>
                  </pic:spPr>
                </pic:pic>
              </a:graphicData>
            </a:graphic>
          </wp:inline>
        </w:drawing>
      </w:r>
      <w:r>
        <w:rPr>
          <w:rFonts w:ascii="Times New Roman;Times;serif" w:hAnsi="Times New Roman;Times;serif"/>
          <w:sz w:val="20"/>
        </w:rPr>
        <w:b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- 3</w:t>
      </w:r>
    </w:p>
    <w:p>
      <w:pPr>
        <w:pStyle w:val="HorizontalLine"/>
        <w:bidi w:val="0"/>
        <w:spacing w:lineRule="auto" w:line="300" w:before="200" w:after="200"/>
        <w:jc w:val="center"/>
        <w:rPr/>
      </w:pPr>
      <w:r>
        <w:rPr/>
      </w:r>
    </w:p>
    <w:p>
      <w:pPr>
        <w:pStyle w:val="TextBody"/>
        <w:bidi w:val="0"/>
        <w:spacing w:lineRule="auto" w:line="300" w:before="0" w:after="0"/>
        <w:jc w:val="left"/>
        <w:rPr/>
      </w:pPr>
      <w:r>
        <w:rPr/>
        <w:drawing>
          <wp:inline distT="0" distB="0" distL="0" distR="0">
            <wp:extent cx="22860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286000" cy="495300"/>
                    </a:xfrm>
                    <a:prstGeom prst="rect">
                      <a:avLst/>
                    </a:prstGeom>
                  </pic:spPr>
                </pic:pic>
              </a:graphicData>
            </a:graphic>
          </wp:inline>
        </w:drawing>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lineRule="auto" w:line="300" w:before="0" w:after="0"/>
        <w:jc w:val="center"/>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the shareholders and the Board of Directors of Tower Semiconductor Ltd.</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Tower Semiconductor Ltd. and subsidiaries (the “Company”) as of December 31, 2022,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COSO.</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2022, of the Company and our report dated April 30, 2023, expressed an unqualified opinion on those consolidated financial statements.</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5848350" cy="1724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8"/>
                    <a:stretch>
                      <a:fillRect/>
                    </a:stretch>
                  </pic:blipFill>
                  <pic:spPr bwMode="auto">
                    <a:xfrm>
                      <a:off x="0" y="0"/>
                      <a:ext cx="5848350" cy="17240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- 4</w:t>
      </w:r>
    </w:p>
    <w:p>
      <w:pPr>
        <w:pStyle w:val="HorizontalLine"/>
        <w:bidi w:val="0"/>
        <w:spacing w:lineRule="auto" w:line="300" w:before="200" w:after="200"/>
        <w:jc w:val="center"/>
        <w:rPr/>
      </w:pPr>
      <w:r>
        <w:rPr/>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Brightman Almagor Zohar &amp; Co.</w:t>
        <w:br/>
        <w:t>Certified Public Accountants</w:t>
        <w:br/>
        <w:t>A Firm in The Deloitte Global Network</w:t>
      </w:r>
    </w:p>
    <w:p>
      <w:pPr>
        <w:pStyle w:val="TextBody"/>
        <w:bidi w:val="0"/>
        <w:spacing w:lineRule="auto" w:line="300" w:before="0" w:after="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Tel Aviv, Israel</w:t>
        <w:br/>
        <w:t>April 30, 2023</w:t>
      </w:r>
    </w:p>
    <w:p>
      <w:pPr>
        <w:pStyle w:val="TextBody"/>
        <w:bidi w:val="0"/>
        <w:spacing w:lineRule="auto" w:line="300" w:before="0" w:after="0"/>
        <w:jc w:val="center"/>
        <w:rPr/>
      </w:pPr>
      <w:r>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- 5</w:t>
      </w:r>
    </w:p>
    <w:p>
      <w:pPr>
        <w:pStyle w:val="HorizontalLine"/>
        <w:bidi w:val="0"/>
        <w:spacing w:before="200" w:after="200"/>
        <w:jc w:val="left"/>
        <w:rPr/>
      </w:pPr>
      <w:r>
        <w:rPr/>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CONSOLIDATED </w:t>
            </w:r>
            <w:bookmarkStart w:id="337" w:name="BALANCE_integixAnchor"/>
            <w:bookmarkEnd w:id="337"/>
            <w:r>
              <w:rPr>
                <w:rFonts w:ascii="Times New Roman;Times;serif" w:hAnsi="Times New Roman;Times;serif"/>
                <w:b/>
                <w:sz w:val="20"/>
              </w:rPr>
              <w:t>BALANCE SHEETS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w:t>
            </w:r>
          </w:p>
        </w:tc>
      </w:tr>
    </w:tbl>
    <w:p>
      <w:pPr>
        <w:pStyle w:val="TextBody"/>
        <w:bidi w:val="0"/>
        <w:spacing w:before="0" w:after="0"/>
        <w:jc w:val="left"/>
        <w:rPr/>
      </w:pPr>
      <w:r>
        <w:rPr/>
        <w:t> </w:t>
      </w:r>
    </w:p>
    <w:tbl>
      <w:tblPr>
        <w:tblW w:w="9792" w:type="dxa"/>
        <w:jc w:val="left"/>
        <w:tblInd w:w="0" w:type="dxa"/>
        <w:tblLayout w:type="fixed"/>
        <w:tblCellMar>
          <w:top w:w="0" w:type="dxa"/>
          <w:left w:w="0" w:type="dxa"/>
          <w:bottom w:w="0" w:type="dxa"/>
          <w:right w:w="0" w:type="dxa"/>
        </w:tblCellMar>
      </w:tblPr>
      <w:tblGrid>
        <w:gridCol w:w="7557"/>
        <w:gridCol w:w="60"/>
        <w:gridCol w:w="125"/>
        <w:gridCol w:w="845"/>
        <w:gridCol w:w="80"/>
        <w:gridCol w:w="60"/>
        <w:gridCol w:w="125"/>
        <w:gridCol w:w="845"/>
        <w:gridCol w:w="95"/>
      </w:tblGrid>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0" w:type="dxa"/>
            <w:gridSpan w:val="6"/>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340,759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210,930</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Short-term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495,359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363,648</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Marketable securities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169,694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190,068</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152,935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142,228</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302,108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234,512</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54,817</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1,495,174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1,196,203</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8,796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39,597</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PROPERTY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962,258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876,683</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INTANGIBLE ASSETS,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11,820</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7,000</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DEFERRED TAX AND OTHER LONG-TERM ASSETS, NET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67,349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99,938</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2,547,608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2,231,241</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Current maturities of 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62,275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83,868</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78,712</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38,911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39,992</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58,920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57,747</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16,009</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387,388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276,328</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210,069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230,972</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LONG-TERM CUSTOMERS' ADVANCES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40,893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69,968</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7,711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14,622</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DEFERRED TAX AND OTHER LONG-TERM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23,962</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659,067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615,852</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Ordinary shares of NIS 15 par value: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440,150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435,453</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150,000 authorized as of December 31, 2022 and 2021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110,041 and 109,954 issued and outstanding, respectively, as of December 31, 2022</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108,970 and 108,883 issued and outstanding, respectively, as of December 31, 2021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1,384,398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1,389,051</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Cumulative stock based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174,121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149,906</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(47,537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(27,883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Accumulated deficit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(50,879</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(315,448</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5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1,900,253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1,631,079</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Treasury stock, at cost - 87 shares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557" w:type="dxa"/>
            <w:tcBorders/>
            <w:shd w:fill="CCEEFF" w:val="clear"/>
            <w:vAlign w:val="bottom"/>
          </w:tcPr>
          <w:p>
            <w:pPr>
              <w:pStyle w:val="TableContents"/>
              <w:bidi w:val="0"/>
              <w:spacing w:lineRule="auto" w:line="300" w:before="0" w:after="0"/>
              <w:ind w:left="0" w:right="0" w:firstLine="281"/>
              <w:jc w:val="left"/>
              <w:rPr>
                <w:rFonts w:ascii="Times New Roman;Times;serif" w:hAnsi="Times New Roman;Times;serif"/>
                <w:b/>
                <w:sz w:val="20"/>
              </w:rPr>
            </w:pPr>
            <w:r>
              <w:rPr>
                <w:rFonts w:ascii="Times New Roman;Times;serif" w:hAnsi="Times New Roman;Times;serif"/>
                <w:b/>
                <w:sz w:val="20"/>
              </w:rPr>
              <w:t>THE COMPANY'S 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1,891,181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1,622,007</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Non-controlling interest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(2,640</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(6,618</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557"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1,888,541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1,615,389</w:t>
            </w:r>
          </w:p>
        </w:tc>
        <w:tc>
          <w:tcPr>
            <w:tcW w:w="95" w:type="dxa"/>
            <w:tcBorders/>
            <w:shd w:fill="CCEEFF" w:val="clear"/>
            <w:vAlign w:val="bottom"/>
          </w:tcPr>
          <w:p>
            <w:pPr>
              <w:pStyle w:val="TableContents"/>
              <w:bidi w:val="0"/>
              <w:spacing w:before="0" w:after="283"/>
              <w:jc w:val="left"/>
              <w:rPr/>
            </w:pPr>
            <w:r>
              <w:rPr/>
              <w:t> </w:t>
            </w:r>
          </w:p>
        </w:tc>
      </w:tr>
      <w:tr>
        <w:trPr/>
        <w:tc>
          <w:tcPr>
            <w:tcW w:w="75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557" w:type="dxa"/>
            <w:tcBorders/>
            <w:shd w:fill="CCEEFF" w:val="clear"/>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2,547,608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2,231,241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 Marketable securities are available-for-sale securities; the amortized cost of such marketable securities of $181,247 and $189,543 as of December 31, 2022 and December 31, 2021, respectively, is presented net of an immaterial allowance for credit losses.</w:t>
      </w:r>
    </w:p>
    <w:p>
      <w:pPr>
        <w:pStyle w:val="TextBody"/>
        <w:bidi w:val="0"/>
        <w:spacing w:before="0" w:after="0"/>
        <w:jc w:val="left"/>
        <w:rPr/>
      </w:pPr>
      <w:r>
        <w:rPr/>
        <w:t> </w:t>
      </w:r>
    </w:p>
    <w:p>
      <w:pPr>
        <w:pStyle w:val="TextBody"/>
        <w:bidi w:val="0"/>
        <w:spacing w:lineRule="auto" w:line="30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bidi w:val="0"/>
        <w:spacing w:lineRule="auto" w:line="300" w:before="0" w:after="0"/>
        <w:ind w:left="0" w:right="0" w:hanging="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- 6</w:t>
      </w:r>
    </w:p>
    <w:p>
      <w:pPr>
        <w:pStyle w:val="HorizontalLine"/>
        <w:bidi w:val="0"/>
        <w:spacing w:lineRule="auto" w:line="300"/>
        <w:jc w:val="left"/>
        <w:rPr/>
      </w:pPr>
      <w:r>
        <w:rPr/>
      </w:r>
    </w:p>
    <w:p>
      <w:pPr>
        <w:pStyle w:val="TextBody"/>
        <w:bidi w:val="0"/>
        <w:spacing w:before="0" w:after="0"/>
        <w:ind w:left="0" w:right="0" w:hanging="0"/>
        <w:jc w:val="left"/>
        <w:rPr/>
      </w:pPr>
      <w:r>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CONSOLIDATED STATEMENTS OF </w:t>
            </w:r>
            <w:bookmarkStart w:id="338" w:name="OPERATIONS_integixAnchor"/>
            <w:bookmarkEnd w:id="338"/>
            <w:r>
              <w:rPr>
                <w:rFonts w:ascii="Times New Roman;Times;serif" w:hAnsi="Times New Roman;Times;serif"/>
                <w:b/>
                <w:sz w:val="20"/>
              </w:rPr>
              <w:t>OPERATIONS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 except per share data)</w:t>
            </w:r>
          </w:p>
        </w:tc>
      </w:tr>
    </w:tbl>
    <w:p>
      <w:pPr>
        <w:pStyle w:val="TextBody"/>
        <w:bidi w:val="0"/>
        <w:spacing w:before="0" w:after="0"/>
        <w:jc w:val="left"/>
        <w:rPr/>
      </w:pPr>
      <w:r>
        <w:rPr/>
        <w:t> </w:t>
      </w:r>
    </w:p>
    <w:tbl>
      <w:tblPr>
        <w:tblW w:w="9177" w:type="dxa"/>
        <w:jc w:val="left"/>
        <w:tblInd w:w="0" w:type="dxa"/>
        <w:tblLayout w:type="fixed"/>
        <w:tblCellMar>
          <w:top w:w="0" w:type="dxa"/>
          <w:left w:w="0" w:type="dxa"/>
          <w:bottom w:w="0" w:type="dxa"/>
          <w:right w:w="0" w:type="dxa"/>
        </w:tblCellMar>
      </w:tblPr>
      <w:tblGrid>
        <w:gridCol w:w="5832"/>
        <w:gridCol w:w="60"/>
        <w:gridCol w:w="125"/>
        <w:gridCol w:w="845"/>
        <w:gridCol w:w="80"/>
        <w:gridCol w:w="60"/>
        <w:gridCol w:w="125"/>
        <w:gridCol w:w="845"/>
        <w:gridCol w:w="80"/>
        <w:gridCol w:w="60"/>
        <w:gridCol w:w="125"/>
        <w:gridCol w:w="845"/>
        <w:gridCol w:w="95"/>
      </w:tblGrid>
      <w:tr>
        <w:trPr/>
        <w:tc>
          <w:tcPr>
            <w:tcW w:w="58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2020</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1,677,614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1,508,166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1,265,684</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1,211,306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1,179,048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1,032,366</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466,308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329,118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233,318</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COSTS AND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83,911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85,386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78,320</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Marketing, general and administrative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80,282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77,221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63,965</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Restructuring gain from sale of machinery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(20,243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Restructuring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162,607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142,285</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OPERATING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311,674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166,511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91,033</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FINANCING INCOME (EXPENSE),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(12,767</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(12,873</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2,870</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(6,934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(5,215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32"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PROFIT BEFORE INCOME TAX</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291,973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155,099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88,688</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 EXPENSE,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(25,502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(1,024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(5,399</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32"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154,075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83,289</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(4,063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(987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32"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 ATTRIBUTABLE TO THE COMPANY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150,012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82,302</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BASIC EARNINGS PER SHARE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0.77</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109,349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108,279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107,254</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DILUTED EARNINGS PER ORDINARY SHARE: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0.76</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Net profit used for diluted earnings per share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150,012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82,302</w:t>
            </w:r>
          </w:p>
        </w:tc>
        <w:tc>
          <w:tcPr>
            <w:tcW w:w="95" w:type="dxa"/>
            <w:tcBorders/>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Weighted average number of ordinary shares outstanding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832" w:type="dxa"/>
            <w:tcBorders/>
            <w:shd w:fill="CCEEFF" w:val="clear"/>
            <w:vAlign w:val="bottom"/>
          </w:tcPr>
          <w:p>
            <w:pPr>
              <w:pStyle w:val="TableContents"/>
              <w:bidi w:val="0"/>
              <w:spacing w:lineRule="auto" w:line="300" w:before="0" w:after="0"/>
              <w:ind w:left="0" w:right="0" w:firstLine="1124"/>
              <w:jc w:val="left"/>
              <w:rPr>
                <w:rFonts w:ascii="Times New Roman;Times;serif" w:hAnsi="Times New Roman;Times;serif"/>
                <w:b/>
                <w:sz w:val="20"/>
              </w:rPr>
            </w:pPr>
            <w:r>
              <w:rPr>
                <w:rFonts w:ascii="Times New Roman;Times;serif" w:hAnsi="Times New Roman;Times;serif"/>
                <w:b/>
                <w:sz w:val="20"/>
              </w:rPr>
              <w:t>used for 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110,754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108,480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r>
    </w:tbl>
    <w:p>
      <w:pPr>
        <w:pStyle w:val="TextBody"/>
        <w:bidi w:val="0"/>
        <w:spacing w:lineRule="auto" w:line="300" w:before="0" w:after="0"/>
        <w:ind w:left="0" w:right="0" w:hanging="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- 7</w:t>
      </w:r>
    </w:p>
    <w:p>
      <w:pPr>
        <w:pStyle w:val="HorizontalLine"/>
        <w:bidi w:val="0"/>
        <w:spacing w:lineRule="auto" w:line="300"/>
        <w:jc w:val="left"/>
        <w:rPr/>
      </w:pPr>
      <w:r>
        <w:rPr/>
      </w:r>
    </w:p>
    <w:p>
      <w:pPr>
        <w:pStyle w:val="TextBody"/>
        <w:bidi w:val="0"/>
        <w:spacing w:before="0" w:after="0"/>
        <w:ind w:left="0" w:right="0" w:hanging="0"/>
        <w:jc w:val="left"/>
        <w:rPr/>
      </w:pPr>
      <w:r>
        <w:rPr/>
        <w:t> </w:t>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CONSOLIDATED STATEMENTS OF </w:t>
            </w:r>
            <w:bookmarkStart w:id="339" w:name="COMPREHENSIVE_integixAnchor"/>
            <w:bookmarkEnd w:id="339"/>
            <w:r>
              <w:rPr>
                <w:rFonts w:ascii="Times New Roman;Times;serif" w:hAnsi="Times New Roman;Times;serif"/>
                <w:b/>
                <w:sz w:val="20"/>
              </w:rPr>
              <w:t>COMPREHENSIVE INCOME</w:t>
            </w:r>
          </w:p>
        </w:tc>
      </w:tr>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0"/>
        <w:jc w:val="left"/>
        <w:rPr/>
      </w:pPr>
      <w:r>
        <w:rPr/>
        <w:t> </w:t>
      </w:r>
    </w:p>
    <w:tbl>
      <w:tblPr>
        <w:tblW w:w="9147" w:type="dxa"/>
        <w:jc w:val="left"/>
        <w:tblInd w:w="0" w:type="dxa"/>
        <w:tblLayout w:type="fixed"/>
        <w:tblCellMar>
          <w:top w:w="0" w:type="dxa"/>
          <w:left w:w="0" w:type="dxa"/>
          <w:bottom w:w="0" w:type="dxa"/>
          <w:right w:w="0" w:type="dxa"/>
        </w:tblCellMar>
      </w:tblPr>
      <w:tblGrid>
        <w:gridCol w:w="6357"/>
        <w:gridCol w:w="60"/>
        <w:gridCol w:w="125"/>
        <w:gridCol w:w="695"/>
        <w:gridCol w:w="80"/>
        <w:gridCol w:w="60"/>
        <w:gridCol w:w="125"/>
        <w:gridCol w:w="695"/>
        <w:gridCol w:w="80"/>
        <w:gridCol w:w="60"/>
        <w:gridCol w:w="125"/>
        <w:gridCol w:w="590"/>
        <w:gridCol w:w="95"/>
      </w:tblGrid>
      <w:tr>
        <w:trPr/>
        <w:tc>
          <w:tcPr>
            <w:tcW w:w="6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63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2020</w:t>
            </w:r>
          </w:p>
        </w:tc>
        <w:tc>
          <w:tcPr>
            <w:tcW w:w="95" w:type="dxa"/>
            <w:tcBorders/>
            <w:vAlign w:val="bottom"/>
          </w:tcPr>
          <w:p>
            <w:pPr>
              <w:pStyle w:val="TableContents"/>
              <w:bidi w:val="0"/>
              <w:spacing w:before="0" w:after="283"/>
              <w:jc w:val="left"/>
              <w:rPr/>
            </w:pPr>
            <w:r>
              <w:rPr/>
              <w:t> </w:t>
            </w:r>
          </w:p>
        </w:tc>
      </w:tr>
      <w:tr>
        <w:trPr/>
        <w:tc>
          <w:tcPr>
            <w:tcW w:w="6357"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154,075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83,289</w:t>
            </w:r>
          </w:p>
        </w:tc>
        <w:tc>
          <w:tcPr>
            <w:tcW w:w="95" w:type="dxa"/>
            <w:tcBorders/>
            <w:shd w:fill="CCEEFF" w:val="clear"/>
            <w:vAlign w:val="bottom"/>
          </w:tcPr>
          <w:p>
            <w:pPr>
              <w:pStyle w:val="TableContents"/>
              <w:bidi w:val="0"/>
              <w:spacing w:before="0" w:after="283"/>
              <w:jc w:val="left"/>
              <w:rPr/>
            </w:pPr>
            <w:r>
              <w:rPr/>
              <w:t> </w:t>
            </w:r>
          </w:p>
        </w:tc>
      </w:tr>
      <w:tr>
        <w:trPr/>
        <w:tc>
          <w:tcPr>
            <w:tcW w:w="6357"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(27,595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(18,995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7,830</w:t>
            </w:r>
          </w:p>
        </w:tc>
        <w:tc>
          <w:tcPr>
            <w:tcW w:w="95" w:type="dxa"/>
            <w:tcBorders/>
            <w:shd w:fill="CCEEFF" w:val="clear"/>
            <w:vAlign w:val="bottom"/>
          </w:tcPr>
          <w:p>
            <w:pPr>
              <w:pStyle w:val="TableContents"/>
              <w:bidi w:val="0"/>
              <w:spacing w:before="0" w:after="283"/>
              <w:jc w:val="left"/>
              <w:rPr/>
            </w:pPr>
            <w:r>
              <w:rPr/>
              <w:t> </w:t>
            </w:r>
          </w:p>
        </w:tc>
      </w:tr>
      <w:tr>
        <w:trPr/>
        <w:tc>
          <w:tcPr>
            <w:tcW w:w="63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Change in employees plan assets and benefit obligations, net of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(938</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(394</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Unrealized loss on derivatives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(859</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7" w:type="dxa"/>
            <w:tcBorders/>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237,248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134,930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88,951</w:t>
            </w:r>
          </w:p>
        </w:tc>
        <w:tc>
          <w:tcPr>
            <w:tcW w:w="95" w:type="dxa"/>
            <w:tcBorders/>
            <w:vAlign w:val="bottom"/>
          </w:tcPr>
          <w:p>
            <w:pPr>
              <w:pStyle w:val="TableContents"/>
              <w:bidi w:val="0"/>
              <w:spacing w:before="0" w:after="283"/>
              <w:jc w:val="left"/>
              <w:rPr/>
            </w:pPr>
            <w:r>
              <w:rPr/>
              <w:t> </w:t>
            </w:r>
          </w:p>
        </w:tc>
      </w:tr>
      <w:tr>
        <w:trPr/>
        <w:tc>
          <w:tcPr>
            <w:tcW w:w="6357" w:type="dxa"/>
            <w:tcBorders/>
            <w:shd w:fill="CCEEFF" w:val="clear"/>
            <w:vAlign w:val="bottom"/>
          </w:tcPr>
          <w:p>
            <w:pPr>
              <w:pStyle w:val="TableContents"/>
              <w:bidi w:val="0"/>
              <w:spacing w:lineRule="auto" w:line="300" w:before="0" w:after="0"/>
              <w:ind w:left="0" w:right="0" w:firstLine="562"/>
              <w:jc w:val="left"/>
              <w:rPr>
                <w:rFonts w:ascii="Times New Roman;Times;serif" w:hAnsi="Times New Roman;Times;serif"/>
                <w:b/>
                <w:sz w:val="20"/>
              </w:rPr>
            </w:pPr>
            <w:r>
              <w:rPr>
                <w:rFonts w:ascii="Times New Roman;Times;serif" w:hAnsi="Times New Roman;Times;serif"/>
                <w:b/>
                <w:sz w:val="20"/>
              </w:rPr>
              <w:t>Comprehensive loss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3,708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(4,914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357" w:type="dxa"/>
            <w:tcBorders/>
            <w:vAlign w:val="bottom"/>
          </w:tcPr>
          <w:p>
            <w:pPr>
              <w:pStyle w:val="TableContents"/>
              <w:bidi w:val="0"/>
              <w:spacing w:lineRule="auto" w:line="300" w:before="0" w:after="0"/>
              <w:ind w:left="0" w:right="0" w:firstLine="843"/>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244,915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138,638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84,037</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r>
    </w:tbl>
    <w:p>
      <w:pPr>
        <w:pStyle w:val="TextBody"/>
        <w:bidi w:val="0"/>
        <w:spacing w:lineRule="auto" w:line="300" w:before="0" w:after="0"/>
        <w:ind w:left="0" w:right="0" w:hanging="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- 8</w:t>
      </w:r>
    </w:p>
    <w:p>
      <w:pPr>
        <w:pStyle w:val="HorizontalLine"/>
        <w:bidi w:val="0"/>
        <w:spacing w:lineRule="auto" w:line="300"/>
        <w:jc w:val="left"/>
        <w:rPr/>
      </w:pPr>
      <w:r>
        <w:rPr/>
      </w:r>
    </w:p>
    <w:p>
      <w:pPr>
        <w:pStyle w:val="TextBody"/>
        <w:bidi w:val="0"/>
        <w:spacing w:before="0" w:after="0"/>
        <w:ind w:left="0" w:right="0" w:hanging="0"/>
        <w:jc w:val="left"/>
        <w:rPr/>
      </w:pPr>
      <w:r>
        <w:rPr/>
        <w:t> </w:t>
      </w:r>
    </w:p>
    <w:tbl>
      <w:tblPr>
        <w:tblW w:w="6965" w:type="dxa"/>
        <w:jc w:val="left"/>
        <w:tblInd w:w="0" w:type="dxa"/>
        <w:tblLayout w:type="fixed"/>
        <w:tblCellMar>
          <w:top w:w="0" w:type="dxa"/>
          <w:left w:w="0" w:type="dxa"/>
          <w:bottom w:w="0" w:type="dxa"/>
          <w:right w:w="0" w:type="dxa"/>
        </w:tblCellMar>
      </w:tblPr>
      <w:tblGrid>
        <w:gridCol w:w="6965"/>
      </w:tblGrid>
      <w:tr>
        <w:trPr/>
        <w:tc>
          <w:tcPr>
            <w:tcW w:w="696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696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CONSOLIDATED STATEMENT OF CHANGES IN SHAREHOLDERS' </w:t>
            </w:r>
            <w:bookmarkStart w:id="340" w:name="EQUITY_integixAnchor"/>
            <w:bookmarkEnd w:id="340"/>
            <w:r>
              <w:rPr>
                <w:rFonts w:ascii="Times New Roman;Times;serif" w:hAnsi="Times New Roman;Times;serif"/>
                <w:b/>
                <w:sz w:val="20"/>
              </w:rPr>
              <w:t>EQUITY</w:t>
            </w:r>
          </w:p>
        </w:tc>
      </w:tr>
      <w:tr>
        <w:trPr/>
        <w:tc>
          <w:tcPr>
            <w:tcW w:w="696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 data in thousands)</w:t>
            </w:r>
          </w:p>
        </w:tc>
      </w:tr>
    </w:tbl>
    <w:p>
      <w:pPr>
        <w:pStyle w:val="TextBody"/>
        <w:bidi w:val="0"/>
        <w:spacing w:before="0" w:after="0"/>
        <w:jc w:val="left"/>
        <w:rPr/>
      </w:pPr>
      <w:r>
        <w:rPr/>
        <w:t> </w:t>
      </w:r>
    </w:p>
    <w:tbl>
      <w:tblPr>
        <w:tblW w:w="14285" w:type="dxa"/>
        <w:jc w:val="left"/>
        <w:tblInd w:w="0" w:type="dxa"/>
        <w:tblLayout w:type="fixed"/>
        <w:tblCellMar>
          <w:top w:w="0" w:type="dxa"/>
          <w:left w:w="0" w:type="dxa"/>
          <w:bottom w:w="0" w:type="dxa"/>
          <w:right w:w="0" w:type="dxa"/>
        </w:tblCellMar>
      </w:tblPr>
      <w:tblGrid>
        <w:gridCol w:w="1445"/>
        <w:gridCol w:w="60"/>
        <w:gridCol w:w="65"/>
        <w:gridCol w:w="765"/>
        <w:gridCol w:w="60"/>
        <w:gridCol w:w="60"/>
        <w:gridCol w:w="126"/>
        <w:gridCol w:w="704"/>
        <w:gridCol w:w="60"/>
        <w:gridCol w:w="60"/>
        <w:gridCol w:w="125"/>
        <w:gridCol w:w="845"/>
        <w:gridCol w:w="80"/>
        <w:gridCol w:w="60"/>
        <w:gridCol w:w="180"/>
        <w:gridCol w:w="1010"/>
        <w:gridCol w:w="60"/>
        <w:gridCol w:w="60"/>
        <w:gridCol w:w="240"/>
        <w:gridCol w:w="1055"/>
        <w:gridCol w:w="80"/>
        <w:gridCol w:w="60"/>
        <w:gridCol w:w="164"/>
        <w:gridCol w:w="861"/>
        <w:gridCol w:w="80"/>
        <w:gridCol w:w="60"/>
        <w:gridCol w:w="160"/>
        <w:gridCol w:w="970"/>
        <w:gridCol w:w="80"/>
        <w:gridCol w:w="60"/>
        <w:gridCol w:w="152"/>
        <w:gridCol w:w="663"/>
        <w:gridCol w:w="80"/>
        <w:gridCol w:w="60"/>
        <w:gridCol w:w="204"/>
        <w:gridCol w:w="1136"/>
        <w:gridCol w:w="80"/>
        <w:gridCol w:w="60"/>
        <w:gridCol w:w="168"/>
        <w:gridCol w:w="797"/>
        <w:gridCol w:w="80"/>
        <w:gridCol w:w="60"/>
        <w:gridCol w:w="125"/>
        <w:gridCol w:w="845"/>
        <w:gridCol w:w="80"/>
      </w:tblGrid>
      <w:tr>
        <w:trPr/>
        <w:tc>
          <w:tcPr>
            <w:tcW w:w="14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85" w:type="dxa"/>
            <w:gridSpan w:val="34"/>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COMPANY'S SHAREHOLDERS' EQUITY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Foreign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currency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translation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controlling</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interest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80" w:type="dxa"/>
            <w:tcBorders/>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600" w:right="0" w:hanging="0"/>
              <w:jc w:val="left"/>
              <w:rPr/>
            </w:pPr>
            <w:r>
              <w:rPr>
                <w:rStyle w:val="StrongEmphasis"/>
                <w:rFonts w:ascii="Times New Roman;Times;serif" w:hAnsi="Times New Roman;Times;serif"/>
                <w:sz w:val="20"/>
              </w:rPr>
              <w:t>BALANCE AS OF JANUARY 1, 2020</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4"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426,111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1,395,376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107,774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61"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(20,150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7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(547,398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6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(7,824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1,346,723</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340" w:type="dxa"/>
            <w:gridSpan w:val="2"/>
            <w:tcBorders/>
            <w:shd w:fill="FFFFFF" w:val="clear"/>
            <w:vAlign w:val="bottom"/>
          </w:tcPr>
          <w:p>
            <w:pPr>
              <w:pStyle w:val="TableContents"/>
              <w:bidi w:val="0"/>
              <w:spacing w:before="0" w:after="283"/>
              <w:jc w:val="lef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Changes during the year ended December 31, 2020:</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Exercise of options and RSUs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4,885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(2,281</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340" w:type="dxa"/>
            <w:gridSpan w:val="2"/>
            <w:tcBorders/>
            <w:shd w:fill="FFFFFF" w:val="clear"/>
            <w:vAlign w:val="bottom"/>
          </w:tcPr>
          <w:p>
            <w:pPr>
              <w:pStyle w:val="TableContents"/>
              <w:bidi w:val="0"/>
              <w:spacing w:before="0" w:after="283"/>
              <w:jc w:val="lef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2,604</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Employee stock-based compensation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16,988</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Cumulative effect upon adoption of ASC 326</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340" w:type="dxa"/>
            <w:gridSpan w:val="2"/>
            <w:tcBorders/>
            <w:shd w:fill="FFFFFF" w:val="clear"/>
            <w:vAlign w:val="bottom"/>
          </w:tcPr>
          <w:p>
            <w:pPr>
              <w:pStyle w:val="TableContents"/>
              <w:bidi w:val="0"/>
              <w:spacing w:before="0" w:after="283"/>
              <w:jc w:val="lef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Other comprehensive income:</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Profit</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82,302</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82,302</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987</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83,289</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Foreign currency translation adjustments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7,830</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Change in employees plan assets and benefit obligations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Unrealized loss on derivatives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(1,774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Comprehensive income</w:t>
            </w:r>
          </w:p>
        </w:tc>
        <w:tc>
          <w:tcPr>
            <w:tcW w:w="60" w:type="dxa"/>
            <w:tcBorders/>
            <w:shd w:fill="FFFFFF" w:val="clear"/>
            <w:vAlign w:val="bottom"/>
          </w:tcPr>
          <w:p>
            <w:pPr>
              <w:pStyle w:val="TableContents"/>
              <w:bidi w:val="0"/>
              <w:spacing w:before="0" w:after="283"/>
              <w:jc w:val="left"/>
              <w:rPr/>
            </w:pPr>
            <w:r>
              <w:rPr/>
              <w:t> </w:t>
            </w:r>
          </w:p>
        </w:tc>
        <w:tc>
          <w:tcPr>
            <w:tcW w:w="65"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765"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704"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1010"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1055"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861"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970"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663"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84,037</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797"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30" w:type="dxa"/>
            </w:tcM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600" w:right="0" w:hanging="0"/>
              <w:jc w:val="left"/>
              <w:rPr/>
            </w:pPr>
            <w:r>
              <w:rPr>
                <w:rStyle w:val="StrongEmphasis"/>
                <w:rFonts w:ascii="Times New Roman;Times;serif" w:hAnsi="Times New Roman;Times;serif"/>
                <w:sz w:val="20"/>
              </w:rPr>
              <w:t>BALANCE AS OF DECEMBER 31, 2020</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108,010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430,996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1,393,095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124,762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(16,247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(465,460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(2,910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1,454,902</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Changes during the year ended December 31, 2021: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Exercise of options and RSUs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4,457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(4,044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413</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Employee stock-based compensation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25,144</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Other comprehensive income:</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Profit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150,012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150,012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154,075</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Foreign currency translation adjustments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(11,224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(11,224</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(7,771</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(18,995</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Change in employees plan assets and benefit obligations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709</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Unrealized loss on derivatives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(859</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(859</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(859</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Comprehensive income</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663"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138,638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97"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600" w:right="0" w:hanging="0"/>
              <w:jc w:val="left"/>
              <w:rPr/>
            </w:pPr>
            <w:r>
              <w:rPr>
                <w:rStyle w:val="StrongEmphasis"/>
                <w:rFonts w:ascii="Times New Roman;Times;serif" w:hAnsi="Times New Roman;Times;serif"/>
                <w:sz w:val="20"/>
              </w:rPr>
              <w:t>BALANCE AS OF DECEMBER 31, 2021</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108,970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435,453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1,389,051</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149,906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(412</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(27,471</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(315,448</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(6,618</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1,615,389</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Changes during the year ended December 31, 2022:</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Proceeds from an investment in a subsidiary</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11,645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11,645</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Exercise of options and RSUs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1,071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4,697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(4,653</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Employee stock-based compensation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24,215</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jc w:val="left"/>
              <w:rPr/>
            </w:pPr>
            <w:r>
              <w:rPr>
                <w:rStyle w:val="StrongEmphasis"/>
                <w:rFonts w:ascii="Times New Roman;Times;serif" w:hAnsi="Times New Roman;Times;serif"/>
                <w:sz w:val="20"/>
              </w:rPr>
              <w:t>Other comprehensive income:</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Profit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Foreign currency translation adjustments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(18,026</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(18,026</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(9,569</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(27,595</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Change in employees plan assets and benefit obligations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FFFF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Unrealized loss on derivatives</w:t>
            </w:r>
          </w:p>
        </w:tc>
        <w:tc>
          <w:tcPr>
            <w:tcW w:w="60"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left"/>
              <w:rPr/>
            </w:pPr>
            <w:r>
              <w:rPr/>
              <w:t> </w:t>
            </w:r>
          </w:p>
        </w:tc>
        <w:tc>
          <w:tcPr>
            <w:tcW w:w="76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shd w:fill="FFFFFF" w:val="clear"/>
            <w:vAlign w:val="bottom"/>
          </w:tcPr>
          <w:p>
            <w:pPr>
              <w:pStyle w:val="TableContents"/>
              <w:bidi w:val="0"/>
              <w:spacing w:before="0" w:after="283"/>
              <w:jc w:val="left"/>
              <w:rPr/>
            </w:pPr>
            <w:r>
              <w:rPr/>
              <w:t> </w:t>
            </w:r>
          </w:p>
        </w:tc>
        <w:tc>
          <w:tcPr>
            <w:tcW w:w="704"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shd w:fill="FFFFFF" w:val="clear"/>
            <w:vAlign w:val="bottom"/>
          </w:tcPr>
          <w:p>
            <w:pPr>
              <w:pStyle w:val="TableContents"/>
              <w:bidi w:val="0"/>
              <w:spacing w:before="0" w:after="283"/>
              <w:jc w:val="left"/>
              <w:rPr/>
            </w:pPr>
            <w:r>
              <w:rPr/>
              <w:t> </w:t>
            </w:r>
          </w:p>
        </w:tc>
        <w:tc>
          <w:tcPr>
            <w:tcW w:w="101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105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(690</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4" w:type="dxa"/>
            <w:tcBorders/>
            <w:shd w:fill="FFFFFF" w:val="clear"/>
            <w:vAlign w:val="bottom"/>
          </w:tcPr>
          <w:p>
            <w:pPr>
              <w:pStyle w:val="TableContents"/>
              <w:bidi w:val="0"/>
              <w:spacing w:before="0" w:after="283"/>
              <w:jc w:val="left"/>
              <w:rPr/>
            </w:pPr>
            <w:r>
              <w:rPr/>
              <w:t> </w:t>
            </w:r>
          </w:p>
        </w:tc>
        <w:tc>
          <w:tcPr>
            <w:tcW w:w="861"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0" w:type="dxa"/>
            <w:tcBorders/>
            <w:shd w:fill="FFFFFF" w:val="clear"/>
            <w:vAlign w:val="bottom"/>
          </w:tcPr>
          <w:p>
            <w:pPr>
              <w:pStyle w:val="TableContents"/>
              <w:bidi w:val="0"/>
              <w:spacing w:before="0" w:after="283"/>
              <w:jc w:val="left"/>
              <w:rPr/>
            </w:pPr>
            <w:r>
              <w:rPr/>
              <w:t> </w:t>
            </w:r>
          </w:p>
        </w:tc>
        <w:tc>
          <w:tcPr>
            <w:tcW w:w="97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52"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(690</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8" w:type="dxa"/>
            <w:tcBorders/>
            <w:shd w:fill="FFFFFF" w:val="clear"/>
            <w:vAlign w:val="bottom"/>
          </w:tcPr>
          <w:p>
            <w:pPr>
              <w:pStyle w:val="TableContents"/>
              <w:bidi w:val="0"/>
              <w:spacing w:before="0" w:after="283"/>
              <w:jc w:val="left"/>
              <w:rPr/>
            </w:pPr>
            <w:r>
              <w:rPr/>
              <w:t> </w:t>
            </w:r>
          </w:p>
        </w:tc>
        <w:tc>
          <w:tcPr>
            <w:tcW w:w="797"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(690</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45" w:type="dxa"/>
            <w:tcBorders/>
            <w:shd w:fill="CCEEFF" w:val="clear"/>
            <w:vAlign w:val="center"/>
          </w:tcPr>
          <w:p>
            <w:pPr>
              <w:pStyle w:val="TableContents"/>
              <w:bidi w:val="0"/>
              <w:spacing w:before="0" w:after="0"/>
              <w:ind w:left="400" w:right="0" w:hanging="0"/>
              <w:jc w:val="left"/>
              <w:rPr/>
            </w:pPr>
            <w:r>
              <w:rPr>
                <w:rStyle w:val="StrongEmphasis"/>
                <w:rFonts w:ascii="Times New Roman;Times;serif" w:hAnsi="Times New Roman;Times;serif"/>
                <w:sz w:val="20"/>
              </w:rPr>
              <w:t>Comprehensive income</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663"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3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244,915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797"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30"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30"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600" w:right="0" w:hanging="0"/>
              <w:jc w:val="left"/>
              <w:rPr/>
            </w:pPr>
            <w:r>
              <w:rPr>
                <w:rStyle w:val="StrongEmphasis"/>
                <w:rFonts w:ascii="Times New Roman;Times;serif" w:hAnsi="Times New Roman;Times;serif"/>
                <w:sz w:val="20"/>
              </w:rPr>
              <w:t>BALANCE AS OF DECEMBER 31, 2022</w:t>
            </w:r>
          </w:p>
        </w:tc>
        <w:tc>
          <w:tcPr>
            <w:tcW w:w="60" w:type="dxa"/>
            <w:tcBorders/>
            <w:shd w:fill="FFFFFF" w:val="clear"/>
            <w:vAlign w:val="bottom"/>
          </w:tcPr>
          <w:p>
            <w:pPr>
              <w:pStyle w:val="TableContents"/>
              <w:bidi w:val="0"/>
              <w:spacing w:before="0" w:after="283"/>
              <w:jc w:val="left"/>
              <w:rPr/>
            </w:pPr>
            <w:r>
              <w:rPr/>
              <w:t> </w:t>
            </w:r>
          </w:p>
        </w:tc>
        <w:tc>
          <w:tcPr>
            <w:tcW w:w="65" w:type="dxa"/>
            <w:tcBorders>
              <w:bottom w:val="double" w:sz="8" w:space="0" w:color="000000"/>
            </w:tcBorders>
            <w:shd w:fill="FFFFFF" w:val="clear"/>
            <w:tcMar>
              <w:bottom w:w="28" w:type="dxa"/>
            </w:tcMar>
            <w:vAlign w:val="bottom"/>
          </w:tcPr>
          <w:p>
            <w:pPr>
              <w:pStyle w:val="TableContents"/>
              <w:bidi w:val="0"/>
              <w:spacing w:before="0" w:after="283"/>
              <w:jc w:val="left"/>
              <w:rPr/>
            </w:pPr>
            <w:r>
              <w:rPr/>
              <w:t> </w:t>
            </w:r>
          </w:p>
        </w:tc>
        <w:tc>
          <w:tcPr>
            <w:tcW w:w="765"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04"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440,150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1,384,398</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80"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174,121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40"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5"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(2,040</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4"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61"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(45,497</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60"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(50,879</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52"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63"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204" w:type="dxa"/>
            <w:tcBorders/>
            <w:shd w:fill="FFFFFF" w:val="clear"/>
            <w:vAlign w:val="bottom"/>
          </w:tcPr>
          <w:p>
            <w:pPr>
              <w:pStyle w:val="TableContents"/>
              <w:bidi w:val="0"/>
              <w:spacing w:before="0" w:after="283"/>
              <w:jc w:val="left"/>
              <w:rPr/>
            </w:pPr>
            <w:r>
              <w:rPr/>
              <w:t> </w:t>
            </w:r>
          </w:p>
        </w:tc>
        <w:tc>
          <w:tcPr>
            <w:tcW w:w="1136"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68"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97"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(2,640</w:t>
            </w:r>
          </w:p>
        </w:tc>
        <w:tc>
          <w:tcPr>
            <w:tcW w:w="80" w:type="dxa"/>
            <w:tcBorders/>
            <w:shd w:fill="FFFF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FFFF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1,888,541</w:t>
            </w:r>
          </w:p>
        </w:tc>
        <w:tc>
          <w:tcPr>
            <w:tcW w:w="80" w:type="dxa"/>
            <w:tcBorders/>
            <w:shd w:fill="FFFFFF" w:val="clear"/>
            <w:vAlign w:val="bottom"/>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OUTSTANDING SHARES, NET OF TREASURY STOCK AS OF DECEMBER 31, 2022</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p>
      <w:pPr>
        <w:pStyle w:val="TextBody"/>
        <w:bidi w:val="0"/>
        <w:spacing w:lineRule="auto" w:line="30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CONSOLIDATED STATEMENTS OF </w:t>
            </w:r>
            <w:bookmarkStart w:id="341" w:name="CASH_integixAnchor"/>
            <w:bookmarkEnd w:id="341"/>
            <w:r>
              <w:rPr>
                <w:rFonts w:ascii="Times New Roman;Times;serif" w:hAnsi="Times New Roman;Times;serif"/>
                <w:b/>
                <w:sz w:val="20"/>
              </w:rPr>
              <w:t>CASH FLOWS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0"/>
        <w:jc w:val="left"/>
        <w:rPr/>
      </w:pPr>
      <w:r>
        <w:rPr/>
        <w:t> </w:t>
      </w:r>
    </w:p>
    <w:tbl>
      <w:tblPr>
        <w:tblW w:w="9254" w:type="dxa"/>
        <w:jc w:val="left"/>
        <w:tblInd w:w="0" w:type="dxa"/>
        <w:tblLayout w:type="fixed"/>
        <w:tblCellMar>
          <w:top w:w="0" w:type="dxa"/>
          <w:left w:w="0" w:type="dxa"/>
          <w:bottom w:w="0" w:type="dxa"/>
          <w:right w:w="0" w:type="dxa"/>
        </w:tblCellMar>
      </w:tblPr>
      <w:tblGrid>
        <w:gridCol w:w="6179"/>
        <w:gridCol w:w="60"/>
        <w:gridCol w:w="125"/>
        <w:gridCol w:w="755"/>
        <w:gridCol w:w="80"/>
        <w:gridCol w:w="60"/>
        <w:gridCol w:w="125"/>
        <w:gridCol w:w="755"/>
        <w:gridCol w:w="80"/>
        <w:gridCol w:w="60"/>
        <w:gridCol w:w="125"/>
        <w:gridCol w:w="755"/>
        <w:gridCol w:w="95"/>
      </w:tblGrid>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2020</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OPERATING ACTIVITIES</w:t>
            </w:r>
          </w:p>
        </w:tc>
        <w:tc>
          <w:tcPr>
            <w:tcW w:w="6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Net profit for the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154,075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83,289</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Adjustments to reconcile net profit for the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522"/>
              <w:jc w:val="left"/>
              <w:rPr>
                <w:rFonts w:ascii="Times New Roman;Times;serif" w:hAnsi="Times New Roman;Times;serif"/>
                <w:b/>
                <w:sz w:val="20"/>
              </w:rPr>
            </w:pPr>
            <w:r>
              <w:rPr>
                <w:rFonts w:ascii="Times New Roman;Times;serif" w:hAnsi="Times New Roman;Times;serif"/>
                <w:b/>
                <w:sz w:val="20"/>
              </w:rPr>
              <w:t>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783"/>
              <w:jc w:val="left"/>
              <w:rPr>
                <w:rFonts w:ascii="Times New Roman;Times;serif" w:hAnsi="Times New Roman;Times;serif"/>
                <w:b/>
                <w:sz w:val="20"/>
              </w:rPr>
            </w:pPr>
            <w:r>
              <w:rPr>
                <w:rFonts w:ascii="Times New Roman;Times;serif" w:hAnsi="Times New Roman;Times;serif"/>
                <w:b/>
                <w:sz w:val="20"/>
              </w:rPr>
              <w:t>Income and expense items not involving cash flows: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292,638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270,710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240,531</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Effect of exchange rate differences and fair value adjustment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10,362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6,645</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Other expense (income),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(1,461</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5,215</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Changes in assets and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(15,232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14,335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(33,087</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20,427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(26,731</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(7,999</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(77,891</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(44,192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(2,891</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(20,893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(25,004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(18,576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(30,069</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74,524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(3,072</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Employee related liabilities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61,033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Long-term employee related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(2,681</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3,936</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1044"/>
              <w:jc w:val="left"/>
              <w:rPr>
                <w:rFonts w:ascii="Times New Roman;Times;serif" w:hAnsi="Times New Roman;Times;serif"/>
                <w:b/>
                <w:sz w:val="20"/>
              </w:rPr>
            </w:pPr>
            <w:r>
              <w:rPr>
                <w:rFonts w:ascii="Times New Roman;Times;serif" w:hAnsi="Times New Roman;Times;serif"/>
                <w:b/>
                <w:sz w:val="20"/>
              </w:rPr>
              <w:t>Deferred tax, net and other long-term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(10,270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2,223</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529,820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421,293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276,561</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INVESTING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property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(366,403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(313,808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(313,656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Proceeds related to sale and disposal of property and equipment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152,866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34,548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57,117</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Proceeds from investment realization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other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(1,037</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(1,792</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(1,450</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Deposits and marketable securities,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(117,448</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(57,892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(105,620</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(329,448</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(338,944</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(363,609</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FINANCING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Proceeds from an investment in a subsidiary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11,685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Exercise of options,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2,512</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Proceeds from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96,143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Loans repayment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(97,174</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Principal payments on account of capital lease obligation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(38,536</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(35,391</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(25,364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Debentures repayment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(39,843</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(40,893</w:t>
            </w:r>
          </w:p>
        </w:tc>
        <w:tc>
          <w:tcPr>
            <w:tcW w:w="8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(38,335</w:t>
            </w:r>
          </w:p>
        </w:tc>
        <w:tc>
          <w:tcPr>
            <w:tcW w:w="95"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shd w:fill="CCEEFF" w:val="clear"/>
            <w:vAlign w:val="bottom"/>
          </w:tcPr>
          <w:p>
            <w:pPr>
              <w:pStyle w:val="TableContents"/>
              <w:bidi w:val="0"/>
              <w:spacing w:lineRule="auto" w:line="300" w:before="0" w:after="0"/>
              <w:ind w:left="0" w:right="0" w:firstLine="1305"/>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(66,650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(76,857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(61,187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EFFECT OF FOREIGN CURRENCY EXCHANGE RATE CHANGE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(3,893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(6,245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4,357</w:t>
            </w:r>
          </w:p>
        </w:tc>
        <w:tc>
          <w:tcPr>
            <w:tcW w:w="95" w:type="dxa"/>
            <w:tcBorders/>
            <w:shd w:fill="CCEEFF" w:val="clear"/>
            <w:vAlign w:val="bottom"/>
          </w:tcPr>
          <w:p>
            <w:pPr>
              <w:pStyle w:val="TableContents"/>
              <w:bidi w:val="0"/>
              <w:spacing w:before="0" w:after="283"/>
              <w:jc w:val="left"/>
              <w:rPr/>
            </w:pPr>
            <w:r>
              <w:rPr/>
              <w:t> </w:t>
            </w:r>
          </w:p>
        </w:tc>
      </w:tr>
      <w:tr>
        <w:trPr/>
        <w:tc>
          <w:tcPr>
            <w:tcW w:w="6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129,829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(753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(143,878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6179"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AND CASH EQUIVALENTS - BEGINNING OF PERIOD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211,683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355,561</w:t>
            </w:r>
          </w:p>
        </w:tc>
        <w:tc>
          <w:tcPr>
            <w:tcW w:w="95" w:type="dxa"/>
            <w:tcBorders/>
            <w:vAlign w:val="bottom"/>
          </w:tcPr>
          <w:p>
            <w:pPr>
              <w:pStyle w:val="TableContents"/>
              <w:bidi w:val="0"/>
              <w:spacing w:before="0" w:after="283"/>
              <w:jc w:val="left"/>
              <w:rPr/>
            </w:pPr>
            <w:r>
              <w:rPr/>
              <w:t> </w:t>
            </w:r>
          </w:p>
        </w:tc>
      </w:tr>
      <w:tr>
        <w:trPr/>
        <w:tc>
          <w:tcPr>
            <w:tcW w:w="6179"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340,759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210,930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211,683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- 10</w:t>
      </w:r>
    </w:p>
    <w:p>
      <w:pPr>
        <w:pStyle w:val="HorizontalLine"/>
        <w:pBdr>
          <w:bottom w:val="double" w:sz="2" w:space="0" w:color="808080"/>
        </w:pBdr>
        <w:bidi w:val="0"/>
        <w:spacing w:before="0" w:after="283"/>
        <w:jc w:val="left"/>
        <w:rPr/>
      </w:pPr>
      <w:r>
        <w:rPr/>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STATEMENTS OF CASH FLOWS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5990"/>
        <w:gridCol w:w="60"/>
        <w:gridCol w:w="125"/>
        <w:gridCol w:w="695"/>
        <w:gridCol w:w="60"/>
        <w:gridCol w:w="60"/>
        <w:gridCol w:w="125"/>
        <w:gridCol w:w="590"/>
        <w:gridCol w:w="60"/>
        <w:gridCol w:w="60"/>
        <w:gridCol w:w="125"/>
        <w:gridCol w:w="590"/>
        <w:gridCol w:w="95"/>
      </w:tblGrid>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0"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2020</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NON-CASH ACTIVITIES:</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Investments in property and equipment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169,376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65,634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35,271</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received during the period from interest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10,524</w:t>
            </w:r>
          </w:p>
        </w:tc>
        <w:tc>
          <w:tcPr>
            <w:tcW w:w="95"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paid during the period for interest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6,633</w:t>
            </w:r>
          </w:p>
        </w:tc>
        <w:tc>
          <w:tcPr>
            <w:tcW w:w="95"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lineRule="auto" w:line="300" w:before="0" w:after="0"/>
              <w:ind w:left="0" w:right="0" w:firstLine="261"/>
              <w:jc w:val="left"/>
              <w:rPr>
                <w:rFonts w:ascii="Times New Roman;Times;serif" w:hAnsi="Times New Roman;Times;serif"/>
                <w:b/>
                <w:sz w:val="20"/>
              </w:rPr>
            </w:pPr>
            <w:r>
              <w:rPr>
                <w:rFonts w:ascii="Times New Roman;Times;serif" w:hAnsi="Times New Roman;Times;serif"/>
                <w:b/>
                <w:sz w:val="20"/>
              </w:rPr>
              <w:t>Cash paid for (received from) income taxes, net during the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(2,436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jc w:val="left"/>
        <w:rPr/>
      </w:pPr>
      <w:r>
        <w:rPr/>
        <w:t> </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jc w:val="center"/>
        <w:rPr>
          <w:rFonts w:ascii="Times New Roman;Times;serif" w:hAnsi="Times New Roman;Times;serif"/>
          <w:b/>
          <w:sz w:val="20"/>
        </w:rPr>
      </w:pPr>
      <w:bookmarkStart w:id="342" w:name="NOTES_integixAnchor"/>
      <w:bookmarkEnd w:id="342"/>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22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jc w:val="both"/>
        <w:rPr>
          <w:sz w:val="20"/>
        </w:rPr>
      </w:pPr>
      <w:r>
        <w:rPr>
          <w:rFonts w:ascii="Times New Roman;Times;serif" w:hAnsi="Times New Roman;Times;serif"/>
          <w:b/>
          <w:sz w:val="20"/>
        </w:rPr>
        <w:t>NOTE 1:</w:t>
      </w:r>
      <w:r>
        <w:rPr>
          <w:rFonts w:ascii="Times New Roman;Times;serif" w:hAnsi="Times New Roman;Times;serif"/>
          <w:sz w:val="20"/>
        </w:rPr>
        <w:t>       </w:t>
      </w:r>
      <w:r>
        <w:rPr>
          <w:rFonts w:ascii="Times New Roman;Times;serif" w:hAnsi="Times New Roman;Times;serif"/>
          <w:b/>
          <w:sz w:val="20"/>
        </w:rPr>
        <w:t>DESCRIPTION OF BUSINESS AND GENERAL</w:t>
      </w:r>
      <w:r>
        <w:rPr>
          <w:sz w:val="20"/>
        </w:rPr>
        <w:t xml:space="preserve"> </w:t>
      </w:r>
    </w:p>
    <w:p>
      <w:pPr>
        <w:pStyle w:val="TextBody"/>
        <w:bidi w:val="0"/>
        <w:spacing w:lineRule="auto" w:line="300" w:before="0" w:after="0"/>
        <w:ind w:left="0" w:right="0" w:hanging="0"/>
        <w:jc w:val="both"/>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“TSNB”); and (2) Tower Semiconductor San Antonio, Inc. (formerly named “TowerJazz Texas, Inc.”) (“TSSA”); (ii) its 51% owned subsidiary, Tower Partners Semiconductor Co., Ltd. (formerly named “TowerJazz Panasonic Semiconductor Co. Ltd.”) (“TPSCo”), an independent semiconductor foundry which operated three semiconductor manufacturing facilities located in Tonami, Uozu and Arai (one of which, Arai facility ceased its operations in July 2022, see Note 14B2),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and (iii) its wholly-owned subsidiary Tower Semiconductor Italy S.r.l. (“TSIT”), incorporated during 2021 following the collaborative arrangement signed in June 2021 with ST Microelectronics S.r.l (“ST”) to share manufacturing capacity that is planned to be established in a new 300 mm fabrication facility in Agrate, Italy. During 2022, TSIT started installation of certain tools in the Agrate facility and the development of certain processes and technologies that it expects to transfer to the Agrate facility. As of December 31, 2022, the operations in Italy have not commenced (see Note 14E).</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sz w:val="20"/>
        </w:rPr>
      </w:pPr>
      <w:r>
        <w:rPr>
          <w:rFonts w:ascii="Times New Roman;Times;serif" w:hAnsi="Times New Roman;Times;serif"/>
          <w:sz w:val="20"/>
        </w:rPr>
        <w:t>On February 15, 2022, Intel Corporation (“Intel”) and Tower announced the signing of a definitive agreement under which Intel will acquire all of Tower’s outstanding Ordinary Shares for cash consideration of $53 per share. The transaction was approved by Tower’s shareholders and is subject to certain regulatory approvals and customary closing conditions.</w:t>
      </w:r>
      <w:r>
        <w:rPr>
          <w:sz w:val="20"/>
        </w:rPr>
        <w:t xml:space="preserve"> </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sz w:val="20"/>
        </w:rPr>
      </w:pPr>
      <w:r>
        <w:rPr>
          <w:rFonts w:ascii="Times New Roman;Times;serif" w:hAnsi="Times New Roman;Times;serif"/>
          <w:sz w:val="20"/>
        </w:rPr>
        <w:t>Tower and its subsidiaries are collectively referred to as the “Company”.</w:t>
      </w:r>
      <w:r>
        <w:rPr>
          <w:sz w:val="20"/>
        </w:rPr>
        <w:t xml:space="preserve"> </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sz w:val="20"/>
        </w:rPr>
      </w:pPr>
      <w:r>
        <w:rPr>
          <w:rFonts w:ascii="Times New Roman;Times;serif" w:hAnsi="Times New Roman;Times;serif"/>
          <w:sz w:val="20"/>
        </w:rPr>
        <w:t>The Company is a global specialty foundry leader manufacturing integrated circuits, offering a broad range of customizable process technologies including: SiGe, BiCMOS, mixed 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as of December 31, 2022, the Company operates two manufacturing facilities in Israel (150mm and 200mm), two in the U.S. (200mm) and two in Japan through TPSCo (one 200mm and one 300mm).</w:t>
      </w:r>
      <w:r>
        <w:rPr>
          <w:sz w:val="20"/>
        </w:rPr>
        <w:t xml:space="preserve"> </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sz w:val="20"/>
        </w:rPr>
      </w:pPr>
      <w:r>
        <w:rPr>
          <w:rFonts w:ascii="Times New Roman;Times;serif" w:hAnsi="Times New Roman;Times;serif"/>
          <w:sz w:val="20"/>
        </w:rPr>
        <w:t>Tower’s ordinary shares are traded on the NASDAQ Global Select Market and on the Tel-Aviv Stock Exchange (“TASE”) under the symbol TSEM.</w:t>
      </w:r>
      <w:r>
        <w:rPr>
          <w:sz w:val="20"/>
        </w:rPr>
        <w:t xml:space="preserve"> </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In March 2020, the World Health Organization declared the novel coronavirus (“COVID-19”) a global pandemic. Since then, the impact of the COVID-19 pandemic continues to evolve as well as the global responses to curb its spread and to treat its impact, which have caused disruption to certain business sectors globally, resulting in economic and other difficulties in many regions worldwide, including supply chain shortages, absence of workforce due to infected and/or quarantined employees and service providers, as well as extended lead times for ordered equipment and supplies. To date, the COVID-19 pandemic has not had a material adverse effect on the Company's business operations, its financial position or its financial stability.</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sz w:val="20"/>
        </w:rPr>
      </w:pPr>
      <w:r>
        <w:rPr>
          <w:rFonts w:ascii="Times New Roman;Times;serif" w:hAnsi="Times New Roman;Times;serif"/>
          <w:b/>
          <w:sz w:val="20"/>
        </w:rPr>
        <w:t>NOTE 2:</w:t>
      </w:r>
      <w:r>
        <w:rPr>
          <w:rFonts w:ascii="Times New Roman;Times;serif" w:hAnsi="Times New Roman;Times;serif"/>
          <w:sz w:val="20"/>
        </w:rPr>
        <w:t> </w:t>
      </w:r>
      <w:r>
        <w:rPr>
          <w:sz w:val="20"/>
        </w:rPr>
        <w:t> </w:t>
      </w:r>
      <w:r>
        <w:rPr>
          <w:rFonts w:ascii="Times New Roman;Times;serif" w:hAnsi="Times New Roman;Times;serif"/>
          <w:b/>
          <w:sz w:val="20"/>
        </w:rPr>
        <w:t>SUMMARY OF SIGNIFICANT ACCOUNTING POLICIES</w:t>
      </w:r>
    </w:p>
    <w:p>
      <w:pPr>
        <w:pStyle w:val="TextBody"/>
        <w:bidi w:val="0"/>
        <w:spacing w:lineRule="auto" w:line="300"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8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consolidated financial statements are presented in accordance with U.S. generally accepted accounting principles (“US GAAP”).</w:t>
      </w:r>
    </w:p>
    <w:p>
      <w:pPr>
        <w:pStyle w:val="TextBody"/>
        <w:bidi w:val="0"/>
        <w:spacing w:lineRule="auto" w:line="300"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200"/>
        <w:gridCol w:w="4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7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Use of Estimates in Preparation of Financial Statements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pStyle w:val="TextBody"/>
        <w:bidi w:val="0"/>
        <w:spacing w:lineRule="auto" w:line="300"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200"/>
        <w:gridCol w:w="23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3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Principals of Consolidation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consolidated financial statements include the financial statements of Tower and its subsidiaries. The Company’s consolidated financial statements are presented after elimination of inter-company transactions and balances.</w:t>
      </w:r>
    </w:p>
    <w:p>
      <w:pPr>
        <w:pStyle w:val="TextBody"/>
        <w:bidi w:val="0"/>
        <w:spacing w:lineRule="auto" w:line="300"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200"/>
        <w:gridCol w:w="23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3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Cash and cash equivalents consist of cash, bank deposits, money market funds and short-term investments with insignificant interest rate risk and original maturities of three months or less.</w:t>
      </w:r>
    </w:p>
    <w:p>
      <w:pPr>
        <w:pStyle w:val="TextBody"/>
        <w:bidi w:val="0"/>
        <w:spacing w:lineRule="auto" w:line="300"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200"/>
        <w:gridCol w:w="3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2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Short Term Interest-Bearing Deposits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Short-term deposits include bank deposits with original maturities greater than three months and with remaining maturities of less than one year. Such deposits are presented at cost, including accrued interest, which approximates their fair value.</w:t>
      </w:r>
    </w:p>
    <w:p>
      <w:pPr>
        <w:pStyle w:val="TextBody"/>
        <w:bidi w:val="0"/>
        <w:spacing w:lineRule="auto" w:line="300"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185"/>
        <w:gridCol w:w="189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8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Company accounts for its investments in grade debt securities in accordance with ASC 320 "</w:t>
      </w:r>
      <w:r>
        <w:rPr>
          <w:rFonts w:ascii="Times New Roman;Times;serif" w:hAnsi="Times New Roman;Times;serif"/>
          <w:i/>
          <w:sz w:val="20"/>
        </w:rPr>
        <w:t>Investments - Debt and Equity Securities"</w:t>
      </w:r>
      <w:r>
        <w:rPr>
          <w:rFonts w:ascii="Times New Roman;Times;serif" w:hAnsi="Times New Roman;Times;serif"/>
          <w:sz w:val="20"/>
        </w:rPr>
        <w:t>. Management determines the appropriate classification of its investments in debt securities at the time of purchase and re-evaluates such determinations at each balance sheet date.</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- 13</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classifies its marketable securities as "available-for-sale", as the Company intends to hold them for an indefinite period of time, but not necessarily to maturity. Any decision to sell a security classified as available for sale would be based on various factors, including significant movements in interest rates, changes in the maturity, mix of the Company’s assets and liabilities, liquidity needs and other similar factors. Securities classified as available for sale are measured at fair value, based on quoted market prices. Gains and losses are recognized on a specific identification basis, in the Company's consolidated statements of operations. Unrealized gains and losses are recorded in (i) other comprehensive income (loss) in the Company’s shareholders’ equity report in periods the Company has no specific need and/ or plan to use cash by selling such securities, or (ii) in the statement of operations as financing expenses (income) in periods the Company has a specific need and/ or plan to use cash by selling such securities.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xml:space="preserve">The Company assessed the available-for-sales debt securities with an amortized cost basis in excess of estimated fair value to determine what amount of that difference, if any, is caused by expected credit losses in accordance with ASC 326, </w:t>
      </w:r>
      <w:r>
        <w:rPr>
          <w:rFonts w:ascii="Times New Roman;Times;serif" w:hAnsi="Times New Roman;Times;serif"/>
          <w:i/>
          <w:sz w:val="20"/>
        </w:rPr>
        <w:t>"Financial Instruments - Credit Losses"</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Allowance for credit losses is recognized as a charge in financing income (expense), net, on the consolidated statements of operation, and any remaining unrealized losses, net of taxes, are included in accumulated other comprehensive income (loss) in shareholders' equity.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concluded that the current expected credit losses on its available-for-sale investment portfolio were immaterial.</w:t>
      </w:r>
    </w:p>
    <w:p>
      <w:pPr>
        <w:pStyle w:val="TextBody"/>
        <w:bidi w:val="0"/>
        <w:spacing w:lineRule="auto" w:line="300"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215"/>
        <w:gridCol w:w="557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55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Trade Accounts Receivable – Allowance for Expected Credit Loss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Times;serif" w:hAnsi="Times New Roman;Times;serif"/>
          <w:i/>
          <w:sz w:val="20"/>
        </w:rPr>
        <w:t>"Financial Instruments - Credit Losses"</w:t>
      </w:r>
      <w:r>
        <w:rPr>
          <w:rFonts w:ascii="Times New Roman;Times;serif" w:hAnsi="Times New Roman;Times;serif"/>
          <w:sz w:val="20"/>
        </w:rPr>
        <w:t>, an allowance is maintained for such estimated forward-looking losses (current expected losses). The amount of the allowance is determined principally on the basis of past collection experience and known financial factors regarding specific customers. Trade accounts receivables are written off using this allowance when it becomes evident that collection will not occur. Credit is extended to customers satisfying pre-defined credit criteria.</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The total allowance for expected credit losses was $3,460 and $946 as of December 31, 2022 and 2021, respectively.</w:t>
      </w:r>
    </w:p>
    <w:p>
      <w:pPr>
        <w:pStyle w:val="TextBody"/>
        <w:bidi w:val="0"/>
        <w:spacing w:lineRule="auto" w:line="300"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75"/>
        <w:gridCol w:w="215"/>
        <w:gridCol w:w="9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9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Inventories are stated at the lower of aggregate cost or net realizable value. If inventory costs exceed expected net realizable value, the Company writes-down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and condition in the production line.</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- 14</w:t>
      </w:r>
    </w:p>
    <w:p>
      <w:pPr>
        <w:pStyle w:val="HorizontalLine"/>
        <w:bidi w:val="0"/>
        <w:spacing w:before="0" w:after="20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p>
    <w:p>
      <w:pPr>
        <w:pStyle w:val="TextBody"/>
        <w:bidi w:val="0"/>
        <w:spacing w:lineRule="auto" w:line="300"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40"/>
        <w:gridCol w:w="35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5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Investments in Privately Held Companies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Long-term investments include equity investments in privately-held companies without readily determinable fair values. In accordance with ASC 321 - “</w:t>
      </w:r>
      <w:r>
        <w:rPr>
          <w:rFonts w:ascii="Times New Roman;Times;serif" w:hAnsi="Times New Roman;Times;serif"/>
          <w:i/>
          <w:sz w:val="20"/>
        </w:rPr>
        <w:t>Investments - Equity Securities”,</w:t>
      </w:r>
      <w:r>
        <w:rPr>
          <w:rFonts w:ascii="Times New Roman;Times;serif" w:hAnsi="Times New Roman;Times;serif"/>
          <w:sz w:val="20"/>
        </w:rPr>
        <w:t xml:space="preserve"> the Company may elect between fair value and a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2L below.</w:t>
      </w:r>
    </w:p>
    <w:p>
      <w:pPr>
        <w:pStyle w:val="TextBody"/>
        <w:bidi w:val="0"/>
        <w:spacing w:lineRule="auto" w:line="300"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w:t>
            </w:r>
          </w:p>
        </w:tc>
        <w:tc>
          <w:tcPr>
            <w:tcW w:w="21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property and equipment in accordance with Accounting Standards Codification ASC 360 “</w:t>
      </w:r>
      <w:r>
        <w:rPr>
          <w:rFonts w:ascii="Times New Roman;Times;serif" w:hAnsi="Times New Roman;Times;serif"/>
          <w:i/>
          <w:sz w:val="20"/>
        </w:rPr>
        <w:t>Accounting for the Property, Plant and Equipment</w:t>
      </w:r>
      <w:r>
        <w:rPr>
          <w:rFonts w:ascii="Times New Roman;Times;serif" w:hAnsi="Times New Roman;Times;serif"/>
          <w:sz w:val="20"/>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facilities and equipment, as well as technology transfer.</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Maintenance and repairs are charged to expenses as incurred.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Property and equipment are presented net of investment grants received and less accumulated depreciation.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Depreciation is calculated based on the straight-line method over the Company’s estimated useful lives of the assets, as follows:</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Buildings and building improvements, including facility infrastructure 10-25 years</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Machinery and equipment, software and hardware 3-15 years.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Impairment charges, if needed, are determined based on the policy outlined in Note 2L below.</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Property and equipment also include assets under capital leases, which are depreciated according to their applicable useful life.</w:t>
      </w:r>
    </w:p>
    <w:p>
      <w:pPr>
        <w:pStyle w:val="TextBody"/>
        <w:bidi w:val="0"/>
        <w:spacing w:lineRule="auto" w:line="300"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215"/>
        <w:gridCol w:w="264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w:t>
            </w:r>
          </w:p>
        </w:tc>
        <w:tc>
          <w:tcPr>
            <w:tcW w:w="26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Intangible Assets and Goodwill</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Company accounts for intangible assets and goodwill in accordance with ASC 350 “</w:t>
      </w:r>
      <w:r>
        <w:rPr>
          <w:rFonts w:ascii="Times New Roman;Times;serif" w:hAnsi="Times New Roman;Times;serif"/>
          <w:i/>
          <w:sz w:val="20"/>
        </w:rPr>
        <w:t>Intangibles-Goodwill and Other</w:t>
      </w:r>
      <w:r>
        <w:rPr>
          <w:rFonts w:ascii="Times New Roman;Times;serif" w:hAnsi="Times New Roman;Times;serif"/>
          <w:sz w:val="20"/>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00"/>
        <w:gridCol w:w="18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w:t>
            </w:r>
          </w:p>
        </w:tc>
        <w:tc>
          <w:tcPr>
            <w:tcW w:w="18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Impairment of Assets</w:t>
            </w:r>
          </w:p>
        </w:tc>
      </w:tr>
    </w:tbl>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Property, Equipment and Intangible Assets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Times;serif" w:hAnsi="Times New Roman;Times;serif"/>
          <w:i/>
          <w:sz w:val="20"/>
        </w:rPr>
        <w:t>Property, Plant and Equipment</w:t>
      </w:r>
      <w:r>
        <w:rPr>
          <w:rFonts w:ascii="Times New Roman;Times;serif" w:hAnsi="Times New Roman;Times;serif"/>
          <w:sz w:val="20"/>
        </w:rPr>
        <w:t>”. As of December 31, 2022, the Company concluded there was no impairment to its long-lived assets and intangible assets.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2022, the Company performed a qualitative impairment test for its reporting unit and concluded there was no impairment of goodwill.</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Investment in Privately Held Companies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Investments in privately held companies accounted for using the measurement alternative are subject to periodic impairment reviews. Based on ASC 321-10-35-3, the Company’s impairment analysis considers qualitative factors to evaluate whether the investment is impaired. For the year ended December 31, 2022, the Company recorded an impairment of $6,978 on account of one of its investments which was fully impaired.</w:t>
      </w:r>
    </w:p>
    <w:p>
      <w:pPr>
        <w:pStyle w:val="TextBody"/>
        <w:bidi w:val="0"/>
        <w:spacing w:lineRule="auto" w:line="300" w:before="0" w:after="0"/>
        <w:jc w:val="left"/>
        <w:rPr/>
      </w:pPr>
      <w:r>
        <w:rPr/>
        <w:t> </w:t>
      </w:r>
    </w:p>
    <w:tbl>
      <w:tblPr>
        <w:tblW w:w="925" w:type="dxa"/>
        <w:jc w:val="left"/>
        <w:tblInd w:w="0" w:type="dxa"/>
        <w:tblLayout w:type="fixed"/>
        <w:tblCellMar>
          <w:top w:w="0" w:type="dxa"/>
          <w:left w:w="0" w:type="dxa"/>
          <w:bottom w:w="0" w:type="dxa"/>
          <w:right w:w="0" w:type="dxa"/>
        </w:tblCellMar>
      </w:tblPr>
      <w:tblGrid>
        <w:gridCol w:w="75"/>
        <w:gridCol w:w="245"/>
        <w:gridCol w:w="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w:t>
            </w:r>
          </w:p>
        </w:tc>
        <w:tc>
          <w:tcPr>
            <w:tcW w:w="6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Effective January 1, 2019, the Company adopted ASC 842 “</w:t>
      </w:r>
      <w:r>
        <w:rPr>
          <w:rFonts w:ascii="Times New Roman;Times;serif" w:hAnsi="Times New Roman;Times;serif"/>
          <w:i/>
          <w:sz w:val="20"/>
        </w:rPr>
        <w:t>Leases”</w:t>
      </w:r>
      <w:r>
        <w:rPr>
          <w:rFonts w:ascii="Times New Roman;Times;serif" w:hAnsi="Times New Roman;Times;serif"/>
          <w:sz w:val="20"/>
        </w:rPr>
        <w:t xml:space="preserve"> using the modified retrospective transition method and recognize a right-of-use asset (“ROU”) and lease liability for all operating and capital leases with a term greater than twelve months upon lease arrangement inception.</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- 16</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Because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pStyle w:val="TextBody"/>
        <w:bidi w:val="0"/>
        <w:spacing w:lineRule="auto" w:line="300"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00"/>
        <w:gridCol w:w="18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w:t>
            </w:r>
          </w:p>
        </w:tc>
        <w:tc>
          <w:tcPr>
            <w:tcW w:w="18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follows ASC 606 “</w:t>
      </w:r>
      <w:r>
        <w:rPr>
          <w:rFonts w:ascii="Times New Roman;Times;serif" w:hAnsi="Times New Roman;Times;serif"/>
          <w:i/>
          <w:sz w:val="20"/>
        </w:rPr>
        <w:t>Revenue from Contracts with Customers</w:t>
      </w:r>
      <w:r>
        <w:rPr>
          <w:rFonts w:ascii="Times New Roman;Times;serif" w:hAnsi="Times New Roman;Times;serif"/>
          <w:sz w:val="20"/>
        </w:rPr>
        <w:t>“ and recognizes revenue when it transfers the control of promised goods or services to customers in an amount that reflects the consideration the Company expects to be entitled to in exchange for those goods or services.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pStyle w:val="TextBody"/>
        <w:bidi w:val="0"/>
        <w:spacing w:lineRule="auto" w:line="300" w:before="0" w:after="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pStyle w:val="TextBody"/>
        <w:bidi w:val="0"/>
        <w:spacing w:lineRule="auto" w:line="300" w:before="0" w:after="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provides for sales returns allowance relating to specified yield or quality commitments as a reduction of revenues, based on past experience and specific identification of events necessitating an allowance, which has been in immaterial amounts.</w:t>
      </w:r>
    </w:p>
    <w:p>
      <w:pPr>
        <w:pStyle w:val="TextBody"/>
        <w:bidi w:val="0"/>
        <w:spacing w:lineRule="auto" w:line="300" w:before="0" w:after="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provides its customers with other services that are less significant in scope and amount and for which recognition occurs over time when customers receive the services.</w:t>
      </w:r>
    </w:p>
    <w:p>
      <w:pPr>
        <w:pStyle w:val="TextBody"/>
        <w:bidi w:val="0"/>
        <w:spacing w:lineRule="auto" w:line="300"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215"/>
        <w:gridCol w:w="23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t>
            </w:r>
          </w:p>
        </w:tc>
        <w:tc>
          <w:tcPr>
            <w:tcW w:w="23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Research and Development</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283"/>
        <w:jc w:val="left"/>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185"/>
        <w:gridCol w:w="122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w:t>
            </w:r>
          </w:p>
        </w:tc>
        <w:tc>
          <w:tcPr>
            <w:tcW w:w="12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income taxes using an asset and liability approach as prescribed in ASC 740-10 “</w:t>
      </w:r>
      <w:r>
        <w:rPr>
          <w:rFonts w:ascii="Times New Roman;Times;serif" w:hAnsi="Times New Roman;Times;serif"/>
          <w:i/>
          <w:sz w:val="20"/>
        </w:rPr>
        <w:t>Income Taxes”.</w:t>
      </w:r>
      <w:r>
        <w:rPr>
          <w:rFonts w:ascii="Times New Roman;Times;serif" w:hAnsi="Times New Roman;Times;serif"/>
          <w:sz w:val="20"/>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anticipated (under applicable law as of the balance sheet date) to apply when the deferred taxes are expected to be paid or realized. Deferred tax assets and liabilities, as well as any related valuation allowance, are classified as noncurrent items on the balance sheets.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 valuation allowance is established, when necessary, to reduce deferred tax assets to the amount that is more likely than not to be realized based on all available evidence.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pStyle w:val="TextBody"/>
        <w:bidi w:val="0"/>
        <w:spacing w:lineRule="auto" w:line="300"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215"/>
        <w:gridCol w:w="25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5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Earnings per Ordinary Share</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- 18</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200"/>
        <w:gridCol w:w="20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w:t>
            </w:r>
          </w:p>
        </w:tc>
        <w:tc>
          <w:tcPr>
            <w:tcW w:w="20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Comprehensive Income</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accordance with ASC 220 “</w:t>
      </w:r>
      <w:r>
        <w:rPr>
          <w:rFonts w:ascii="Times New Roman;Times;serif" w:hAnsi="Times New Roman;Times;serif"/>
          <w:i/>
          <w:sz w:val="20"/>
        </w:rPr>
        <w:t>Comprehensive Income</w:t>
      </w:r>
      <w:r>
        <w:rPr>
          <w:rFonts w:ascii="Times New Roman;Times;serif" w:hAnsi="Times New Roman;Times;serif"/>
          <w:sz w:val="20"/>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pStyle w:val="TextBody"/>
        <w:bidi w:val="0"/>
        <w:spacing w:lineRule="auto" w:line="300"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t>
            </w:r>
          </w:p>
        </w:tc>
        <w:tc>
          <w:tcPr>
            <w:tcW w:w="41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Functional Currency and Exchange Rate Results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w:t>
      </w:r>
      <w:r>
        <w:rPr>
          <w:rFonts w:ascii="Times New Roman;Times;serif" w:hAnsi="Times New Roman;Times;serif"/>
          <w:i/>
          <w:sz w:val="20"/>
        </w:rPr>
        <w:t xml:space="preserve">Foreign Currency Matters”. </w:t>
      </w:r>
      <w:r>
        <w:rPr>
          <w:rFonts w:ascii="Times New Roman;Times;serif" w:hAnsi="Times New Roman;Times;serif"/>
          <w:sz w:val="20"/>
        </w:rPr>
        <w:t>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pStyle w:val="TextBody"/>
        <w:bidi w:val="0"/>
        <w:spacing w:lineRule="auto" w:line="300"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200"/>
        <w:gridCol w:w="23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w:t>
            </w:r>
          </w:p>
        </w:tc>
        <w:tc>
          <w:tcPr>
            <w:tcW w:w="23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applies the provisions of ASC Topic 718 “</w:t>
      </w:r>
      <w:r>
        <w:rPr>
          <w:rFonts w:ascii="Times New Roman;Times;serif" w:hAnsi="Times New Roman;Times;serif"/>
          <w:i/>
          <w:sz w:val="20"/>
        </w:rPr>
        <w:t>Compensation - Stock Compensation</w:t>
      </w:r>
      <w:r>
        <w:rPr>
          <w:rFonts w:ascii="Times New Roman;Times;serif" w:hAnsi="Times New Roman;Times;serif"/>
          <w:sz w:val="20"/>
        </w:rPr>
        <w:t>”, under which employees’ share-based equity awards (mostly restricted stock units and performance unit shares) are recognized based on the grant-date fair values.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compensation costs are recognized using the graded vesting attribution method based on the vesting terms of each unit included in the award resulting in an accelerated recognition of compensation costs.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- 19</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200"/>
        <w:gridCol w:w="43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w:t>
            </w:r>
          </w:p>
        </w:tc>
        <w:tc>
          <w:tcPr>
            <w:tcW w:w="43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Fair Value Measurements of Financial Instruments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820, "</w:t>
      </w:r>
      <w:r>
        <w:rPr>
          <w:rFonts w:ascii="Times New Roman;Times;serif" w:hAnsi="Times New Roman;Times;serif"/>
          <w:i/>
          <w:sz w:val="20"/>
        </w:rPr>
        <w:t>Fair Value Measurements and Disclosures</w:t>
      </w:r>
      <w:r>
        <w:rPr>
          <w:rFonts w:ascii="Times New Roman;Times;serif" w:hAnsi="Times New Roman;Times;serif"/>
          <w:sz w:val="20"/>
        </w:rPr>
        <w:t xml:space="preserve">" </w:t>
      </w:r>
      <w:r>
        <w:rPr>
          <w:rFonts w:ascii="Times New Roman;Times;serif" w:hAnsi="Times New Roman;Times;serif"/>
          <w:i/>
          <w:sz w:val="20"/>
        </w:rPr>
        <w:t>(“ASC 820”)</w:t>
      </w:r>
      <w:r>
        <w:rPr>
          <w:rFonts w:ascii="Times New Roman;Times;serif" w:hAnsi="Times New Roman;Times;serif"/>
          <w:sz w:val="20"/>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820 prioritizes the inputs into three levels that may be used to measure fair value:</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1</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2</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3</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carrying value of the Company’s financial instruments of cash, bank deposits, account receivables, payables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283"/>
        <w:jc w:val="both"/>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(Continued)</w:t>
      </w:r>
      <w:r>
        <w:rPr>
          <w:sz w:val="20"/>
        </w:rPr>
        <w:t xml:space="preserve"> </w:t>
      </w:r>
    </w:p>
    <w:p>
      <w:pPr>
        <w:pStyle w:val="TextBody"/>
        <w:bidi w:val="0"/>
        <w:spacing w:lineRule="auto" w:line="300"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200"/>
        <w:gridCol w:w="21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21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Derivatives and Hedging</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Effective January 1, 2019, the Company adopted ASU 2017-12, “</w:t>
      </w:r>
      <w:r>
        <w:rPr>
          <w:rFonts w:ascii="Times New Roman;Times;serif" w:hAnsi="Times New Roman;Times;serif"/>
          <w:i/>
          <w:sz w:val="20"/>
        </w:rPr>
        <w:t>Derivatives and Hedging</w:t>
      </w:r>
      <w:r>
        <w:rPr>
          <w:rFonts w:ascii="Times New Roman;Times;serif" w:hAnsi="Times New Roman;Times;serif"/>
          <w:sz w:val="20"/>
        </w:rPr>
        <w:t> </w:t>
      </w:r>
      <w:r>
        <w:rPr>
          <w:rFonts w:ascii="Times New Roman;Times;serif" w:hAnsi="Times New Roman;Times;serif"/>
          <w:i/>
          <w:sz w:val="20"/>
        </w:rPr>
        <w:t>(“Topic 815”): Targeted Improvements to Accounting for Hedge Activities</w:t>
      </w:r>
      <w:r>
        <w:rPr>
          <w:rFonts w:ascii="Times New Roman;Times;serif" w:hAnsi="Times New Roman;Times;serif"/>
          <w:sz w:val="20"/>
        </w:rPr>
        <w:t>”. The Company accounts for its derivative instruments as either assets or liabilities and carries them at fair value.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Cash flow hedges related to anticipated transactions are designated and documented at the inception of each hedge. Cash flows from hedging transactions are classified in the same categories as the cash flows from the respective hedged items.</w:t>
      </w:r>
    </w:p>
    <w:p>
      <w:pPr>
        <w:pStyle w:val="TextBody"/>
        <w:bidi w:val="0"/>
        <w:spacing w:lineRule="auto" w:line="300"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260"/>
        <w:gridCol w:w="39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w:t>
            </w:r>
          </w:p>
        </w:tc>
        <w:tc>
          <w:tcPr>
            <w:tcW w:w="3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Recently Adopted Accounting Pronouncements</w:t>
            </w:r>
          </w:p>
        </w:tc>
      </w:tr>
    </w:tbl>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 xml:space="preserve">(i) In March 2020, the FASB issued ASU No. 2020-04,” </w:t>
      </w:r>
      <w:r>
        <w:rPr>
          <w:rFonts w:ascii="Times New Roman;Times;serif" w:hAnsi="Times New Roman;Times;serif"/>
          <w:i/>
          <w:sz w:val="20"/>
        </w:rPr>
        <w:t>Reference Rate Reform (Topic 848): Facilitation of the Effects of Reference Rate Reform on Financial Reporting</w:t>
      </w:r>
      <w:r>
        <w:rPr>
          <w:rFonts w:ascii="Times New Roman;Times;serif" w:hAnsi="Times New Roman;Times;serif"/>
          <w:sz w:val="20"/>
        </w:rPr>
        <w:t>”, which provides temporary optional guidance to ease potential accounting impacts associated with transitioning away from 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In January 2021, the FASB issued ASU 2021-01, "</w:t>
      </w:r>
      <w:r>
        <w:rPr>
          <w:rFonts w:ascii="Times New Roman;Times;serif" w:hAnsi="Times New Roman;Times;serif"/>
          <w:i/>
          <w:sz w:val="20"/>
        </w:rPr>
        <w:t>Reference Rate Reform - Scope</w:t>
      </w:r>
      <w:r>
        <w:rPr>
          <w:rFonts w:ascii="Times New Roman;Times;serif" w:hAnsi="Times New Roman;Times;serif"/>
          <w:sz w:val="20"/>
        </w:rPr>
        <w:t>," which clarified the scope and application of the original guidance. This guidance is effective immediately and is only available through December 31, 2022. In December 2022 the FASB issued ASU No. 2022-06,” Reference Rate Reform (Topic 848): Deferral of the Sunset Date of Topic 848”, which defers the sunset date of Topic 848 from December 31, 2022, to December 31, 2024. This guidance did not impact the Company’s consolidated financial position, results of operations or cash flows.</w:t>
      </w:r>
    </w:p>
    <w:p>
      <w:pPr>
        <w:pStyle w:val="TextBody"/>
        <w:bidi w:val="0"/>
        <w:spacing w:lineRule="auto" w:line="300" w:before="0" w:after="0"/>
        <w:jc w:val="both"/>
        <w:rPr/>
      </w:pPr>
      <w:r>
        <w:rPr/>
        <w:t> </w:t>
      </w:r>
    </w:p>
    <w:tbl>
      <w:tblPr>
        <w:tblW w:w="5500" w:type="dxa"/>
        <w:jc w:val="left"/>
        <w:tblInd w:w="0" w:type="dxa"/>
        <w:tblLayout w:type="fixed"/>
        <w:tblCellMar>
          <w:top w:w="0" w:type="dxa"/>
          <w:left w:w="0" w:type="dxa"/>
          <w:bottom w:w="0" w:type="dxa"/>
          <w:right w:w="0" w:type="dxa"/>
        </w:tblCellMar>
      </w:tblPr>
      <w:tblGrid>
        <w:gridCol w:w="75"/>
        <w:gridCol w:w="200"/>
        <w:gridCol w:w="52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t>
            </w:r>
          </w:p>
        </w:tc>
        <w:tc>
          <w:tcPr>
            <w:tcW w:w="52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Recently Issued Accounting Pronouncements Not Yet Adopted</w:t>
            </w:r>
          </w:p>
        </w:tc>
      </w:tr>
    </w:tbl>
    <w:p>
      <w:pPr>
        <w:pStyle w:val="TextBody"/>
        <w:bidi w:val="0"/>
        <w:spacing w:lineRule="auto" w:line="300" w:before="0" w:after="0"/>
        <w:jc w:val="left"/>
        <w:rPr/>
      </w:pPr>
      <w:r>
        <w:rPr/>
        <w:t> </w:t>
      </w:r>
    </w:p>
    <w:p>
      <w:pPr>
        <w:pStyle w:val="TextBody"/>
        <w:bidi w:val="0"/>
        <w:spacing w:lineRule="auto" w:line="300"/>
        <w:ind w:left="1560" w:right="0" w:hanging="0"/>
        <w:jc w:val="both"/>
        <w:rPr>
          <w:rFonts w:ascii="Times New Roman;Times;serif" w:hAnsi="Times New Roman;Times;serif"/>
          <w:sz w:val="20"/>
        </w:rPr>
      </w:pPr>
      <w:r>
        <w:rPr>
          <w:rFonts w:ascii="Times New Roman;Times;serif" w:hAnsi="Times New Roman;Times;serif"/>
          <w:sz w:val="20"/>
        </w:rPr>
        <w:t>The Company does not expect recently issued accounting standards or interpretations to have a material impact on the Company’s financial position, results of operations, cash flows or financial statement disclosures.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jc w:val="both"/>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b/>
          <w:sz w:val="20"/>
        </w:rPr>
        <w:t>NOTE 3:</w:t>
      </w:r>
      <w:r>
        <w:rPr>
          <w:rFonts w:ascii="Times New Roman;Times;serif" w:hAnsi="Times New Roman;Times;serif"/>
          <w:sz w:val="20"/>
        </w:rPr>
        <w:t> </w:t>
      </w:r>
      <w:r>
        <w:rPr>
          <w:rFonts w:ascii="Times New Roman;Times;serif" w:hAnsi="Times New Roman;Times;serif"/>
          <w:b/>
          <w:sz w:val="20"/>
        </w:rPr>
        <w:t>INVENTORIES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Inventories consist of the following as of December 31, 2022 and 2021:</w:t>
      </w:r>
    </w:p>
    <w:p>
      <w:pPr>
        <w:pStyle w:val="TextBody"/>
        <w:bidi w:val="0"/>
        <w:spacing w:lineRule="auto" w:line="300" w:before="0" w:after="0"/>
        <w:jc w:val="left"/>
        <w:rPr/>
      </w:pPr>
      <w:r>
        <w:rPr/>
        <w:t> </w:t>
      </w:r>
    </w:p>
    <w:tbl>
      <w:tblPr>
        <w:tblW w:w="3205" w:type="dxa"/>
        <w:jc w:val="left"/>
        <w:tblInd w:w="1260" w:type="dxa"/>
        <w:tblLayout w:type="fixed"/>
        <w:tblCellMar>
          <w:top w:w="0" w:type="dxa"/>
          <w:left w:w="0" w:type="dxa"/>
          <w:bottom w:w="0" w:type="dxa"/>
          <w:right w:w="0" w:type="dxa"/>
        </w:tblCellMar>
      </w:tblPr>
      <w:tblGrid>
        <w:gridCol w:w="1325"/>
        <w:gridCol w:w="60"/>
        <w:gridCol w:w="125"/>
        <w:gridCol w:w="695"/>
        <w:gridCol w:w="60"/>
        <w:gridCol w:w="60"/>
        <w:gridCol w:w="125"/>
        <w:gridCol w:w="695"/>
        <w:gridCol w:w="60"/>
      </w:tblGrid>
      <w:tr>
        <w:trPr/>
        <w:tc>
          <w:tcPr>
            <w:tcW w:w="132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81,734</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Work in process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146,840</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5,938</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302,108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234,512</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260" w:right="0" w:hanging="0"/>
        <w:jc w:val="left"/>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Work in process and finished goods are presented net of aggregate write-downs to net realizable value of $8,192 and $2,775 as of December 31, 2022 and 2021, respectively.</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4:</w:t>
      </w:r>
      <w:r>
        <w:rPr>
          <w:rFonts w:ascii="Times New Roman;Times;serif" w:hAnsi="Times New Roman;Times;serif"/>
          <w:sz w:val="20"/>
        </w:rPr>
        <w:t> </w:t>
      </w:r>
      <w:r>
        <w:rPr>
          <w:rFonts w:ascii="Times New Roman;Times;serif" w:hAnsi="Times New Roman;Times;serif"/>
          <w:b/>
          <w:sz w:val="20"/>
        </w:rPr>
        <w:t>OTHER CURRENT ASSETS</w:t>
      </w:r>
    </w:p>
    <w:p>
      <w:pPr>
        <w:pStyle w:val="TextBody"/>
        <w:bidi w:val="0"/>
        <w:spacing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Other current assets consist of the following as of December 31, 2022 and 2021:</w:t>
      </w:r>
    </w:p>
    <w:p>
      <w:pPr>
        <w:pStyle w:val="TextBody"/>
        <w:bidi w:val="0"/>
        <w:spacing w:lineRule="auto" w:line="300" w:before="0" w:after="0"/>
        <w:jc w:val="left"/>
        <w:rPr/>
      </w:pPr>
      <w:r>
        <w:rPr/>
        <w:t> </w:t>
      </w:r>
    </w:p>
    <w:tbl>
      <w:tblPr>
        <w:tblW w:w="7210" w:type="dxa"/>
        <w:jc w:val="left"/>
        <w:tblInd w:w="1260" w:type="dxa"/>
        <w:tblLayout w:type="fixed"/>
        <w:tblCellMar>
          <w:top w:w="0" w:type="dxa"/>
          <w:left w:w="0" w:type="dxa"/>
          <w:bottom w:w="0" w:type="dxa"/>
          <w:right w:w="0" w:type="dxa"/>
        </w:tblCellMar>
      </w:tblPr>
      <w:tblGrid>
        <w:gridCol w:w="5540"/>
        <w:gridCol w:w="60"/>
        <w:gridCol w:w="125"/>
        <w:gridCol w:w="590"/>
        <w:gridCol w:w="60"/>
        <w:gridCol w:w="60"/>
        <w:gridCol w:w="125"/>
        <w:gridCol w:w="590"/>
        <w:gridCol w:w="60"/>
      </w:tblGrid>
      <w:tr>
        <w:trPr/>
        <w:tc>
          <w:tcPr>
            <w:tcW w:w="55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Direct and indirect Tax receivables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5,540</w:t>
            </w:r>
          </w:p>
        </w:tc>
        <w:tc>
          <w:tcPr>
            <w:tcW w:w="60"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Prepaid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36,786</w:t>
            </w:r>
          </w:p>
        </w:tc>
        <w:tc>
          <w:tcPr>
            <w:tcW w:w="60"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Receivables from Hedging transactions - see Notes 10, 12A and 12D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10,322</w:t>
            </w:r>
          </w:p>
        </w:tc>
        <w:tc>
          <w:tcPr>
            <w:tcW w:w="60"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 receivables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2,169</w:t>
            </w:r>
          </w:p>
        </w:tc>
        <w:tc>
          <w:tcPr>
            <w:tcW w:w="60"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54,817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5:</w:t>
      </w:r>
      <w:r>
        <w:rPr>
          <w:rFonts w:ascii="Times New Roman;Times;serif" w:hAnsi="Times New Roman;Times;serif"/>
          <w:sz w:val="20"/>
        </w:rPr>
        <w:t> </w:t>
      </w:r>
      <w:r>
        <w:rPr>
          <w:rFonts w:ascii="Times New Roman;Times;serif" w:hAnsi="Times New Roman;Times;serif"/>
          <w:b/>
          <w:sz w:val="20"/>
        </w:rPr>
        <w:t>LONG-TERM INVESTMENTS</w:t>
      </w:r>
    </w:p>
    <w:p>
      <w:pPr>
        <w:pStyle w:val="TextBody"/>
        <w:bidi w:val="0"/>
        <w:spacing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Long-term investments consist of the following as of December 31, 2022 and 2021:</w:t>
      </w:r>
    </w:p>
    <w:p>
      <w:pPr>
        <w:pStyle w:val="TextBody"/>
        <w:bidi w:val="0"/>
        <w:spacing w:lineRule="auto" w:line="300" w:before="0" w:after="0"/>
        <w:jc w:val="left"/>
        <w:rPr/>
      </w:pPr>
      <w:r>
        <w:rPr/>
        <w:t> </w:t>
      </w:r>
    </w:p>
    <w:tbl>
      <w:tblPr>
        <w:tblW w:w="4870" w:type="dxa"/>
        <w:jc w:val="left"/>
        <w:tblInd w:w="1260" w:type="dxa"/>
        <w:tblLayout w:type="fixed"/>
        <w:tblCellMar>
          <w:top w:w="0" w:type="dxa"/>
          <w:left w:w="0" w:type="dxa"/>
          <w:bottom w:w="0" w:type="dxa"/>
          <w:right w:w="0" w:type="dxa"/>
        </w:tblCellMar>
      </w:tblPr>
      <w:tblGrid>
        <w:gridCol w:w="3305"/>
        <w:gridCol w:w="60"/>
        <w:gridCol w:w="125"/>
        <w:gridCol w:w="485"/>
        <w:gridCol w:w="60"/>
        <w:gridCol w:w="60"/>
        <w:gridCol w:w="125"/>
        <w:gridCol w:w="590"/>
        <w:gridCol w:w="60"/>
      </w:tblGrid>
      <w:tr>
        <w:trPr/>
        <w:tc>
          <w:tcPr>
            <w:tcW w:w="330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Severance-pay funds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11,942</w:t>
            </w:r>
          </w:p>
        </w:tc>
        <w:tc>
          <w:tcPr>
            <w:tcW w:w="6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bank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12,500</w:t>
            </w:r>
          </w:p>
        </w:tc>
        <w:tc>
          <w:tcPr>
            <w:tcW w:w="6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Investments in privately held companies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15,155</w:t>
            </w:r>
          </w:p>
        </w:tc>
        <w:tc>
          <w:tcPr>
            <w:tcW w:w="6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39,597</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 </w:t>
      </w:r>
      <w:r>
        <w:rPr>
          <w:rFonts w:ascii="Times New Roman;Times;serif" w:hAnsi="Times New Roman;Times;serif"/>
          <w:b/>
          <w:sz w:val="20"/>
        </w:rPr>
        <w:t>PROPERTY AND EQUIPMENT, NET</w:t>
      </w:r>
    </w:p>
    <w:p>
      <w:pPr>
        <w:pStyle w:val="TextBody"/>
        <w:bidi w:val="0"/>
        <w:spacing w:lineRule="auto" w:line="300" w:before="0" w:after="0"/>
        <w:ind w:left="1134" w:right="0" w:firstLine="6"/>
        <w:jc w:val="both"/>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Property and equipment consist of the following as of December 31, 2022 and 2021:</w:t>
      </w:r>
    </w:p>
    <w:p>
      <w:pPr>
        <w:pStyle w:val="TextBody"/>
        <w:bidi w:val="0"/>
        <w:spacing w:lineRule="auto" w:line="300" w:before="0" w:after="0"/>
        <w:jc w:val="left"/>
        <w:rPr/>
      </w:pPr>
      <w:r>
        <w:rPr/>
        <w:t> </w:t>
      </w:r>
    </w:p>
    <w:tbl>
      <w:tblPr>
        <w:tblW w:w="6620" w:type="dxa"/>
        <w:jc w:val="left"/>
        <w:tblInd w:w="1260" w:type="dxa"/>
        <w:tblLayout w:type="fixed"/>
        <w:tblCellMar>
          <w:top w:w="0" w:type="dxa"/>
          <w:left w:w="0" w:type="dxa"/>
          <w:bottom w:w="0" w:type="dxa"/>
          <w:right w:w="0" w:type="dxa"/>
        </w:tblCellMar>
      </w:tblPr>
      <w:tblGrid>
        <w:gridCol w:w="4280"/>
        <w:gridCol w:w="60"/>
        <w:gridCol w:w="125"/>
        <w:gridCol w:w="905"/>
        <w:gridCol w:w="80"/>
        <w:gridCol w:w="60"/>
        <w:gridCol w:w="125"/>
        <w:gridCol w:w="905"/>
        <w:gridCol w:w="80"/>
      </w:tblGrid>
      <w:tr>
        <w:trPr/>
        <w:tc>
          <w:tcPr>
            <w:tcW w:w="42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80" w:type="dxa"/>
            <w:tcBorders/>
            <w:vAlign w:val="bottom"/>
          </w:tcPr>
          <w:p>
            <w:pPr>
              <w:pStyle w:val="TableContents"/>
              <w:bidi w:val="0"/>
              <w:spacing w:before="0" w:after="283"/>
              <w:jc w:val="left"/>
              <w:rPr/>
            </w:pPr>
            <w:r>
              <w:rPr/>
              <w:t> </w:t>
            </w:r>
          </w:p>
        </w:tc>
      </w:tr>
      <w:tr>
        <w:trPr/>
        <w:tc>
          <w:tcPr>
            <w:tcW w:w="42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Original cost: (*)</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2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Land and Buildings, including facility infrastructure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429,277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432,069</w:t>
            </w:r>
          </w:p>
        </w:tc>
        <w:tc>
          <w:tcPr>
            <w:tcW w:w="80" w:type="dxa"/>
            <w:tcBorders/>
            <w:vAlign w:val="bottom"/>
          </w:tcPr>
          <w:p>
            <w:pPr>
              <w:pStyle w:val="TableContents"/>
              <w:bidi w:val="0"/>
              <w:spacing w:before="0" w:after="283"/>
              <w:jc w:val="left"/>
              <w:rPr/>
            </w:pPr>
            <w:r>
              <w:rPr/>
              <w:t> </w:t>
            </w:r>
          </w:p>
        </w:tc>
      </w:tr>
      <w:tr>
        <w:trPr/>
        <w:tc>
          <w:tcPr>
            <w:tcW w:w="42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3,576,824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3,254,062</w:t>
            </w:r>
          </w:p>
        </w:tc>
        <w:tc>
          <w:tcPr>
            <w:tcW w:w="80" w:type="dxa"/>
            <w:tcBorders/>
            <w:shd w:fill="CCEEFF" w:val="clear"/>
            <w:vAlign w:val="bottom"/>
          </w:tcPr>
          <w:p>
            <w:pPr>
              <w:pStyle w:val="TableContents"/>
              <w:bidi w:val="0"/>
              <w:spacing w:before="0" w:after="283"/>
              <w:jc w:val="left"/>
              <w:rPr/>
            </w:pPr>
            <w:r>
              <w:rPr/>
              <w:t> </w:t>
            </w:r>
          </w:p>
        </w:tc>
      </w:tr>
      <w:tr>
        <w:trPr/>
        <w:tc>
          <w:tcPr>
            <w:tcW w:w="4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4,006,101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3,686,131</w:t>
            </w:r>
          </w:p>
        </w:tc>
        <w:tc>
          <w:tcPr>
            <w:tcW w:w="80" w:type="dxa"/>
            <w:tcBorders/>
            <w:vAlign w:val="bottom"/>
          </w:tcPr>
          <w:p>
            <w:pPr>
              <w:pStyle w:val="TableContents"/>
              <w:bidi w:val="0"/>
              <w:spacing w:before="0" w:after="283"/>
              <w:jc w:val="left"/>
              <w:rPr/>
            </w:pPr>
            <w:r>
              <w:rPr/>
              <w:t> </w:t>
            </w:r>
          </w:p>
        </w:tc>
      </w:tr>
      <w:tr>
        <w:trPr/>
        <w:tc>
          <w:tcPr>
            <w:tcW w:w="42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2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Buildings, including facility infrastructure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(279,408</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(267,942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(2,764,435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(2,541,506</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(3,043,843</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(2,809,448</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962,258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876,683</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 Original cost includes ROU assets under capital lease in the amount of $223,716 and $211,790 as of December 31, 2022 and 2021, respectively. The depreciation expense of such assets amounted to $14,215 and $14,037 for the years ended December 31, 2022 and 2021, respectively.</w:t>
      </w:r>
    </w:p>
    <w:p>
      <w:pPr>
        <w:pStyle w:val="TextBody"/>
        <w:bidi w:val="0"/>
        <w:spacing w:lineRule="auto" w:line="300" w:before="0" w:after="0"/>
        <w:ind w:left="1134" w:right="0" w:firstLine="6"/>
        <w:jc w:val="both"/>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As of December 31, 2022 and 2021, the original cost of land, buildings, machinery and equipment was reflected net of investment grants in the aggregate amount of approximately $285,000.</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7:</w:t>
      </w:r>
      <w:r>
        <w:rPr>
          <w:rFonts w:ascii="Times New Roman;Times;serif" w:hAnsi="Times New Roman;Times;serif"/>
          <w:sz w:val="20"/>
        </w:rPr>
        <w:t> </w:t>
      </w:r>
      <w:r>
        <w:rPr>
          <w:rFonts w:ascii="Times New Roman;Times;serif" w:hAnsi="Times New Roman;Times;serif"/>
          <w:b/>
          <w:sz w:val="20"/>
        </w:rPr>
        <w:t>INTANGIBLE ASSETS, NET</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Intangible assets consist of the following as of December 31, 2022:</w:t>
      </w:r>
    </w:p>
    <w:p>
      <w:pPr>
        <w:pStyle w:val="TextBody"/>
        <w:bidi w:val="0"/>
        <w:spacing w:lineRule="auto" w:line="300" w:before="0" w:after="0"/>
        <w:jc w:val="left"/>
        <w:rPr/>
      </w:pPr>
      <w:r>
        <w:rPr/>
        <w:t> </w:t>
      </w:r>
    </w:p>
    <w:tbl>
      <w:tblPr>
        <w:tblW w:w="7749" w:type="dxa"/>
        <w:jc w:val="left"/>
        <w:tblInd w:w="1260" w:type="dxa"/>
        <w:tblLayout w:type="fixed"/>
        <w:tblCellMar>
          <w:top w:w="0" w:type="dxa"/>
          <w:left w:w="0" w:type="dxa"/>
          <w:bottom w:w="0" w:type="dxa"/>
          <w:right w:w="0" w:type="dxa"/>
        </w:tblCellMar>
      </w:tblPr>
      <w:tblGrid>
        <w:gridCol w:w="2840"/>
        <w:gridCol w:w="60"/>
        <w:gridCol w:w="860"/>
        <w:gridCol w:w="60"/>
        <w:gridCol w:w="60"/>
        <w:gridCol w:w="125"/>
        <w:gridCol w:w="590"/>
        <w:gridCol w:w="60"/>
        <w:gridCol w:w="60"/>
        <w:gridCol w:w="358"/>
        <w:gridCol w:w="1866"/>
        <w:gridCol w:w="80"/>
        <w:gridCol w:w="60"/>
        <w:gridCol w:w="125"/>
        <w:gridCol w:w="485"/>
        <w:gridCol w:w="60"/>
      </w:tblGrid>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Accumulated Amortization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Net</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Technologies</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6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(5,180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Facilities’ lease</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(28,105</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5,395</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6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(2,476</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identifiable intangible assets</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66"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(35,761</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7,031</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260" w:right="0" w:hanging="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Intangible assets consist of the following as of December 31, 2021:</w:t>
      </w:r>
    </w:p>
    <w:p>
      <w:pPr>
        <w:pStyle w:val="TextBody"/>
        <w:bidi w:val="0"/>
        <w:spacing w:lineRule="auto" w:line="300" w:before="0" w:after="0"/>
        <w:jc w:val="left"/>
        <w:rPr/>
      </w:pPr>
      <w:r>
        <w:rPr/>
        <w:t> </w:t>
      </w:r>
    </w:p>
    <w:tbl>
      <w:tblPr>
        <w:tblW w:w="7854" w:type="dxa"/>
        <w:jc w:val="left"/>
        <w:tblInd w:w="1260" w:type="dxa"/>
        <w:tblLayout w:type="fixed"/>
        <w:tblCellMar>
          <w:top w:w="0" w:type="dxa"/>
          <w:left w:w="0" w:type="dxa"/>
          <w:bottom w:w="0" w:type="dxa"/>
          <w:right w:w="0" w:type="dxa"/>
        </w:tblCellMar>
      </w:tblPr>
      <w:tblGrid>
        <w:gridCol w:w="2840"/>
        <w:gridCol w:w="60"/>
        <w:gridCol w:w="860"/>
        <w:gridCol w:w="60"/>
        <w:gridCol w:w="60"/>
        <w:gridCol w:w="125"/>
        <w:gridCol w:w="590"/>
        <w:gridCol w:w="60"/>
        <w:gridCol w:w="60"/>
        <w:gridCol w:w="358"/>
        <w:gridCol w:w="1866"/>
        <w:gridCol w:w="80"/>
        <w:gridCol w:w="60"/>
        <w:gridCol w:w="125"/>
        <w:gridCol w:w="590"/>
        <w:gridCol w:w="60"/>
      </w:tblGrid>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center"/>
              <w:rPr/>
            </w:pPr>
            <w:r>
              <w:rPr/>
              <w:t> </w:t>
            </w:r>
          </w:p>
        </w:tc>
        <w:tc>
          <w:tcPr>
            <w:tcW w:w="860" w:type="dxa"/>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2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Accumulated Amortization</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lineRule="auto" w:line="300" w:before="0" w:after="0"/>
              <w:jc w:val="center"/>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Net</w:t>
            </w:r>
          </w:p>
        </w:tc>
        <w:tc>
          <w:tcPr>
            <w:tcW w:w="60" w:type="dxa"/>
            <w:tcBorders/>
          </w:tcPr>
          <w:p>
            <w:pPr>
              <w:pStyle w:val="TableContents"/>
              <w:bidi w:val="0"/>
              <w:spacing w:before="0" w:after="283"/>
              <w:jc w:val="left"/>
              <w:rPr>
                <w:sz w:val="4"/>
                <w:szCs w:val="4"/>
              </w:rPr>
            </w:pPr>
            <w:r>
              <w:rPr>
                <w:sz w:val="4"/>
                <w:szCs w:val="4"/>
              </w:rPr>
            </w:r>
          </w:p>
        </w:tc>
      </w:tr>
      <w:tr>
        <w:trPr/>
        <w:tc>
          <w:tcPr>
            <w:tcW w:w="28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Technologies</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6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4,840</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Facilities’ lease</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(26,817</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6,683</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6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(2,303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297</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identifiable intangible assets</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66"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(32,452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11,820</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sz w:val="20"/>
        </w:rPr>
      </w:pPr>
      <w:r>
        <w:rPr>
          <w:rFonts w:ascii="Times New Roman;Times;serif" w:hAnsi="Times New Roman;Times;serif"/>
          <w:b/>
          <w:sz w:val="20"/>
        </w:rPr>
        <w:t>NOTE 8:</w:t>
      </w:r>
      <w:r>
        <w:rPr>
          <w:rFonts w:ascii="Times New Roman;Times;serif" w:hAnsi="Times New Roman;Times;serif"/>
          <w:sz w:val="20"/>
        </w:rPr>
        <w:t> </w:t>
      </w:r>
      <w:r>
        <w:rPr>
          <w:rFonts w:ascii="Times New Roman;Times;serif" w:hAnsi="Times New Roman;Times;serif"/>
          <w:b/>
          <w:sz w:val="20"/>
        </w:rPr>
        <w:t>DEFERRED TAX AND OTHER LONG-TERM ASSETS, NET</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Deferred tax and other long-term assets, net consist of the following as of December 31, 2022 and 2021:</w:t>
      </w:r>
    </w:p>
    <w:p>
      <w:pPr>
        <w:pStyle w:val="TextBody"/>
        <w:bidi w:val="0"/>
        <w:spacing w:lineRule="auto" w:line="300" w:before="0" w:after="0"/>
        <w:jc w:val="left"/>
        <w:rPr/>
      </w:pPr>
      <w:r>
        <w:rPr/>
        <w:t> </w:t>
      </w:r>
    </w:p>
    <w:tbl>
      <w:tblPr>
        <w:tblW w:w="6610" w:type="dxa"/>
        <w:jc w:val="left"/>
        <w:tblInd w:w="1260" w:type="dxa"/>
        <w:tblLayout w:type="fixed"/>
        <w:tblCellMar>
          <w:top w:w="0" w:type="dxa"/>
          <w:left w:w="0" w:type="dxa"/>
          <w:bottom w:w="0" w:type="dxa"/>
          <w:right w:w="0" w:type="dxa"/>
        </w:tblCellMar>
      </w:tblPr>
      <w:tblGrid>
        <w:gridCol w:w="4940"/>
        <w:gridCol w:w="60"/>
        <w:gridCol w:w="125"/>
        <w:gridCol w:w="590"/>
        <w:gridCol w:w="60"/>
        <w:gridCol w:w="60"/>
        <w:gridCol w:w="125"/>
        <w:gridCol w:w="590"/>
        <w:gridCol w:w="60"/>
      </w:tblGrid>
      <w:tr>
        <w:trPr/>
        <w:tc>
          <w:tcPr>
            <w:tcW w:w="49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49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 (see Note 19)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53,526</w:t>
            </w:r>
          </w:p>
        </w:tc>
        <w:tc>
          <w:tcPr>
            <w:tcW w:w="60"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ROU - assets under operating leases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14,113</w:t>
            </w:r>
          </w:p>
        </w:tc>
        <w:tc>
          <w:tcPr>
            <w:tcW w:w="60" w:type="dxa"/>
            <w:tcBorders/>
            <w:vAlign w:val="bottom"/>
          </w:tcPr>
          <w:p>
            <w:pPr>
              <w:pStyle w:val="TableContents"/>
              <w:bidi w:val="0"/>
              <w:spacing w:before="0" w:after="283"/>
              <w:jc w:val="left"/>
              <w:rPr/>
            </w:pPr>
            <w:r>
              <w:rPr/>
              <w:t> </w:t>
            </w:r>
          </w:p>
        </w:tc>
      </w:tr>
      <w:tr>
        <w:trPr/>
        <w:tc>
          <w:tcPr>
            <w:tcW w:w="49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Fair value of cross-currency interest rate swap (see Note 12D)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4,372</w:t>
            </w:r>
          </w:p>
        </w:tc>
        <w:tc>
          <w:tcPr>
            <w:tcW w:w="60"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Prepaid long-term land lease,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2,934</w:t>
            </w:r>
          </w:p>
        </w:tc>
        <w:tc>
          <w:tcPr>
            <w:tcW w:w="60" w:type="dxa"/>
            <w:tcBorders/>
            <w:vAlign w:val="bottom"/>
          </w:tcPr>
          <w:p>
            <w:pPr>
              <w:pStyle w:val="TableContents"/>
              <w:bidi w:val="0"/>
              <w:spacing w:before="0" w:after="283"/>
              <w:jc w:val="left"/>
              <w:rPr/>
            </w:pPr>
            <w:r>
              <w:rPr/>
              <w:t> </w:t>
            </w:r>
          </w:p>
        </w:tc>
      </w:tr>
      <w:tr>
        <w:trPr/>
        <w:tc>
          <w:tcPr>
            <w:tcW w:w="49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prepaid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24,993</w:t>
            </w:r>
          </w:p>
        </w:tc>
        <w:tc>
          <w:tcPr>
            <w:tcW w:w="60"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99,938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9:</w:t>
      </w:r>
      <w:r>
        <w:rPr>
          <w:rFonts w:ascii="Times New Roman;Times;serif" w:hAnsi="Times New Roman;Times;serif"/>
          <w:sz w:val="20"/>
        </w:rPr>
        <w:t> </w:t>
      </w:r>
      <w:r>
        <w:rPr>
          <w:rFonts w:ascii="Times New Roman;Times;serif" w:hAnsi="Times New Roman;Times;serif"/>
          <w:b/>
          <w:sz w:val="20"/>
        </w:rPr>
        <w:t>OTHER CURRENT LIABILITIES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Other current liabilities consist of the following as of December 31, 2022 and 2021:</w:t>
      </w:r>
    </w:p>
    <w:p>
      <w:pPr>
        <w:pStyle w:val="TextBody"/>
        <w:bidi w:val="0"/>
        <w:spacing w:lineRule="auto" w:line="300" w:before="0" w:after="0"/>
        <w:jc w:val="left"/>
        <w:rPr/>
      </w:pPr>
      <w:r>
        <w:rPr/>
        <w:t> </w:t>
      </w:r>
    </w:p>
    <w:tbl>
      <w:tblPr>
        <w:tblW w:w="8945" w:type="dxa"/>
        <w:jc w:val="left"/>
        <w:tblInd w:w="1260" w:type="dxa"/>
        <w:tblLayout w:type="fixed"/>
        <w:tblCellMar>
          <w:top w:w="0" w:type="dxa"/>
          <w:left w:w="0" w:type="dxa"/>
          <w:bottom w:w="0" w:type="dxa"/>
          <w:right w:w="0" w:type="dxa"/>
        </w:tblCellMar>
      </w:tblPr>
      <w:tblGrid>
        <w:gridCol w:w="7275"/>
        <w:gridCol w:w="60"/>
        <w:gridCol w:w="125"/>
        <w:gridCol w:w="590"/>
        <w:gridCol w:w="60"/>
        <w:gridCol w:w="60"/>
        <w:gridCol w:w="125"/>
        <w:gridCol w:w="590"/>
        <w:gridCol w:w="60"/>
      </w:tblGrid>
      <w:tr>
        <w:trPr/>
        <w:tc>
          <w:tcPr>
            <w:tcW w:w="72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727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Proceeds on account of machinery and equipment to be sold as part of Arai restructuring (see also note 14B)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r>
      <w:tr>
        <w:trPr/>
        <w:tc>
          <w:tcPr>
            <w:tcW w:w="72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Tax payables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10,272</w:t>
            </w:r>
          </w:p>
        </w:tc>
        <w:tc>
          <w:tcPr>
            <w:tcW w:w="60" w:type="dxa"/>
            <w:tcBorders/>
            <w:vAlign w:val="bottom"/>
          </w:tcPr>
          <w:p>
            <w:pPr>
              <w:pStyle w:val="TableContents"/>
              <w:bidi w:val="0"/>
              <w:spacing w:before="0" w:after="283"/>
              <w:jc w:val="left"/>
              <w:rPr/>
            </w:pPr>
            <w:r>
              <w:rPr/>
              <w:t> </w:t>
            </w:r>
          </w:p>
        </w:tc>
      </w:tr>
      <w:tr>
        <w:trPr/>
        <w:tc>
          <w:tcPr>
            <w:tcW w:w="727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Hedging transactions payables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3,040</w:t>
            </w:r>
          </w:p>
        </w:tc>
        <w:tc>
          <w:tcPr>
            <w:tcW w:w="60" w:type="dxa"/>
            <w:tcBorders/>
            <w:shd w:fill="CCEEFF" w:val="clear"/>
            <w:vAlign w:val="bottom"/>
          </w:tcPr>
          <w:p>
            <w:pPr>
              <w:pStyle w:val="TableContents"/>
              <w:bidi w:val="0"/>
              <w:spacing w:before="0" w:after="283"/>
              <w:jc w:val="left"/>
              <w:rPr/>
            </w:pPr>
            <w:r>
              <w:rPr/>
              <w:t> </w:t>
            </w:r>
          </w:p>
        </w:tc>
      </w:tr>
      <w:tr>
        <w:trPr/>
        <w:tc>
          <w:tcPr>
            <w:tcW w:w="72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Interest payable on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588</w:t>
            </w:r>
          </w:p>
        </w:tc>
        <w:tc>
          <w:tcPr>
            <w:tcW w:w="60" w:type="dxa"/>
            <w:tcBorders/>
            <w:vAlign w:val="bottom"/>
          </w:tcPr>
          <w:p>
            <w:pPr>
              <w:pStyle w:val="TableContents"/>
              <w:bidi w:val="0"/>
              <w:spacing w:before="0" w:after="283"/>
              <w:jc w:val="left"/>
              <w:rPr/>
            </w:pPr>
            <w:r>
              <w:rPr/>
              <w:t> </w:t>
            </w:r>
          </w:p>
        </w:tc>
      </w:tr>
      <w:tr>
        <w:trPr/>
        <w:tc>
          <w:tcPr>
            <w:tcW w:w="727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2,109</w:t>
            </w:r>
          </w:p>
        </w:tc>
        <w:tc>
          <w:tcPr>
            <w:tcW w:w="60" w:type="dxa"/>
            <w:tcBorders/>
            <w:shd w:fill="CCEEFF" w:val="clear"/>
            <w:vAlign w:val="bottom"/>
          </w:tcPr>
          <w:p>
            <w:pPr>
              <w:pStyle w:val="TableContents"/>
              <w:bidi w:val="0"/>
              <w:spacing w:before="0" w:after="283"/>
              <w:jc w:val="left"/>
              <w:rPr/>
            </w:pPr>
            <w:r>
              <w:rPr/>
              <w:t> </w:t>
            </w:r>
          </w:p>
        </w:tc>
      </w:tr>
      <w:tr>
        <w:trPr/>
        <w:tc>
          <w:tcPr>
            <w:tcW w:w="7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16,009</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w:t>
      </w:r>
      <w:r>
        <w:rPr>
          <w:rFonts w:ascii="Times New Roman;Times;serif" w:hAnsi="Times New Roman;Times;serif"/>
          <w:b/>
          <w:sz w:val="20"/>
        </w:rPr>
        <w:t>LONG-TERM DEBT - SERIES G DEBENTURES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 June 2016, Tower raised approximately $115,000 through the issuance of long-term unsecured non-convertible debentures (“Series G Debentures”).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The Series G Debentures were payable in seven semi-annual consecutive equal installments from March 2020 to March 2023 and carried an annual interest rate of 2.79%. The principal and interest amounts were denominated in NIS and were not linked to any index or to any other currency. The Company entered into cash flow hedging transactions to mitigate the foreign exchange rate changes’ impact on the principal and interest using a cross-currency swap.</w:t>
      </w:r>
    </w:p>
    <w:p>
      <w:pPr>
        <w:pStyle w:val="TextBody"/>
        <w:bidi w:val="0"/>
        <w:spacing w:lineRule="auto" w:line="300" w:before="0" w:after="0"/>
        <w:jc w:val="left"/>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As of December 31, 2022 and December 31, 2021, the outstanding principal amount of Series G Debentures was NIS 67 million and NIS 201 million, respectively (approximately $19,000 and $64,000, respectively), with related hedging transactions net asset fair value of approximately $2,000 and $13,000, respectively. The changes in the fair value of the outstanding principal amount of the debentures and in the fair value of the hedging transactions were attributed to the corresponding changes in the exchange rates during the reported periods (see Note 12D). The Series G Debentures’ indenture included customary financial and other terms and conditions, including a negative pledge and financial covenants. As of December 31, 2022, the Company was in compliance with all of the financial covenants under the indenture. As of March 31, 2023, the Series G Debentures were fully redeemed.</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- 24</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10:</w:t>
      </w:r>
      <w:r>
        <w:rPr>
          <w:sz w:val="20"/>
        </w:rPr>
        <w:t> </w:t>
      </w:r>
      <w:r>
        <w:rPr>
          <w:rFonts w:ascii="Times New Roman;Times;serif" w:hAnsi="Times New Roman;Times;serif"/>
          <w:b/>
          <w:sz w:val="20"/>
        </w:rPr>
        <w:t>LONG-TERM DEBT - SERIES G DEBENTURES (Continued)</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Composition by repayment schedule as of December 31, 2022:</w:t>
      </w:r>
    </w:p>
    <w:p>
      <w:pPr>
        <w:pStyle w:val="TextBody"/>
        <w:bidi w:val="0"/>
        <w:spacing w:lineRule="auto" w:line="300" w:before="0" w:after="0"/>
        <w:jc w:val="left"/>
        <w:rPr/>
      </w:pPr>
      <w:r>
        <w:rPr/>
        <w:t> </w:t>
      </w:r>
    </w:p>
    <w:tbl>
      <w:tblPr>
        <w:tblW w:w="6610" w:type="dxa"/>
        <w:jc w:val="left"/>
        <w:tblInd w:w="1260" w:type="dxa"/>
        <w:tblLayout w:type="fixed"/>
        <w:tblCellMar>
          <w:top w:w="0" w:type="dxa"/>
          <w:left w:w="0" w:type="dxa"/>
          <w:bottom w:w="0" w:type="dxa"/>
          <w:right w:w="0" w:type="dxa"/>
        </w:tblCellMar>
      </w:tblPr>
      <w:tblGrid>
        <w:gridCol w:w="4055"/>
        <w:gridCol w:w="60"/>
        <w:gridCol w:w="84"/>
        <w:gridCol w:w="536"/>
        <w:gridCol w:w="185"/>
        <w:gridCol w:w="60"/>
        <w:gridCol w:w="125"/>
        <w:gridCol w:w="590"/>
        <w:gridCol w:w="60"/>
        <w:gridCol w:w="60"/>
        <w:gridCol w:w="125"/>
        <w:gridCol w:w="590"/>
        <w:gridCol w:w="80"/>
      </w:tblGrid>
      <w:tr>
        <w:trPr/>
        <w:tc>
          <w:tcPr>
            <w:tcW w:w="40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Interest</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Total</w:t>
            </w:r>
          </w:p>
        </w:tc>
        <w:tc>
          <w:tcPr>
            <w:tcW w:w="80"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Series G Debentures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18,997</w:t>
            </w:r>
          </w:p>
        </w:tc>
        <w:tc>
          <w:tcPr>
            <w:tcW w:w="8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Accretion of carrying amount to principal amount</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Carrying amount</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18,965</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uto" w:line="300"/>
        <w:ind w:left="126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w:t>
      </w:r>
      <w:r>
        <w:rPr>
          <w:rFonts w:ascii="Times New Roman;Times;serif" w:hAnsi="Times New Roman;Times;serif"/>
          <w:b/>
          <w:sz w:val="20"/>
        </w:rPr>
        <w:t>LONG-TERM DEBT - OTHERS</w:t>
      </w:r>
    </w:p>
    <w:p>
      <w:pPr>
        <w:pStyle w:val="TextBody"/>
        <w:bidi w:val="0"/>
        <w:spacing w:lineRule="auto" w:line="300"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75"/>
        <w:gridCol w:w="200"/>
        <w:gridCol w:w="11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1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Composition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and 2021:</w:t>
      </w:r>
    </w:p>
    <w:p>
      <w:pPr>
        <w:pStyle w:val="TextBody"/>
        <w:bidi w:val="0"/>
        <w:spacing w:lineRule="auto" w:line="300" w:before="0" w:after="0"/>
        <w:jc w:val="left"/>
        <w:rPr/>
      </w:pPr>
      <w:r>
        <w:rPr/>
        <w:t> </w:t>
      </w:r>
    </w:p>
    <w:tbl>
      <w:tblPr>
        <w:tblW w:w="7685" w:type="dxa"/>
        <w:jc w:val="left"/>
        <w:tblInd w:w="1620" w:type="dxa"/>
        <w:tblLayout w:type="fixed"/>
        <w:tblCellMar>
          <w:top w:w="0" w:type="dxa"/>
          <w:left w:w="0" w:type="dxa"/>
          <w:bottom w:w="0" w:type="dxa"/>
          <w:right w:w="0" w:type="dxa"/>
        </w:tblCellMar>
      </w:tblPr>
      <w:tblGrid>
        <w:gridCol w:w="5765"/>
        <w:gridCol w:w="60"/>
        <w:gridCol w:w="125"/>
        <w:gridCol w:w="695"/>
        <w:gridCol w:w="80"/>
        <w:gridCol w:w="60"/>
        <w:gridCol w:w="125"/>
        <w:gridCol w:w="695"/>
        <w:gridCol w:w="80"/>
      </w:tblGrid>
      <w:tr>
        <w:trPr/>
        <w:tc>
          <w:tcPr>
            <w:tcW w:w="57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80" w:type="dxa"/>
            <w:tcBorders/>
            <w:vAlign w:val="bottom"/>
          </w:tcPr>
          <w:p>
            <w:pPr>
              <w:pStyle w:val="TableContents"/>
              <w:bidi w:val="0"/>
              <w:spacing w:before="0" w:after="283"/>
              <w:jc w:val="left"/>
              <w:rPr/>
            </w:pPr>
            <w:r>
              <w:rPr/>
              <w:t> </w:t>
            </w:r>
          </w:p>
        </w:tc>
      </w:tr>
      <w:tr>
        <w:trPr/>
        <w:tc>
          <w:tcPr>
            <w:tcW w:w="576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JPY loan - principal amount - see Notes 11B and 11C below</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95,572</w:t>
            </w:r>
          </w:p>
        </w:tc>
        <w:tc>
          <w:tcPr>
            <w:tcW w:w="80" w:type="dxa"/>
            <w:tcBorders/>
            <w:shd w:fill="CCEEFF" w:val="clear"/>
            <w:vAlign w:val="bottom"/>
          </w:tcPr>
          <w:p>
            <w:pPr>
              <w:pStyle w:val="TableContents"/>
              <w:bidi w:val="0"/>
              <w:spacing w:before="0" w:after="283"/>
              <w:jc w:val="left"/>
              <w:rPr/>
            </w:pPr>
            <w:r>
              <w:rPr/>
              <w:t> </w:t>
            </w:r>
          </w:p>
        </w:tc>
      </w:tr>
      <w:tr>
        <w:trPr/>
        <w:tc>
          <w:tcPr>
            <w:tcW w:w="576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Capital leases and other long-term liabilities - see Note 11D below</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159,656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141,073</w:t>
            </w:r>
          </w:p>
        </w:tc>
        <w:tc>
          <w:tcPr>
            <w:tcW w:w="80" w:type="dxa"/>
            <w:tcBorders/>
            <w:vAlign w:val="bottom"/>
          </w:tcPr>
          <w:p>
            <w:pPr>
              <w:pStyle w:val="TableContents"/>
              <w:bidi w:val="0"/>
              <w:spacing w:before="0" w:after="283"/>
              <w:jc w:val="left"/>
              <w:rPr/>
            </w:pPr>
            <w:r>
              <w:rPr/>
              <w:t> </w:t>
            </w:r>
          </w:p>
        </w:tc>
      </w:tr>
      <w:tr>
        <w:trPr/>
        <w:tc>
          <w:tcPr>
            <w:tcW w:w="576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leases - see Note 11E below</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14,113</w:t>
            </w:r>
          </w:p>
        </w:tc>
        <w:tc>
          <w:tcPr>
            <w:tcW w:w="80" w:type="dxa"/>
            <w:tcBorders/>
            <w:shd w:fill="CCEEFF" w:val="clear"/>
            <w:vAlign w:val="bottom"/>
          </w:tcPr>
          <w:p>
            <w:pPr>
              <w:pStyle w:val="TableContents"/>
              <w:bidi w:val="0"/>
              <w:spacing w:before="0" w:after="283"/>
              <w:jc w:val="left"/>
              <w:rPr/>
            </w:pPr>
            <w:r>
              <w:rPr/>
              <w:t> </w:t>
            </w:r>
          </w:p>
        </w:tc>
      </w:tr>
      <w:tr>
        <w:trPr/>
        <w:tc>
          <w:tcPr>
            <w:tcW w:w="576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 - current maturities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(43,310</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(41,324</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210,069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209,434</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4135" w:type="dxa"/>
        <w:jc w:val="left"/>
        <w:tblInd w:w="0" w:type="dxa"/>
        <w:tblLayout w:type="fixed"/>
        <w:tblCellMar>
          <w:top w:w="0" w:type="dxa"/>
          <w:left w:w="0" w:type="dxa"/>
          <w:bottom w:w="0" w:type="dxa"/>
          <w:right w:w="0" w:type="dxa"/>
        </w:tblCellMar>
      </w:tblPr>
      <w:tblGrid>
        <w:gridCol w:w="75"/>
        <w:gridCol w:w="200"/>
        <w:gridCol w:w="38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86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Repayment Schedule of Long-term JPY Loan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w:t>
      </w:r>
    </w:p>
    <w:p>
      <w:pPr>
        <w:pStyle w:val="TextBody"/>
        <w:bidi w:val="0"/>
        <w:spacing w:lineRule="auto" w:line="300" w:before="0" w:after="0"/>
        <w:jc w:val="left"/>
        <w:rPr/>
      </w:pPr>
      <w:r>
        <w:rPr/>
        <w:t> </w:t>
      </w:r>
    </w:p>
    <w:tbl>
      <w:tblPr>
        <w:tblW w:w="7240" w:type="dxa"/>
        <w:jc w:val="left"/>
        <w:tblInd w:w="1620" w:type="dxa"/>
        <w:tblLayout w:type="fixed"/>
        <w:tblCellMar>
          <w:top w:w="0" w:type="dxa"/>
          <w:left w:w="0" w:type="dxa"/>
          <w:bottom w:w="0" w:type="dxa"/>
          <w:right w:w="0" w:type="dxa"/>
        </w:tblCellMar>
      </w:tblPr>
      <w:tblGrid>
        <w:gridCol w:w="1640"/>
        <w:gridCol w:w="60"/>
        <w:gridCol w:w="84"/>
        <w:gridCol w:w="536"/>
        <w:gridCol w:w="185"/>
        <w:gridCol w:w="60"/>
        <w:gridCol w:w="268"/>
        <w:gridCol w:w="172"/>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tblGrid>
      <w:tr>
        <w:trPr/>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Interest</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Rate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JPY loan</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68"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83,368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2125" w:type="dxa"/>
        <w:jc w:val="left"/>
        <w:tblInd w:w="0" w:type="dxa"/>
        <w:tblLayout w:type="fixed"/>
        <w:tblCellMar>
          <w:top w:w="0" w:type="dxa"/>
          <w:left w:w="0" w:type="dxa"/>
          <w:bottom w:w="0" w:type="dxa"/>
          <w:right w:w="0" w:type="dxa"/>
        </w:tblCellMar>
      </w:tblPr>
      <w:tblGrid>
        <w:gridCol w:w="75"/>
        <w:gridCol w:w="200"/>
        <w:gridCol w:w="18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8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Long-term JPY Loan</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December 2021, TPSCo refinanced its then existing loan with an 11 billion JPY (approximately $96,000) new asset-based loan with a consortium of financial institutions consisted of (i) JA Mitsui Leasing, Ltd., (ii) Mitsubishi HC Capital Inc., (iii) Taishin International Bank Co., Ltd. Tokyo Branch; and (iv) BOT lease Co. Ltd.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JP Loan also contains certain financial ratios and covenants, as well as customary definitions of events of default and acceleration of the repayment schedule. TPSCo’s obligations pursuant to the JP Loan are not guaranteed by Tower, NTCJ, or any of their affiliates (see also Note 14B).</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of December 31, 2022, TPSCo was in compliance with all of the financial ratios and covenants under the JP Loan.</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11:</w:t>
      </w:r>
      <w:r>
        <w:rPr>
          <w:sz w:val="20"/>
        </w:rPr>
        <w:t> </w:t>
      </w:r>
      <w:r>
        <w:rPr>
          <w:rFonts w:ascii="Times New Roman;Times;serif" w:hAnsi="Times New Roman;Times;serif"/>
          <w:b/>
          <w:sz w:val="20"/>
        </w:rPr>
        <w:t>LONG-TERM DEBT - OTHERS (Continued)</w:t>
      </w:r>
      <w:r>
        <w:rPr>
          <w:sz w:val="20"/>
        </w:rPr>
        <w:t xml:space="preserve"> </w:t>
      </w:r>
    </w:p>
    <w:p>
      <w:pPr>
        <w:pStyle w:val="TextBody"/>
        <w:bidi w:val="0"/>
        <w:spacing w:lineRule="auto" w:line="300"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200"/>
        <w:gridCol w:w="50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50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Capital Lease Agreements and Other Long-term Liabilities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 (see also Note 14B).</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TPSCo leases its fabrication facility buildings in Japan from NTCJ under a long-term capital lease until at least March 2032.</w:t>
      </w:r>
    </w:p>
    <w:p>
      <w:pPr>
        <w:pStyle w:val="TextBody"/>
        <w:bidi w:val="0"/>
        <w:spacing w:lineRule="auto" w:line="300" w:before="0" w:after="0"/>
        <w:jc w:val="left"/>
        <w:rPr/>
      </w:pPr>
      <w:r>
        <w:rPr/>
        <w:t> </w:t>
      </w:r>
    </w:p>
    <w:p>
      <w:pPr>
        <w:pStyle w:val="TextBody"/>
        <w:bidi w:val="0"/>
        <w:spacing w:lineRule="auto" w:line="300" w:before="0" w:after="0"/>
        <w:ind w:left="1530" w:right="0" w:firstLine="6"/>
        <w:jc w:val="both"/>
        <w:rPr>
          <w:rFonts w:ascii="Times New Roman;Times;serif" w:hAnsi="Times New Roman;Times;serif"/>
          <w:sz w:val="20"/>
        </w:rPr>
      </w:pPr>
      <w:r>
        <w:rPr>
          <w:rFonts w:ascii="Times New Roman;Times;serif" w:hAnsi="Times New Roman;Times;serif"/>
          <w:sz w:val="20"/>
        </w:rPr>
        <w:t>As of December 31, 2022 and 2021, the Company’s total outstanding capital lease liabilities for fixed assets were $158,114 and $139,037, respectively, of which $39,610 and $36,282 respectively, were included under current maturities of long-term debt.</w:t>
      </w:r>
    </w:p>
    <w:p>
      <w:pPr>
        <w:pStyle w:val="TextBody"/>
        <w:bidi w:val="0"/>
        <w:spacing w:lineRule="auto" w:line="300" w:before="0" w:after="0"/>
        <w:jc w:val="left"/>
        <w:rPr/>
      </w:pPr>
      <w:r>
        <w:rPr/>
        <w:t> </w:t>
      </w:r>
    </w:p>
    <w:p>
      <w:pPr>
        <w:pStyle w:val="TextBody"/>
        <w:bidi w:val="0"/>
        <w:spacing w:lineRule="auto" w:line="300" w:before="0" w:after="0"/>
        <w:ind w:left="1530" w:right="0" w:firstLine="6"/>
        <w:jc w:val="both"/>
        <w:rPr>
          <w:rFonts w:ascii="Times New Roman;Times;serif" w:hAnsi="Times New Roman;Times;serif"/>
          <w:sz w:val="20"/>
        </w:rPr>
      </w:pPr>
      <w:r>
        <w:rPr>
          <w:rFonts w:ascii="Times New Roman;Times;serif" w:hAnsi="Times New Roman;Times;serif"/>
          <w:sz w:val="20"/>
        </w:rPr>
        <w:t>The following presents the maturity of capital lease and other long-term liabilities as of December 31, 2022:</w:t>
      </w:r>
    </w:p>
    <w:p>
      <w:pPr>
        <w:pStyle w:val="TextBody"/>
        <w:bidi w:val="0"/>
        <w:spacing w:lineRule="auto" w:line="300" w:before="0" w:after="0"/>
        <w:jc w:val="left"/>
        <w:rPr/>
      </w:pPr>
      <w:r>
        <w:rPr/>
        <w:t> </w:t>
      </w:r>
    </w:p>
    <w:tbl>
      <w:tblPr>
        <w:tblW w:w="2939" w:type="dxa"/>
        <w:jc w:val="left"/>
        <w:tblInd w:w="1620" w:type="dxa"/>
        <w:tblLayout w:type="fixed"/>
        <w:tblCellMar>
          <w:top w:w="0" w:type="dxa"/>
          <w:left w:w="0" w:type="dxa"/>
          <w:bottom w:w="28" w:type="dxa"/>
          <w:right w:w="0" w:type="dxa"/>
        </w:tblCellMar>
      </w:tblPr>
      <w:tblGrid>
        <w:gridCol w:w="1850"/>
        <w:gridCol w:w="60"/>
        <w:gridCol w:w="144"/>
        <w:gridCol w:w="805"/>
        <w:gridCol w:w="80"/>
      </w:tblGrid>
      <w:tr>
        <w:trPr/>
        <w:tc>
          <w:tcPr>
            <w:tcW w:w="1850" w:type="dxa"/>
            <w:tcBorders>
              <w:bottom w:val="single" w:sz="12" w:space="0" w:color="000000"/>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Fiscal Year</w:t>
            </w:r>
          </w:p>
        </w:tc>
        <w:tc>
          <w:tcPr>
            <w:tcW w:w="60" w:type="dxa"/>
            <w:tcBorders/>
            <w:tcMar>
              <w:bottom w:w="0" w:type="dxa"/>
            </w:tcMar>
            <w:vAlign w:val="bottom"/>
          </w:tcPr>
          <w:p>
            <w:pPr>
              <w:pStyle w:val="TableContents"/>
              <w:bidi w:val="0"/>
              <w:spacing w:before="0" w:after="283"/>
              <w:jc w:val="left"/>
              <w:rPr/>
            </w:pPr>
            <w:r>
              <w:rPr/>
              <w:t> </w:t>
            </w:r>
          </w:p>
        </w:tc>
        <w:tc>
          <w:tcPr>
            <w:tcW w:w="949"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Amount ($)</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4"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42,604</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144" w:type="dxa"/>
            <w:tcBorders/>
            <w:tcMar>
              <w:bottom w:w="0" w:type="dxa"/>
            </w:tcMar>
            <w:vAlign w:val="bottom"/>
          </w:tcPr>
          <w:p>
            <w:pPr>
              <w:pStyle w:val="TableContents"/>
              <w:bidi w:val="0"/>
              <w:spacing w:before="0" w:after="283"/>
              <w:jc w:val="left"/>
              <w:rPr/>
            </w:pPr>
            <w:r>
              <w:rPr/>
              <w:t> </w:t>
            </w:r>
          </w:p>
        </w:tc>
        <w:tc>
          <w:tcPr>
            <w:tcW w:w="805"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43,956</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4" w:type="dxa"/>
            <w:tcBorders/>
            <w:shd w:fill="CCEEFF" w:val="clear"/>
            <w:tcMar>
              <w:bottom w:w="0" w:type="dxa"/>
            </w:tcMar>
            <w:vAlign w:val="bottom"/>
          </w:tcPr>
          <w:p>
            <w:pPr>
              <w:pStyle w:val="TableContents"/>
              <w:bidi w:val="0"/>
              <w:spacing w:before="0" w:after="283"/>
              <w:jc w:val="left"/>
              <w:rPr/>
            </w:pPr>
            <w:r>
              <w:rPr/>
              <w:t> </w:t>
            </w:r>
          </w:p>
        </w:tc>
        <w:tc>
          <w:tcPr>
            <w:tcW w:w="80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28,603</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tcMar>
              <w:bottom w:w="0" w:type="dxa"/>
            </w:tcMar>
            <w:vAlign w:val="bottom"/>
          </w:tcPr>
          <w:p>
            <w:pPr>
              <w:pStyle w:val="TableContents"/>
              <w:bidi w:val="0"/>
              <w:spacing w:before="0" w:after="283"/>
              <w:jc w:val="left"/>
              <w:rPr/>
            </w:pPr>
            <w:r>
              <w:rPr/>
              <w:t> </w:t>
            </w:r>
          </w:p>
        </w:tc>
        <w:tc>
          <w:tcPr>
            <w:tcW w:w="144" w:type="dxa"/>
            <w:tcBorders/>
            <w:tcMar>
              <w:bottom w:w="0" w:type="dxa"/>
            </w:tcMar>
            <w:vAlign w:val="bottom"/>
          </w:tcPr>
          <w:p>
            <w:pPr>
              <w:pStyle w:val="TableContents"/>
              <w:bidi w:val="0"/>
              <w:spacing w:before="0" w:after="283"/>
              <w:jc w:val="left"/>
              <w:rPr/>
            </w:pPr>
            <w:r>
              <w:rPr/>
              <w:t> </w:t>
            </w:r>
          </w:p>
        </w:tc>
        <w:tc>
          <w:tcPr>
            <w:tcW w:w="805"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26,701</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4" w:type="dxa"/>
            <w:tcBorders/>
            <w:shd w:fill="CCEEFF" w:val="clear"/>
            <w:tcMar>
              <w:bottom w:w="0" w:type="dxa"/>
            </w:tcMar>
            <w:vAlign w:val="bottom"/>
          </w:tcPr>
          <w:p>
            <w:pPr>
              <w:pStyle w:val="TableContents"/>
              <w:bidi w:val="0"/>
              <w:spacing w:before="0" w:after="283"/>
              <w:jc w:val="left"/>
              <w:rPr/>
            </w:pPr>
            <w:r>
              <w:rPr/>
              <w:t> </w:t>
            </w:r>
          </w:p>
        </w:tc>
        <w:tc>
          <w:tcPr>
            <w:tcW w:w="80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4,888</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 and on</w:t>
            </w:r>
          </w:p>
        </w:tc>
        <w:tc>
          <w:tcPr>
            <w:tcW w:w="60" w:type="dxa"/>
            <w:tcBorders/>
            <w:tcMar>
              <w:bottom w:w="0" w:type="dxa"/>
            </w:tcMar>
            <w:vAlign w:val="bottom"/>
          </w:tcPr>
          <w:p>
            <w:pPr>
              <w:pStyle w:val="TableContents"/>
              <w:bidi w:val="0"/>
              <w:spacing w:before="0" w:after="283"/>
              <w:jc w:val="left"/>
              <w:rPr/>
            </w:pPr>
            <w:r>
              <w:rPr/>
              <w:t> </w:t>
            </w:r>
          </w:p>
        </w:tc>
        <w:tc>
          <w:tcPr>
            <w:tcW w:w="144" w:type="dxa"/>
            <w:tcBorders>
              <w:bottom w:val="single" w:sz="12" w:space="0" w:color="000000"/>
            </w:tcBorders>
            <w:vAlign w:val="bottom"/>
          </w:tcPr>
          <w:p>
            <w:pPr>
              <w:pStyle w:val="TableContents"/>
              <w:bidi w:val="0"/>
              <w:spacing w:before="0" w:after="283"/>
              <w:jc w:val="left"/>
              <w:rPr/>
            </w:pPr>
            <w:r>
              <w:rPr/>
              <w:t> </w:t>
            </w:r>
          </w:p>
        </w:tc>
        <w:tc>
          <w:tcPr>
            <w:tcW w:w="805" w:type="dxa"/>
            <w:tcBorders>
              <w:bottom w:val="single" w:sz="12" w:space="0" w:color="000000"/>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20,778</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4" w:type="dxa"/>
            <w:tcBorders/>
            <w:shd w:fill="CCEEFF" w:val="clear"/>
            <w:tcMar>
              <w:bottom w:w="0" w:type="dxa"/>
            </w:tcMar>
            <w:vAlign w:val="bottom"/>
          </w:tcPr>
          <w:p>
            <w:pPr>
              <w:pStyle w:val="TableContents"/>
              <w:bidi w:val="0"/>
              <w:spacing w:before="0" w:after="283"/>
              <w:jc w:val="left"/>
              <w:rPr/>
            </w:pPr>
            <w:r>
              <w:rPr/>
              <w:t> </w:t>
            </w:r>
          </w:p>
        </w:tc>
        <w:tc>
          <w:tcPr>
            <w:tcW w:w="80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167,530</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Less - imputed interest</w:t>
            </w:r>
          </w:p>
        </w:tc>
        <w:tc>
          <w:tcPr>
            <w:tcW w:w="60" w:type="dxa"/>
            <w:tcBorders/>
            <w:tcMar>
              <w:bottom w:w="0" w:type="dxa"/>
            </w:tcMar>
            <w:vAlign w:val="bottom"/>
          </w:tcPr>
          <w:p>
            <w:pPr>
              <w:pStyle w:val="TableContents"/>
              <w:bidi w:val="0"/>
              <w:spacing w:before="0" w:after="283"/>
              <w:jc w:val="left"/>
              <w:rPr/>
            </w:pPr>
            <w:r>
              <w:rPr/>
              <w:t> </w:t>
            </w:r>
          </w:p>
        </w:tc>
        <w:tc>
          <w:tcPr>
            <w:tcW w:w="144" w:type="dxa"/>
            <w:tcBorders>
              <w:bottom w:val="single" w:sz="12" w:space="0" w:color="000000"/>
            </w:tcBorders>
            <w:vAlign w:val="bottom"/>
          </w:tcPr>
          <w:p>
            <w:pPr>
              <w:pStyle w:val="TableContents"/>
              <w:bidi w:val="0"/>
              <w:spacing w:before="0" w:after="283"/>
              <w:jc w:val="left"/>
              <w:rPr/>
            </w:pPr>
            <w:r>
              <w:rPr/>
              <w:t> </w:t>
            </w:r>
          </w:p>
        </w:tc>
        <w:tc>
          <w:tcPr>
            <w:tcW w:w="805" w:type="dxa"/>
            <w:tcBorders>
              <w:bottom w:val="single" w:sz="12" w:space="0" w:color="000000"/>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80"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4" w:type="dxa"/>
            <w:tcBorders>
              <w:bottom w:val="double" w:sz="8" w:space="0" w:color="000000"/>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159,656</w:t>
            </w:r>
          </w:p>
        </w:tc>
        <w:tc>
          <w:tcPr>
            <w:tcW w:w="8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2770" w:type="dxa"/>
        <w:jc w:val="left"/>
        <w:tblInd w:w="0" w:type="dxa"/>
        <w:tblLayout w:type="fixed"/>
        <w:tblCellMar>
          <w:top w:w="0" w:type="dxa"/>
          <w:left w:w="0" w:type="dxa"/>
          <w:bottom w:w="0" w:type="dxa"/>
          <w:right w:w="0" w:type="dxa"/>
        </w:tblCellMar>
      </w:tblPr>
      <w:tblGrid>
        <w:gridCol w:w="75"/>
        <w:gridCol w:w="200"/>
        <w:gridCol w:w="24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4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Operating Lease Agreements</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Company enters into operating leases from time to time for office space, operating facilities and vehicles. Operating lease cost for the years ended December 31, 2022, 2021 and 2020 was $5,867, $7,535 and $7,627, respectively. During 2022, cash paid for operating lease liabilities was $5,680.</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- 26</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11:</w:t>
      </w:r>
      <w:r>
        <w:rPr>
          <w:sz w:val="20"/>
        </w:rPr>
        <w:t> </w:t>
      </w:r>
      <w:r>
        <w:rPr>
          <w:rFonts w:ascii="Times New Roman;Times;serif" w:hAnsi="Times New Roman;Times;serif"/>
          <w:b/>
          <w:sz w:val="20"/>
        </w:rPr>
        <w:t>LONG-TERM DEBT - OTHERS (Continued)</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presents the composition of operating leases in the balance sheets: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2740"/>
        <w:gridCol w:w="60"/>
        <w:gridCol w:w="3010"/>
        <w:gridCol w:w="60"/>
        <w:gridCol w:w="198"/>
        <w:gridCol w:w="943"/>
        <w:gridCol w:w="185"/>
        <w:gridCol w:w="60"/>
        <w:gridCol w:w="198"/>
        <w:gridCol w:w="943"/>
        <w:gridCol w:w="188"/>
      </w:tblGrid>
      <w:tr>
        <w:trPr/>
        <w:tc>
          <w:tcPr>
            <w:tcW w:w="27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301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Classification in the Consolidated Balance Sheets</w:t>
            </w:r>
          </w:p>
        </w:tc>
        <w:tc>
          <w:tcPr>
            <w:tcW w:w="60"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December 31,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December 31,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8"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ROU - assets under operating leases</w:t>
            </w:r>
          </w:p>
        </w:tc>
        <w:tc>
          <w:tcPr>
            <w:tcW w:w="60"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and other long-term assets, net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14,113</w:t>
            </w:r>
          </w:p>
        </w:tc>
        <w:tc>
          <w:tcPr>
            <w:tcW w:w="188"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Lease liabilities:</w:t>
            </w:r>
          </w:p>
        </w:tc>
        <w:tc>
          <w:tcPr>
            <w:tcW w:w="60"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Current operating lease liabilities</w:t>
            </w:r>
          </w:p>
        </w:tc>
        <w:tc>
          <w:tcPr>
            <w:tcW w:w="60"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maturities of long-term debt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4,512</w:t>
            </w:r>
          </w:p>
        </w:tc>
        <w:tc>
          <w:tcPr>
            <w:tcW w:w="188"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operating lease liabilities</w:t>
            </w:r>
          </w:p>
        </w:tc>
        <w:tc>
          <w:tcPr>
            <w:tcW w:w="60"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debt</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9,601</w:t>
            </w:r>
          </w:p>
        </w:tc>
        <w:tc>
          <w:tcPr>
            <w:tcW w:w="188"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14,113</w:t>
            </w:r>
          </w:p>
        </w:tc>
        <w:tc>
          <w:tcPr>
            <w:tcW w:w="188" w:type="dxa"/>
            <w:tcBorders/>
            <w:shd w:fill="CCEEFF" w:val="clear"/>
            <w:vAlign w:val="bottom"/>
          </w:tcPr>
          <w:p>
            <w:pPr>
              <w:pStyle w:val="TableContents"/>
              <w:bidi w:val="0"/>
              <w:spacing w:before="0" w:after="283"/>
              <w:jc w:val="left"/>
              <w:rPr/>
            </w:pPr>
            <w:r>
              <w:rPr/>
              <w:t> </w:t>
            </w:r>
          </w:p>
        </w:tc>
      </w:tr>
      <w:tr>
        <w:trPr/>
        <w:tc>
          <w:tcPr>
            <w:tcW w:w="274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Weighted average remaining lease term (years)</w:t>
            </w:r>
          </w:p>
        </w:tc>
        <w:tc>
          <w:tcPr>
            <w:tcW w:w="60"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bottom w:val="double" w:sz="8" w:space="0" w:color="000000"/>
            </w:tcBorders>
            <w:tcMar>
              <w:bottom w:w="28" w:type="dxa"/>
            </w:tcMar>
            <w:vAlign w:val="bottom"/>
          </w:tcPr>
          <w:p>
            <w:pPr>
              <w:pStyle w:val="TableContents"/>
              <w:bidi w:val="0"/>
              <w:spacing w:before="0" w:after="283"/>
              <w:jc w:val="left"/>
              <w:rPr/>
            </w:pPr>
            <w:r>
              <w:rPr/>
              <w:t> </w:t>
            </w:r>
          </w:p>
        </w:tc>
        <w:tc>
          <w:tcPr>
            <w:tcW w:w="94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bottom w:val="double" w:sz="8" w:space="0" w:color="000000"/>
            </w:tcBorders>
            <w:tcMar>
              <w:bottom w:w="28" w:type="dxa"/>
            </w:tcMar>
            <w:vAlign w:val="bottom"/>
          </w:tcPr>
          <w:p>
            <w:pPr>
              <w:pStyle w:val="TableContents"/>
              <w:bidi w:val="0"/>
              <w:spacing w:before="0" w:after="283"/>
              <w:jc w:val="left"/>
              <w:rPr/>
            </w:pPr>
            <w:r>
              <w:rPr/>
              <w:t> </w:t>
            </w:r>
          </w:p>
        </w:tc>
        <w:tc>
          <w:tcPr>
            <w:tcW w:w="94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w:t>
            </w:r>
          </w:p>
        </w:tc>
        <w:tc>
          <w:tcPr>
            <w:tcW w:w="188" w:type="dxa"/>
            <w:tcBorders/>
            <w:vAlign w:val="bottom"/>
          </w:tcPr>
          <w:p>
            <w:pPr>
              <w:pStyle w:val="TableContents"/>
              <w:bidi w:val="0"/>
              <w:spacing w:before="0" w:after="283"/>
              <w:jc w:val="left"/>
              <w:rPr/>
            </w:pPr>
            <w:r>
              <w:rPr/>
              <w:t> </w:t>
            </w:r>
          </w:p>
        </w:tc>
      </w:tr>
      <w:tr>
        <w:trPr/>
        <w:tc>
          <w:tcPr>
            <w:tcW w:w="274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w:t>
            </w:r>
          </w:p>
        </w:tc>
        <w:tc>
          <w:tcPr>
            <w:tcW w:w="18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presents the maturity presentation of operating lease liabilities as of December 31, 2022:</w:t>
      </w:r>
    </w:p>
    <w:p>
      <w:pPr>
        <w:pStyle w:val="TextBody"/>
        <w:bidi w:val="0"/>
        <w:spacing w:lineRule="auto" w:line="300" w:before="0" w:after="0"/>
        <w:jc w:val="left"/>
        <w:rPr/>
      </w:pPr>
      <w:r>
        <w:rPr/>
        <w:t> </w:t>
      </w:r>
    </w:p>
    <w:tbl>
      <w:tblPr>
        <w:tblW w:w="2939" w:type="dxa"/>
        <w:jc w:val="left"/>
        <w:tblInd w:w="1620" w:type="dxa"/>
        <w:tblLayout w:type="fixed"/>
        <w:tblCellMar>
          <w:top w:w="0" w:type="dxa"/>
          <w:left w:w="0" w:type="dxa"/>
          <w:bottom w:w="28" w:type="dxa"/>
          <w:right w:w="0" w:type="dxa"/>
        </w:tblCellMar>
      </w:tblPr>
      <w:tblGrid>
        <w:gridCol w:w="1850"/>
        <w:gridCol w:w="60"/>
        <w:gridCol w:w="166"/>
        <w:gridCol w:w="783"/>
        <w:gridCol w:w="80"/>
      </w:tblGrid>
      <w:tr>
        <w:trPr/>
        <w:tc>
          <w:tcPr>
            <w:tcW w:w="1850" w:type="dxa"/>
            <w:tcBorders>
              <w:bottom w:val="single" w:sz="12" w:space="0" w:color="000000"/>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tcMar>
              <w:bottom w:w="0" w:type="dxa"/>
            </w:tcMar>
            <w:vAlign w:val="bottom"/>
          </w:tcPr>
          <w:p>
            <w:pPr>
              <w:pStyle w:val="TableContents"/>
              <w:bidi w:val="0"/>
              <w:spacing w:before="0" w:after="283"/>
              <w:jc w:val="left"/>
              <w:rPr/>
            </w:pPr>
            <w:r>
              <w:rPr/>
              <w:t> </w:t>
            </w:r>
          </w:p>
        </w:tc>
        <w:tc>
          <w:tcPr>
            <w:tcW w:w="949"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Amount ($)</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3,134</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783"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2,406</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783"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2,235</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783"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2,222</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bottom w:val="single" w:sz="12" w:space="0" w:color="000000"/>
            </w:tcBorders>
            <w:shd w:fill="CCEEFF" w:val="clear"/>
            <w:vAlign w:val="bottom"/>
          </w:tcPr>
          <w:p>
            <w:pPr>
              <w:pStyle w:val="TableContents"/>
              <w:bidi w:val="0"/>
              <w:spacing w:before="0" w:after="283"/>
              <w:jc w:val="left"/>
              <w:rPr/>
            </w:pPr>
            <w:r>
              <w:rPr/>
              <w:t> </w:t>
            </w:r>
          </w:p>
        </w:tc>
        <w:tc>
          <w:tcPr>
            <w:tcW w:w="783" w:type="dxa"/>
            <w:tcBorders>
              <w:bottom w:val="single" w:sz="12" w:space="0" w:color="000000"/>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671</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783"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10,668</w:t>
            </w:r>
          </w:p>
        </w:tc>
        <w:tc>
          <w:tcPr>
            <w:tcW w:w="80" w:type="dxa"/>
            <w:tcBorders/>
            <w:tcMar>
              <w:bottom w:w="0" w:type="dxa"/>
            </w:tcMar>
            <w:vAlign w:val="bottom"/>
          </w:tcPr>
          <w:p>
            <w:pPr>
              <w:pStyle w:val="TableContents"/>
              <w:bidi w:val="0"/>
              <w:spacing w:before="0" w:after="283"/>
              <w:jc w:val="left"/>
              <w:rPr/>
            </w:pPr>
            <w:r>
              <w:rPr/>
              <w:t> </w:t>
            </w:r>
          </w:p>
        </w:tc>
      </w:tr>
      <w:tr>
        <w:trPr/>
        <w:tc>
          <w:tcPr>
            <w:tcW w:w="185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Less - imputed interest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bottom w:val="single" w:sz="12" w:space="0" w:color="000000"/>
            </w:tcBorders>
            <w:shd w:fill="CCEEFF" w:val="clear"/>
            <w:vAlign w:val="bottom"/>
          </w:tcPr>
          <w:p>
            <w:pPr>
              <w:pStyle w:val="TableContents"/>
              <w:bidi w:val="0"/>
              <w:spacing w:before="0" w:after="283"/>
              <w:jc w:val="left"/>
              <w:rPr/>
            </w:pPr>
            <w:r>
              <w:rPr/>
              <w:t> </w:t>
            </w:r>
          </w:p>
        </w:tc>
        <w:tc>
          <w:tcPr>
            <w:tcW w:w="783" w:type="dxa"/>
            <w:tcBorders>
              <w:bottom w:val="single" w:sz="12" w:space="0" w:color="000000"/>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80"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tcMar>
              <w:bottom w:w="0" w:type="dxa"/>
            </w:tcMar>
            <w:vAlign w:val="bottom"/>
          </w:tcPr>
          <w:p>
            <w:pPr>
              <w:pStyle w:val="TableContents"/>
              <w:bidi w:val="0"/>
              <w:spacing w:before="0" w:after="283"/>
              <w:jc w:val="left"/>
              <w:rPr/>
            </w:pPr>
            <w:r>
              <w:rPr/>
              <w:t> </w:t>
            </w:r>
          </w:p>
        </w:tc>
        <w:tc>
          <w:tcPr>
            <w:tcW w:w="166" w:type="dxa"/>
            <w:tcBorders>
              <w:bottom w:val="double" w:sz="8" w:space="0" w:color="000000"/>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8" w:space="0" w:color="000000"/>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10,355</w:t>
            </w:r>
          </w:p>
        </w:tc>
        <w:tc>
          <w:tcPr>
            <w:tcW w:w="8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11:</w:t>
      </w:r>
      <w:r>
        <w:rPr>
          <w:sz w:val="20"/>
        </w:rPr>
        <w:t> </w:t>
      </w:r>
      <w:r>
        <w:rPr>
          <w:rFonts w:ascii="Times New Roman;Times;serif" w:hAnsi="Times New Roman;Times;serif"/>
          <w:b/>
          <w:sz w:val="20"/>
        </w:rPr>
        <w:t>LONG-TERM DEBT - OTHERS (Continued)</w:t>
      </w:r>
      <w:r>
        <w:rPr>
          <w:sz w:val="20"/>
        </w:rPr>
        <w:t xml:space="preserve"> </w:t>
      </w:r>
    </w:p>
    <w:p>
      <w:pPr>
        <w:pStyle w:val="TextBody"/>
        <w:bidi w:val="0"/>
        <w:spacing w:lineRule="auto" w:line="300"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85"/>
        <w:gridCol w:w="21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1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Wells Fargo Credit Line</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 entered into an agreement with Wells Fargo Capital Finance, part of Wells Fargo &amp; Company (“Wells Fargo”), for a secured asset-based revolving credit line in the total amount of up to $70,000 maturing in September 2023 (the “TSNB Credit Line Agreement”). The applicable interest on loans under the TSNB Credit Line Agreement is at a rate equal to, at lender’s option, either the lender’s prime rate plus a margin ranging from 0.0% to 0.5% or the SOFR rate plus a margin ranging from 1.25% to 1.75% per annum.</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outstanding borrowing availability varies from time to time based on the levels of TSNB’s eligible accounts receivable, eligible equipment, eligible inventories and other terms and conditions described in the TSNB Credit Line Agreement. The obligations of TSNB under the TSNB Credit Line Agreement are secured by a continuing security interest in, and a lien upon, TSNB’s assets as set forth in the TSNB Credit Line Agreement. The TSNB Credit Line Agreement contains customary covenants and other terms, including customary events of default. TSNB’s obligations pursuant to the TSNB Credit Line Agreement are not guaranteed by Tower or any of its affiliates.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TSNB was in compliance with all of the covenants under the TSNB Credit Line Agreement.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the borrowing availability under the TSNB Credit Line Agreement was approximately $61,000, of which approximately $500 was utilized through letters of credit.</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of December 31, 2022, and 2021, no loan amounts were outstanding under the TSNB Credit Line Agreement.</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b/>
          <w:sz w:val="20"/>
        </w:rPr>
        <w:t>FINANCIAL INSTRUMENTS AND FAIR VALUE MEASUREMENTS</w:t>
      </w:r>
    </w:p>
    <w:p>
      <w:pPr>
        <w:pStyle w:val="TextBody"/>
        <w:pBdr/>
        <w:bidi w:val="0"/>
        <w:spacing w:before="220" w:after="0"/>
        <w:ind w:left="400" w:right="0" w:hanging="0"/>
        <w:jc w:val="both"/>
        <w:rPr>
          <w:rFonts w:ascii="Times New Roman;Times;serif" w:hAnsi="Times New Roman;Times;serif"/>
          <w:sz w:val="20"/>
        </w:rPr>
      </w:pPr>
      <w:r>
        <w:rPr>
          <w:rFonts w:ascii="Times New Roman;Times;serif" w:hAnsi="Times New Roman;Times;serif"/>
          <w:sz w:val="20"/>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pStyle w:val="TextBody"/>
        <w:pBdr/>
        <w:bidi w:val="0"/>
        <w:spacing w:before="220" w:after="0"/>
        <w:ind w:left="400" w:right="0" w:hanging="0"/>
        <w:jc w:val="both"/>
        <w:rPr>
          <w:rFonts w:ascii="Times New Roman;Times;serif" w:hAnsi="Times New Roman;Times;serif"/>
          <w:sz w:val="20"/>
        </w:rPr>
      </w:pPr>
      <w:r>
        <w:rPr>
          <w:rFonts w:ascii="Times New Roman;Times;serif" w:hAnsi="Times New Roman;Times;serif"/>
          <w:sz w:val="20"/>
        </w:rPr>
        <w:t>The Company formally designates qualifying derivatives as hedge relationships (“hedges”) and applies hedge accounting when considered appropriate. The Company does not use derivative financial instruments for trading or speculative purposes.</w:t>
      </w:r>
    </w:p>
    <w:p>
      <w:pPr>
        <w:pStyle w:val="TextBody"/>
        <w:bidi w:val="0"/>
        <w:spacing w:lineRule="auto" w:line="300"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200"/>
        <w:gridCol w:w="24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4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Exchange Rate Transactions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the functional currency of Tower is the USD and part of Tower’s expenses are denominated in NIS, Tower enters into exchange rate agreements from time to time to partially hedge the volatility of future cash flows caused by changes in foreign exchange rates on NIS-denominated expenses. In 2022, the exchange rate transaction-related derivatives were accounted for as hedge accounting resulting in gain or loss initially reported as a component of OCI and subsequently upon maturity reclassified into the statement of operations at the same time that the hedged item’s exposure results were recorded in the statement of operations.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Gains (losses) reclassified from other comprehensive income into net income (loss) recognized in COGS in the Company’s consolidated statements of operations for the year ended December 31, 2022 were $36,857.</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2021 the Company did not apply hedge accounting to its exchange rate transaction-related derivatives and changes in the fair values of such derivatives were charged as incurred to the statements of operations.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of December 31, 2022, the fair value amounts of such exchange rate agreements were $3,805 in a liability position, presented in other current liabilities with a face value of $157,000. As of December 31, 2021, the fair value amounts of such exchange rate agreements were $2,134 in an asset position, presented in other current assets with a face value of $67,500.</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- 28</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jc w:val="both"/>
        <w:rPr>
          <w:sz w:val="20"/>
        </w:rPr>
      </w:pPr>
      <w:r>
        <w:rPr>
          <w:rFonts w:ascii="Times New Roman;Times;serif" w:hAnsi="Times New Roman;Times;serif"/>
          <w:b/>
          <w:sz w:val="20"/>
        </w:rPr>
        <w:t>NOTE 12:    </w:t>
      </w:r>
      <w:r>
        <w:rPr>
          <w:rFonts w:ascii="Times New Roman;Times;serif" w:hAnsi="Times New Roman;Times;serif"/>
          <w:sz w:val="20"/>
        </w:rPr>
        <w:t> </w:t>
      </w:r>
      <w:r>
        <w:rPr>
          <w:rFonts w:ascii="Times New Roman;Times;serif" w:hAnsi="Times New Roman;Times;serif"/>
          <w:b/>
          <w:sz w:val="20"/>
        </w:rPr>
        <w:t>FINANCIAL INSTRUMENTS AND FAIR VALUE MEASUREMENTS (Continued)</w:t>
      </w:r>
      <w:r>
        <w:rPr>
          <w:sz w:val="20"/>
        </w:rPr>
        <w:t xml:space="preserve"> </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sz w:val="20"/>
        </w:rPr>
      </w:pPr>
      <w:r>
        <w:rPr>
          <w:rFonts w:ascii="Times New Roman;Times;serif" w:hAnsi="Times New Roman;Times;serif"/>
          <w:sz w:val="20"/>
        </w:rPr>
        <w:t>As the functional currency of the Company is the USD and part of TPSCo revenues and expenses are denominated in JPY, the Company enters into exchange rate agreements from time to time to hedge the volatility of future cash flows caused by changes in foreign exchange rates on JPY-denominated amounts. As of December 31, 2022, and 2021, the fair value amounts of such exchange rate agreements were $3,142 in a liability position and $3,040 in a liability position, respectively, presented in other current liabilities and other current liabilities, respectively, with a face value of $217,000 and $164,000, respectively.</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2022 the related derivatives were accounted for as cash flow hedges resulting in gain or loss initially reported as a component of OCI and subsequently reclassified into the statement of operations at the same time that the hedged item’s exposure results were recorded in the statement of operations.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2021 the Company did not apply hedge accounting to its derivatives protecting the volatility of future cash flows caused by changes in foreign exchange rates on JPY-denominated amounts. Exchange rate transaction-related derivatives and changes in the fair values of such derivatives were charged as incurred to the statements of operations.</w:t>
      </w:r>
    </w:p>
    <w:p>
      <w:pPr>
        <w:pStyle w:val="TextBody"/>
        <w:bidi w:val="0"/>
        <w:spacing w:lineRule="auto" w:line="300"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200"/>
        <w:gridCol w:w="2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5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Concentration of Credit Risks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w:t>
      </w:r>
    </w:p>
    <w:p>
      <w:pPr>
        <w:pStyle w:val="TextBody"/>
        <w:bidi w:val="0"/>
        <w:spacing w:lineRule="auto" w:line="300"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200"/>
        <w:gridCol w:w="30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0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estimated fair values of the Company’s financial instruments, excluding debentures, do not materially differ from their respective carrying amounts as of December 31, 2022 and 2021. The fair value of debentures, based on quoted market prices as of December 31, 2022 and 2021, was approximately $19,000 and $66,000, respectively, compared to carrying amounts of approximately $19,000 and $64,000, for the above dates, respectively.</w:t>
      </w:r>
    </w:p>
    <w:p>
      <w:pPr>
        <w:pStyle w:val="TextBody"/>
        <w:bidi w:val="0"/>
        <w:spacing w:lineRule="auto" w:line="300"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200"/>
        <w:gridCol w:w="36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6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Designated Cash Flow Hedge Transactions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entered into designated cash flow hedging transactions using a cross-currency swap to mitigate the foreign exchange rate changes’ impact on principal and interest arising from the Series G Debentures’ denomination in NIS.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of December 31, 2022, the fair value of the swap was $1,685 in an asset net position and was presented in other current assets. As of December 31, 2021, the fair value of the swap was $12,560 in an asset net position, of which $8,188 was presented in other current assets and $4,372 was presented in long-term assets.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- 29</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12:</w:t>
      </w:r>
      <w:r>
        <w:rPr>
          <w:rFonts w:ascii="Times New Roman;Times;serif" w:hAnsi="Times New Roman;Times;serif"/>
          <w:sz w:val="20"/>
        </w:rPr>
        <w:t>     </w:t>
      </w:r>
      <w:r>
        <w:rPr>
          <w:rFonts w:ascii="Times New Roman;Times;serif" w:hAnsi="Times New Roman;Times;serif"/>
          <w:b/>
          <w:sz w:val="20"/>
        </w:rPr>
        <w:t>FINANCIAL INSTRUMENTS AND FAIR VALUE MEASUREMENTS (Continued)</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and December 31, 2021, the effective portions of $16 loss and $27 income, respectively were recorded in OCI, of which a loss of $16 will be recorded in earnings during the first three months of 2023. For the years ended December 31, 2022 and December 31, 2021, the hedging effect of the swap on the Company’s results of operations was loss of $5,966 and income of $542, respectively, and was recognized as financing income (loss), to offset the effect of the rate difference related to the Series G Debentures.</w:t>
      </w:r>
    </w:p>
    <w:p>
      <w:pPr>
        <w:pStyle w:val="TextBody"/>
        <w:bidi w:val="0"/>
        <w:spacing w:lineRule="auto" w:line="300"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200"/>
        <w:gridCol w:w="22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2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1 Measurements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2 Measurements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For cross-currency swap and derivatives measured under Level 2, the Company uses the market approach using quotations from banks and other public information.</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sz w:val="20"/>
        </w:rPr>
      </w:pPr>
      <w:r>
        <w:rPr>
          <w:rFonts w:ascii="Times New Roman;Times;serif" w:hAnsi="Times New Roman;Times;serif"/>
          <w:b/>
          <w:sz w:val="20"/>
        </w:rPr>
        <w:t>NOTE 12:</w:t>
      </w:r>
      <w:r>
        <w:rPr>
          <w:rFonts w:ascii="Times New Roman;Times;serif" w:hAnsi="Times New Roman;Times;serif"/>
          <w:sz w:val="20"/>
        </w:rPr>
        <w:t>     </w:t>
      </w:r>
      <w:r>
        <w:rPr>
          <w:rFonts w:ascii="Times New Roman;Times;serif" w:hAnsi="Times New Roman;Times;serif"/>
          <w:b/>
          <w:sz w:val="20"/>
        </w:rPr>
        <w:t>FINANCIAL INSTRUMENTS AND FAIR VALUE MEASUREMENTS (Continued)</w:t>
      </w:r>
      <w:r>
        <w:rPr>
          <w:sz w:val="20"/>
        </w:rPr>
        <w:t xml:space="preserve"> </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3 Measurements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Investments in equity securities of privately-held companies without readily determinable fair values are measured using the Measurement Alternatives (see Note 2I). The Company reviews these investments for impairment and observable price changes on a quarterly basis and adjusts the carrying value accordingly. For the year ended December 31, 2022, the Company recorded a decrease of $6,978 in the value of such investments, and for the year ended December 31, 2021, the Company recorded a decrease of $2,963 in the value of such investments, presented in other income (expense), net in the statements of operations.</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Recurring fair value measurements using the indicated inputs: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2293"/>
        <w:gridCol w:w="60"/>
        <w:gridCol w:w="157"/>
        <w:gridCol w:w="881"/>
        <w:gridCol w:w="80"/>
        <w:gridCol w:w="60"/>
        <w:gridCol w:w="267"/>
        <w:gridCol w:w="1486"/>
        <w:gridCol w:w="60"/>
        <w:gridCol w:w="60"/>
        <w:gridCol w:w="270"/>
        <w:gridCol w:w="1183"/>
        <w:gridCol w:w="80"/>
        <w:gridCol w:w="60"/>
        <w:gridCol w:w="311"/>
        <w:gridCol w:w="1213"/>
        <w:gridCol w:w="64"/>
      </w:tblGrid>
      <w:tr>
        <w:trPr/>
        <w:tc>
          <w:tcPr>
            <w:tcW w:w="22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 2022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Quoted prices in active market for identical liability</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Significant other observable inputs</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Significant unobservable inputs</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4"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Cross-currency swap - net asset position</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bottom"/>
          </w:tcPr>
          <w:p>
            <w:pPr>
              <w:pStyle w:val="TableContents"/>
              <w:bidi w:val="0"/>
              <w:spacing w:before="0" w:after="283"/>
              <w:jc w:val="left"/>
              <w:rPr/>
            </w:pPr>
            <w:r>
              <w:rPr/>
              <w:t> </w:t>
            </w:r>
          </w:p>
        </w:tc>
      </w:tr>
      <w:tr>
        <w:trPr/>
        <w:tc>
          <w:tcPr>
            <w:tcW w:w="229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Privately held companies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6,720</w:t>
            </w:r>
          </w:p>
        </w:tc>
        <w:tc>
          <w:tcPr>
            <w:tcW w:w="64"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 held for sale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169,694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bottom"/>
          </w:tcPr>
          <w:p>
            <w:pPr>
              <w:pStyle w:val="TableContents"/>
              <w:bidi w:val="0"/>
              <w:spacing w:before="0" w:after="283"/>
              <w:jc w:val="left"/>
              <w:rPr/>
            </w:pPr>
            <w:r>
              <w:rPr/>
              <w:t> </w:t>
            </w:r>
          </w:p>
        </w:tc>
      </w:tr>
      <w:tr>
        <w:trPr/>
        <w:tc>
          <w:tcPr>
            <w:tcW w:w="229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exchange forward and cylinders - net liability position</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(6,947</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(6,947</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4"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171,152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8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(5,262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11"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8585" w:type="dxa"/>
        <w:jc w:val="left"/>
        <w:tblInd w:w="1620" w:type="dxa"/>
        <w:tblLayout w:type="fixed"/>
        <w:tblCellMar>
          <w:top w:w="0" w:type="dxa"/>
          <w:left w:w="0" w:type="dxa"/>
          <w:bottom w:w="0" w:type="dxa"/>
          <w:right w:w="0" w:type="dxa"/>
        </w:tblCellMar>
      </w:tblPr>
      <w:tblGrid>
        <w:gridCol w:w="2293"/>
        <w:gridCol w:w="60"/>
        <w:gridCol w:w="157"/>
        <w:gridCol w:w="881"/>
        <w:gridCol w:w="80"/>
        <w:gridCol w:w="60"/>
        <w:gridCol w:w="267"/>
        <w:gridCol w:w="1486"/>
        <w:gridCol w:w="60"/>
        <w:gridCol w:w="60"/>
        <w:gridCol w:w="252"/>
        <w:gridCol w:w="1200"/>
        <w:gridCol w:w="80"/>
        <w:gridCol w:w="60"/>
        <w:gridCol w:w="265"/>
        <w:gridCol w:w="1259"/>
        <w:gridCol w:w="65"/>
      </w:tblGrid>
      <w:tr>
        <w:trPr/>
        <w:tc>
          <w:tcPr>
            <w:tcW w:w="22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 2021</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Quoted prices in active market for identical liability</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Significant other observable inputs</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Significant unobservable inputs</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5"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Cross-currency swap - net asset position</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bottom"/>
          </w:tcPr>
          <w:p>
            <w:pPr>
              <w:pStyle w:val="TableContents"/>
              <w:bidi w:val="0"/>
              <w:spacing w:before="0" w:after="283"/>
              <w:jc w:val="left"/>
              <w:rPr/>
            </w:pPr>
            <w:r>
              <w:rPr/>
              <w:t> </w:t>
            </w:r>
          </w:p>
        </w:tc>
      </w:tr>
      <w:tr>
        <w:trPr/>
        <w:tc>
          <w:tcPr>
            <w:tcW w:w="229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Privately held companies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15,155</w:t>
            </w:r>
          </w:p>
        </w:tc>
        <w:tc>
          <w:tcPr>
            <w:tcW w:w="65"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 held for sale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190,068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bottom"/>
          </w:tcPr>
          <w:p>
            <w:pPr>
              <w:pStyle w:val="TableContents"/>
              <w:bidi w:val="0"/>
              <w:spacing w:before="0" w:after="283"/>
              <w:jc w:val="left"/>
              <w:rPr/>
            </w:pPr>
            <w:r>
              <w:rPr/>
              <w:t> </w:t>
            </w:r>
          </w:p>
        </w:tc>
      </w:tr>
      <w:tr>
        <w:trPr/>
        <w:tc>
          <w:tcPr>
            <w:tcW w:w="229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exchange forward and cylinders - net liability position</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(906</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(906</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5" w:type="dxa"/>
            <w:tcBorders/>
            <w:vAlign w:val="bottom"/>
          </w:tcPr>
          <w:p>
            <w:pPr>
              <w:pStyle w:val="TableContents"/>
              <w:bidi w:val="0"/>
              <w:spacing w:before="0" w:after="283"/>
              <w:jc w:val="left"/>
              <w:rPr/>
            </w:pPr>
            <w:r>
              <w:rPr/>
              <w:t> </w:t>
            </w:r>
          </w:p>
        </w:tc>
      </w:tr>
      <w:tr>
        <w:trPr/>
        <w:tc>
          <w:tcPr>
            <w:tcW w:w="2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216,877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8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uto" w:line="300"/>
        <w:ind w:left="1620" w:right="0" w:hanging="0"/>
        <w:jc w:val="left"/>
        <w:rPr/>
      </w:pPr>
      <w:r>
        <w:rPr/>
        <w:t> </w:t>
      </w:r>
    </w:p>
    <w:p>
      <w:pPr>
        <w:pStyle w:val="TextBody"/>
        <w:bidi w:val="0"/>
        <w:spacing w:before="0" w:after="0"/>
        <w:ind w:left="0" w:right="0" w:firstLine="120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b/>
          <w:sz w:val="20"/>
        </w:rPr>
        <w:t>Short-Term and Long-Term Deposits and Marketable Securities</w:t>
      </w:r>
    </w:p>
    <w:p>
      <w:pPr>
        <w:pStyle w:val="TextBody"/>
        <w:pBdr/>
        <w:bidi w:val="0"/>
        <w:spacing w:before="220" w:after="0"/>
        <w:jc w:val="both"/>
        <w:rPr>
          <w:rFonts w:ascii="Times New Roman;Times;serif" w:hAnsi="Times New Roman;Times;serif"/>
          <w:sz w:val="20"/>
        </w:rPr>
      </w:pPr>
      <w:r>
        <w:rPr>
          <w:rFonts w:ascii="Times New Roman;Times;serif" w:hAnsi="Times New Roman;Times;serif"/>
          <w:sz w:val="20"/>
        </w:rPr>
        <w:t>Deposits and marketable securities as of December 31, 2022 included short-term deposits in the amount of $495,359 and marketable securities with applicable accrued interest in the amount of $169,694; as of December 31, 2021, deposits and marketable securities included short-term deposits in the amount of $363,648, marketable securities with applicable accrued interest in the amount of $190,068 and a long-term bank deposit in the amount of $12,500. </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b/>
          <w:sz w:val="20"/>
        </w:rPr>
        <w:t>FINANCIAL INSTRUMENTS AND FAIR VALUE MEASUREMENTS (Continued)</w:t>
      </w:r>
    </w:p>
    <w:p>
      <w:pPr>
        <w:pStyle w:val="TextBody"/>
        <w:bidi w:val="0"/>
        <w:spacing w:before="0" w:after="0"/>
        <w:ind w:left="0" w:right="0" w:hanging="0"/>
        <w:jc w:val="left"/>
        <w:rPr/>
      </w:pPr>
      <w:r>
        <w:rPr/>
        <w:t> </w:t>
      </w:r>
    </w:p>
    <w:p>
      <w:pPr>
        <w:pStyle w:val="TextBody"/>
        <w:pBdr/>
        <w:bidi w:val="0"/>
        <w:spacing w:before="0" w:after="0"/>
        <w:jc w:val="both"/>
        <w:rPr>
          <w:rFonts w:ascii="Times New Roman;Times;serif" w:hAnsi="Times New Roman;Times;serif"/>
          <w:sz w:val="20"/>
        </w:rPr>
      </w:pPr>
      <w:r>
        <w:rPr>
          <w:rFonts w:ascii="Times New Roman;Times;serif" w:hAnsi="Times New Roman;Times;serif"/>
          <w:sz w:val="20"/>
        </w:rPr>
        <w:t>The following table summarizes amortized costs, gross unrealized gains and losses and estimated fair values of available-for-sale marketable securities as of December 31, 2022:</w:t>
      </w:r>
    </w:p>
    <w:p>
      <w:pPr>
        <w:pStyle w:val="TextBody"/>
        <w:bidi w:val="0"/>
        <w:spacing w:before="0" w:after="0"/>
        <w:ind w:left="0" w:right="0" w:hanging="0"/>
        <w:jc w:val="left"/>
        <w:rPr/>
      </w:pPr>
      <w:r>
        <w:rPr/>
        <w:t> </w:t>
      </w:r>
    </w:p>
    <w:tbl>
      <w:tblPr>
        <w:tblW w:w="5000" w:type="pct"/>
        <w:jc w:val="left"/>
        <w:tblInd w:w="1600" w:type="dxa"/>
        <w:tblLayout w:type="fixed"/>
        <w:tblCellMar>
          <w:top w:w="0" w:type="dxa"/>
          <w:left w:w="0" w:type="dxa"/>
          <w:bottom w:w="0" w:type="dxa"/>
          <w:right w:w="0" w:type="dxa"/>
        </w:tblCellMar>
      </w:tblPr>
      <w:tblGrid>
        <w:gridCol w:w="1973"/>
        <w:gridCol w:w="111"/>
        <w:gridCol w:w="197"/>
        <w:gridCol w:w="923"/>
        <w:gridCol w:w="111"/>
        <w:gridCol w:w="112"/>
        <w:gridCol w:w="691"/>
        <w:gridCol w:w="1634"/>
        <w:gridCol w:w="111"/>
        <w:gridCol w:w="111"/>
        <w:gridCol w:w="328"/>
        <w:gridCol w:w="1442"/>
        <w:gridCol w:w="136"/>
        <w:gridCol w:w="111"/>
        <w:gridCol w:w="364"/>
        <w:gridCol w:w="1701"/>
        <w:gridCol w:w="149"/>
      </w:tblGrid>
      <w:tr>
        <w:trPr/>
        <w:tc>
          <w:tcPr>
            <w:tcW w:w="1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11"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Amortized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Cost (*)</w:t>
            </w:r>
          </w:p>
        </w:tc>
        <w:tc>
          <w:tcPr>
            <w:tcW w:w="111"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325" w:type="dxa"/>
            <w:gridSpan w:val="2"/>
            <w:tcBorders>
              <w:bottom w:val="single" w:sz="12" w:space="0" w:color="000000"/>
            </w:tcBorders>
            <w:tcMar>
              <w:bottom w:w="28" w:type="dxa"/>
            </w:tcMar>
            <w:vAlign w:val="center"/>
          </w:tcPr>
          <w:p>
            <w:pPr>
              <w:pStyle w:val="TableContents"/>
              <w:bidi w:val="0"/>
              <w:spacing w:before="0" w:after="0"/>
              <w:jc w:val="center"/>
              <w:rPr/>
            </w:pPr>
            <w:r>
              <w:rPr/>
              <w:t>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Gross unrealized gains</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7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6"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Estimated fair value</w:t>
            </w:r>
          </w:p>
        </w:tc>
        <w:tc>
          <w:tcPr>
            <w:tcW w:w="149" w:type="dxa"/>
            <w:tcBorders/>
            <w:vAlign w:val="center"/>
          </w:tcPr>
          <w:p>
            <w:pPr>
              <w:pStyle w:val="TableContents"/>
              <w:bidi w:val="0"/>
              <w:spacing w:before="0" w:after="283"/>
              <w:jc w:val="left"/>
              <w:rPr/>
            </w:pPr>
            <w:r>
              <w:rPr/>
              <w:t> </w:t>
            </w:r>
          </w:p>
        </w:tc>
      </w:tr>
      <w:tr>
        <w:trPr/>
        <w:tc>
          <w:tcPr>
            <w:tcW w:w="197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1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158,089</w:t>
            </w:r>
          </w:p>
        </w:tc>
        <w:tc>
          <w:tcPr>
            <w:tcW w:w="111"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63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4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(11,656</w:t>
            </w:r>
          </w:p>
        </w:tc>
        <w:tc>
          <w:tcPr>
            <w:tcW w:w="13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0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146,968</w:t>
            </w:r>
          </w:p>
        </w:tc>
        <w:tc>
          <w:tcPr>
            <w:tcW w:w="149" w:type="dxa"/>
            <w:tcBorders/>
            <w:shd w:fill="CCEEFF" w:val="clear"/>
            <w:vAlign w:val="center"/>
          </w:tcPr>
          <w:p>
            <w:pPr>
              <w:pStyle w:val="TableContents"/>
              <w:bidi w:val="0"/>
              <w:spacing w:before="0" w:after="283"/>
              <w:jc w:val="left"/>
              <w:rPr/>
            </w:pPr>
            <w:r>
              <w:rPr/>
              <w:t> </w:t>
            </w:r>
          </w:p>
        </w:tc>
      </w:tr>
      <w:tr>
        <w:trPr/>
        <w:tc>
          <w:tcPr>
            <w:tcW w:w="197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1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22,686</w:t>
            </w:r>
          </w:p>
        </w:tc>
        <w:tc>
          <w:tcPr>
            <w:tcW w:w="11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(1,130</w:t>
            </w:r>
          </w:p>
        </w:tc>
        <w:tc>
          <w:tcPr>
            <w:tcW w:w="13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70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21,556</w:t>
            </w:r>
          </w:p>
        </w:tc>
        <w:tc>
          <w:tcPr>
            <w:tcW w:w="149" w:type="dxa"/>
            <w:tcBorders/>
            <w:shd w:fill="FFFFFF" w:val="clear"/>
            <w:vAlign w:val="center"/>
          </w:tcPr>
          <w:p>
            <w:pPr>
              <w:pStyle w:val="TableContents"/>
              <w:bidi w:val="0"/>
              <w:spacing w:before="0" w:after="283"/>
              <w:jc w:val="left"/>
              <w:rPr/>
            </w:pPr>
            <w:r>
              <w:rPr/>
              <w:t> </w:t>
            </w:r>
          </w:p>
        </w:tc>
      </w:tr>
      <w:tr>
        <w:trPr/>
        <w:tc>
          <w:tcPr>
            <w:tcW w:w="19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Municipal bonds</w:t>
            </w:r>
          </w:p>
        </w:tc>
        <w:tc>
          <w:tcPr>
            <w:tcW w:w="11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472</w:t>
            </w:r>
          </w:p>
        </w:tc>
        <w:tc>
          <w:tcPr>
            <w:tcW w:w="1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right"/>
              <w:rPr/>
            </w:pPr>
            <w:r>
              <w:rPr/>
              <w:t> </w:t>
            </w:r>
          </w:p>
        </w:tc>
        <w:tc>
          <w:tcPr>
            <w:tcW w:w="691" w:type="dxa"/>
            <w:tcBorders/>
            <w:shd w:fill="CCEEFF" w:val="clear"/>
            <w:vAlign w:val="center"/>
          </w:tcPr>
          <w:p>
            <w:pPr>
              <w:pStyle w:val="TableContents"/>
              <w:bidi w:val="0"/>
              <w:spacing w:before="0" w:after="283"/>
              <w:jc w:val="right"/>
              <w:rPr/>
            </w:pPr>
            <w:r>
              <w:rPr/>
              <w:t> </w:t>
            </w:r>
          </w:p>
        </w:tc>
        <w:tc>
          <w:tcPr>
            <w:tcW w:w="16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right"/>
              <w:rPr/>
            </w:pPr>
            <w:r>
              <w:rPr/>
              <w:t> </w:t>
            </w:r>
          </w:p>
        </w:tc>
        <w:tc>
          <w:tcPr>
            <w:tcW w:w="14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right"/>
              <w:rPr/>
            </w:pPr>
            <w:r>
              <w:rPr/>
              <w:t> </w:t>
            </w:r>
          </w:p>
        </w:tc>
        <w:tc>
          <w:tcPr>
            <w:tcW w:w="364" w:type="dxa"/>
            <w:tcBorders/>
            <w:shd w:fill="CCEEFF" w:val="clear"/>
            <w:vAlign w:val="center"/>
          </w:tcPr>
          <w:p>
            <w:pPr>
              <w:pStyle w:val="TableContents"/>
              <w:bidi w:val="0"/>
              <w:spacing w:before="0" w:after="283"/>
              <w:jc w:val="right"/>
              <w:rPr/>
            </w:pPr>
            <w:r>
              <w:rPr/>
              <w:t> </w:t>
            </w:r>
          </w:p>
        </w:tc>
        <w:tc>
          <w:tcPr>
            <w:tcW w:w="170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464</w:t>
            </w:r>
          </w:p>
        </w:tc>
        <w:tc>
          <w:tcPr>
            <w:tcW w:w="149" w:type="dxa"/>
            <w:tcBorders/>
            <w:shd w:fill="CCEEFF" w:val="clear"/>
            <w:vAlign w:val="center"/>
          </w:tcPr>
          <w:p>
            <w:pPr>
              <w:pStyle w:val="TableContents"/>
              <w:bidi w:val="0"/>
              <w:spacing w:before="0" w:after="283"/>
              <w:jc w:val="left"/>
              <w:rPr/>
            </w:pPr>
            <w:r>
              <w:rPr/>
              <w:t> </w:t>
            </w:r>
          </w:p>
        </w:tc>
      </w:tr>
      <w:tr>
        <w:trPr/>
        <w:tc>
          <w:tcPr>
            <w:tcW w:w="1973"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97"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181,247</w:t>
            </w:r>
          </w:p>
        </w:tc>
        <w:tc>
          <w:tcPr>
            <w:tcW w:w="111"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9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634"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328"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42"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(12,794</w:t>
            </w:r>
          </w:p>
        </w:tc>
        <w:tc>
          <w:tcPr>
            <w:tcW w:w="136" w:type="dxa"/>
            <w:tcBorders/>
            <w:shd w:fill="FFFFFF" w:val="clear"/>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364"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0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168,988</w:t>
            </w:r>
          </w:p>
        </w:tc>
        <w:tc>
          <w:tcPr>
            <w:tcW w:w="149" w:type="dxa"/>
            <w:tcBorders/>
            <w:shd w:fill="FFFFFF" w:val="clear"/>
            <w:vAlign w:val="center"/>
          </w:tcPr>
          <w:p>
            <w:pPr>
              <w:pStyle w:val="TableContents"/>
              <w:bidi w:val="0"/>
              <w:spacing w:before="0" w:after="283"/>
              <w:jc w:val="left"/>
              <w:rPr/>
            </w:pPr>
            <w:r>
              <w:rPr/>
              <w:t> </w:t>
            </w:r>
          </w:p>
        </w:tc>
      </w:tr>
    </w:tbl>
    <w:p>
      <w:pPr>
        <w:pStyle w:val="TextBody"/>
        <w:bidi w:val="0"/>
        <w:spacing w:before="220" w:after="0"/>
        <w:ind w:left="0" w:right="0" w:firstLine="1600"/>
        <w:jc w:val="left"/>
        <w:rPr>
          <w:rFonts w:ascii="Times New Roman;Times;serif" w:hAnsi="Times New Roman;Times;serif"/>
          <w:sz w:val="20"/>
        </w:rPr>
      </w:pPr>
      <w:r>
        <w:rPr>
          <w:rFonts w:ascii="Times New Roman;Times;serif" w:hAnsi="Times New Roman;Times;serif"/>
          <w:sz w:val="20"/>
        </w:rPr>
        <w:t>* Excluding accrued interest of $706.</w:t>
      </w:r>
    </w:p>
    <w:p>
      <w:pPr>
        <w:pStyle w:val="TextBody"/>
        <w:bidi w:val="0"/>
        <w:spacing w:before="0" w:after="283"/>
        <w:jc w:val="left"/>
        <w:rPr/>
      </w:pPr>
      <w:r>
        <w:rPr/>
        <w:t xml:space="preserve">  </w:t>
      </w:r>
    </w:p>
    <w:p>
      <w:pPr>
        <w:pStyle w:val="TextBody"/>
        <w:bidi w:val="0"/>
        <w:spacing w:before="0" w:after="0"/>
        <w:ind w:left="0" w:right="0" w:firstLine="1600"/>
        <w:jc w:val="left"/>
        <w:rPr>
          <w:rFonts w:ascii="Times New Roman;Times;serif" w:hAnsi="Times New Roman;Times;serif"/>
          <w:sz w:val="20"/>
        </w:rPr>
      </w:pPr>
      <w:r>
        <w:rPr>
          <w:rFonts w:ascii="Times New Roman;Times;serif" w:hAnsi="Times New Roman;Times;serif"/>
          <w:sz w:val="20"/>
        </w:rPr>
        <w:t>The scheduled maturities of available-for-sale marketable securities as of December 31, 2022, were as follows:</w:t>
      </w:r>
    </w:p>
    <w:p>
      <w:pPr>
        <w:pStyle w:val="TextBody"/>
        <w:bidi w:val="0"/>
        <w:spacing w:before="0" w:after="0"/>
        <w:ind w:left="0" w:right="0" w:hanging="0"/>
        <w:jc w:val="left"/>
        <w:rPr/>
      </w:pPr>
      <w:r>
        <w:rPr/>
        <w:t> </w:t>
      </w:r>
    </w:p>
    <w:tbl>
      <w:tblPr>
        <w:tblW w:w="5000" w:type="pct"/>
        <w:jc w:val="left"/>
        <w:tblInd w:w="1600" w:type="dxa"/>
        <w:tblLayout w:type="fixed"/>
        <w:tblCellMar>
          <w:top w:w="0" w:type="dxa"/>
          <w:left w:w="0" w:type="dxa"/>
          <w:bottom w:w="0" w:type="dxa"/>
          <w:right w:w="0" w:type="dxa"/>
        </w:tblCellMar>
      </w:tblPr>
      <w:tblGrid>
        <w:gridCol w:w="4525"/>
        <w:gridCol w:w="233"/>
        <w:gridCol w:w="413"/>
        <w:gridCol w:w="1935"/>
        <w:gridCol w:w="233"/>
        <w:gridCol w:w="233"/>
        <w:gridCol w:w="402"/>
        <w:gridCol w:w="1880"/>
        <w:gridCol w:w="351"/>
      </w:tblGrid>
      <w:tr>
        <w:trPr/>
        <w:tc>
          <w:tcPr>
            <w:tcW w:w="4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233" w:type="dxa"/>
            <w:tcBorders/>
            <w:vAlign w:val="center"/>
          </w:tcPr>
          <w:p>
            <w:pPr>
              <w:pStyle w:val="TableContents"/>
              <w:bidi w:val="0"/>
              <w:spacing w:before="0" w:after="283"/>
              <w:jc w:val="left"/>
              <w:rPr/>
            </w:pPr>
            <w:r>
              <w:rPr/>
              <w:t> </w:t>
            </w:r>
          </w:p>
        </w:tc>
        <w:tc>
          <w:tcPr>
            <w:tcW w:w="234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Amortized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Cost</w:t>
            </w:r>
          </w:p>
        </w:tc>
        <w:tc>
          <w:tcPr>
            <w:tcW w:w="23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2282"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Estimated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 value</w:t>
            </w:r>
          </w:p>
        </w:tc>
        <w:tc>
          <w:tcPr>
            <w:tcW w:w="351" w:type="dxa"/>
            <w:tcBorders/>
            <w:vAlign w:val="center"/>
          </w:tcPr>
          <w:p>
            <w:pPr>
              <w:pStyle w:val="TableContents"/>
              <w:bidi w:val="0"/>
              <w:spacing w:before="0" w:after="283"/>
              <w:jc w:val="left"/>
              <w:rPr/>
            </w:pPr>
            <w:r>
              <w:rPr/>
              <w:t> </w:t>
            </w:r>
          </w:p>
        </w:tc>
      </w:tr>
      <w:tr>
        <w:trPr/>
        <w:tc>
          <w:tcPr>
            <w:tcW w:w="4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within one year</w:t>
            </w:r>
          </w:p>
        </w:tc>
        <w:tc>
          <w:tcPr>
            <w:tcW w:w="233"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93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78,855</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8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75,365</w:t>
            </w:r>
          </w:p>
        </w:tc>
        <w:tc>
          <w:tcPr>
            <w:tcW w:w="351" w:type="dxa"/>
            <w:tcBorders/>
            <w:shd w:fill="CCEEFF" w:val="clear"/>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within 2-5 years</w:t>
            </w:r>
          </w:p>
        </w:tc>
        <w:tc>
          <w:tcPr>
            <w:tcW w:w="23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98,034</w:t>
            </w:r>
          </w:p>
        </w:tc>
        <w:tc>
          <w:tcPr>
            <w:tcW w:w="23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89,943</w:t>
            </w:r>
          </w:p>
        </w:tc>
        <w:tc>
          <w:tcPr>
            <w:tcW w:w="351" w:type="dxa"/>
            <w:tcBorders/>
            <w:vAlign w:val="center"/>
          </w:tcPr>
          <w:p>
            <w:pPr>
              <w:pStyle w:val="TableContents"/>
              <w:bidi w:val="0"/>
              <w:spacing w:before="0" w:after="283"/>
              <w:jc w:val="left"/>
              <w:rPr/>
            </w:pPr>
            <w:r>
              <w:rPr/>
              <w:t> </w:t>
            </w:r>
          </w:p>
        </w:tc>
      </w:tr>
      <w:tr>
        <w:trPr/>
        <w:tc>
          <w:tcPr>
            <w:tcW w:w="4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after 5 years</w:t>
            </w:r>
          </w:p>
        </w:tc>
        <w:tc>
          <w:tcPr>
            <w:tcW w:w="233"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4,358</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3,680</w:t>
            </w:r>
          </w:p>
        </w:tc>
        <w:tc>
          <w:tcPr>
            <w:tcW w:w="351" w:type="dxa"/>
            <w:tcBorders/>
            <w:shd w:fill="CCEEFF" w:val="clear"/>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413" w:type="dxa"/>
            <w:tcBorders>
              <w:top w:val="single" w:sz="12" w:space="0" w:color="000000"/>
              <w:bottom w:val="double" w:sz="8" w:space="0" w:color="000000"/>
            </w:tcBorders>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935" w:type="dxa"/>
            <w:tcBorders>
              <w:top w:val="single" w:sz="12" w:space="0" w:color="000000"/>
              <w:bottom w:val="double" w:sz="8" w:space="0" w:color="000000"/>
            </w:tcBorders>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181,247</w:t>
            </w:r>
          </w:p>
        </w:tc>
        <w:tc>
          <w:tcPr>
            <w:tcW w:w="233"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402" w:type="dxa"/>
            <w:tcBorders>
              <w:top w:val="single" w:sz="12" w:space="0" w:color="000000"/>
              <w:bottom w:val="double" w:sz="8" w:space="0" w:color="000000"/>
            </w:tcBorders>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80" w:type="dxa"/>
            <w:tcBorders>
              <w:top w:val="single" w:sz="12" w:space="0" w:color="000000"/>
              <w:bottom w:val="double" w:sz="8" w:space="0" w:color="000000"/>
            </w:tcBorders>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168,988</w:t>
            </w:r>
          </w:p>
        </w:tc>
        <w:tc>
          <w:tcPr>
            <w:tcW w:w="351" w:type="dxa"/>
            <w:tcBorders/>
            <w:vAlign w:val="center"/>
          </w:tcPr>
          <w:p>
            <w:pPr>
              <w:pStyle w:val="TableContents"/>
              <w:bidi w:val="0"/>
              <w:spacing w:before="0" w:after="283"/>
              <w:jc w:val="left"/>
              <w:rPr/>
            </w:pPr>
            <w:r>
              <w:rPr/>
              <w:t> </w:t>
            </w:r>
          </w:p>
        </w:tc>
      </w:tr>
    </w:tbl>
    <w:p>
      <w:pPr>
        <w:pStyle w:val="TextBody"/>
        <w:bidi w:val="0"/>
        <w:ind w:left="1600" w:right="0" w:hanging="0"/>
        <w:jc w:val="left"/>
        <w:rPr/>
      </w:pPr>
      <w:r>
        <w:rPr/>
        <w:t> </w:t>
      </w:r>
    </w:p>
    <w:p>
      <w:pPr>
        <w:pStyle w:val="TextBody"/>
        <w:pBdr/>
        <w:bidi w:val="0"/>
        <w:spacing w:before="0" w:after="0"/>
        <w:jc w:val="both"/>
        <w:rPr>
          <w:rFonts w:ascii="Times New Roman;Times;serif" w:hAnsi="Times New Roman;Times;serif"/>
          <w:sz w:val="20"/>
        </w:rPr>
      </w:pPr>
      <w:r>
        <w:rPr>
          <w:rFonts w:ascii="Times New Roman;Times;serif" w:hAnsi="Times New Roman;Times;serif"/>
          <w:sz w:val="20"/>
        </w:rPr>
        <w:t>The following table summarizes amortized costs, gross unrealized gains and losses and estimated fair values of available-for-sale marketable securities as of December 31, 2021:</w:t>
      </w:r>
    </w:p>
    <w:p>
      <w:pPr>
        <w:pStyle w:val="TextBody"/>
        <w:pBdr/>
        <w:bidi w:val="0"/>
        <w:spacing w:before="0" w:after="0"/>
        <w:jc w:val="both"/>
        <w:rPr/>
      </w:pPr>
      <w:r>
        <w:rPr/>
        <w:t> </w:t>
      </w:r>
    </w:p>
    <w:tbl>
      <w:tblPr>
        <w:tblW w:w="5000" w:type="pct"/>
        <w:jc w:val="left"/>
        <w:tblInd w:w="1600" w:type="dxa"/>
        <w:tblLayout w:type="fixed"/>
        <w:tblCellMar>
          <w:top w:w="0" w:type="dxa"/>
          <w:left w:w="0" w:type="dxa"/>
          <w:bottom w:w="0" w:type="dxa"/>
          <w:right w:w="0" w:type="dxa"/>
        </w:tblCellMar>
      </w:tblPr>
      <w:tblGrid>
        <w:gridCol w:w="2457"/>
        <w:gridCol w:w="126"/>
        <w:gridCol w:w="391"/>
        <w:gridCol w:w="1835"/>
        <w:gridCol w:w="126"/>
        <w:gridCol w:w="125"/>
        <w:gridCol w:w="451"/>
        <w:gridCol w:w="1503"/>
        <w:gridCol w:w="126"/>
        <w:gridCol w:w="125"/>
        <w:gridCol w:w="268"/>
        <w:gridCol w:w="996"/>
        <w:gridCol w:w="154"/>
        <w:gridCol w:w="125"/>
        <w:gridCol w:w="216"/>
        <w:gridCol w:w="1013"/>
        <w:gridCol w:w="168"/>
      </w:tblGrid>
      <w:tr>
        <w:trPr/>
        <w:tc>
          <w:tcPr>
            <w:tcW w:w="24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26" w:type="dxa"/>
            <w:tcBorders/>
            <w:vAlign w:val="center"/>
          </w:tcPr>
          <w:p>
            <w:pPr>
              <w:pStyle w:val="TableContents"/>
              <w:bidi w:val="0"/>
              <w:spacing w:before="0" w:after="283"/>
              <w:jc w:val="left"/>
              <w:rPr/>
            </w:pPr>
            <w:r>
              <w:rPr/>
              <w:t> </w:t>
            </w:r>
          </w:p>
        </w:tc>
        <w:tc>
          <w:tcPr>
            <w:tcW w:w="222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Amortized Cost (*)</w:t>
            </w:r>
          </w:p>
        </w:tc>
        <w:tc>
          <w:tcPr>
            <w:tcW w:w="12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Gross 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gains</w:t>
            </w:r>
          </w:p>
        </w:tc>
        <w:tc>
          <w:tcPr>
            <w:tcW w:w="12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losses</w:t>
            </w:r>
          </w:p>
        </w:tc>
        <w:tc>
          <w:tcPr>
            <w:tcW w:w="15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Estimated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 value</w:t>
            </w:r>
          </w:p>
        </w:tc>
        <w:tc>
          <w:tcPr>
            <w:tcW w:w="168" w:type="dxa"/>
            <w:tcBorders/>
            <w:vAlign w:val="center"/>
          </w:tcPr>
          <w:p>
            <w:pPr>
              <w:pStyle w:val="TableContents"/>
              <w:bidi w:val="0"/>
              <w:spacing w:before="0" w:after="283"/>
              <w:jc w:val="left"/>
              <w:rPr/>
            </w:pPr>
            <w:r>
              <w:rPr/>
              <w:t> </w:t>
            </w:r>
          </w:p>
        </w:tc>
      </w:tr>
      <w:tr>
        <w:trPr/>
        <w:tc>
          <w:tcPr>
            <w:tcW w:w="245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2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3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161,491</w:t>
            </w:r>
          </w:p>
        </w:tc>
        <w:tc>
          <w:tcPr>
            <w:tcW w:w="12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50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1,453</w:t>
            </w:r>
          </w:p>
        </w:tc>
        <w:tc>
          <w:tcPr>
            <w:tcW w:w="12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(1,311</w:t>
            </w:r>
          </w:p>
        </w:tc>
        <w:tc>
          <w:tcPr>
            <w:tcW w:w="15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161,633</w:t>
            </w:r>
          </w:p>
        </w:tc>
        <w:tc>
          <w:tcPr>
            <w:tcW w:w="168" w:type="dxa"/>
            <w:tcBorders/>
            <w:shd w:fill="CCEEFF" w:val="clear"/>
            <w:vAlign w:val="center"/>
          </w:tcPr>
          <w:p>
            <w:pPr>
              <w:pStyle w:val="TableContents"/>
              <w:bidi w:val="0"/>
              <w:spacing w:before="0" w:after="283"/>
              <w:jc w:val="left"/>
              <w:rPr/>
            </w:pPr>
            <w:r>
              <w:rPr/>
              <w:t> </w:t>
            </w:r>
          </w:p>
        </w:tc>
      </w:tr>
      <w:tr>
        <w:trPr/>
        <w:tc>
          <w:tcPr>
            <w:tcW w:w="245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2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27,332</w:t>
            </w:r>
          </w:p>
        </w:tc>
        <w:tc>
          <w:tcPr>
            <w:tcW w:w="12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12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26,934</w:t>
            </w:r>
          </w:p>
        </w:tc>
        <w:tc>
          <w:tcPr>
            <w:tcW w:w="168" w:type="dxa"/>
            <w:tcBorders/>
            <w:shd w:fill="FFFFFF" w:val="clear"/>
            <w:vAlign w:val="center"/>
          </w:tcPr>
          <w:p>
            <w:pPr>
              <w:pStyle w:val="TableContents"/>
              <w:bidi w:val="0"/>
              <w:spacing w:before="0" w:after="283"/>
              <w:jc w:val="left"/>
              <w:rPr/>
            </w:pPr>
            <w:r>
              <w:rPr/>
              <w:t> </w:t>
            </w:r>
          </w:p>
        </w:tc>
      </w:tr>
      <w:tr>
        <w:trPr/>
        <w:tc>
          <w:tcPr>
            <w:tcW w:w="245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Municipal bonds</w:t>
            </w:r>
          </w:p>
        </w:tc>
        <w:tc>
          <w:tcPr>
            <w:tcW w:w="12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1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451" w:type="dxa"/>
            <w:tcBorders/>
            <w:shd w:fill="CCEEFF" w:val="clear"/>
            <w:vAlign w:val="center"/>
          </w:tcPr>
          <w:p>
            <w:pPr>
              <w:pStyle w:val="TableContents"/>
              <w:bidi w:val="0"/>
              <w:spacing w:before="0" w:after="283"/>
              <w:jc w:val="right"/>
              <w:rPr/>
            </w:pPr>
            <w:r>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268" w:type="dxa"/>
            <w:tcBorders/>
            <w:shd w:fill="CCEEFF" w:val="clear"/>
            <w:vAlign w:val="center"/>
          </w:tcPr>
          <w:p>
            <w:pPr>
              <w:pStyle w:val="TableContents"/>
              <w:bidi w:val="0"/>
              <w:spacing w:before="0" w:after="283"/>
              <w:jc w:val="righ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righ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168" w:type="dxa"/>
            <w:tcBorders/>
            <w:shd w:fill="CCEEFF" w:val="clear"/>
            <w:vAlign w:val="center"/>
          </w:tcPr>
          <w:p>
            <w:pPr>
              <w:pStyle w:val="TableContents"/>
              <w:bidi w:val="0"/>
              <w:spacing w:before="0" w:after="283"/>
              <w:jc w:val="left"/>
              <w:rPr/>
            </w:pPr>
            <w:r>
              <w:rPr/>
              <w:t> </w:t>
            </w:r>
          </w:p>
        </w:tc>
      </w:tr>
      <w:tr>
        <w:trPr/>
        <w:tc>
          <w:tcPr>
            <w:tcW w:w="245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Certificate of deposit</w:t>
            </w:r>
          </w:p>
        </w:tc>
        <w:tc>
          <w:tcPr>
            <w:tcW w:w="126"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3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248</w:t>
            </w:r>
          </w:p>
        </w:tc>
        <w:tc>
          <w:tcPr>
            <w:tcW w:w="12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12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54"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w:t>
            </w:r>
          </w:p>
        </w:tc>
        <w:tc>
          <w:tcPr>
            <w:tcW w:w="168" w:type="dxa"/>
            <w:tcBorders/>
            <w:shd w:fill="FFFFFF" w:val="clear"/>
            <w:vAlign w:val="center"/>
          </w:tcPr>
          <w:p>
            <w:pPr>
              <w:pStyle w:val="TableContents"/>
              <w:bidi w:val="0"/>
              <w:spacing w:before="0" w:after="283"/>
              <w:jc w:val="left"/>
              <w:rPr/>
            </w:pPr>
            <w:r>
              <w:rPr/>
              <w:t> </w:t>
            </w:r>
          </w:p>
        </w:tc>
      </w:tr>
      <w:tr>
        <w:trPr/>
        <w:tc>
          <w:tcPr>
            <w:tcW w:w="2457"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91"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35"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189,543</w:t>
            </w:r>
          </w:p>
        </w:tc>
        <w:tc>
          <w:tcPr>
            <w:tcW w:w="12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51"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50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1,459</w:t>
            </w:r>
          </w:p>
        </w:tc>
        <w:tc>
          <w:tcPr>
            <w:tcW w:w="12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8"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(1,710</w:t>
            </w:r>
          </w:p>
        </w:tc>
        <w:tc>
          <w:tcPr>
            <w:tcW w:w="154" w:type="dxa"/>
            <w:tcBorders/>
            <w:shd w:fill="CCEEFF" w:val="clear"/>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189,292</w:t>
            </w:r>
          </w:p>
        </w:tc>
        <w:tc>
          <w:tcPr>
            <w:tcW w:w="168" w:type="dxa"/>
            <w:tcBorders/>
            <w:shd w:fill="CCEEFF" w:val="clear"/>
            <w:vAlign w:val="center"/>
          </w:tcPr>
          <w:p>
            <w:pPr>
              <w:pStyle w:val="TableContents"/>
              <w:bidi w:val="0"/>
              <w:spacing w:before="0" w:after="283"/>
              <w:jc w:val="left"/>
              <w:rPr/>
            </w:pPr>
            <w:r>
              <w:rPr/>
              <w:t> </w:t>
            </w:r>
          </w:p>
        </w:tc>
      </w:tr>
    </w:tbl>
    <w:p>
      <w:pPr>
        <w:pStyle w:val="TextBody"/>
        <w:bidi w:val="0"/>
        <w:spacing w:before="220" w:after="0"/>
        <w:ind w:left="0" w:right="0" w:firstLine="1600"/>
        <w:jc w:val="left"/>
        <w:rPr>
          <w:rFonts w:ascii="Times New Roman;Times;serif" w:hAnsi="Times New Roman;Times;serif"/>
          <w:sz w:val="20"/>
        </w:rPr>
      </w:pPr>
      <w:r>
        <w:rPr>
          <w:rFonts w:ascii="Times New Roman;Times;serif" w:hAnsi="Times New Roman;Times;serif"/>
          <w:sz w:val="20"/>
        </w:rPr>
        <w:t>* Excluding accrued interest of $776.</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12:  </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p>
      <w:pPr>
        <w:pStyle w:val="TextBody"/>
        <w:bidi w:val="0"/>
        <w:spacing w:before="0" w:after="0"/>
        <w:jc w:val="left"/>
        <w:rPr/>
      </w:pPr>
      <w:r>
        <w:rPr/>
        <w:t> </w:t>
      </w:r>
    </w:p>
    <w:p>
      <w:pPr>
        <w:pStyle w:val="TextBody"/>
        <w:bidi w:val="0"/>
        <w:spacing w:before="0" w:after="0"/>
        <w:ind w:left="0" w:right="0" w:firstLine="1600"/>
        <w:jc w:val="left"/>
        <w:rPr>
          <w:rFonts w:ascii="Times New Roman;Times;serif" w:hAnsi="Times New Roman;Times;serif"/>
          <w:sz w:val="20"/>
        </w:rPr>
      </w:pPr>
      <w:r>
        <w:rPr>
          <w:rFonts w:ascii="Times New Roman;Times;serif" w:hAnsi="Times New Roman;Times;serif"/>
          <w:sz w:val="20"/>
        </w:rPr>
        <w:t>The scheduled maturities of available-for-sale marketable securities as of December 31, 2021, were as follows:</w:t>
      </w:r>
    </w:p>
    <w:p>
      <w:pPr>
        <w:pStyle w:val="TextBody"/>
        <w:bidi w:val="0"/>
        <w:spacing w:before="0" w:after="0"/>
        <w:ind w:left="0" w:right="0" w:firstLine="1600"/>
        <w:jc w:val="left"/>
        <w:rPr/>
      </w:pPr>
      <w:r>
        <w:rPr/>
        <w:t> </w:t>
      </w:r>
    </w:p>
    <w:tbl>
      <w:tblPr>
        <w:tblW w:w="5000" w:type="pct"/>
        <w:jc w:val="left"/>
        <w:tblInd w:w="1600" w:type="dxa"/>
        <w:tblLayout w:type="fixed"/>
        <w:tblCellMar>
          <w:top w:w="0" w:type="dxa"/>
          <w:left w:w="0" w:type="dxa"/>
          <w:bottom w:w="0" w:type="dxa"/>
          <w:right w:w="0" w:type="dxa"/>
        </w:tblCellMar>
      </w:tblPr>
      <w:tblGrid>
        <w:gridCol w:w="3462"/>
        <w:gridCol w:w="179"/>
        <w:gridCol w:w="460"/>
        <w:gridCol w:w="2167"/>
        <w:gridCol w:w="178"/>
        <w:gridCol w:w="179"/>
        <w:gridCol w:w="583"/>
        <w:gridCol w:w="2729"/>
        <w:gridCol w:w="268"/>
      </w:tblGrid>
      <w:tr>
        <w:trPr/>
        <w:tc>
          <w:tcPr>
            <w:tcW w:w="34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79" w:type="dxa"/>
            <w:tcBorders/>
            <w:vAlign w:val="center"/>
          </w:tcPr>
          <w:p>
            <w:pPr>
              <w:pStyle w:val="TableContents"/>
              <w:bidi w:val="0"/>
              <w:spacing w:before="0" w:after="283"/>
              <w:jc w:val="left"/>
              <w:rPr/>
            </w:pPr>
            <w:r>
              <w:rPr/>
              <w:t> </w:t>
            </w:r>
          </w:p>
        </w:tc>
        <w:tc>
          <w:tcPr>
            <w:tcW w:w="262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Amortized Cost</w:t>
            </w:r>
          </w:p>
        </w:tc>
        <w:tc>
          <w:tcPr>
            <w:tcW w:w="178"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3312"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Estimated fair value</w:t>
            </w:r>
          </w:p>
        </w:tc>
        <w:tc>
          <w:tcPr>
            <w:tcW w:w="268" w:type="dxa"/>
            <w:tcBorders/>
            <w:vAlign w:val="center"/>
          </w:tcPr>
          <w:p>
            <w:pPr>
              <w:pStyle w:val="TableContents"/>
              <w:bidi w:val="0"/>
              <w:spacing w:before="0" w:after="283"/>
              <w:jc w:val="left"/>
              <w:rPr/>
            </w:pPr>
            <w:r>
              <w:rPr/>
              <w:t> </w:t>
            </w:r>
          </w:p>
        </w:tc>
      </w:tr>
      <w:tr>
        <w:trPr/>
        <w:tc>
          <w:tcPr>
            <w:tcW w:w="346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within one year</w:t>
            </w:r>
          </w:p>
        </w:tc>
        <w:tc>
          <w:tcPr>
            <w:tcW w:w="179"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16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22,547</w:t>
            </w:r>
          </w:p>
        </w:tc>
        <w:tc>
          <w:tcPr>
            <w:tcW w:w="17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72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22,637</w:t>
            </w:r>
          </w:p>
        </w:tc>
        <w:tc>
          <w:tcPr>
            <w:tcW w:w="268" w:type="dxa"/>
            <w:tcBorders/>
            <w:shd w:fill="CCEEFF" w:val="clear"/>
            <w:vAlign w:val="center"/>
          </w:tcPr>
          <w:p>
            <w:pPr>
              <w:pStyle w:val="TableContents"/>
              <w:bidi w:val="0"/>
              <w:spacing w:before="0" w:after="283"/>
              <w:jc w:val="left"/>
              <w:rPr/>
            </w:pPr>
            <w:r>
              <w:rPr/>
              <w:t> </w:t>
            </w:r>
          </w:p>
        </w:tc>
      </w:tr>
      <w:tr>
        <w:trPr/>
        <w:tc>
          <w:tcPr>
            <w:tcW w:w="34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within 2-5 years</w:t>
            </w:r>
          </w:p>
        </w:tc>
        <w:tc>
          <w:tcPr>
            <w:tcW w:w="179"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2167"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127,576</w:t>
            </w:r>
          </w:p>
        </w:tc>
        <w:tc>
          <w:tcPr>
            <w:tcW w:w="178"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2729"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126,510</w:t>
            </w:r>
          </w:p>
        </w:tc>
        <w:tc>
          <w:tcPr>
            <w:tcW w:w="268" w:type="dxa"/>
            <w:tcBorders/>
            <w:vAlign w:val="center"/>
          </w:tcPr>
          <w:p>
            <w:pPr>
              <w:pStyle w:val="TableContents"/>
              <w:bidi w:val="0"/>
              <w:spacing w:before="0" w:after="283"/>
              <w:jc w:val="left"/>
              <w:rPr/>
            </w:pPr>
            <w:r>
              <w:rPr/>
              <w:t> </w:t>
            </w:r>
          </w:p>
        </w:tc>
      </w:tr>
      <w:tr>
        <w:trPr/>
        <w:tc>
          <w:tcPr>
            <w:tcW w:w="346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Due after 5 years</w:t>
            </w:r>
          </w:p>
        </w:tc>
        <w:tc>
          <w:tcPr>
            <w:tcW w:w="179" w:type="dxa"/>
            <w:tcBorders/>
            <w:shd w:fill="CCEEFF" w:val="clear"/>
            <w:vAlign w:val="center"/>
          </w:tcPr>
          <w:p>
            <w:pPr>
              <w:pStyle w:val="TableContents"/>
              <w:bidi w:val="0"/>
              <w:spacing w:before="0" w:after="283"/>
              <w:jc w:val="left"/>
              <w:rPr/>
            </w:pPr>
            <w:r>
              <w:rPr/>
              <w:t> </w:t>
            </w:r>
          </w:p>
        </w:tc>
        <w:tc>
          <w:tcPr>
            <w:tcW w:w="4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39,420</w:t>
            </w:r>
          </w:p>
        </w:tc>
        <w:tc>
          <w:tcPr>
            <w:tcW w:w="178"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2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40,145</w:t>
            </w:r>
          </w:p>
        </w:tc>
        <w:tc>
          <w:tcPr>
            <w:tcW w:w="268" w:type="dxa"/>
            <w:tcBorders/>
            <w:shd w:fill="CCEEFF" w:val="clear"/>
            <w:vAlign w:val="center"/>
          </w:tcPr>
          <w:p>
            <w:pPr>
              <w:pStyle w:val="TableContents"/>
              <w:bidi w:val="0"/>
              <w:spacing w:before="0" w:after="283"/>
              <w:jc w:val="left"/>
              <w:rPr/>
            </w:pPr>
            <w:r>
              <w:rPr/>
              <w:t> </w:t>
            </w:r>
          </w:p>
        </w:tc>
      </w:tr>
      <w:tr>
        <w:trPr/>
        <w:tc>
          <w:tcPr>
            <w:tcW w:w="3462"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60"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167"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189,543</w:t>
            </w:r>
          </w:p>
        </w:tc>
        <w:tc>
          <w:tcPr>
            <w:tcW w:w="178"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83"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729"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189,292</w:t>
            </w:r>
          </w:p>
        </w:tc>
        <w:tc>
          <w:tcPr>
            <w:tcW w:w="2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jc w:val="both"/>
        <w:rPr>
          <w:rFonts w:ascii="Times New Roman;Times;serif" w:hAnsi="Times New Roman;Times;serif"/>
          <w:sz w:val="20"/>
        </w:rPr>
      </w:pPr>
      <w:r>
        <w:rPr>
          <w:rFonts w:ascii="Times New Roman;Times;serif" w:hAnsi="Times New Roman;Times;serif"/>
          <w:sz w:val="20"/>
        </w:rPr>
        <w:t>Investments with continuous unrealized losses for less than twelve months and twelve months or more and their related fair values as of December 31, 2022 and December 31, 2021, were as indicated in the following tables:</w:t>
      </w:r>
    </w:p>
    <w:p>
      <w:pPr>
        <w:pStyle w:val="TextBody"/>
        <w:bidi w:val="0"/>
        <w:spacing w:before="0" w:after="0"/>
        <w:ind w:left="0" w:right="0" w:hanging="0"/>
        <w:jc w:val="left"/>
        <w:rPr/>
      </w:pPr>
      <w:r>
        <w:rPr/>
        <w:t> </w:t>
      </w:r>
    </w:p>
    <w:tbl>
      <w:tblPr>
        <w:tblW w:w="5000" w:type="pct"/>
        <w:jc w:val="left"/>
        <w:tblInd w:w="1600" w:type="dxa"/>
        <w:tblLayout w:type="fixed"/>
        <w:tblCellMar>
          <w:top w:w="0" w:type="dxa"/>
          <w:left w:w="0" w:type="dxa"/>
          <w:bottom w:w="0" w:type="dxa"/>
          <w:right w:w="0" w:type="dxa"/>
        </w:tblCellMar>
      </w:tblPr>
      <w:tblGrid>
        <w:gridCol w:w="1316"/>
        <w:gridCol w:w="106"/>
        <w:gridCol w:w="233"/>
        <w:gridCol w:w="932"/>
        <w:gridCol w:w="135"/>
        <w:gridCol w:w="135"/>
        <w:gridCol w:w="451"/>
        <w:gridCol w:w="864"/>
        <w:gridCol w:w="131"/>
        <w:gridCol w:w="106"/>
        <w:gridCol w:w="232"/>
        <w:gridCol w:w="927"/>
        <w:gridCol w:w="134"/>
        <w:gridCol w:w="134"/>
        <w:gridCol w:w="449"/>
        <w:gridCol w:w="861"/>
        <w:gridCol w:w="131"/>
        <w:gridCol w:w="106"/>
        <w:gridCol w:w="208"/>
        <w:gridCol w:w="971"/>
        <w:gridCol w:w="120"/>
        <w:gridCol w:w="119"/>
        <w:gridCol w:w="313"/>
        <w:gridCol w:w="911"/>
        <w:gridCol w:w="180"/>
      </w:tblGrid>
      <w:tr>
        <w:trPr/>
        <w:tc>
          <w:tcPr>
            <w:tcW w:w="131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603" w:type="dxa"/>
            <w:gridSpan w:val="2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0" w:type="dxa"/>
            <w:tcBorders/>
            <w:vAlign w:val="center"/>
          </w:tcPr>
          <w:p>
            <w:pPr>
              <w:pStyle w:val="TableContents"/>
              <w:bidi w:val="0"/>
              <w:spacing w:before="0" w:after="283"/>
              <w:jc w:val="left"/>
              <w:rPr/>
            </w:pPr>
            <w:r>
              <w:rPr/>
              <w:t> </w:t>
            </w:r>
          </w:p>
        </w:tc>
      </w:tr>
      <w:tr>
        <w:trPr/>
        <w:tc>
          <w:tcPr>
            <w:tcW w:w="131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75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Investments with continuous unrealized losses for less than twelve months</w:t>
            </w:r>
          </w:p>
        </w:tc>
        <w:tc>
          <w:tcPr>
            <w:tcW w:w="13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737"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Investments with continuous unrealized losses for twelve months or more</w:t>
            </w:r>
          </w:p>
        </w:tc>
        <w:tc>
          <w:tcPr>
            <w:tcW w:w="13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investments with continuous unrealized losses</w:t>
            </w:r>
          </w:p>
        </w:tc>
        <w:tc>
          <w:tcPr>
            <w:tcW w:w="180" w:type="dxa"/>
            <w:tcBorders/>
            <w:vAlign w:val="center"/>
          </w:tcPr>
          <w:p>
            <w:pPr>
              <w:pStyle w:val="TableContents"/>
              <w:bidi w:val="0"/>
              <w:spacing w:before="0" w:after="283"/>
              <w:jc w:val="left"/>
              <w:rPr/>
            </w:pPr>
            <w:r>
              <w:rPr/>
              <w:t> </w:t>
            </w:r>
          </w:p>
        </w:tc>
      </w:tr>
      <w:tr>
        <w:trPr/>
        <w:tc>
          <w:tcPr>
            <w:tcW w:w="13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06"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 value</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 value</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3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7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 value</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w:t>
            </w:r>
          </w:p>
        </w:tc>
        <w:tc>
          <w:tcPr>
            <w:tcW w:w="180" w:type="dxa"/>
            <w:tcBorders/>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0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57,388</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(3,160</w:t>
            </w:r>
          </w:p>
        </w:tc>
        <w:tc>
          <w:tcPr>
            <w:tcW w:w="13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87,065</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(8,496</w:t>
            </w:r>
          </w:p>
        </w:tc>
        <w:tc>
          <w:tcPr>
            <w:tcW w:w="13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144,453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(11,656</w:t>
            </w:r>
          </w:p>
        </w:tc>
        <w:tc>
          <w:tcPr>
            <w:tcW w:w="1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0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11,193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p>
        </w:tc>
        <w:tc>
          <w:tcPr>
            <w:tcW w:w="131"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10,363</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(811</w:t>
            </w:r>
          </w:p>
        </w:tc>
        <w:tc>
          <w:tcPr>
            <w:tcW w:w="131"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21,556</w:t>
            </w:r>
          </w:p>
        </w:tc>
        <w:tc>
          <w:tcPr>
            <w:tcW w:w="12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(1,130</w:t>
            </w:r>
          </w:p>
        </w:tc>
        <w:tc>
          <w:tcPr>
            <w:tcW w:w="1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Municipal bonds</w:t>
            </w:r>
          </w:p>
        </w:tc>
        <w:tc>
          <w:tcPr>
            <w:tcW w:w="10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c>
          <w:tcPr>
            <w:tcW w:w="451" w:type="dxa"/>
            <w:tcBorders/>
            <w:shd w:fill="CCEEFF" w:val="clear"/>
            <w:vAlign w:val="center"/>
          </w:tcPr>
          <w:p>
            <w:pPr>
              <w:pStyle w:val="TableContents"/>
              <w:bidi w:val="0"/>
              <w:spacing w:before="0" w:after="283"/>
              <w:jc w:val="righ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c>
          <w:tcPr>
            <w:tcW w:w="92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464</w:t>
            </w:r>
          </w:p>
        </w:tc>
        <w:tc>
          <w:tcPr>
            <w:tcW w:w="134"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right"/>
              <w:rPr/>
            </w:pPr>
            <w:r>
              <w:rPr/>
              <w:t> </w:t>
            </w:r>
          </w:p>
        </w:tc>
        <w:tc>
          <w:tcPr>
            <w:tcW w:w="449" w:type="dxa"/>
            <w:tcBorders/>
            <w:shd w:fill="CCEEFF" w:val="clear"/>
            <w:vAlign w:val="center"/>
          </w:tcPr>
          <w:p>
            <w:pPr>
              <w:pStyle w:val="TableContents"/>
              <w:bidi w:val="0"/>
              <w:spacing w:before="0" w:after="283"/>
              <w:jc w:val="right"/>
              <w:rPr/>
            </w:pPr>
            <w:r>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right"/>
              <w:rPr/>
            </w:pPr>
            <w:r>
              <w:rPr/>
              <w:t> </w:t>
            </w:r>
          </w:p>
        </w:tc>
        <w:tc>
          <w:tcPr>
            <w:tcW w:w="97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464</w:t>
            </w:r>
          </w:p>
        </w:tc>
        <w:tc>
          <w:tcPr>
            <w:tcW w:w="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right"/>
              <w:rPr/>
            </w:pPr>
            <w:r>
              <w:rPr/>
              <w:t> </w:t>
            </w:r>
          </w:p>
        </w:tc>
        <w:tc>
          <w:tcPr>
            <w:tcW w:w="313" w:type="dxa"/>
            <w:tcBorders/>
            <w:shd w:fill="CCEEFF" w:val="clear"/>
            <w:vAlign w:val="center"/>
          </w:tcPr>
          <w:p>
            <w:pPr>
              <w:pStyle w:val="TableContents"/>
              <w:bidi w:val="0"/>
              <w:spacing w:before="0" w:after="283"/>
              <w:jc w:val="righ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w:t>
            </w:r>
          </w:p>
        </w:tc>
        <w:tc>
          <w:tcPr>
            <w:tcW w:w="106" w:type="dxa"/>
            <w:tcBorders/>
            <w:shd w:fill="FFFFFF" w:val="clear"/>
            <w:vAlign w:val="center"/>
          </w:tcPr>
          <w:p>
            <w:pPr>
              <w:pStyle w:val="TableContents"/>
              <w:bidi w:val="0"/>
              <w:spacing w:before="0" w:after="283"/>
              <w:jc w:val="left"/>
              <w:rPr/>
            </w:pPr>
            <w:r>
              <w:rPr/>
              <w:t> </w:t>
            </w:r>
          </w:p>
        </w:tc>
        <w:tc>
          <w:tcPr>
            <w:tcW w:w="233"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32"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68,581</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45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(3,479</w:t>
            </w:r>
          </w:p>
        </w:tc>
        <w:tc>
          <w:tcPr>
            <w:tcW w:w="131" w:type="dxa"/>
            <w:tcBorders/>
            <w:shd w:fill="FFFFFF" w:val="clear"/>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32"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7"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97,892</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449"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(9,315</w:t>
            </w:r>
          </w:p>
        </w:tc>
        <w:tc>
          <w:tcPr>
            <w:tcW w:w="131" w:type="dxa"/>
            <w:tcBorders/>
            <w:shd w:fill="FFFFFF" w:val="clear"/>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08"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166,473</w:t>
            </w:r>
          </w:p>
        </w:tc>
        <w:tc>
          <w:tcPr>
            <w:tcW w:w="12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313"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1" w:type="dxa"/>
            <w:tcBorders>
              <w:top w:val="single" w:sz="12" w:space="0" w:color="000000"/>
              <w:bottom w:val="double" w:sz="8" w:space="0" w:color="000000"/>
            </w:tcBorders>
            <w:shd w:fill="FFFF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(12,794</w:t>
            </w:r>
          </w:p>
        </w:tc>
        <w:tc>
          <w:tcPr>
            <w:tcW w:w="180" w:type="dxa"/>
            <w:tcBorders/>
            <w:shd w:fill="FFFFFF" w:val="clear"/>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00" w:right="0" w:hanging="0"/>
        <w:jc w:val="left"/>
        <w:rPr/>
      </w:pPr>
      <w:r>
        <w:rPr/>
        <w:t> </w:t>
      </w:r>
    </w:p>
    <w:tbl>
      <w:tblPr>
        <w:tblW w:w="5000" w:type="pct"/>
        <w:jc w:val="left"/>
        <w:tblInd w:w="1600" w:type="dxa"/>
        <w:tblLayout w:type="fixed"/>
        <w:tblCellMar>
          <w:top w:w="0" w:type="dxa"/>
          <w:left w:w="0" w:type="dxa"/>
          <w:bottom w:w="0" w:type="dxa"/>
          <w:right w:w="0" w:type="dxa"/>
        </w:tblCellMar>
      </w:tblPr>
      <w:tblGrid>
        <w:gridCol w:w="1685"/>
        <w:gridCol w:w="106"/>
        <w:gridCol w:w="224"/>
        <w:gridCol w:w="1055"/>
        <w:gridCol w:w="130"/>
        <w:gridCol w:w="130"/>
        <w:gridCol w:w="244"/>
        <w:gridCol w:w="895"/>
        <w:gridCol w:w="130"/>
        <w:gridCol w:w="107"/>
        <w:gridCol w:w="252"/>
        <w:gridCol w:w="1013"/>
        <w:gridCol w:w="146"/>
        <w:gridCol w:w="145"/>
        <w:gridCol w:w="296"/>
        <w:gridCol w:w="813"/>
        <w:gridCol w:w="130"/>
        <w:gridCol w:w="107"/>
        <w:gridCol w:w="191"/>
        <w:gridCol w:w="898"/>
        <w:gridCol w:w="111"/>
        <w:gridCol w:w="111"/>
        <w:gridCol w:w="235"/>
        <w:gridCol w:w="874"/>
        <w:gridCol w:w="177"/>
      </w:tblGrid>
      <w:tr>
        <w:trPr/>
        <w:tc>
          <w:tcPr>
            <w:tcW w:w="1685"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8237" w:type="dxa"/>
            <w:gridSpan w:val="2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2021</w:t>
            </w:r>
          </w:p>
        </w:tc>
        <w:tc>
          <w:tcPr>
            <w:tcW w:w="177" w:type="dxa"/>
            <w:tcBorders/>
            <w:vAlign w:val="center"/>
          </w:tcPr>
          <w:p>
            <w:pPr>
              <w:pStyle w:val="TableContents"/>
              <w:bidi w:val="0"/>
              <w:spacing w:before="0" w:after="0"/>
              <w:jc w:val="left"/>
              <w:rPr/>
            </w:pPr>
            <w:r>
              <w:rPr/>
              <w:t> </w:t>
            </w:r>
          </w:p>
        </w:tc>
      </w:tr>
      <w:tr>
        <w:trPr/>
        <w:tc>
          <w:tcPr>
            <w:tcW w:w="1685" w:type="dxa"/>
            <w:tcBorders/>
            <w:vAlign w:val="center"/>
          </w:tcPr>
          <w:p>
            <w:pPr>
              <w:pStyle w:val="TableContents"/>
              <w:bidi w:val="0"/>
              <w:spacing w:before="0" w:after="0"/>
              <w:jc w:val="left"/>
              <w:rPr/>
            </w:pPr>
            <w:r>
              <w:rPr/>
              <w:t> </w:t>
            </w:r>
          </w:p>
        </w:tc>
        <w:tc>
          <w:tcPr>
            <w:tcW w:w="106" w:type="dxa"/>
            <w:tcBorders/>
            <w:vAlign w:val="center"/>
          </w:tcPr>
          <w:p>
            <w:pPr>
              <w:pStyle w:val="TableContents"/>
              <w:bidi w:val="0"/>
              <w:spacing w:before="0" w:after="0"/>
              <w:jc w:val="left"/>
              <w:rPr/>
            </w:pPr>
            <w:r>
              <w:rPr/>
              <w:t> </w:t>
            </w:r>
          </w:p>
        </w:tc>
        <w:tc>
          <w:tcPr>
            <w:tcW w:w="2678"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Investments with continuous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 for less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than twelve months</w:t>
            </w:r>
          </w:p>
        </w:tc>
        <w:tc>
          <w:tcPr>
            <w:tcW w:w="130" w:type="dxa"/>
            <w:tcBorders/>
            <w:vAlign w:val="center"/>
          </w:tcPr>
          <w:p>
            <w:pPr>
              <w:pStyle w:val="TableContents"/>
              <w:bidi w:val="0"/>
              <w:spacing w:before="0" w:after="0"/>
              <w:jc w:val="left"/>
              <w:rPr/>
            </w:pPr>
            <w:r>
              <w:rPr/>
              <w:t> </w:t>
            </w:r>
          </w:p>
        </w:tc>
        <w:tc>
          <w:tcPr>
            <w:tcW w:w="107" w:type="dxa"/>
            <w:tcBorders/>
            <w:vAlign w:val="center"/>
          </w:tcPr>
          <w:p>
            <w:pPr>
              <w:pStyle w:val="TableContents"/>
              <w:bidi w:val="0"/>
              <w:spacing w:before="0" w:after="0"/>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Investments with continuous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 losses for twelve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months or more</w:t>
            </w:r>
          </w:p>
        </w:tc>
        <w:tc>
          <w:tcPr>
            <w:tcW w:w="130" w:type="dxa"/>
            <w:tcBorders/>
            <w:vAlign w:val="center"/>
          </w:tcPr>
          <w:p>
            <w:pPr>
              <w:pStyle w:val="TableContents"/>
              <w:bidi w:val="0"/>
              <w:spacing w:before="0" w:after="0"/>
              <w:jc w:val="left"/>
              <w:rPr/>
            </w:pPr>
            <w:r>
              <w:rPr/>
              <w:t> </w:t>
            </w:r>
          </w:p>
        </w:tc>
        <w:tc>
          <w:tcPr>
            <w:tcW w:w="107" w:type="dxa"/>
            <w:tcBorders/>
            <w:vAlign w:val="center"/>
          </w:tcPr>
          <w:p>
            <w:pPr>
              <w:pStyle w:val="TableContents"/>
              <w:bidi w:val="0"/>
              <w:spacing w:before="0" w:after="0"/>
              <w:jc w:val="left"/>
              <w:rPr/>
            </w:pPr>
            <w:r>
              <w:rPr/>
              <w:t> </w:t>
            </w:r>
          </w:p>
        </w:tc>
        <w:tc>
          <w:tcPr>
            <w:tcW w:w="242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investments with</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continuous 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losses</w:t>
            </w:r>
          </w:p>
        </w:tc>
        <w:tc>
          <w:tcPr>
            <w:tcW w:w="177" w:type="dxa"/>
            <w:tcBorders/>
            <w:vAlign w:val="center"/>
          </w:tcPr>
          <w:p>
            <w:pPr>
              <w:pStyle w:val="TableContents"/>
              <w:bidi w:val="0"/>
              <w:spacing w:before="0" w:after="0"/>
              <w:jc w:val="left"/>
              <w:rPr/>
            </w:pPr>
            <w:r>
              <w:rPr/>
              <w:t> </w:t>
            </w:r>
          </w:p>
        </w:tc>
      </w:tr>
      <w:tr>
        <w:trPr/>
        <w:tc>
          <w:tcPr>
            <w:tcW w:w="16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06" w:type="dxa"/>
            <w:tcBorders/>
            <w:vAlign w:val="center"/>
          </w:tcPr>
          <w:p>
            <w:pPr>
              <w:pStyle w:val="TableContents"/>
              <w:bidi w:val="0"/>
              <w:spacing w:before="0" w:after="0"/>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value</w:t>
            </w:r>
          </w:p>
        </w:tc>
        <w:tc>
          <w:tcPr>
            <w:tcW w:w="130" w:type="dxa"/>
            <w:tcBorders/>
            <w:vAlign w:val="center"/>
          </w:tcPr>
          <w:p>
            <w:pPr>
              <w:pStyle w:val="TableContents"/>
              <w:bidi w:val="0"/>
              <w:spacing w:before="0" w:after="0"/>
              <w:jc w:val="left"/>
              <w:rPr/>
            </w:pPr>
            <w:r>
              <w:rPr/>
              <w:t> </w:t>
            </w:r>
          </w:p>
        </w:tc>
        <w:tc>
          <w:tcPr>
            <w:tcW w:w="130" w:type="dxa"/>
            <w:tcBorders/>
            <w:vAlign w:val="center"/>
          </w:tcPr>
          <w:p>
            <w:pPr>
              <w:pStyle w:val="TableContents"/>
              <w:bidi w:val="0"/>
              <w:spacing w:before="0" w:after="0"/>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losses</w:t>
            </w:r>
          </w:p>
        </w:tc>
        <w:tc>
          <w:tcPr>
            <w:tcW w:w="130" w:type="dxa"/>
            <w:tcBorders/>
            <w:vAlign w:val="center"/>
          </w:tcPr>
          <w:p>
            <w:pPr>
              <w:pStyle w:val="TableContents"/>
              <w:bidi w:val="0"/>
              <w:spacing w:before="0" w:after="0"/>
              <w:jc w:val="left"/>
              <w:rPr/>
            </w:pPr>
            <w:r>
              <w:rPr/>
              <w:t> </w:t>
            </w:r>
          </w:p>
        </w:tc>
        <w:tc>
          <w:tcPr>
            <w:tcW w:w="107" w:type="dxa"/>
            <w:tcBorders/>
            <w:vAlign w:val="center"/>
          </w:tcPr>
          <w:p>
            <w:pPr>
              <w:pStyle w:val="TableContents"/>
              <w:bidi w:val="0"/>
              <w:spacing w:before="0" w:after="0"/>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value</w:t>
            </w:r>
          </w:p>
        </w:tc>
        <w:tc>
          <w:tcPr>
            <w:tcW w:w="146"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losses</w:t>
            </w:r>
          </w:p>
        </w:tc>
        <w:tc>
          <w:tcPr>
            <w:tcW w:w="130" w:type="dxa"/>
            <w:tcBorders/>
            <w:vAlign w:val="center"/>
          </w:tcPr>
          <w:p>
            <w:pPr>
              <w:pStyle w:val="TableContents"/>
              <w:bidi w:val="0"/>
              <w:spacing w:before="0" w:after="0"/>
              <w:jc w:val="left"/>
              <w:rPr/>
            </w:pPr>
            <w:r>
              <w:rPr/>
              <w:t> </w:t>
            </w:r>
          </w:p>
        </w:tc>
        <w:tc>
          <w:tcPr>
            <w:tcW w:w="107" w:type="dxa"/>
            <w:tcBorders/>
            <w:vAlign w:val="center"/>
          </w:tcPr>
          <w:p>
            <w:pPr>
              <w:pStyle w:val="TableContents"/>
              <w:bidi w:val="0"/>
              <w:spacing w:before="0" w:after="0"/>
              <w:jc w:val="left"/>
              <w:rPr/>
            </w:pPr>
            <w:r>
              <w:rPr/>
              <w:t> </w:t>
            </w:r>
          </w:p>
        </w:tc>
        <w:tc>
          <w:tcPr>
            <w:tcW w:w="108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Fair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value</w:t>
            </w:r>
          </w:p>
        </w:tc>
        <w:tc>
          <w:tcPr>
            <w:tcW w:w="111"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Unrealized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losses</w:t>
            </w:r>
          </w:p>
        </w:tc>
        <w:tc>
          <w:tcPr>
            <w:tcW w:w="177" w:type="dxa"/>
            <w:tcBorders/>
            <w:vAlign w:val="center"/>
          </w:tcPr>
          <w:p>
            <w:pPr>
              <w:pStyle w:val="TableContents"/>
              <w:bidi w:val="0"/>
              <w:spacing w:before="0" w:after="0"/>
              <w:jc w:val="left"/>
              <w:rPr/>
            </w:pPr>
            <w:r>
              <w:rPr/>
              <w:t> </w:t>
            </w:r>
          </w:p>
        </w:tc>
      </w:tr>
      <w:tr>
        <w:trPr/>
        <w:tc>
          <w:tcPr>
            <w:tcW w:w="16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Corporate bonds</w:t>
            </w:r>
          </w:p>
        </w:tc>
        <w:tc>
          <w:tcPr>
            <w:tcW w:w="106" w:type="dxa"/>
            <w:tcBorders/>
            <w:shd w:fill="CCEEFF" w:val="clear"/>
            <w:vAlign w:val="center"/>
          </w:tcPr>
          <w:p>
            <w:pPr>
              <w:pStyle w:val="TableContents"/>
              <w:bidi w:val="0"/>
              <w:spacing w:before="0" w:after="0"/>
              <w:jc w:val="left"/>
              <w:rPr/>
            </w:pPr>
            <w:r>
              <w:rPr/>
              <w:t> </w:t>
            </w:r>
          </w:p>
        </w:tc>
        <w:tc>
          <w:tcPr>
            <w:tcW w:w="22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87,495</w:t>
            </w:r>
          </w:p>
        </w:tc>
        <w:tc>
          <w:tcPr>
            <w:tcW w:w="130" w:type="dxa"/>
            <w:tcBorders/>
            <w:shd w:fill="CCEEFF" w:val="clear"/>
            <w:vAlign w:val="center"/>
          </w:tcPr>
          <w:p>
            <w:pPr>
              <w:pStyle w:val="TableContents"/>
              <w:bidi w:val="0"/>
              <w:spacing w:before="0" w:after="0"/>
              <w:jc w:val="left"/>
              <w:rPr/>
            </w:pPr>
            <w:r>
              <w:rPr/>
              <w:t> </w:t>
            </w:r>
          </w:p>
        </w:tc>
        <w:tc>
          <w:tcPr>
            <w:tcW w:w="130" w:type="dxa"/>
            <w:tcBorders/>
            <w:shd w:fill="CCEEFF" w:val="clear"/>
            <w:vAlign w:val="center"/>
          </w:tcPr>
          <w:p>
            <w:pPr>
              <w:pStyle w:val="TableContents"/>
              <w:bidi w:val="0"/>
              <w:spacing w:before="0" w:after="0"/>
              <w:jc w:val="left"/>
              <w:rPr/>
            </w:pPr>
            <w:r>
              <w:rPr/>
              <w:t> </w:t>
            </w:r>
          </w:p>
        </w:tc>
        <w:tc>
          <w:tcPr>
            <w:tcW w:w="24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w:t>
            </w:r>
          </w:p>
        </w:tc>
        <w:tc>
          <w:tcPr>
            <w:tcW w:w="13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0"/>
              <w:jc w:val="left"/>
              <w:rPr/>
            </w:pPr>
            <w:r>
              <w:rPr/>
              <w:t> </w:t>
            </w:r>
          </w:p>
        </w:tc>
        <w:tc>
          <w:tcPr>
            <w:tcW w:w="25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11,182</w:t>
            </w:r>
          </w:p>
        </w:tc>
        <w:tc>
          <w:tcPr>
            <w:tcW w:w="146"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296"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(182</w:t>
            </w:r>
          </w:p>
        </w:tc>
        <w:tc>
          <w:tcPr>
            <w:tcW w:w="13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98,677</w:t>
            </w:r>
          </w:p>
        </w:tc>
        <w:tc>
          <w:tcPr>
            <w:tcW w:w="111" w:type="dxa"/>
            <w:tcBorders/>
            <w:shd w:fill="CCEEFF" w:val="clear"/>
            <w:vAlign w:val="center"/>
          </w:tcPr>
          <w:p>
            <w:pPr>
              <w:pStyle w:val="TableContents"/>
              <w:bidi w:val="0"/>
              <w:spacing w:before="0" w:after="0"/>
              <w:jc w:val="left"/>
              <w:rPr/>
            </w:pPr>
            <w:r>
              <w:rPr/>
              <w:t> </w:t>
            </w:r>
          </w:p>
        </w:tc>
        <w:tc>
          <w:tcPr>
            <w:tcW w:w="111" w:type="dxa"/>
            <w:tcBorders/>
            <w:shd w:fill="CCEEFF" w:val="clear"/>
            <w:vAlign w:val="center"/>
          </w:tcPr>
          <w:p>
            <w:pPr>
              <w:pStyle w:val="TableContents"/>
              <w:bidi w:val="0"/>
              <w:spacing w:before="0" w:after="0"/>
              <w:jc w:val="left"/>
              <w:rPr/>
            </w:pPr>
            <w:r>
              <w:rPr/>
              <w:t> </w:t>
            </w:r>
          </w:p>
        </w:tc>
        <w:tc>
          <w:tcPr>
            <w:tcW w:w="23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(1,311</w:t>
            </w:r>
          </w:p>
        </w:tc>
        <w:tc>
          <w:tcPr>
            <w:tcW w:w="17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Government bonds</w:t>
            </w:r>
          </w:p>
        </w:tc>
        <w:tc>
          <w:tcPr>
            <w:tcW w:w="106" w:type="dxa"/>
            <w:tcBorders/>
            <w:shd w:fill="FFFFFF" w:val="clear"/>
            <w:vAlign w:val="center"/>
          </w:tcPr>
          <w:p>
            <w:pPr>
              <w:pStyle w:val="TableContents"/>
              <w:bidi w:val="0"/>
              <w:spacing w:before="0" w:after="0"/>
              <w:jc w:val="left"/>
              <w:rPr/>
            </w:pPr>
            <w:r>
              <w:rPr/>
              <w:t> </w:t>
            </w:r>
          </w:p>
        </w:tc>
        <w:tc>
          <w:tcPr>
            <w:tcW w:w="224" w:type="dxa"/>
            <w:tcBorders/>
            <w:shd w:fill="FFFFFF" w:val="clear"/>
            <w:vAlign w:val="center"/>
          </w:tcPr>
          <w:p>
            <w:pPr>
              <w:pStyle w:val="TableContents"/>
              <w:bidi w:val="0"/>
              <w:spacing w:before="0" w:after="0"/>
              <w:jc w:val="left"/>
              <w:rPr/>
            </w:pPr>
            <w:r>
              <w:rPr/>
              <w:t> </w:t>
            </w:r>
          </w:p>
        </w:tc>
        <w:tc>
          <w:tcPr>
            <w:tcW w:w="105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13,117</w:t>
            </w:r>
          </w:p>
        </w:tc>
        <w:tc>
          <w:tcPr>
            <w:tcW w:w="130" w:type="dxa"/>
            <w:tcBorders/>
            <w:shd w:fill="FFFFFF" w:val="clear"/>
            <w:vAlign w:val="center"/>
          </w:tcPr>
          <w:p>
            <w:pPr>
              <w:pStyle w:val="TableContents"/>
              <w:bidi w:val="0"/>
              <w:spacing w:before="0" w:after="0"/>
              <w:jc w:val="left"/>
              <w:rPr/>
            </w:pPr>
            <w:r>
              <w:rPr/>
              <w:t> </w:t>
            </w:r>
          </w:p>
        </w:tc>
        <w:tc>
          <w:tcPr>
            <w:tcW w:w="130" w:type="dxa"/>
            <w:tcBorders/>
            <w:shd w:fill="FFFFFF" w:val="clear"/>
            <w:vAlign w:val="center"/>
          </w:tcPr>
          <w:p>
            <w:pPr>
              <w:pStyle w:val="TableContents"/>
              <w:bidi w:val="0"/>
              <w:spacing w:before="0" w:after="0"/>
              <w:jc w:val="left"/>
              <w:rPr/>
            </w:pPr>
            <w:r>
              <w:rPr/>
              <w:t> </w:t>
            </w:r>
          </w:p>
        </w:tc>
        <w:tc>
          <w:tcPr>
            <w:tcW w:w="244" w:type="dxa"/>
            <w:tcBorders/>
            <w:shd w:fill="FFFFFF" w:val="clear"/>
            <w:vAlign w:val="center"/>
          </w:tcPr>
          <w:p>
            <w:pPr>
              <w:pStyle w:val="TableContents"/>
              <w:bidi w:val="0"/>
              <w:spacing w:before="0" w:after="0"/>
              <w:jc w:val="left"/>
              <w:rPr/>
            </w:pPr>
            <w:r>
              <w:rPr/>
              <w:t> </w:t>
            </w:r>
          </w:p>
        </w:tc>
        <w:tc>
          <w:tcPr>
            <w:tcW w:w="8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13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0"/>
              <w:jc w:val="left"/>
              <w:rPr/>
            </w:pPr>
            <w:r>
              <w:rPr/>
              <w:t> </w:t>
            </w:r>
          </w:p>
        </w:tc>
        <w:tc>
          <w:tcPr>
            <w:tcW w:w="252" w:type="dxa"/>
            <w:tcBorders/>
            <w:shd w:fill="FFFFFF" w:val="clear"/>
            <w:vAlign w:val="center"/>
          </w:tcPr>
          <w:p>
            <w:pPr>
              <w:pStyle w:val="TableContents"/>
              <w:bidi w:val="0"/>
              <w:spacing w:before="0" w:after="0"/>
              <w:jc w:val="left"/>
              <w:rPr/>
            </w:pPr>
            <w:r>
              <w:rPr/>
              <w:t> </w:t>
            </w:r>
          </w:p>
        </w:tc>
        <w:tc>
          <w:tcPr>
            <w:tcW w:w="101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10,725</w:t>
            </w:r>
          </w:p>
        </w:tc>
        <w:tc>
          <w:tcPr>
            <w:tcW w:w="146" w:type="dxa"/>
            <w:tcBorders/>
            <w:shd w:fill="FFFFFF" w:val="clear"/>
            <w:vAlign w:val="center"/>
          </w:tcPr>
          <w:p>
            <w:pPr>
              <w:pStyle w:val="TableContents"/>
              <w:bidi w:val="0"/>
              <w:spacing w:before="0" w:after="0"/>
              <w:jc w:val="left"/>
              <w:rPr/>
            </w:pPr>
            <w:r>
              <w:rPr/>
              <w:t> </w:t>
            </w:r>
          </w:p>
        </w:tc>
        <w:tc>
          <w:tcPr>
            <w:tcW w:w="145" w:type="dxa"/>
            <w:tcBorders/>
            <w:shd w:fill="FFFFFF" w:val="clear"/>
            <w:vAlign w:val="center"/>
          </w:tcPr>
          <w:p>
            <w:pPr>
              <w:pStyle w:val="TableContents"/>
              <w:bidi w:val="0"/>
              <w:spacing w:before="0" w:after="0"/>
              <w:jc w:val="left"/>
              <w:rPr/>
            </w:pPr>
            <w:r>
              <w:rPr/>
              <w:t> </w:t>
            </w:r>
          </w:p>
        </w:tc>
        <w:tc>
          <w:tcPr>
            <w:tcW w:w="296" w:type="dxa"/>
            <w:tcBorders/>
            <w:shd w:fill="FFFFFF" w:val="clear"/>
            <w:vAlign w:val="center"/>
          </w:tcPr>
          <w:p>
            <w:pPr>
              <w:pStyle w:val="TableContents"/>
              <w:bidi w:val="0"/>
              <w:spacing w:before="0" w:after="0"/>
              <w:jc w:val="left"/>
              <w:rPr/>
            </w:pPr>
            <w:r>
              <w:rPr/>
              <w:t> </w:t>
            </w:r>
          </w:p>
        </w:tc>
        <w:tc>
          <w:tcPr>
            <w:tcW w:w="81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w:t>
            </w:r>
          </w:p>
        </w:tc>
        <w:tc>
          <w:tcPr>
            <w:tcW w:w="13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0"/>
              <w:jc w:val="left"/>
              <w:rPr/>
            </w:pPr>
            <w:r>
              <w:rPr/>
              <w:t> </w:t>
            </w:r>
          </w:p>
        </w:tc>
        <w:tc>
          <w:tcPr>
            <w:tcW w:w="19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23,842</w:t>
            </w:r>
          </w:p>
        </w:tc>
        <w:tc>
          <w:tcPr>
            <w:tcW w:w="111" w:type="dxa"/>
            <w:tcBorders/>
            <w:shd w:fill="FFFFFF" w:val="clear"/>
            <w:vAlign w:val="center"/>
          </w:tcPr>
          <w:p>
            <w:pPr>
              <w:pStyle w:val="TableContents"/>
              <w:bidi w:val="0"/>
              <w:spacing w:before="0" w:after="0"/>
              <w:jc w:val="left"/>
              <w:rPr/>
            </w:pPr>
            <w:r>
              <w:rPr/>
              <w:t> </w:t>
            </w:r>
          </w:p>
        </w:tc>
        <w:tc>
          <w:tcPr>
            <w:tcW w:w="111" w:type="dxa"/>
            <w:tcBorders/>
            <w:shd w:fill="FFFFFF" w:val="clear"/>
            <w:vAlign w:val="center"/>
          </w:tcPr>
          <w:p>
            <w:pPr>
              <w:pStyle w:val="TableContents"/>
              <w:bidi w:val="0"/>
              <w:spacing w:before="0" w:after="0"/>
              <w:jc w:val="left"/>
              <w:rPr/>
            </w:pPr>
            <w:r>
              <w:rPr/>
              <w:t> </w:t>
            </w:r>
          </w:p>
        </w:tc>
        <w:tc>
          <w:tcPr>
            <w:tcW w:w="235" w:type="dxa"/>
            <w:tcBorders/>
            <w:shd w:fill="FFFFFF" w:val="clear"/>
            <w:vAlign w:val="center"/>
          </w:tcPr>
          <w:p>
            <w:pPr>
              <w:pStyle w:val="TableContents"/>
              <w:bidi w:val="0"/>
              <w:spacing w:before="0" w:after="0"/>
              <w:jc w:val="left"/>
              <w:rPr/>
            </w:pPr>
            <w:r>
              <w:rPr/>
              <w:t> </w:t>
            </w:r>
          </w:p>
        </w:tc>
        <w:tc>
          <w:tcPr>
            <w:tcW w:w="87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17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w:t>
            </w:r>
          </w:p>
        </w:tc>
        <w:tc>
          <w:tcPr>
            <w:tcW w:w="106" w:type="dxa"/>
            <w:tcBorders/>
            <w:shd w:fill="CCEEFF" w:val="clear"/>
            <w:vAlign w:val="center"/>
          </w:tcPr>
          <w:p>
            <w:pPr>
              <w:pStyle w:val="TableContents"/>
              <w:bidi w:val="0"/>
              <w:spacing w:before="0" w:after="0"/>
              <w:jc w:val="left"/>
              <w:rPr/>
            </w:pPr>
            <w:r>
              <w:rPr/>
              <w:t> </w:t>
            </w:r>
          </w:p>
        </w:tc>
        <w:tc>
          <w:tcPr>
            <w:tcW w:w="224"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100,612</w:t>
            </w:r>
          </w:p>
        </w:tc>
        <w:tc>
          <w:tcPr>
            <w:tcW w:w="130" w:type="dxa"/>
            <w:tcBorders/>
            <w:shd w:fill="CCEEFF" w:val="clear"/>
            <w:vAlign w:val="center"/>
          </w:tcPr>
          <w:p>
            <w:pPr>
              <w:pStyle w:val="TableContents"/>
              <w:bidi w:val="0"/>
              <w:spacing w:before="0" w:after="0"/>
              <w:jc w:val="left"/>
              <w:rPr/>
            </w:pPr>
            <w:r>
              <w:rPr/>
              <w:t> </w:t>
            </w:r>
          </w:p>
        </w:tc>
        <w:tc>
          <w:tcPr>
            <w:tcW w:w="130" w:type="dxa"/>
            <w:tcBorders/>
            <w:shd w:fill="CCEEFF" w:val="clear"/>
            <w:vAlign w:val="center"/>
          </w:tcPr>
          <w:p>
            <w:pPr>
              <w:pStyle w:val="TableContents"/>
              <w:bidi w:val="0"/>
              <w:spacing w:before="0" w:after="0"/>
              <w:jc w:val="left"/>
              <w:rPr/>
            </w:pPr>
            <w:r>
              <w:rPr/>
              <w:t> </w:t>
            </w:r>
          </w:p>
        </w:tc>
        <w:tc>
          <w:tcPr>
            <w:tcW w:w="244"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5"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(1,293</w:t>
            </w:r>
          </w:p>
        </w:tc>
        <w:tc>
          <w:tcPr>
            <w:tcW w:w="13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0"/>
              <w:jc w:val="left"/>
              <w:rPr/>
            </w:pPr>
            <w:r>
              <w:rPr/>
              <w:t> </w:t>
            </w:r>
          </w:p>
        </w:tc>
        <w:tc>
          <w:tcPr>
            <w:tcW w:w="252"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3"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21,907</w:t>
            </w:r>
          </w:p>
        </w:tc>
        <w:tc>
          <w:tcPr>
            <w:tcW w:w="146"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296"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3"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13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0"/>
              <w:jc w:val="left"/>
              <w:rPr/>
            </w:pPr>
            <w:r>
              <w:rPr/>
              <w:t> </w:t>
            </w:r>
          </w:p>
        </w:tc>
        <w:tc>
          <w:tcPr>
            <w:tcW w:w="191"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122,519</w:t>
            </w:r>
          </w:p>
        </w:tc>
        <w:tc>
          <w:tcPr>
            <w:tcW w:w="111" w:type="dxa"/>
            <w:tcBorders/>
            <w:shd w:fill="CCEEFF" w:val="clear"/>
            <w:vAlign w:val="center"/>
          </w:tcPr>
          <w:p>
            <w:pPr>
              <w:pStyle w:val="TableContents"/>
              <w:bidi w:val="0"/>
              <w:spacing w:before="0" w:after="0"/>
              <w:jc w:val="left"/>
              <w:rPr/>
            </w:pPr>
            <w:r>
              <w:rPr/>
              <w:t> </w:t>
            </w:r>
          </w:p>
        </w:tc>
        <w:tc>
          <w:tcPr>
            <w:tcW w:w="111" w:type="dxa"/>
            <w:tcBorders/>
            <w:shd w:fill="CCEEFF" w:val="clear"/>
            <w:vAlign w:val="center"/>
          </w:tcPr>
          <w:p>
            <w:pPr>
              <w:pStyle w:val="TableContents"/>
              <w:bidi w:val="0"/>
              <w:spacing w:before="0" w:after="0"/>
              <w:jc w:val="left"/>
              <w:rPr/>
            </w:pPr>
            <w:r>
              <w:rPr/>
              <w:t> </w:t>
            </w:r>
          </w:p>
        </w:tc>
        <w:tc>
          <w:tcPr>
            <w:tcW w:w="235"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4" w:type="dxa"/>
            <w:tcBorders>
              <w:top w:val="single" w:sz="12" w:space="0" w:color="000000"/>
              <w:bottom w:val="double" w:sz="8"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(1,710</w:t>
            </w:r>
          </w:p>
        </w:tc>
        <w:tc>
          <w:tcPr>
            <w:tcW w:w="17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w:t>
      </w:r>
      <w:r>
        <w:rPr>
          <w:rFonts w:ascii="Times New Roman;Times;serif" w:hAnsi="Times New Roman;Times;serif"/>
          <w:b/>
          <w:sz w:val="20"/>
        </w:rPr>
        <w:t>EMPLOYEE RELATED LIABILITIES</w:t>
      </w:r>
    </w:p>
    <w:p>
      <w:pPr>
        <w:pStyle w:val="TextBody"/>
        <w:bidi w:val="0"/>
        <w:spacing w:lineRule="auto" w:line="300"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200"/>
        <w:gridCol w:w="27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7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Employee Termination Benefits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$6,269, $5,941 and $5,254 for 2022, 2021 and 2020, respectively.</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TPSCo established a Defined Contribution Retirement Plan (the “DC Plan”) for its employees through which TPSCo contributes approximately 8.5% for 2022 and 7.7% for 2021 with employees’ average match of 0.8% of the employees’ base salary to the DC Plan. Such contribution releases the employer from further obligation to make any additional payments upon termination of employment. The contribution is remitted either to third party benefit funds based on employee preference, or directly, to those employees who elected not to enroll in the DC Plan. Total payments under the DC Plan in 2022, 2021 and 2020 amounted to $4,838, $5,331 and $6,132, respectively.</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- 34</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 </w:t>
      </w:r>
      <w:r>
        <w:rPr>
          <w:rFonts w:ascii="Times New Roman;Times;serif" w:hAnsi="Times New Roman;Times;serif"/>
          <w:sz w:val="20"/>
        </w:rPr>
        <w:t>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200"/>
        <w:gridCol w:w="26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6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TSNB Employee Benefit Plans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information provides the changes in 2022, 2021 and 2020 periodic expenses and benefit obligations due to the bargaining agreement signed between TSNB and its collective bargaining unit employees.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Post-Retirement Medical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net periodic benefit cost and other amounts recognized in other comprehensive income for post-retirement medical plan expense are as follows as of December 31, 2022, 2021 and 2020:</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4243"/>
        <w:gridCol w:w="60"/>
        <w:gridCol w:w="151"/>
        <w:gridCol w:w="1041"/>
        <w:gridCol w:w="185"/>
        <w:gridCol w:w="60"/>
        <w:gridCol w:w="151"/>
        <w:gridCol w:w="1041"/>
        <w:gridCol w:w="185"/>
        <w:gridCol w:w="60"/>
        <w:gridCol w:w="147"/>
        <w:gridCol w:w="1045"/>
        <w:gridCol w:w="216"/>
      </w:tblGrid>
      <w:tr>
        <w:trPr/>
        <w:tc>
          <w:tcPr>
            <w:tcW w:w="4243"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cost</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loss (gain)</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(179</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w:t>
            </w:r>
          </w:p>
        </w:tc>
        <w:tc>
          <w:tcPr>
            <w:tcW w:w="216"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(178</w:t>
            </w:r>
          </w:p>
        </w:tc>
        <w:tc>
          <w:tcPr>
            <w:tcW w:w="216"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(gain) for the period</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other comprehensive income (loss)</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387</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net periodic benefit cost and other comprehensive income (loss)</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209</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w:t>
            </w:r>
          </w:p>
        </w:tc>
        <w:tc>
          <w:tcPr>
            <w:tcW w:w="216"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216"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current year (pre-65/post-65 Medicare Advantage)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6.00%/8.50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6.20%/(5.00</w:t>
            </w:r>
          </w:p>
        </w:tc>
        <w:tc>
          <w:tcPr>
            <w:tcW w:w="216"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current year (pre-65/post-65 Non-Medicare Advantage)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6.00%/6.40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6.00%/6.50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6.20%/6.10</w:t>
            </w:r>
          </w:p>
        </w:tc>
        <w:tc>
          <w:tcPr>
            <w:tcW w:w="216"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216"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43"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 the ultimate rate is reached (pre-65/post-65)</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2029/2029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2029/2029</w:t>
            </w:r>
          </w:p>
        </w:tc>
        <w:tc>
          <w:tcPr>
            <w:tcW w:w="216" w:type="dxa"/>
            <w:tcBorders/>
            <w:vAlign w:val="bottom"/>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Measurement date</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2020</w:t>
            </w:r>
          </w:p>
        </w:tc>
        <w:tc>
          <w:tcPr>
            <w:tcW w:w="216"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b/>
          <w:sz w:val="20"/>
        </w:rPr>
        <w:t>NOTE 13: </w:t>
      </w:r>
      <w:r>
        <w:rPr>
          <w:rFonts w:ascii="Times New Roman;Times;serif" w:hAnsi="Times New Roman;Times;serif"/>
          <w:sz w:val="20"/>
        </w:rPr>
        <w:t>    </w:t>
      </w:r>
      <w:r>
        <w:rPr>
          <w:rFonts w:ascii="Times New Roman;Times;serif" w:hAnsi="Times New Roman;Times;serif"/>
          <w:b/>
          <w:sz w:val="20"/>
        </w:rPr>
        <w:t>EMPLOYEE RELATED LIABILITIES (Continued)</w:t>
      </w:r>
    </w:p>
    <w:p>
      <w:pPr>
        <w:pStyle w:val="TextBody"/>
        <w:bidi w:val="0"/>
        <w:spacing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post-retirement medical plan are as follows as of years ended December 31, 2022, 2021 and 2020:</w:t>
      </w:r>
    </w:p>
    <w:p>
      <w:pPr>
        <w:pStyle w:val="TextBody"/>
        <w:bidi w:val="0"/>
        <w:spacing w:lineRule="auto" w:line="300" w:before="0" w:after="0"/>
        <w:jc w:val="left"/>
        <w:rPr/>
      </w:pPr>
      <w:r>
        <w:rPr/>
        <w:t> </w:t>
      </w:r>
    </w:p>
    <w:tbl>
      <w:tblPr>
        <w:tblW w:w="7505" w:type="dxa"/>
        <w:jc w:val="left"/>
        <w:tblInd w:w="1620" w:type="dxa"/>
        <w:tblLayout w:type="fixed"/>
        <w:tblCellMar>
          <w:top w:w="0" w:type="dxa"/>
          <w:left w:w="0" w:type="dxa"/>
          <w:bottom w:w="0" w:type="dxa"/>
          <w:right w:w="0" w:type="dxa"/>
        </w:tblCellMar>
      </w:tblPr>
      <w:tblGrid>
        <w:gridCol w:w="5075"/>
        <w:gridCol w:w="60"/>
        <w:gridCol w:w="125"/>
        <w:gridCol w:w="545"/>
        <w:gridCol w:w="80"/>
        <w:gridCol w:w="60"/>
        <w:gridCol w:w="125"/>
        <w:gridCol w:w="545"/>
        <w:gridCol w:w="80"/>
        <w:gridCol w:w="60"/>
        <w:gridCol w:w="125"/>
        <w:gridCol w:w="545"/>
        <w:gridCol w:w="80"/>
      </w:tblGrid>
      <w:tr>
        <w:trPr/>
        <w:tc>
          <w:tcPr>
            <w:tcW w:w="50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medical plan related benefit obligation:</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Medical plan related benefit obligation at beginning of period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1, 689</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cost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medical plan provisions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Actuarial loss (gain)</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medical plan related obligation end of period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1,882</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Employer contribution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r>
      <w:tr>
        <w:trPr/>
        <w:tc>
          <w:tcPr>
            <w:tcW w:w="507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Medical plan related net funding</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- 36</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2021 and 2020:</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5058"/>
        <w:gridCol w:w="60"/>
        <w:gridCol w:w="125"/>
        <w:gridCol w:w="805"/>
        <w:gridCol w:w="185"/>
        <w:gridCol w:w="60"/>
        <w:gridCol w:w="125"/>
        <w:gridCol w:w="805"/>
        <w:gridCol w:w="185"/>
        <w:gridCol w:w="60"/>
        <w:gridCol w:w="125"/>
        <w:gridCol w:w="805"/>
        <w:gridCol w:w="187"/>
      </w:tblGrid>
      <w:tr>
        <w:trPr/>
        <w:tc>
          <w:tcPr>
            <w:tcW w:w="5058"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187" w:type="dxa"/>
            <w:tcBorders/>
            <w:vAlign w:val="bottom"/>
          </w:tcPr>
          <w:p>
            <w:pPr>
              <w:pStyle w:val="TableContents"/>
              <w:bidi w:val="0"/>
              <w:spacing w:before="0" w:after="283"/>
              <w:jc w:val="left"/>
              <w:rPr/>
            </w:pPr>
            <w:r>
              <w:rPr/>
              <w:t> </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60" w:type="dxa"/>
            <w:tcBorders/>
            <w:shd w:fill="CCEEFF" w:val="clear"/>
            <w:vAlign w:val="bottom"/>
          </w:tcPr>
          <w:p>
            <w:pPr>
              <w:pStyle w:val="TableContents"/>
              <w:bidi w:val="0"/>
              <w:spacing w:before="0" w:after="283"/>
              <w:jc w:val="left"/>
              <w:rPr/>
            </w:pPr>
            <w:r>
              <w:rPr/>
              <w:t> </w:t>
            </w:r>
          </w:p>
        </w:tc>
        <w:tc>
          <w:tcPr>
            <w:tcW w:w="930"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0"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0" w:type="dxa"/>
            <w:gridSpan w:val="2"/>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w:t>
            </w:r>
          </w:p>
        </w:tc>
        <w:tc>
          <w:tcPr>
            <w:tcW w:w="18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(1,395</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(1,864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(1,820</w:t>
            </w:r>
          </w:p>
        </w:tc>
        <w:tc>
          <w:tcPr>
            <w:tcW w:w="18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amount recognized</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(1,882</w:t>
            </w:r>
          </w:p>
        </w:tc>
        <w:tc>
          <w:tcPr>
            <w:tcW w:w="18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w:t>
            </w:r>
          </w:p>
        </w:tc>
        <w:tc>
          <w:tcPr>
            <w:tcW w:w="18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7" w:type="dxa"/>
            <w:tcBorders/>
            <w:shd w:fill="CCEEFF" w:val="clear"/>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next year (pre-65/post-65 Medicare Advantage)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7.30%/9.25</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5.80%/8.50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6.00%/6.50</w:t>
            </w:r>
          </w:p>
        </w:tc>
        <w:tc>
          <w:tcPr>
            <w:tcW w:w="18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next year (pre-65/post-65 Non-Medicare Advantage)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7.30%/8.30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5.80%/6.20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6.00%/6.50</w:t>
            </w:r>
          </w:p>
        </w:tc>
        <w:tc>
          <w:tcPr>
            <w:tcW w:w="18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 Medicare Advantage)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4.40%/4.50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7"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 Non-Medicare Advantage)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4.40%/4.40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7"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5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 the ultimate rate is reached (pre-65/post-65)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2029/2029</w:t>
            </w:r>
          </w:p>
        </w:tc>
        <w:tc>
          <w:tcPr>
            <w:tcW w:w="187"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p>
      <w:pPr>
        <w:pStyle w:val="TextBody"/>
        <w:bidi w:val="0"/>
        <w:spacing w:lineRule="auto" w:line="300" w:before="0" w:after="0"/>
        <w:jc w:val="left"/>
        <w:rPr/>
      </w:pPr>
      <w:r>
        <w:rPr/>
        <w:t> </w:t>
      </w:r>
    </w:p>
    <w:tbl>
      <w:tblPr>
        <w:tblW w:w="2319" w:type="dxa"/>
        <w:jc w:val="left"/>
        <w:tblInd w:w="1620" w:type="dxa"/>
        <w:tblLayout w:type="fixed"/>
        <w:tblCellMar>
          <w:top w:w="0" w:type="dxa"/>
          <w:left w:w="0" w:type="dxa"/>
          <w:bottom w:w="28" w:type="dxa"/>
          <w:right w:w="0" w:type="dxa"/>
        </w:tblCellMar>
      </w:tblPr>
      <w:tblGrid>
        <w:gridCol w:w="1010"/>
        <w:gridCol w:w="60"/>
        <w:gridCol w:w="321"/>
        <w:gridCol w:w="868"/>
        <w:gridCol w:w="60"/>
      </w:tblGrid>
      <w:tr>
        <w:trPr/>
        <w:tc>
          <w:tcPr>
            <w:tcW w:w="1010" w:type="dxa"/>
            <w:tcBorders>
              <w:bottom w:val="single" w:sz="12" w:space="0" w:color="000000"/>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tcMar>
              <w:bottom w:w="0" w:type="dxa"/>
            </w:tcMar>
            <w:vAlign w:val="bottom"/>
          </w:tcPr>
          <w:p>
            <w:pPr>
              <w:pStyle w:val="TableContents"/>
              <w:bidi w:val="0"/>
              <w:spacing w:before="0" w:after="283"/>
              <w:jc w:val="left"/>
              <w:rPr/>
            </w:pPr>
            <w:r>
              <w:rPr/>
              <w:t> </w:t>
            </w:r>
          </w:p>
        </w:tc>
        <w:tc>
          <w:tcPr>
            <w:tcW w:w="1189"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Other Benefits</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1"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321" w:type="dxa"/>
            <w:tcBorders/>
            <w:tcMar>
              <w:bottom w:w="0" w:type="dxa"/>
            </w:tcMar>
            <w:vAlign w:val="bottom"/>
          </w:tcPr>
          <w:p>
            <w:pPr>
              <w:pStyle w:val="TableContents"/>
              <w:bidi w:val="0"/>
              <w:spacing w:before="0" w:after="283"/>
              <w:jc w:val="left"/>
              <w:rPr/>
            </w:pPr>
            <w:r>
              <w:rPr/>
              <w:t> </w:t>
            </w:r>
          </w:p>
        </w:tc>
        <w:tc>
          <w:tcPr>
            <w:tcW w:w="868"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1" w:type="dxa"/>
            <w:tcBorders/>
            <w:shd w:fill="CCEEFF" w:val="clear"/>
            <w:tcMar>
              <w:bottom w:w="0" w:type="dxa"/>
            </w:tcMar>
            <w:vAlign w:val="bottom"/>
          </w:tcPr>
          <w:p>
            <w:pPr>
              <w:pStyle w:val="TableContents"/>
              <w:bidi w:val="0"/>
              <w:spacing w:before="0" w:after="283"/>
              <w:jc w:val="left"/>
              <w:rPr/>
            </w:pPr>
            <w:r>
              <w:rPr/>
              <w:t> </w:t>
            </w:r>
          </w:p>
        </w:tc>
        <w:tc>
          <w:tcPr>
            <w:tcW w:w="868"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tcMar>
              <w:bottom w:w="0" w:type="dxa"/>
            </w:tcMar>
            <w:vAlign w:val="bottom"/>
          </w:tcPr>
          <w:p>
            <w:pPr>
              <w:pStyle w:val="TableContents"/>
              <w:bidi w:val="0"/>
              <w:spacing w:before="0" w:after="283"/>
              <w:jc w:val="left"/>
              <w:rPr/>
            </w:pPr>
            <w:r>
              <w:rPr/>
              <w:t> </w:t>
            </w:r>
          </w:p>
        </w:tc>
        <w:tc>
          <w:tcPr>
            <w:tcW w:w="321" w:type="dxa"/>
            <w:tcBorders/>
            <w:tcMar>
              <w:bottom w:w="0" w:type="dxa"/>
            </w:tcMar>
            <w:vAlign w:val="bottom"/>
          </w:tcPr>
          <w:p>
            <w:pPr>
              <w:pStyle w:val="TableContents"/>
              <w:bidi w:val="0"/>
              <w:spacing w:before="0" w:after="283"/>
              <w:jc w:val="left"/>
              <w:rPr/>
            </w:pPr>
            <w:r>
              <w:rPr/>
              <w:t> </w:t>
            </w:r>
          </w:p>
        </w:tc>
        <w:tc>
          <w:tcPr>
            <w:tcW w:w="868"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bottom"/>
          </w:tcPr>
          <w:p>
            <w:pPr>
              <w:pStyle w:val="TableContents"/>
              <w:bidi w:val="0"/>
              <w:spacing w:before="0" w:after="283"/>
              <w:jc w:val="left"/>
              <w:rPr/>
            </w:pPr>
            <w:r>
              <w:rPr/>
              <w:t> </w:t>
            </w:r>
          </w:p>
        </w:tc>
        <w:tc>
          <w:tcPr>
            <w:tcW w:w="321" w:type="dxa"/>
            <w:tcBorders/>
            <w:shd w:fill="CCEEFF" w:val="clear"/>
            <w:tcMar>
              <w:bottom w:w="0" w:type="dxa"/>
            </w:tcMar>
            <w:vAlign w:val="bottom"/>
          </w:tcPr>
          <w:p>
            <w:pPr>
              <w:pStyle w:val="TableContents"/>
              <w:bidi w:val="0"/>
              <w:spacing w:before="0" w:after="283"/>
              <w:jc w:val="left"/>
              <w:rPr/>
            </w:pPr>
            <w:r>
              <w:rPr/>
              <w:t> </w:t>
            </w:r>
          </w:p>
        </w:tc>
        <w:tc>
          <w:tcPr>
            <w:tcW w:w="868"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2028 - 2032</w:t>
            </w:r>
          </w:p>
        </w:tc>
        <w:tc>
          <w:tcPr>
            <w:tcW w:w="60" w:type="dxa"/>
            <w:tcBorders/>
            <w:tcMar>
              <w:bottom w:w="0" w:type="dxa"/>
            </w:tcMar>
            <w:vAlign w:val="bottom"/>
          </w:tcPr>
          <w:p>
            <w:pPr>
              <w:pStyle w:val="TableContents"/>
              <w:bidi w:val="0"/>
              <w:spacing w:before="0" w:after="283"/>
              <w:jc w:val="left"/>
              <w:rPr/>
            </w:pPr>
            <w:r>
              <w:rPr/>
              <w:t> </w:t>
            </w:r>
          </w:p>
        </w:tc>
        <w:tc>
          <w:tcPr>
            <w:tcW w:w="321"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455</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For fiscal year ended December 31, 2022, the benefit obligation experienced a net actuarial gain that was primarily attributable to the discount rate increase compared to the prior year. For fiscal year ended December 31, 2021, the benefit obligation experienced a net actuarial gain that was primarily attributable to the discount rate increase to 3.00%, compared to 2.80% in the prior year.</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TSNB Pension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the change in plan assets and funded status for TSNB’s pension plan for the years ended December 31, 2022, 2021 and 2020 are as follows:</w:t>
      </w:r>
    </w:p>
    <w:p>
      <w:pPr>
        <w:pStyle w:val="TextBody"/>
        <w:bidi w:val="0"/>
        <w:spacing w:lineRule="auto" w:line="300" w:before="0" w:after="0"/>
        <w:ind w:left="1560" w:right="0" w:firstLine="6"/>
        <w:jc w:val="both"/>
        <w:rPr/>
      </w:pPr>
      <w:r>
        <w:rPr/>
        <w:t> </w:t>
      </w:r>
    </w:p>
    <w:tbl>
      <w:tblPr>
        <w:tblW w:w="8585" w:type="dxa"/>
        <w:jc w:val="left"/>
        <w:tblInd w:w="1620" w:type="dxa"/>
        <w:tblLayout w:type="fixed"/>
        <w:tblCellMar>
          <w:top w:w="0" w:type="dxa"/>
          <w:left w:w="0" w:type="dxa"/>
          <w:bottom w:w="0" w:type="dxa"/>
          <w:right w:w="0" w:type="dxa"/>
        </w:tblCellMar>
      </w:tblPr>
      <w:tblGrid>
        <w:gridCol w:w="6050"/>
        <w:gridCol w:w="60"/>
        <w:gridCol w:w="125"/>
        <w:gridCol w:w="485"/>
        <w:gridCol w:w="185"/>
        <w:gridCol w:w="60"/>
        <w:gridCol w:w="125"/>
        <w:gridCol w:w="545"/>
        <w:gridCol w:w="185"/>
        <w:gridCol w:w="60"/>
        <w:gridCol w:w="125"/>
        <w:gridCol w:w="395"/>
        <w:gridCol w:w="185"/>
      </w:tblGrid>
      <w:tr>
        <w:trPr/>
        <w:tc>
          <w:tcPr>
            <w:tcW w:w="605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687</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(788</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(909</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administrative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loss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(gain) for the period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(1,038</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gain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loss (gain) in other comprehensive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(1,068</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net periodic benefit cost (gain) and other comprehensive income (loss)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(1,151</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3.20</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- 38</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TSNB’s pension plan for the years ended December 31, 2022, 2021 and 2020 are as follows:</w:t>
      </w:r>
    </w:p>
    <w:p>
      <w:pPr>
        <w:pStyle w:val="TextBody"/>
        <w:bidi w:val="0"/>
        <w:spacing w:lineRule="auto" w:line="300" w:before="0" w:after="0"/>
        <w:jc w:val="left"/>
        <w:rPr/>
      </w:pPr>
      <w:r>
        <w:rPr/>
        <w:t> </w:t>
      </w:r>
    </w:p>
    <w:tbl>
      <w:tblPr>
        <w:tblW w:w="7370" w:type="dxa"/>
        <w:jc w:val="left"/>
        <w:tblInd w:w="1620" w:type="dxa"/>
        <w:tblLayout w:type="fixed"/>
        <w:tblCellMar>
          <w:top w:w="0" w:type="dxa"/>
          <w:left w:w="0" w:type="dxa"/>
          <w:bottom w:w="0" w:type="dxa"/>
          <w:right w:w="0" w:type="dxa"/>
        </w:tblCellMar>
      </w:tblPr>
      <w:tblGrid>
        <w:gridCol w:w="4490"/>
        <w:gridCol w:w="60"/>
        <w:gridCol w:w="125"/>
        <w:gridCol w:w="590"/>
        <w:gridCol w:w="185"/>
        <w:gridCol w:w="60"/>
        <w:gridCol w:w="125"/>
        <w:gridCol w:w="590"/>
        <w:gridCol w:w="185"/>
        <w:gridCol w:w="60"/>
        <w:gridCol w:w="125"/>
        <w:gridCol w:w="590"/>
        <w:gridCol w:w="185"/>
      </w:tblGrid>
      <w:tr>
        <w:trPr/>
        <w:tc>
          <w:tcPr>
            <w:tcW w:w="449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benefit obligation:</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obligation at beginning of period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22,081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23,467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21,908</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687</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(804</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(736</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provisions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Actuarial loss (gain)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(4,468</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(1,183</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1,608</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obligation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23,467</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25,750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25,985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24,454</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Actual return on plan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(5,211</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2,337</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Employer contribution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Expenses paid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w:t>
            </w:r>
          </w:p>
        </w:tc>
        <w:tc>
          <w:tcPr>
            <w:tcW w:w="18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(737</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25,985</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Funded Status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3,669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2,518</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3,669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2,518</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amount recognized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3,669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2,518</w:t>
            </w:r>
          </w:p>
        </w:tc>
        <w:tc>
          <w:tcPr>
            <w:tcW w:w="185" w:type="dxa"/>
            <w:tcBorders/>
            <w:shd w:fill="CCEEFF" w:val="clear"/>
            <w:vAlign w:val="bottom"/>
          </w:tcPr>
          <w:p>
            <w:pPr>
              <w:pStyle w:val="TableContents"/>
              <w:bidi w:val="0"/>
              <w:spacing w:before="0" w:after="283"/>
              <w:jc w:val="left"/>
              <w:rPr/>
            </w:pPr>
            <w:r>
              <w:rPr/>
              <w:t> </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49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p>
      <w:pPr>
        <w:pStyle w:val="TextBody"/>
        <w:bidi w:val="0"/>
        <w:spacing w:lineRule="auto" w:line="300" w:before="0" w:after="0"/>
        <w:jc w:val="left"/>
        <w:rPr/>
      </w:pPr>
      <w:r>
        <w:rPr/>
        <w:t> </w:t>
      </w:r>
    </w:p>
    <w:tbl>
      <w:tblPr>
        <w:tblW w:w="2319" w:type="dxa"/>
        <w:jc w:val="left"/>
        <w:tblInd w:w="1620" w:type="dxa"/>
        <w:tblLayout w:type="fixed"/>
        <w:tblCellMar>
          <w:top w:w="0" w:type="dxa"/>
          <w:left w:w="0" w:type="dxa"/>
          <w:bottom w:w="28" w:type="dxa"/>
          <w:right w:w="0" w:type="dxa"/>
        </w:tblCellMar>
      </w:tblPr>
      <w:tblGrid>
        <w:gridCol w:w="1010"/>
        <w:gridCol w:w="60"/>
        <w:gridCol w:w="243"/>
        <w:gridCol w:w="946"/>
        <w:gridCol w:w="60"/>
      </w:tblGrid>
      <w:tr>
        <w:trPr/>
        <w:tc>
          <w:tcPr>
            <w:tcW w:w="1010" w:type="dxa"/>
            <w:tcBorders>
              <w:bottom w:val="single" w:sz="12" w:space="0" w:color="000000"/>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tcMar>
              <w:bottom w:w="0" w:type="dxa"/>
            </w:tcMar>
            <w:vAlign w:val="bottom"/>
          </w:tcPr>
          <w:p>
            <w:pPr>
              <w:pStyle w:val="TableContents"/>
              <w:bidi w:val="0"/>
              <w:spacing w:before="0" w:after="283"/>
              <w:jc w:val="left"/>
              <w:rPr/>
            </w:pPr>
            <w:r>
              <w:rPr/>
              <w:t> </w:t>
            </w:r>
          </w:p>
        </w:tc>
        <w:tc>
          <w:tcPr>
            <w:tcW w:w="1189"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Other Benefits</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1,018</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6"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1,101</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946"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1,173</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before="0" w:after="283"/>
              <w:jc w:val="left"/>
              <w:rPr/>
            </w:pPr>
            <w:r>
              <w:rPr/>
              <w:t> </w:t>
            </w:r>
          </w:p>
        </w:tc>
        <w:tc>
          <w:tcPr>
            <w:tcW w:w="946"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1,225</w:t>
            </w:r>
          </w:p>
        </w:tc>
        <w:tc>
          <w:tcPr>
            <w:tcW w:w="60" w:type="dxa"/>
            <w:tcBorders/>
            <w:tcMar>
              <w:bottom w:w="0" w:type="dxa"/>
            </w:tcMar>
            <w:vAlign w:val="bottom"/>
          </w:tcPr>
          <w:p>
            <w:pPr>
              <w:pStyle w:val="TableContents"/>
              <w:bidi w:val="0"/>
              <w:spacing w:before="0" w:after="283"/>
              <w:jc w:val="left"/>
              <w:rPr/>
            </w:pPr>
            <w:r>
              <w:rPr/>
              <w:t> </w:t>
            </w:r>
          </w:p>
        </w:tc>
      </w:tr>
      <w:tr>
        <w:trPr/>
        <w:tc>
          <w:tcPr>
            <w:tcW w:w="1010" w:type="dxa"/>
            <w:tcBorders/>
            <w:shd w:fill="CCEEFF" w:val="clear"/>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946"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1,261</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010" w:type="dxa"/>
            <w:tcBorders/>
            <w:tcMar>
              <w:bottom w:w="0" w:type="dxa"/>
            </w:tcM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2028 - 2032</w:t>
            </w:r>
          </w:p>
        </w:tc>
        <w:tc>
          <w:tcPr>
            <w:tcW w:w="60" w:type="dxa"/>
            <w:tcBorders/>
            <w:tcMar>
              <w:bottom w:w="0" w:type="dxa"/>
            </w:tcMar>
            <w:vAlign w:val="bottom"/>
          </w:tcPr>
          <w:p>
            <w:pPr>
              <w:pStyle w:val="TableContents"/>
              <w:bidi w:val="0"/>
              <w:spacing w:before="0" w:after="283"/>
              <w:jc w:val="left"/>
              <w:rPr/>
            </w:pPr>
            <w:r>
              <w:rPr/>
              <w:t> </w:t>
            </w:r>
          </w:p>
        </w:tc>
        <w:tc>
          <w:tcPr>
            <w:tcW w:w="243"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6"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6,441</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- 39</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fiscal year ended December 31, 2022, the benefit obligation experienced a net actuarial gain that was primarily attributable to the discount rate increase to 5.10%, compared to 2.90% in the prior year. For fiscal year ended December 31, 2021, the benefit obligation experienced a net actuarial gain that was primarily attributable to the discount rate increase to 2.90%, compared to 2.50% in the prior year.</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2022:</w:t>
      </w:r>
    </w:p>
    <w:p>
      <w:pPr>
        <w:pStyle w:val="TextBody"/>
        <w:bidi w:val="0"/>
        <w:spacing w:lineRule="auto" w:line="300" w:before="0" w:after="0"/>
        <w:jc w:val="left"/>
        <w:rPr/>
      </w:pPr>
      <w:r>
        <w:rPr/>
        <w:t> </w:t>
      </w:r>
    </w:p>
    <w:tbl>
      <w:tblPr>
        <w:tblW w:w="5108" w:type="dxa"/>
        <w:jc w:val="left"/>
        <w:tblInd w:w="1620" w:type="dxa"/>
        <w:tblLayout w:type="fixed"/>
        <w:tblCellMar>
          <w:top w:w="0" w:type="dxa"/>
          <w:left w:w="0" w:type="dxa"/>
          <w:bottom w:w="0" w:type="dxa"/>
          <w:right w:w="0" w:type="dxa"/>
        </w:tblCellMar>
      </w:tblPr>
      <w:tblGrid>
        <w:gridCol w:w="2765"/>
        <w:gridCol w:w="60"/>
        <w:gridCol w:w="386"/>
        <w:gridCol w:w="248"/>
        <w:gridCol w:w="60"/>
        <w:gridCol w:w="60"/>
        <w:gridCol w:w="125"/>
        <w:gridCol w:w="590"/>
        <w:gridCol w:w="60"/>
        <w:gridCol w:w="60"/>
        <w:gridCol w:w="386"/>
        <w:gridCol w:w="248"/>
        <w:gridCol w:w="60"/>
      </w:tblGrid>
      <w:tr>
        <w:trPr/>
        <w:tc>
          <w:tcPr>
            <w:tcW w:w="27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Investments in commingled funds</w:t>
            </w:r>
          </w:p>
        </w:tc>
        <w:tc>
          <w:tcPr>
            <w:tcW w:w="60" w:type="dxa"/>
            <w:tcBorders/>
            <w:shd w:fill="CCEEFF" w:val="clear"/>
            <w:vAlign w:val="bottom"/>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60" w:type="dxa"/>
            <w:tcBorders/>
            <w:vAlign w:val="bottom"/>
          </w:tcPr>
          <w:p>
            <w:pPr>
              <w:pStyle w:val="TableContents"/>
              <w:bidi w:val="0"/>
              <w:spacing w:before="0" w:after="283"/>
              <w:jc w:val="left"/>
              <w:rPr/>
            </w:pPr>
            <w:r>
              <w:rPr/>
              <w:t> </w:t>
            </w:r>
          </w:p>
        </w:tc>
        <w:tc>
          <w:tcPr>
            <w:tcW w:w="386"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2021:</w:t>
      </w:r>
    </w:p>
    <w:p>
      <w:pPr>
        <w:pStyle w:val="TextBody"/>
        <w:bidi w:val="0"/>
        <w:spacing w:lineRule="auto" w:line="300" w:before="0" w:after="0"/>
        <w:jc w:val="left"/>
        <w:rPr/>
      </w:pPr>
      <w:r>
        <w:rPr/>
        <w:t> </w:t>
      </w:r>
    </w:p>
    <w:tbl>
      <w:tblPr>
        <w:tblW w:w="5108" w:type="dxa"/>
        <w:jc w:val="left"/>
        <w:tblInd w:w="1620" w:type="dxa"/>
        <w:tblLayout w:type="fixed"/>
        <w:tblCellMar>
          <w:top w:w="0" w:type="dxa"/>
          <w:left w:w="0" w:type="dxa"/>
          <w:bottom w:w="0" w:type="dxa"/>
          <w:right w:w="0" w:type="dxa"/>
        </w:tblCellMar>
      </w:tblPr>
      <w:tblGrid>
        <w:gridCol w:w="2765"/>
        <w:gridCol w:w="60"/>
        <w:gridCol w:w="386"/>
        <w:gridCol w:w="248"/>
        <w:gridCol w:w="60"/>
        <w:gridCol w:w="60"/>
        <w:gridCol w:w="125"/>
        <w:gridCol w:w="590"/>
        <w:gridCol w:w="60"/>
        <w:gridCol w:w="60"/>
        <w:gridCol w:w="386"/>
        <w:gridCol w:w="248"/>
        <w:gridCol w:w="60"/>
      </w:tblGrid>
      <w:tr>
        <w:trPr/>
        <w:tc>
          <w:tcPr>
            <w:tcW w:w="27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Investments in commingled funds</w:t>
            </w:r>
          </w:p>
        </w:tc>
        <w:tc>
          <w:tcPr>
            <w:tcW w:w="60" w:type="dxa"/>
            <w:tcBorders/>
            <w:shd w:fill="CCEEFF" w:val="clear"/>
            <w:vAlign w:val="bottom"/>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60" w:type="dxa"/>
            <w:tcBorders/>
            <w:vAlign w:val="bottom"/>
          </w:tcPr>
          <w:p>
            <w:pPr>
              <w:pStyle w:val="TableContents"/>
              <w:bidi w:val="0"/>
              <w:spacing w:before="0" w:after="283"/>
              <w:jc w:val="left"/>
              <w:rPr/>
            </w:pPr>
            <w:r>
              <w:rPr/>
              <w:t> </w:t>
            </w:r>
          </w:p>
        </w:tc>
        <w:tc>
          <w:tcPr>
            <w:tcW w:w="386"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TSNB’s pension plan weighted average asset allocations on December 31, 2022, by asset category are as follows:</w:t>
      </w:r>
    </w:p>
    <w:p>
      <w:pPr>
        <w:pStyle w:val="TextBody"/>
        <w:bidi w:val="0"/>
        <w:spacing w:lineRule="auto" w:line="300" w:before="0" w:after="0"/>
        <w:jc w:val="left"/>
        <w:rPr/>
      </w:pPr>
      <w:r>
        <w:rPr/>
        <w:t> </w:t>
      </w:r>
    </w:p>
    <w:tbl>
      <w:tblPr>
        <w:tblW w:w="3938" w:type="dxa"/>
        <w:jc w:val="left"/>
        <w:tblInd w:w="1620" w:type="dxa"/>
        <w:tblLayout w:type="fixed"/>
        <w:tblCellMar>
          <w:top w:w="0" w:type="dxa"/>
          <w:left w:w="0" w:type="dxa"/>
          <w:bottom w:w="28" w:type="dxa"/>
          <w:right w:w="0" w:type="dxa"/>
        </w:tblCellMar>
      </w:tblPr>
      <w:tblGrid>
        <w:gridCol w:w="1385"/>
        <w:gridCol w:w="60"/>
        <w:gridCol w:w="177"/>
        <w:gridCol w:w="997"/>
        <w:gridCol w:w="185"/>
        <w:gridCol w:w="60"/>
        <w:gridCol w:w="134"/>
        <w:gridCol w:w="755"/>
        <w:gridCol w:w="185"/>
      </w:tblGrid>
      <w:tr>
        <w:trPr/>
        <w:tc>
          <w:tcPr>
            <w:tcW w:w="1385"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 Category</w:t>
            </w:r>
          </w:p>
        </w:tc>
        <w:tc>
          <w:tcPr>
            <w:tcW w:w="60" w:type="dxa"/>
            <w:tcBorders/>
            <w:tcMar>
              <w:bottom w:w="0" w:type="dxa"/>
            </w:tcMar>
            <w:vAlign w:val="bottom"/>
          </w:tcPr>
          <w:p>
            <w:pPr>
              <w:pStyle w:val="TableContents"/>
              <w:bidi w:val="0"/>
              <w:spacing w:before="0" w:after="283"/>
              <w:jc w:val="left"/>
              <w:rPr/>
            </w:pPr>
            <w:r>
              <w:rPr/>
              <w:t> </w:t>
            </w:r>
          </w:p>
        </w:tc>
        <w:tc>
          <w:tcPr>
            <w:tcW w:w="1174"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December 31,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9" w:type="dxa"/>
            <w:gridSpan w:val="2"/>
            <w:tcBorders>
              <w:bottom w:val="single" w:sz="12" w:space="0" w:color="000000"/>
            </w:tcBorders>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Target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allocation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tcMar>
              <w:bottom w:w="0" w:type="dxa"/>
            </w:tcMar>
            <w:vAlign w:val="bottom"/>
          </w:tcPr>
          <w:p>
            <w:pPr>
              <w:pStyle w:val="TableContents"/>
              <w:bidi w:val="0"/>
              <w:spacing w:before="0" w:after="283"/>
              <w:jc w:val="left"/>
              <w:rPr/>
            </w:pPr>
            <w:r>
              <w:rPr/>
              <w:t> </w:t>
            </w:r>
          </w:p>
        </w:tc>
      </w:tr>
      <w:tr>
        <w:trPr/>
        <w:tc>
          <w:tcPr>
            <w:tcW w:w="13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77" w:type="dxa"/>
            <w:tcBorders/>
            <w:shd w:fill="CCEEFF" w:val="clear"/>
            <w:tcMar>
              <w:bottom w:w="0" w:type="dxa"/>
            </w:tcMar>
            <w:vAlign w:val="bottom"/>
          </w:tcPr>
          <w:p>
            <w:pPr>
              <w:pStyle w:val="TableContents"/>
              <w:bidi w:val="0"/>
              <w:spacing w:before="0" w:after="283"/>
              <w:jc w:val="left"/>
              <w:rPr/>
            </w:pPr>
            <w:r>
              <w:rPr/>
              <w:t> </w:t>
            </w:r>
          </w:p>
        </w:tc>
        <w:tc>
          <w:tcPr>
            <w:tcW w:w="997"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4" w:type="dxa"/>
            <w:tcBorders/>
            <w:shd w:fill="CCEEFF" w:val="clear"/>
            <w:tcMar>
              <w:bottom w:w="0" w:type="dxa"/>
            </w:tcMar>
            <w:vAlign w:val="bottom"/>
          </w:tcPr>
          <w:p>
            <w:pPr>
              <w:pStyle w:val="TableContents"/>
              <w:bidi w:val="0"/>
              <w:spacing w:before="0" w:after="283"/>
              <w:jc w:val="left"/>
              <w:rPr/>
            </w:pPr>
            <w:r>
              <w:rPr/>
              <w:t> </w:t>
            </w:r>
          </w:p>
        </w:tc>
        <w:tc>
          <w:tcPr>
            <w:tcW w:w="75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Debt securities</w:t>
            </w:r>
          </w:p>
        </w:tc>
        <w:tc>
          <w:tcPr>
            <w:tcW w:w="60" w:type="dxa"/>
            <w:tcBorders/>
            <w:tcMar>
              <w:bottom w:w="0" w:type="dxa"/>
            </w:tcMar>
            <w:vAlign w:val="bottom"/>
          </w:tcPr>
          <w:p>
            <w:pPr>
              <w:pStyle w:val="TableContents"/>
              <w:bidi w:val="0"/>
              <w:spacing w:before="0" w:after="283"/>
              <w:jc w:val="left"/>
              <w:rPr/>
            </w:pPr>
            <w:r>
              <w:rPr/>
              <w:t> </w:t>
            </w:r>
          </w:p>
        </w:tc>
        <w:tc>
          <w:tcPr>
            <w:tcW w:w="177" w:type="dxa"/>
            <w:tcBorders/>
            <w:tcMar>
              <w:bottom w:w="0" w:type="dxa"/>
            </w:tcMar>
            <w:vAlign w:val="bottom"/>
          </w:tcPr>
          <w:p>
            <w:pPr>
              <w:pStyle w:val="TableContents"/>
              <w:bidi w:val="0"/>
              <w:spacing w:before="0" w:after="283"/>
              <w:jc w:val="left"/>
              <w:rPr/>
            </w:pPr>
            <w:r>
              <w:rPr/>
              <w:t> </w:t>
            </w:r>
          </w:p>
        </w:tc>
        <w:tc>
          <w:tcPr>
            <w:tcW w:w="997"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w:t>
            </w:r>
          </w:p>
        </w:tc>
        <w:tc>
          <w:tcPr>
            <w:tcW w:w="185"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134" w:type="dxa"/>
            <w:tcBorders/>
            <w:tcMar>
              <w:bottom w:w="0" w:type="dxa"/>
            </w:tcMar>
            <w:vAlign w:val="bottom"/>
          </w:tcPr>
          <w:p>
            <w:pPr>
              <w:pStyle w:val="TableContents"/>
              <w:bidi w:val="0"/>
              <w:spacing w:before="0" w:after="283"/>
              <w:jc w:val="left"/>
              <w:rPr/>
            </w:pPr>
            <w:r>
              <w:rPr/>
              <w:t> </w:t>
            </w:r>
          </w:p>
        </w:tc>
        <w:tc>
          <w:tcPr>
            <w:tcW w:w="755" w:type="dxa"/>
            <w:tcBorders/>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185" w:type="dxa"/>
            <w:tcBorders/>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bottom"/>
          </w:tcPr>
          <w:p>
            <w:pPr>
              <w:pStyle w:val="TableContents"/>
              <w:bidi w:val="0"/>
              <w:spacing w:before="0" w:after="283"/>
              <w:jc w:val="left"/>
              <w:rPr/>
            </w:pPr>
            <w:r>
              <w:rPr/>
              <w:t> </w:t>
            </w:r>
          </w:p>
        </w:tc>
        <w:tc>
          <w:tcPr>
            <w:tcW w:w="177" w:type="dxa"/>
            <w:tcBorders/>
            <w:shd w:fill="CCEEFF" w:val="clear"/>
            <w:tcMar>
              <w:bottom w:w="0" w:type="dxa"/>
            </w:tcMar>
            <w:vAlign w:val="bottom"/>
          </w:tcPr>
          <w:p>
            <w:pPr>
              <w:pStyle w:val="TableContents"/>
              <w:bidi w:val="0"/>
              <w:spacing w:before="0" w:after="283"/>
              <w:jc w:val="left"/>
              <w:rPr/>
            </w:pPr>
            <w:r>
              <w:rPr/>
              <w:t> </w:t>
            </w:r>
          </w:p>
        </w:tc>
        <w:tc>
          <w:tcPr>
            <w:tcW w:w="997"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4" w:type="dxa"/>
            <w:tcBorders/>
            <w:shd w:fill="CCEEFF" w:val="clear"/>
            <w:tcMar>
              <w:bottom w:w="0" w:type="dxa"/>
            </w:tcMar>
            <w:vAlign w:val="bottom"/>
          </w:tcPr>
          <w:p>
            <w:pPr>
              <w:pStyle w:val="TableContents"/>
              <w:bidi w:val="0"/>
              <w:spacing w:before="0" w:after="283"/>
              <w:jc w:val="left"/>
              <w:rPr/>
            </w:pPr>
            <w:r>
              <w:rPr/>
              <w:t> </w:t>
            </w:r>
          </w:p>
        </w:tc>
        <w:tc>
          <w:tcPr>
            <w:tcW w:w="755" w:type="dxa"/>
            <w:tcBorders/>
            <w:shd w:fill="CCEEFF" w:val="clear"/>
            <w:tcMar>
              <w:bottom w:w="0"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620" w:right="0" w:hanging="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TSNB’s primary policy goals regarding the plan’s assets are to (1) provide liquidity to meet the Plan benefit payments and expenses payable from the Plan, (2) offer a reasonable probability of achieving a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14:     </w:t>
      </w:r>
      <w:r>
        <w:rPr>
          <w:rFonts w:ascii="Times New Roman;Times;serif" w:hAnsi="Times New Roman;Times;serif"/>
          <w:b/>
          <w:sz w:val="20"/>
        </w:rPr>
        <w:t>COMMITMENTS AND CONTINGENCIES</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Liens</w:t>
      </w:r>
    </w:p>
    <w:p>
      <w:pPr>
        <w:pStyle w:val="TextBody"/>
        <w:bidi w:val="0"/>
        <w:spacing w:before="220" w:after="0"/>
        <w:ind w:left="1560" w:right="0" w:hanging="0"/>
        <w:jc w:val="left"/>
        <w:rPr/>
      </w:pPr>
      <w:r>
        <w:rPr>
          <w:rStyle w:val="StrongEmphasis"/>
          <w:rFonts w:ascii="Times New Roman;Times;serif" w:hAnsi="Times New Roman;Times;serif"/>
          <w:sz w:val="20"/>
        </w:rPr>
        <w:t>Loans, Bonds and Capital Leases</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For liens relating to the TSNB Credit Line Agreement, see Note 11F. For liens under TPSCo’s JP Loan, see Note 11C. For liens under the capital lease agreements, see Note 11D. For negative pledge under the Series G Debentures’ indenture, see Note 10.</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TPSCo</w:t>
      </w:r>
    </w:p>
    <w:p>
      <w:pPr>
        <w:pStyle w:val="TextBody"/>
        <w:bidi w:val="0"/>
        <w:spacing w:before="220" w:after="0"/>
        <w:ind w:left="1560" w:right="0" w:hanging="0"/>
        <w:jc w:val="left"/>
        <w:rPr>
          <w:rFonts w:ascii="Times New Roman;Times;serif" w:hAnsi="Times New Roman;Times;serif"/>
          <w:b/>
          <w:sz w:val="20"/>
        </w:rPr>
      </w:pPr>
      <w:r>
        <w:rPr>
          <w:rFonts w:ascii="Times New Roman;Times;serif" w:hAnsi="Times New Roman;Times;serif"/>
          <w:b/>
          <w:sz w:val="20"/>
        </w:rPr>
        <w:t>1.          Renewed Contracts </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In August 2022, agreements were signed between Tower, TPSCo and NTCJ to extend the business relationship of these three companies through March 2027 under certain amended terms, including changes to the commercial pricing for the manufacturing and other services provided by TPSCo and enhanced financial support from Tower and NTCJ to TPSCo. </w:t>
      </w:r>
    </w:p>
    <w:p>
      <w:pPr>
        <w:pStyle w:val="TextBody"/>
        <w:bidi w:val="0"/>
        <w:spacing w:before="0" w:after="0"/>
        <w:ind w:left="0" w:right="0" w:hanging="0"/>
        <w:jc w:val="left"/>
        <w:rPr/>
      </w:pPr>
      <w:r>
        <w:rPr/>
        <w:t> </w:t>
      </w:r>
    </w:p>
    <w:p>
      <w:pPr>
        <w:pStyle w:val="TextBody"/>
        <w:bidi w:val="0"/>
        <w:spacing w:before="0" w:after="0"/>
        <w:ind w:left="1560" w:right="0" w:hanging="0"/>
        <w:jc w:val="left"/>
        <w:rPr/>
      </w:pPr>
      <w:r>
        <w:rPr>
          <w:rStyle w:val="StrongEmphasis"/>
          <w:rFonts w:ascii="Times New Roman;Times;serif" w:hAnsi="Times New Roman;Times;serif"/>
          <w:sz w:val="20"/>
        </w:rPr>
        <w:t>2.         Japanese Facility Operations Restructuring</w:t>
      </w:r>
    </w:p>
    <w:p>
      <w:pPr>
        <w:pStyle w:val="TextBody"/>
        <w:bidi w:val="0"/>
        <w:spacing w:before="0" w:after="0"/>
        <w:ind w:left="1560" w:right="0" w:hanging="0"/>
        <w:jc w:val="left"/>
        <w:rPr/>
      </w:pPr>
      <w:r>
        <w:rPr/>
        <w:t> </w:t>
      </w:r>
    </w:p>
    <w:p>
      <w:pPr>
        <w:pStyle w:val="TextBody"/>
        <w:bidi w:val="0"/>
        <w:spacing w:before="0" w:after="0"/>
        <w:ind w:left="1560" w:right="0" w:hanging="0"/>
        <w:jc w:val="both"/>
        <w:rPr>
          <w:rFonts w:ascii="Times New Roman;Times;serif" w:hAnsi="Times New Roman;Times;serif"/>
          <w:sz w:val="20"/>
        </w:rPr>
      </w:pPr>
      <w:r>
        <w:rPr>
          <w:rFonts w:ascii="Times New Roman;Times;serif" w:hAnsi="Times New Roman;Times;serif"/>
          <w:sz w:val="20"/>
        </w:rPr>
        <w:t>As part of agreements signed in 2019, as amended thereafter, between the Company, NTCJ and TPSCo, it has been decided to re-organize and re-structure operations in Japan such that, while operations at the Uozu and Tonami facilities will remain unchanged, the Arai manufacturing factory, which was manufacturing products solely for NTCJ and was not serving the Company’s customers, will cease operations. This cessation of operations of Arai factory occurred in June 2022 and during 2022 TPSCo initiated the process of transferring part of the machinery and equipment from the Arai factory to the Tonami factory for operations there-at. The rest of the machinery and equipment were sold to third parties. The restructuring process, including the transfer and installation of machinery and equipment in the Tonami factory and the sale of the other equipment, is expected to be completed during 2023. For the year ended December 31, 2022, the Company recorded restructuring gain from sale of machinery and equipment, net of $20,243 as well as restructuring expense of $10,684.  </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before="0" w:after="0"/>
        <w:jc w:val="left"/>
        <w:rPr/>
      </w:pPr>
      <w:r>
        <w:rPr>
          <w:rFonts w:ascii="Times New Roman;Times;serif" w:hAnsi="Times New Roman;Times;serif"/>
          <w:b/>
          <w:sz w:val="20"/>
        </w:rPr>
        <w:t>NOTE 14:     </w:t>
      </w:r>
      <w:r>
        <w:rPr>
          <w:rFonts w:ascii="Times New Roman;Times;serif" w:hAnsi="Times New Roman;Times;serif"/>
          <w:b/>
          <w:sz w:val="20"/>
        </w:rPr>
        <w:t>COMMITMENTS AND CONTINGENCIES </w:t>
      </w:r>
      <w:r>
        <w:rPr>
          <w:rStyle w:val="StrongEmphasis"/>
          <w:rFonts w:ascii="Times New Roman;Times;serif" w:hAnsi="Times New Roman;Times;serif"/>
          <w:sz w:val="20"/>
        </w:rPr>
        <w:t>(Continued)</w:t>
      </w:r>
    </w:p>
    <w:p>
      <w:pPr>
        <w:pStyle w:val="TextBody"/>
        <w:bidi w:val="0"/>
        <w:spacing w:before="0" w:after="0"/>
        <w:jc w:val="left"/>
        <w:rPr/>
      </w:pPr>
      <w:r>
        <w:rPr/>
        <w:t> </w:t>
      </w:r>
    </w:p>
    <w:p>
      <w:pPr>
        <w:pStyle w:val="TextBody"/>
        <w:bidi w:val="0"/>
        <w:spacing w:before="0" w:after="0"/>
        <w:ind w:left="1560" w:right="0" w:hanging="0"/>
        <w:jc w:val="left"/>
        <w:rPr>
          <w:rFonts w:ascii="Times New Roman;Times;serif" w:hAnsi="Times New Roman;Times;serif"/>
          <w:sz w:val="20"/>
        </w:rPr>
      </w:pPr>
      <w:r>
        <w:rPr>
          <w:rFonts w:ascii="Times New Roman;Times;serif" w:hAnsi="Times New Roman;Times;serif"/>
          <w:sz w:val="20"/>
        </w:rPr>
        <w:t>Changes in accruals related to Arai factory cessation for the year ended December 31, 2022 were as follows: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3545"/>
        <w:gridCol w:w="60"/>
        <w:gridCol w:w="377"/>
        <w:gridCol w:w="1508"/>
        <w:gridCol w:w="95"/>
        <w:gridCol w:w="60"/>
        <w:gridCol w:w="485"/>
        <w:gridCol w:w="2359"/>
        <w:gridCol w:w="96"/>
      </w:tblGrid>
      <w:tr>
        <w:trPr/>
        <w:tc>
          <w:tcPr>
            <w:tcW w:w="354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Details</w:t>
            </w:r>
          </w:p>
        </w:tc>
        <w:tc>
          <w:tcPr>
            <w:tcW w:w="60" w:type="dxa"/>
            <w:tcBorders/>
            <w:vAlign w:val="bottom"/>
          </w:tcPr>
          <w:p>
            <w:pPr>
              <w:pStyle w:val="TableContents"/>
              <w:bidi w:val="0"/>
              <w:spacing w:before="0" w:after="283"/>
              <w:jc w:val="left"/>
              <w:rPr/>
            </w:pPr>
            <w:r>
              <w:rPr/>
              <w:t> </w:t>
            </w:r>
          </w:p>
        </w:tc>
        <w:tc>
          <w:tcPr>
            <w:tcW w:w="188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Asset disposal accrual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Other Restructuring costs accrual</w:t>
            </w:r>
          </w:p>
        </w:tc>
        <w:tc>
          <w:tcPr>
            <w:tcW w:w="96"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lineRule="auto" w:line="300" w:before="0" w:after="0"/>
              <w:jc w:val="left"/>
              <w:rPr/>
            </w:pPr>
            <w:r>
              <w:rPr/>
              <w:t>Accrued balance as of January 1, 2022</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lineRule="auto" w:line="300" w:before="0" w:after="0"/>
              <w:jc w:val="left"/>
              <w:rPr/>
            </w:pPr>
            <w:r>
              <w:rPr/>
              <w:t>$</w:t>
            </w:r>
          </w:p>
        </w:tc>
        <w:tc>
          <w:tcPr>
            <w:tcW w:w="1508" w:type="dxa"/>
            <w:tcBorders/>
            <w:shd w:fill="CCEEFF" w:val="clear"/>
            <w:vAlign w:val="bottom"/>
          </w:tcPr>
          <w:p>
            <w:pPr>
              <w:pStyle w:val="TableContents"/>
              <w:bidi w:val="0"/>
              <w:spacing w:lineRule="auto" w:line="300" w:before="0" w:after="0"/>
              <w:jc w:val="right"/>
              <w:rPr/>
            </w:pPr>
            <w:r>
              <w:rPr/>
              <w:t>2,250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lineRule="auto" w:line="300" w:before="0" w:after="0"/>
              <w:jc w:val="left"/>
              <w:rPr/>
            </w:pPr>
            <w:r>
              <w:rPr/>
              <w:t>$</w:t>
            </w:r>
          </w:p>
        </w:tc>
        <w:tc>
          <w:tcPr>
            <w:tcW w:w="2359" w:type="dxa"/>
            <w:tcBorders/>
            <w:shd w:fill="CCEEFF" w:val="clear"/>
            <w:vAlign w:val="bottom"/>
          </w:tcPr>
          <w:p>
            <w:pPr>
              <w:pStyle w:val="TableContents"/>
              <w:bidi w:val="0"/>
              <w:spacing w:lineRule="auto" w:line="300" w:before="0" w:after="0"/>
              <w:jc w:val="right"/>
              <w:rPr/>
            </w:pPr>
            <w:r>
              <w:rPr/>
              <w:t>-</w:t>
            </w:r>
          </w:p>
        </w:tc>
        <w:tc>
          <w:tcPr>
            <w:tcW w:w="96"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lineRule="auto" w:line="300" w:before="0" w:after="0"/>
              <w:jc w:val="left"/>
              <w:rPr/>
            </w:pPr>
            <w:r>
              <w:rPr/>
              <w:t>Expenses accrued</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08"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2359" w:type="dxa"/>
            <w:tcBorders/>
            <w:vAlign w:val="bottom"/>
          </w:tcPr>
          <w:p>
            <w:pPr>
              <w:pStyle w:val="TableContents"/>
              <w:bidi w:val="0"/>
              <w:spacing w:lineRule="auto" w:line="300" w:before="0" w:after="0"/>
              <w:jc w:val="right"/>
              <w:rPr/>
            </w:pPr>
            <w:r>
              <w:rPr/>
              <w:t>10,684</w:t>
            </w:r>
          </w:p>
        </w:tc>
        <w:tc>
          <w:tcPr>
            <w:tcW w:w="96"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lineRule="auto" w:line="300" w:before="0" w:after="0"/>
              <w:jc w:val="left"/>
              <w:rPr/>
            </w:pPr>
            <w:r>
              <w:rPr/>
              <w:t>Accruals related to assets</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508" w:type="dxa"/>
            <w:tcBorders/>
            <w:shd w:fill="CCEEFF" w:val="clear"/>
            <w:vAlign w:val="bottom"/>
          </w:tcPr>
          <w:p>
            <w:pPr>
              <w:pStyle w:val="TableContents"/>
              <w:bidi w:val="0"/>
              <w:spacing w:lineRule="auto" w:line="300" w:before="0" w:after="0"/>
              <w:jc w:val="right"/>
              <w:rPr/>
            </w:pPr>
            <w:r>
              <w:rPr/>
              <w:t>521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 </w:t>
            </w:r>
          </w:p>
        </w:tc>
        <w:tc>
          <w:tcPr>
            <w:tcW w:w="2359" w:type="dxa"/>
            <w:tcBorders/>
            <w:shd w:fill="CCEEFF" w:val="clear"/>
            <w:vAlign w:val="bottom"/>
          </w:tcPr>
          <w:p>
            <w:pPr>
              <w:pStyle w:val="TableContents"/>
              <w:bidi w:val="0"/>
              <w:spacing w:lineRule="auto" w:line="300" w:before="0" w:after="0"/>
              <w:jc w:val="right"/>
              <w:rPr/>
            </w:pPr>
            <w:r>
              <w:rPr/>
              <w:t>2,654</w:t>
            </w:r>
          </w:p>
        </w:tc>
        <w:tc>
          <w:tcPr>
            <w:tcW w:w="96"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lineRule="auto" w:line="300" w:before="0" w:after="0"/>
              <w:jc w:val="left"/>
              <w:rPr/>
            </w:pPr>
            <w:r>
              <w:rPr/>
              <w:t>Cash payments</w:t>
            </w:r>
          </w:p>
        </w:tc>
        <w:tc>
          <w:tcPr>
            <w:tcW w:w="60" w:type="dxa"/>
            <w:tcBorders/>
            <w:vAlign w:val="bottom"/>
          </w:tcPr>
          <w:p>
            <w:pPr>
              <w:pStyle w:val="TableContents"/>
              <w:bidi w:val="0"/>
              <w:spacing w:before="0" w:after="283"/>
              <w:jc w:val="left"/>
              <w:rPr/>
            </w:pPr>
            <w:r>
              <w:rPr/>
              <w:t> </w:t>
            </w:r>
          </w:p>
        </w:tc>
        <w:tc>
          <w:tcPr>
            <w:tcW w:w="3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8" w:type="dxa"/>
            <w:tcBorders>
              <w:bottom w:val="single" w:sz="12" w:space="0" w:color="000000"/>
            </w:tcBorders>
            <w:tcMar>
              <w:bottom w:w="28" w:type="dxa"/>
            </w:tcMar>
            <w:vAlign w:val="bottom"/>
          </w:tcPr>
          <w:p>
            <w:pPr>
              <w:pStyle w:val="TableContents"/>
              <w:bidi w:val="0"/>
              <w:spacing w:lineRule="auto" w:line="300" w:before="0" w:after="0"/>
              <w:jc w:val="right"/>
              <w:rPr/>
            </w:pPr>
            <w:r>
              <w:rPr/>
              <w:t>(808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left"/>
              <w:rPr/>
            </w:pPr>
            <w:r>
              <w:rPr/>
              <w:t> </w:t>
            </w:r>
          </w:p>
        </w:tc>
        <w:tc>
          <w:tcPr>
            <w:tcW w:w="2359" w:type="dxa"/>
            <w:tcBorders>
              <w:bottom w:val="single" w:sz="12" w:space="0" w:color="000000"/>
            </w:tcBorders>
            <w:tcMar>
              <w:bottom w:w="28" w:type="dxa"/>
            </w:tcMar>
            <w:vAlign w:val="bottom"/>
          </w:tcPr>
          <w:p>
            <w:pPr>
              <w:pStyle w:val="TableContents"/>
              <w:bidi w:val="0"/>
              <w:spacing w:lineRule="auto" w:line="300" w:before="0" w:after="0"/>
              <w:jc w:val="right"/>
              <w:rPr/>
            </w:pPr>
            <w:r>
              <w:rPr/>
              <w:t>(5,703</w:t>
            </w:r>
          </w:p>
        </w:tc>
        <w:tc>
          <w:tcPr>
            <w:tcW w:w="96" w:type="dxa"/>
            <w:tcBorders/>
            <w:vAlign w:val="bottom"/>
          </w:tcPr>
          <w:p>
            <w:pPr>
              <w:pStyle w:val="TableContents"/>
              <w:bidi w:val="0"/>
              <w:spacing w:lineRule="auto" w:line="300" w:before="0" w:after="0"/>
              <w:jc w:val="left"/>
              <w:rPr/>
            </w:pPr>
            <w:r>
              <w:rPr/>
              <w:t>)</w:t>
            </w:r>
          </w:p>
        </w:tc>
      </w:tr>
      <w:tr>
        <w:trPr/>
        <w:tc>
          <w:tcPr>
            <w:tcW w:w="3545" w:type="dxa"/>
            <w:tcBorders/>
            <w:shd w:fill="CCEEFF" w:val="clear"/>
            <w:vAlign w:val="bottom"/>
          </w:tcPr>
          <w:p>
            <w:pPr>
              <w:pStyle w:val="TableContents"/>
              <w:bidi w:val="0"/>
              <w:spacing w:lineRule="auto" w:line="300" w:before="0" w:after="0"/>
              <w:jc w:val="left"/>
              <w:rPr/>
            </w:pPr>
            <w:r>
              <w:rPr/>
              <w:t>Accrued balance as of December 31, 2022</w:t>
            </w:r>
          </w:p>
        </w:tc>
        <w:tc>
          <w:tcPr>
            <w:tcW w:w="60" w:type="dxa"/>
            <w:tcBorders/>
            <w:shd w:fill="CCEEFF" w:val="clear"/>
            <w:vAlign w:val="bottom"/>
          </w:tcPr>
          <w:p>
            <w:pPr>
              <w:pStyle w:val="TableContents"/>
              <w:bidi w:val="0"/>
              <w:spacing w:before="0" w:after="283"/>
              <w:jc w:val="left"/>
              <w:rPr/>
            </w:pPr>
            <w:r>
              <w:rPr/>
              <w:t> </w:t>
            </w:r>
          </w:p>
        </w:tc>
        <w:tc>
          <w:tcPr>
            <w:tcW w:w="37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5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1,963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235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7,635</w:t>
            </w:r>
          </w:p>
        </w:tc>
        <w:tc>
          <w:tcPr>
            <w:tcW w:w="96" w:type="dxa"/>
            <w:tcBorders/>
            <w:shd w:fill="CCEEFF" w:val="clear"/>
            <w:vAlign w:val="bottom"/>
          </w:tcPr>
          <w:p>
            <w:pPr>
              <w:pStyle w:val="TableContents"/>
              <w:bidi w:val="0"/>
              <w:spacing w:before="0" w:after="283"/>
              <w:jc w:val="left"/>
              <w:rPr/>
            </w:pPr>
            <w:r>
              <w:rPr/>
              <w:t> </w:t>
            </w:r>
          </w:p>
        </w:tc>
      </w:tr>
    </w:tbl>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License Agreements</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TSNB Lease Agreement </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TSNB leases its fabrication facilities under an operational lease contract that is due to expire in 2027. In amendments to its lease, (i) TSNB secured various contractual safeguards designed to limit and mitigate any adverse impact of construction activities on its fabrication operations; and (ii) certain obligations of TSNB and the landlord are specified, including certain noise abatement actions at the fabrication facility. The landlord has made claims that TSNB’s noise abatement efforts are not adequate under the terms of the amended lease, and has requested a judicial declaration that TSNB has committed material non-curable breaches of the lease and that, in accordance with the lease, the landlord would be entitled to terminate the lease. TSNB does not agree and is disputing these claims.</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Definitive Agreement with ST Microelectronics </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In 2021, TSIT, Tower’s wholly-owned Italian subsidiary, entered into a definitive agreement with ST Microelectronics (“ST”) to share under collaborative arrangement a 300mm manufacturing fabrication facility that is planned to be established in Agrate Italy. The fab is currently under construction by ST. The parties are planning to share the cleanroom space and the facility infrastructure that shall be built, with the Company installing its own equipment in one-third of the total space. TSIT and ST will invest in their respective process equipment, and work to accelerate the process flows transfer to the fab, product development, qualification and subsequent ramp-up. Operations will continue to be managed by ST. During 2022, TSIT started installation of certain tools in the Agrate facility and the development of certain processes and technologies that it expects to transfer to the Agrate facility. As of December 31, 2022, the operations in Italy have not commenced.</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before="0" w:after="0"/>
        <w:jc w:val="left"/>
        <w:rPr/>
      </w:pPr>
      <w:r>
        <w:rPr>
          <w:rFonts w:ascii="Times New Roman;Times;serif" w:hAnsi="Times New Roman;Times;serif"/>
          <w:b/>
          <w:sz w:val="20"/>
        </w:rPr>
        <w:t>NOTE 14:     </w:t>
      </w:r>
      <w:r>
        <w:rPr>
          <w:rFonts w:ascii="Times New Roman;Times;serif" w:hAnsi="Times New Roman;Times;serif"/>
          <w:b/>
          <w:sz w:val="20"/>
        </w:rPr>
        <w:t>COMMITMENTS AND CONTINGENCIES (</w:t>
      </w:r>
      <w:r>
        <w:rPr>
          <w:rStyle w:val="StrongEmphasis"/>
          <w:rFonts w:ascii="Times New Roman;Times;serif" w:hAnsi="Times New Roman;Times;serif"/>
          <w:sz w:val="20"/>
        </w:rPr>
        <w:t>Continued</w:t>
      </w:r>
      <w:r>
        <w:rPr>
          <w:rStyle w:val="StrongEmphasis"/>
          <w:rFonts w:ascii="Times New Roman;Times;serif" w:hAnsi="Times New Roman;Times;serif"/>
          <w:b/>
          <w:sz w:val="20"/>
        </w:rPr>
        <w:t>)</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Other Agreements</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From time to time, in the ordinary course of business, the Company enters into long-term agreements with various entities for the joint development of products IPs and processes. The developed IPs may be owned separately by either the other entity or the Company, or owned jointly by both parties, as applicable. </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w:t>
      </w:r>
      <w:r>
        <w:rPr>
          <w:rFonts w:ascii="Times New Roman;Times;serif" w:hAnsi="Times New Roman;Times;serif"/>
          <w:b/>
          <w:sz w:val="20"/>
        </w:rPr>
        <w:t>SHAREHOLDERS’ EQUITY</w:t>
      </w:r>
    </w:p>
    <w:p>
      <w:pPr>
        <w:pStyle w:val="TextBody"/>
        <w:bidi w:val="0"/>
        <w:spacing w:lineRule="auto" w:line="300"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200"/>
        <w:gridCol w:w="26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6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Description of Ordinary Shares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Tower had 150 million authorized ordinary shares, par value NIS 15.00 each, of which approximately 110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pStyle w:val="TextBody"/>
        <w:bidi w:val="0"/>
        <w:spacing w:lineRule="auto" w:line="300"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9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Equity Incentive Plans</w:t>
            </w:r>
          </w:p>
        </w:tc>
      </w:tr>
    </w:tbl>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Tower’s 2013 Share Incentive Plan (the “2013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Under the 2013 Plan, the Company granted, in 2022 and 2021, a total of 0.61 million restricted stock units (“RSUs”) and 1.0 million RSUs, respectively, to its employees and directors (including the below-described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2022, the Company's CEO and members of the Board of Directors were awarded the following RSUs under the Company’s 2013 Plan:</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(i) 59 thousand time-vested RSUs and 97 thousand performance RSUs (“PSUs”) subject also to time-vesting, to the CEO, with 33% of such RSUs and PSUs to vest at the end of each year for 3 years following the grant date. Total compensation value of the RSUs granted was approximately $7,200. As was approved by shareholders in 2019, the grant also includes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on or after May 2019;</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6.5 thousand time-vested RSUs to the chairman of the Board of Directors (“the Chairman”) for a total compensation value of $300, to vest 33% at the end of each year following the grant date; and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2.7 thousand time-vested RSUs to each of the seven members of the Board of Directors then serving (other than to the Chairman and the CEO), for an aggregate compensation value of $875, vesting over a two-year period, with 50% vesting at the first anniversary of the date of grant and 50% on the second anniversary of the date of grant.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was approved by shareholders in 2020, the Chairman and the members of the Board will have to own, commencing July 2025, ordinary shares of the Company at a minimum value that equals at least 50% of their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them on or after July 2020.</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2021, the Company's CEO and members of the Board of Directors were awarded the following RSUs under the Company’s 2013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 80 thousand time-vested RSUs and 132 thousand performance RSUs (“PSUs”) subject also to time-vesting, consisting of 120 thousand base PSUs and 12 thousand upside PSUs to the CEO, with 33% of such RSUs and PSUs to vest at the end of each year for 3 years following the grant date. Total compensation value of the RSUs granted was approximately $6,000. In addition, the Company's CEO was awarded 31 thousand PSUs that would vest upon attainment of certain performance conditions and not before one year from the date of grant, with a compensation value of approximately $1,000. As was approved by shareholders in 2019, the grant also includes a Minimum Holding requirement;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10.3 thousand time-vested RSUs to the chairman of the Board of Directors (“the Chairman”) for a total compensation value of $300, to vest 33% at the end of each year following the grant date; and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4.3 thousand time-vested RSUs to each of the seven members of the Board of Directors then serving (other than to the Chairman and the CEO), for an aggregate compensation value of $875, vesting over a two-year period, with 50% vesting at the first anniversary of the date of grant and 50% on the second anniversary of the date of grant.</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was approved by shareholders in 2020, the grants to the Chairman and the members of the Board include a BOD Minimum Holding requirement.</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2020, the Company's CEO and members of the Board of Directors were awarded the following RSUs under the 2013 Plan: (i) 109 thousand time-vested RSUs and 163 thousand PSUs to the CEO (subject also to time-vesting, under which 33% of the RSUs and PSUs will vest at the end of each year for 3 years following the grant date), with a compensation value of approximately $5,000; (ii) 16 thousand time vested RSUs to the Chairman for a total compensation value of $300, to vest 33% at the end of each year following the grant date; and (iii) 5 thousand time vested RSUs to each of the nine members of the Board of Directors serving then (other than to the Chairman and the CEO), for an aggregate compensation value of $900, vesting over a two-year period, with 50% vesting at the first anniversary of the date of grant and 50% on the second anniversary of the date of grant.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Under the compensation plan of the Company, and as approved by the Company’s shareholders in September 2013, all of the awards to the CEO shall be accelerated upon the occurrence of a change of control event (as defined therein), subject to termination of his employment (or resignation due to diminution of responsibilities, as defined therein).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With respect to the members of the Board of Directors, including the Chairman, in the event of termination, such as termination due to a change of control event, each Director who served less than 5 years on the Board of Directors would be entitled to acceleration of 50% of all of his/her unvested equity and each Director who served 5 years or more on the Board of Directors would be entitled to acceleration of all of his/her unvested equity.</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Further grants may be approved subject to Compensation Committee, Board of Directors and shareholders’ approval, as may be required by law.</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i. Share Options awards: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1399"/>
        <w:gridCol w:w="60"/>
        <w:gridCol w:w="89"/>
        <w:gridCol w:w="829"/>
        <w:gridCol w:w="80"/>
        <w:gridCol w:w="60"/>
        <w:gridCol w:w="238"/>
        <w:gridCol w:w="925"/>
        <w:gridCol w:w="60"/>
        <w:gridCol w:w="60"/>
        <w:gridCol w:w="80"/>
        <w:gridCol w:w="874"/>
        <w:gridCol w:w="80"/>
        <w:gridCol w:w="60"/>
        <w:gridCol w:w="238"/>
        <w:gridCol w:w="925"/>
        <w:gridCol w:w="60"/>
        <w:gridCol w:w="60"/>
        <w:gridCol w:w="76"/>
        <w:gridCol w:w="963"/>
        <w:gridCol w:w="80"/>
        <w:gridCol w:w="60"/>
        <w:gridCol w:w="238"/>
        <w:gridCol w:w="925"/>
        <w:gridCol w:w="66"/>
      </w:tblGrid>
      <w:tr>
        <w:trPr/>
        <w:tc>
          <w:tcPr>
            <w:tcW w:w="139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w:t>
            </w:r>
          </w:p>
        </w:tc>
        <w:tc>
          <w:tcPr>
            <w:tcW w:w="66" w:type="dxa"/>
            <w:tcBorders/>
            <w:vAlign w:val="bottom"/>
          </w:tcPr>
          <w:p>
            <w:pPr>
              <w:pStyle w:val="TableContents"/>
              <w:bidi w:val="0"/>
              <w:spacing w:before="0" w:after="283"/>
              <w:jc w:val="left"/>
              <w:rPr/>
            </w:pPr>
            <w:r>
              <w:rPr/>
              <w:t> </w:t>
            </w:r>
          </w:p>
        </w:tc>
      </w:tr>
      <w:tr>
        <w:trPr/>
        <w:tc>
          <w:tcPr>
            <w:tcW w:w="13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share 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share 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share 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exercise price</w:t>
            </w:r>
          </w:p>
        </w:tc>
        <w:tc>
          <w:tcPr>
            <w:tcW w:w="66" w:type="dxa"/>
            <w:tcBorders/>
            <w:vAlign w:val="bottom"/>
          </w:tcPr>
          <w:p>
            <w:pPr>
              <w:pStyle w:val="TableContents"/>
              <w:bidi w:val="0"/>
              <w:spacing w:before="0" w:after="283"/>
              <w:jc w:val="left"/>
              <w:rPr/>
            </w:pPr>
            <w:r>
              <w:rPr/>
              <w:t> </w:t>
            </w:r>
          </w:p>
        </w:tc>
      </w:tr>
      <w:tr>
        <w:trPr/>
        <w:tc>
          <w:tcPr>
            <w:tcW w:w="1399"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beginning of year</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343,451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8.79</w:t>
            </w:r>
          </w:p>
        </w:tc>
        <w:tc>
          <w:tcPr>
            <w:tcW w:w="66" w:type="dxa"/>
            <w:tcBorders/>
            <w:shd w:fill="CCEEFF" w:val="clear"/>
            <w:vAlign w:val="bottom"/>
          </w:tcPr>
          <w:p>
            <w:pPr>
              <w:pStyle w:val="TableContents"/>
              <w:bidi w:val="0"/>
              <w:spacing w:before="0" w:after="283"/>
              <w:jc w:val="left"/>
              <w:rPr/>
            </w:pPr>
            <w:r>
              <w:rPr/>
              <w:t> </w:t>
            </w:r>
          </w:p>
        </w:tc>
      </w:tr>
      <w:tr>
        <w:trPr/>
        <w:tc>
          <w:tcPr>
            <w:tcW w:w="1399"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6" w:type="dxa"/>
            <w:tcBorders/>
            <w:vAlign w:val="bottom"/>
          </w:tcPr>
          <w:p>
            <w:pPr>
              <w:pStyle w:val="TableContents"/>
              <w:bidi w:val="0"/>
              <w:spacing w:before="0" w:after="283"/>
              <w:jc w:val="left"/>
              <w:rPr/>
            </w:pPr>
            <w:r>
              <w:rPr/>
              <w:t> </w:t>
            </w:r>
          </w:p>
        </w:tc>
      </w:tr>
      <w:tr>
        <w:trPr/>
        <w:tc>
          <w:tcPr>
            <w:tcW w:w="1399"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(30,247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(308,479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8.14</w:t>
            </w:r>
          </w:p>
        </w:tc>
        <w:tc>
          <w:tcPr>
            <w:tcW w:w="66" w:type="dxa"/>
            <w:tcBorders/>
            <w:shd w:fill="CCEEFF" w:val="clear"/>
            <w:vAlign w:val="bottom"/>
          </w:tcPr>
          <w:p>
            <w:pPr>
              <w:pStyle w:val="TableContents"/>
              <w:bidi w:val="0"/>
              <w:spacing w:before="0" w:after="283"/>
              <w:jc w:val="left"/>
              <w:rPr/>
            </w:pPr>
            <w:r>
              <w:rPr/>
              <w:t> </w:t>
            </w:r>
          </w:p>
        </w:tc>
      </w:tr>
      <w:tr>
        <w:trPr/>
        <w:tc>
          <w:tcPr>
            <w:tcW w:w="1399"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Terminated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9.90</w:t>
            </w:r>
          </w:p>
        </w:tc>
        <w:tc>
          <w:tcPr>
            <w:tcW w:w="66" w:type="dxa"/>
            <w:tcBorders/>
            <w:vAlign w:val="bottom"/>
          </w:tcPr>
          <w:p>
            <w:pPr>
              <w:pStyle w:val="TableContents"/>
              <w:bidi w:val="0"/>
              <w:spacing w:before="0" w:after="283"/>
              <w:jc w:val="left"/>
              <w:rPr/>
            </w:pPr>
            <w:r>
              <w:rPr/>
              <w:t> </w:t>
            </w:r>
          </w:p>
        </w:tc>
      </w:tr>
      <w:tr>
        <w:trPr/>
        <w:tc>
          <w:tcPr>
            <w:tcW w:w="1399"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4.42</w:t>
            </w:r>
          </w:p>
        </w:tc>
        <w:tc>
          <w:tcPr>
            <w:tcW w:w="66" w:type="dxa"/>
            <w:tcBorders/>
            <w:shd w:fill="CCEEFF" w:val="clear"/>
            <w:vAlign w:val="bottom"/>
          </w:tcPr>
          <w:p>
            <w:pPr>
              <w:pStyle w:val="TableContents"/>
              <w:bidi w:val="0"/>
              <w:spacing w:before="0" w:after="283"/>
              <w:jc w:val="left"/>
              <w:rPr/>
            </w:pPr>
            <w:r>
              <w:rPr/>
              <w:t> </w:t>
            </w:r>
          </w:p>
        </w:tc>
      </w:tr>
      <w:tr>
        <w:trPr/>
        <w:tc>
          <w:tcPr>
            <w:tcW w:w="1399"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end of year</w:t>
            </w:r>
          </w:p>
        </w:tc>
        <w:tc>
          <w:tcPr>
            <w:tcW w:w="60" w:type="dxa"/>
            <w:tcBorders/>
            <w:vAlign w:val="bottom"/>
          </w:tcPr>
          <w:p>
            <w:pPr>
              <w:pStyle w:val="TableContents"/>
              <w:bidi w:val="0"/>
              <w:spacing w:before="0" w:after="283"/>
              <w:jc w:val="left"/>
              <w:rPr/>
            </w:pPr>
            <w:r>
              <w:rPr/>
              <w:t> </w:t>
            </w:r>
          </w:p>
        </w:tc>
        <w:tc>
          <w:tcPr>
            <w:tcW w:w="89" w:type="dxa"/>
            <w:tcBorders>
              <w:bottom w:val="double" w:sz="8" w:space="0" w:color="000000"/>
            </w:tcBorders>
            <w:tcMar>
              <w:bottom w:w="28" w:type="dxa"/>
            </w:tcMar>
            <w:vAlign w:val="bottom"/>
          </w:tcPr>
          <w:p>
            <w:pPr>
              <w:pStyle w:val="TableContents"/>
              <w:bidi w:val="0"/>
              <w:spacing w:before="0" w:after="283"/>
              <w:jc w:val="left"/>
              <w:rPr/>
            </w:pPr>
            <w:r>
              <w:rPr/>
              <w:t> </w:t>
            </w:r>
          </w:p>
        </w:tc>
        <w:tc>
          <w:tcPr>
            <w:tcW w:w="82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bottom w:val="double" w:sz="8" w:space="0" w:color="000000"/>
            </w:tcBorders>
            <w:tcMar>
              <w:bottom w:w="28" w:type="dxa"/>
            </w:tcMar>
            <w:vAlign w:val="bottom"/>
          </w:tcPr>
          <w:p>
            <w:pPr>
              <w:pStyle w:val="TableContents"/>
              <w:bidi w:val="0"/>
              <w:spacing w:before="0" w:after="283"/>
              <w:jc w:val="left"/>
              <w:rPr/>
            </w:pPr>
            <w:r>
              <w:rPr/>
              <w:t> </w:t>
            </w:r>
          </w:p>
        </w:tc>
        <w:tc>
          <w:tcPr>
            <w:tcW w:w="874"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96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15.28</w:t>
            </w:r>
          </w:p>
        </w:tc>
        <w:tc>
          <w:tcPr>
            <w:tcW w:w="66" w:type="dxa"/>
            <w:tcBorders/>
            <w:vAlign w:val="bottom"/>
          </w:tcPr>
          <w:p>
            <w:pPr>
              <w:pStyle w:val="TableContents"/>
              <w:bidi w:val="0"/>
              <w:spacing w:before="0" w:after="283"/>
              <w:jc w:val="left"/>
              <w:rPr/>
            </w:pPr>
            <w:r>
              <w:rPr/>
              <w:t> </w:t>
            </w:r>
          </w:p>
        </w:tc>
      </w:tr>
      <w:tr>
        <w:trPr/>
        <w:tc>
          <w:tcPr>
            <w:tcW w:w="1399"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Options exercisable as of end of year</w:t>
            </w:r>
          </w:p>
        </w:tc>
        <w:tc>
          <w:tcPr>
            <w:tcW w:w="60" w:type="dxa"/>
            <w:tcBorders/>
            <w:shd w:fill="CCEEFF" w:val="clear"/>
            <w:vAlign w:val="bottom"/>
          </w:tcPr>
          <w:p>
            <w:pPr>
              <w:pStyle w:val="TableContents"/>
              <w:bidi w:val="0"/>
              <w:spacing w:before="0" w:after="283"/>
              <w:jc w:val="left"/>
              <w:rPr/>
            </w:pPr>
            <w:r>
              <w:rPr/>
              <w:t> </w:t>
            </w:r>
          </w:p>
        </w:tc>
        <w:tc>
          <w:tcPr>
            <w:tcW w:w="8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00"/>
        <w:jc w:val="both"/>
        <w:rPr>
          <w:rFonts w:ascii="Times New Roman;Times;serif" w:hAnsi="Times New Roman;Times;serif"/>
          <w:b/>
          <w:sz w:val="20"/>
        </w:rPr>
      </w:pPr>
      <w:r>
        <w:rPr>
          <w:rFonts w:ascii="Times New Roman;Times;serif" w:hAnsi="Times New Roman;Times;serif"/>
          <w:b/>
          <w:sz w:val="20"/>
        </w:rPr>
        <w:t>ii. RSUs awards:</w:t>
      </w:r>
    </w:p>
    <w:p>
      <w:pPr>
        <w:pStyle w:val="TextBody"/>
        <w:bidi w:val="0"/>
        <w:spacing w:lineRule="auto" w:line="300" w:before="0" w:after="0"/>
        <w:ind w:left="1560" w:right="0" w:firstLine="600"/>
        <w:jc w:val="both"/>
        <w:rPr/>
      </w:pPr>
      <w:r>
        <w:rPr/>
        <w:t> </w:t>
      </w:r>
    </w:p>
    <w:tbl>
      <w:tblPr>
        <w:tblW w:w="8585" w:type="dxa"/>
        <w:jc w:val="left"/>
        <w:tblInd w:w="1620" w:type="dxa"/>
        <w:tblLayout w:type="fixed"/>
        <w:tblCellMar>
          <w:top w:w="0" w:type="dxa"/>
          <w:left w:w="0" w:type="dxa"/>
          <w:bottom w:w="0" w:type="dxa"/>
          <w:right w:w="0" w:type="dxa"/>
        </w:tblCellMar>
      </w:tblPr>
      <w:tblGrid>
        <w:gridCol w:w="1411"/>
        <w:gridCol w:w="60"/>
        <w:gridCol w:w="65"/>
        <w:gridCol w:w="981"/>
        <w:gridCol w:w="80"/>
        <w:gridCol w:w="60"/>
        <w:gridCol w:w="228"/>
        <w:gridCol w:w="887"/>
        <w:gridCol w:w="60"/>
        <w:gridCol w:w="60"/>
        <w:gridCol w:w="66"/>
        <w:gridCol w:w="933"/>
        <w:gridCol w:w="80"/>
        <w:gridCol w:w="60"/>
        <w:gridCol w:w="228"/>
        <w:gridCol w:w="887"/>
        <w:gridCol w:w="60"/>
        <w:gridCol w:w="60"/>
        <w:gridCol w:w="66"/>
        <w:gridCol w:w="933"/>
        <w:gridCol w:w="80"/>
        <w:gridCol w:w="60"/>
        <w:gridCol w:w="228"/>
        <w:gridCol w:w="887"/>
        <w:gridCol w:w="65"/>
      </w:tblGrid>
      <w:tr>
        <w:trPr/>
        <w:tc>
          <w:tcPr>
            <w:tcW w:w="1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w:t>
            </w:r>
          </w:p>
        </w:tc>
        <w:tc>
          <w:tcPr>
            <w:tcW w:w="65" w:type="dxa"/>
            <w:tcBorders/>
            <w:vAlign w:val="bottom"/>
          </w:tcPr>
          <w:p>
            <w:pPr>
              <w:pStyle w:val="TableContents"/>
              <w:bidi w:val="0"/>
              <w:spacing w:before="0" w:after="283"/>
              <w:jc w:val="left"/>
              <w:rPr/>
            </w:pPr>
            <w:r>
              <w:rPr/>
              <w:t> </w:t>
            </w:r>
          </w:p>
        </w:tc>
      </w:tr>
      <w:tr>
        <w:trPr/>
        <w:tc>
          <w:tcPr>
            <w:tcW w:w="141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 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5" w:type="dxa"/>
            <w:tcBorders/>
            <w:vAlign w:val="bottom"/>
          </w:tcPr>
          <w:p>
            <w:pPr>
              <w:pStyle w:val="TableContents"/>
              <w:bidi w:val="0"/>
              <w:spacing w:before="0" w:after="283"/>
              <w:jc w:val="left"/>
              <w:rPr/>
            </w:pPr>
            <w:r>
              <w:rPr/>
              <w:t> </w:t>
            </w:r>
          </w:p>
        </w:tc>
      </w:tr>
      <w:tr>
        <w:trPr/>
        <w:tc>
          <w:tcPr>
            <w:tcW w:w="1411"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beginning of year</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2,211,100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2,223,043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2,013,613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19.13</w:t>
            </w:r>
          </w:p>
        </w:tc>
        <w:tc>
          <w:tcPr>
            <w:tcW w:w="65" w:type="dxa"/>
            <w:tcBorders/>
            <w:shd w:fill="CCEEFF" w:val="clear"/>
            <w:vAlign w:val="bottom"/>
          </w:tcPr>
          <w:p>
            <w:pPr>
              <w:pStyle w:val="TableContents"/>
              <w:bidi w:val="0"/>
              <w:spacing w:before="0" w:after="283"/>
              <w:jc w:val="left"/>
              <w:rPr/>
            </w:pPr>
            <w:r>
              <w:rPr/>
              <w:t> </w:t>
            </w:r>
          </w:p>
        </w:tc>
      </w:tr>
      <w:tr>
        <w:trPr/>
        <w:tc>
          <w:tcPr>
            <w:tcW w:w="141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612,881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1,002,275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1,105,155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19.86</w:t>
            </w:r>
          </w:p>
        </w:tc>
        <w:tc>
          <w:tcPr>
            <w:tcW w:w="65" w:type="dxa"/>
            <w:tcBorders/>
            <w:vAlign w:val="bottom"/>
          </w:tcPr>
          <w:p>
            <w:pPr>
              <w:pStyle w:val="TableContents"/>
              <w:bidi w:val="0"/>
              <w:spacing w:before="0" w:after="283"/>
              <w:jc w:val="left"/>
              <w:rPr/>
            </w:pPr>
            <w:r>
              <w:rPr/>
              <w:t> </w:t>
            </w:r>
          </w:p>
        </w:tc>
      </w:tr>
      <w:tr>
        <w:trPr/>
        <w:tc>
          <w:tcPr>
            <w:tcW w:w="1411"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Converted</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(1,068,219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(929,466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(806,993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20.45</w:t>
            </w:r>
          </w:p>
        </w:tc>
        <w:tc>
          <w:tcPr>
            <w:tcW w:w="65" w:type="dxa"/>
            <w:tcBorders/>
            <w:shd w:fill="CCEEFF" w:val="clear"/>
            <w:vAlign w:val="bottom"/>
          </w:tcPr>
          <w:p>
            <w:pPr>
              <w:pStyle w:val="TableContents"/>
              <w:bidi w:val="0"/>
              <w:spacing w:before="0" w:after="283"/>
              <w:jc w:val="left"/>
              <w:rPr/>
            </w:pPr>
            <w:r>
              <w:rPr/>
              <w:t> </w:t>
            </w:r>
          </w:p>
        </w:tc>
      </w:tr>
      <w:tr>
        <w:trPr/>
        <w:tc>
          <w:tcPr>
            <w:tcW w:w="1411"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1"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(42,766</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(84,752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(88,732</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18.62</w:t>
            </w:r>
          </w:p>
        </w:tc>
        <w:tc>
          <w:tcPr>
            <w:tcW w:w="65" w:type="dxa"/>
            <w:tcBorders/>
            <w:vAlign w:val="bottom"/>
          </w:tcPr>
          <w:p>
            <w:pPr>
              <w:pStyle w:val="TableContents"/>
              <w:bidi w:val="0"/>
              <w:spacing w:before="0" w:after="283"/>
              <w:jc w:val="left"/>
              <w:rPr/>
            </w:pPr>
            <w:r>
              <w:rPr/>
              <w:t> </w:t>
            </w:r>
          </w:p>
        </w:tc>
      </w:tr>
      <w:tr>
        <w:trPr/>
        <w:tc>
          <w:tcPr>
            <w:tcW w:w="1411"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end of year</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1,712,996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2,211,100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2,223,043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Summary of Information about Employees’ Share Incentive Plans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No options were outstanding as of December 31, 2022</w:t>
      </w:r>
    </w:p>
    <w:p>
      <w:pPr>
        <w:pStyle w:val="TextBody"/>
        <w:bidi w:val="0"/>
        <w:spacing w:lineRule="auto" w:line="300" w:before="0" w:after="0"/>
        <w:jc w:val="left"/>
        <w:rPr/>
      </w:pPr>
      <w:r>
        <w:rPr/>
        <w:t> </w:t>
      </w:r>
    </w:p>
    <w:tbl>
      <w:tblPr>
        <w:tblW w:w="5385" w:type="dxa"/>
        <w:jc w:val="left"/>
        <w:tblInd w:w="1620" w:type="dxa"/>
        <w:tblLayout w:type="fixed"/>
        <w:tblCellMar>
          <w:top w:w="0" w:type="dxa"/>
          <w:left w:w="0" w:type="dxa"/>
          <w:bottom w:w="0" w:type="dxa"/>
          <w:right w:w="0" w:type="dxa"/>
        </w:tblCellMar>
      </w:tblPr>
      <w:tblGrid>
        <w:gridCol w:w="3515"/>
        <w:gridCol w:w="60"/>
        <w:gridCol w:w="154"/>
        <w:gridCol w:w="286"/>
        <w:gridCol w:w="60"/>
        <w:gridCol w:w="60"/>
        <w:gridCol w:w="125"/>
        <w:gridCol w:w="335"/>
        <w:gridCol w:w="60"/>
        <w:gridCol w:w="60"/>
        <w:gridCol w:w="125"/>
        <w:gridCol w:w="485"/>
        <w:gridCol w:w="60"/>
      </w:tblGrid>
      <w:tr>
        <w:trPr/>
        <w:tc>
          <w:tcPr>
            <w:tcW w:w="351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 for the year ended December 31</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60"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intrinsic value of options exercised</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4,429</w:t>
            </w:r>
          </w:p>
        </w:tc>
        <w:tc>
          <w:tcPr>
            <w:tcW w:w="60" w:type="dxa"/>
            <w:tcBorders/>
            <w:shd w:fill="CCEEFF" w:val="clear"/>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original fair value of options exercised</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1,018</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5900" w:type="dxa"/>
        <w:jc w:val="left"/>
        <w:tblInd w:w="1620" w:type="dxa"/>
        <w:tblLayout w:type="fixed"/>
        <w:tblCellMar>
          <w:top w:w="0" w:type="dxa"/>
          <w:left w:w="0" w:type="dxa"/>
          <w:bottom w:w="0" w:type="dxa"/>
          <w:right w:w="0" w:type="dxa"/>
        </w:tblCellMar>
      </w:tblPr>
      <w:tblGrid>
        <w:gridCol w:w="3395"/>
        <w:gridCol w:w="60"/>
        <w:gridCol w:w="125"/>
        <w:gridCol w:w="590"/>
        <w:gridCol w:w="60"/>
        <w:gridCol w:w="60"/>
        <w:gridCol w:w="125"/>
        <w:gridCol w:w="590"/>
        <w:gridCol w:w="60"/>
        <w:gridCol w:w="60"/>
        <w:gridCol w:w="125"/>
        <w:gridCol w:w="590"/>
        <w:gridCol w:w="60"/>
      </w:tblGrid>
      <w:tr>
        <w:trPr/>
        <w:tc>
          <w:tcPr>
            <w:tcW w:w="339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 for the year ended December 31</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6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intrinsic value of converted RSUs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15,971</w:t>
            </w:r>
          </w:p>
        </w:tc>
        <w:tc>
          <w:tcPr>
            <w:tcW w:w="6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original fair value of converted RSUs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16,506</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Stock-based compensation expenses were recognized in the Statement of Operations for the years ended December 31, 2022, 2021 and 2020 as follows:</w:t>
      </w:r>
    </w:p>
    <w:p>
      <w:pPr>
        <w:pStyle w:val="TextBody"/>
        <w:bidi w:val="0"/>
        <w:spacing w:lineRule="auto" w:line="300" w:before="0" w:after="0"/>
        <w:jc w:val="left"/>
        <w:rPr/>
      </w:pPr>
      <w:r>
        <w:rPr/>
        <w:t> </w:t>
      </w:r>
    </w:p>
    <w:tbl>
      <w:tblPr>
        <w:tblW w:w="5855" w:type="dxa"/>
        <w:jc w:val="left"/>
        <w:tblInd w:w="1620" w:type="dxa"/>
        <w:tblLayout w:type="fixed"/>
        <w:tblCellMar>
          <w:top w:w="0" w:type="dxa"/>
          <w:left w:w="0" w:type="dxa"/>
          <w:bottom w:w="0" w:type="dxa"/>
          <w:right w:w="0" w:type="dxa"/>
        </w:tblCellMar>
      </w:tblPr>
      <w:tblGrid>
        <w:gridCol w:w="3350"/>
        <w:gridCol w:w="60"/>
        <w:gridCol w:w="125"/>
        <w:gridCol w:w="590"/>
        <w:gridCol w:w="60"/>
        <w:gridCol w:w="60"/>
        <w:gridCol w:w="125"/>
        <w:gridCol w:w="590"/>
        <w:gridCol w:w="60"/>
        <w:gridCol w:w="60"/>
        <w:gridCol w:w="125"/>
        <w:gridCol w:w="590"/>
        <w:gridCol w:w="60"/>
      </w:tblGrid>
      <w:tr>
        <w:trPr/>
        <w:tc>
          <w:tcPr>
            <w:tcW w:w="335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6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Cost of goods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5,197</w:t>
            </w:r>
          </w:p>
        </w:tc>
        <w:tc>
          <w:tcPr>
            <w:tcW w:w="6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3,568</w:t>
            </w:r>
          </w:p>
        </w:tc>
        <w:tc>
          <w:tcPr>
            <w:tcW w:w="6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8,223</w:t>
            </w:r>
          </w:p>
        </w:tc>
        <w:tc>
          <w:tcPr>
            <w:tcW w:w="6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stock-based compensation expense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16,988</w:t>
            </w:r>
          </w:p>
        </w:tc>
        <w:tc>
          <w:tcPr>
            <w:tcW w:w="60"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75"/>
        <w:gridCol w:w="200"/>
        <w:gridCol w:w="13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3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Treasury Stock</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1999 and 1998, the Company funded the purchase by a trustee of an aggregate of approximately 87 thousand Tower’s ordinary shares. These shares are classified as treasury shares.</w:t>
      </w:r>
    </w:p>
    <w:p>
      <w:pPr>
        <w:pStyle w:val="TextBody"/>
        <w:bidi w:val="0"/>
        <w:spacing w:lineRule="auto" w:line="300"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200"/>
        <w:gridCol w:w="17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Dividend Restriction</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Tower is subject to certain limitations on dividend distribution under the Series G Debentures indenture that allows for distribution of dividends subject to satisfying certain financial ratios.</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w:t>
      </w:r>
      <w:r>
        <w:rPr>
          <w:rFonts w:ascii="Times New Roman;Times;serif" w:hAnsi="Times New Roman;Times;serif"/>
          <w:b/>
          <w:sz w:val="20"/>
        </w:rPr>
        <w:t>INFORMATION ON GEOGRAPHIC AREAS AND MAJOR CUSTOMERS</w:t>
      </w:r>
    </w:p>
    <w:p>
      <w:pPr>
        <w:pStyle w:val="TextBody"/>
        <w:bidi w:val="0"/>
        <w:spacing w:lineRule="auto" w:line="300"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200"/>
        <w:gridCol w:w="54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4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Revenues by Geographic Area - as Percentage of Total Revenue</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Years ended December 31, 2022, 2021 and 2020:</w:t>
      </w:r>
    </w:p>
    <w:p>
      <w:pPr>
        <w:pStyle w:val="TextBody"/>
        <w:bidi w:val="0"/>
        <w:spacing w:lineRule="auto" w:line="300" w:before="0" w:after="0"/>
        <w:jc w:val="left"/>
        <w:rPr/>
      </w:pPr>
      <w:r>
        <w:rPr/>
        <w:t> </w:t>
      </w:r>
    </w:p>
    <w:tbl>
      <w:tblPr>
        <w:tblW w:w="3935" w:type="dxa"/>
        <w:jc w:val="left"/>
        <w:tblInd w:w="1620" w:type="dxa"/>
        <w:tblLayout w:type="fixed"/>
        <w:tblCellMar>
          <w:top w:w="0" w:type="dxa"/>
          <w:left w:w="0" w:type="dxa"/>
          <w:bottom w:w="0" w:type="dxa"/>
          <w:right w:w="0" w:type="dxa"/>
        </w:tblCellMar>
      </w:tblPr>
      <w:tblGrid>
        <w:gridCol w:w="1880"/>
        <w:gridCol w:w="60"/>
        <w:gridCol w:w="66"/>
        <w:gridCol w:w="374"/>
        <w:gridCol w:w="185"/>
        <w:gridCol w:w="60"/>
        <w:gridCol w:w="66"/>
        <w:gridCol w:w="374"/>
        <w:gridCol w:w="185"/>
        <w:gridCol w:w="60"/>
        <w:gridCol w:w="66"/>
        <w:gridCol w:w="374"/>
        <w:gridCol w:w="185"/>
      </w:tblGrid>
      <w:tr>
        <w:trPr/>
        <w:tc>
          <w:tcPr>
            <w:tcW w:w="18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185" w:type="dxa"/>
            <w:tcBorders/>
            <w:vAlign w:val="bottom"/>
          </w:tcPr>
          <w:p>
            <w:pPr>
              <w:pStyle w:val="TableContents"/>
              <w:bidi w:val="0"/>
              <w:spacing w:before="0" w:after="283"/>
              <w:jc w:val="left"/>
              <w:rPr/>
            </w:pPr>
            <w:r>
              <w:rPr/>
              <w:t> </w:t>
            </w:r>
          </w:p>
        </w:tc>
      </w:tr>
      <w:tr>
        <w:trPr/>
        <w:tc>
          <w:tcPr>
            <w:tcW w:w="18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USA</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Japan</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w:t>
            </w:r>
          </w:p>
        </w:tc>
        <w:tc>
          <w:tcPr>
            <w:tcW w:w="185" w:type="dxa"/>
            <w:tcBorders/>
            <w:vAlign w:val="bottom"/>
          </w:tcPr>
          <w:p>
            <w:pPr>
              <w:pStyle w:val="TableContents"/>
              <w:bidi w:val="0"/>
              <w:spacing w:before="0" w:after="283"/>
              <w:jc w:val="left"/>
              <w:rPr/>
            </w:pPr>
            <w:r>
              <w:rPr/>
              <w:t> </w:t>
            </w:r>
          </w:p>
        </w:tc>
      </w:tr>
      <w:tr>
        <w:trPr/>
        <w:tc>
          <w:tcPr>
            <w:tcW w:w="18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Asia (other than Japan)</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bottom"/>
          </w:tcPr>
          <w:p>
            <w:pPr>
              <w:pStyle w:val="TableContents"/>
              <w:bidi w:val="0"/>
              <w:spacing w:before="0" w:after="283"/>
              <w:jc w:val="left"/>
              <w:rPr/>
            </w:pPr>
            <w:r>
              <w:rPr/>
              <w:t> </w:t>
            </w:r>
          </w:p>
        </w:tc>
      </w:tr>
      <w:tr>
        <w:trPr/>
        <w:tc>
          <w:tcPr>
            <w:tcW w:w="188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Europe</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374"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374"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374"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185" w:type="dxa"/>
            <w:tcBorders/>
            <w:vAlign w:val="bottom"/>
          </w:tcPr>
          <w:p>
            <w:pPr>
              <w:pStyle w:val="TableContents"/>
              <w:bidi w:val="0"/>
              <w:spacing w:before="0" w:after="283"/>
              <w:jc w:val="left"/>
              <w:rPr/>
            </w:pPr>
            <w:r>
              <w:rPr/>
              <w:t> </w:t>
            </w:r>
          </w:p>
        </w:tc>
      </w:tr>
      <w:tr>
        <w:trPr/>
        <w:tc>
          <w:tcPr>
            <w:tcW w:w="188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basis of attributing revenues from external customers to geographic area is based on the headquarters location of the customer issuing the purchase order; actual delivery may be shipped to another geographic area per customer request.</w:t>
      </w:r>
    </w:p>
    <w:p>
      <w:pPr>
        <w:pStyle w:val="TextBody"/>
        <w:bidi w:val="0"/>
        <w:spacing w:lineRule="auto" w:line="300"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200"/>
        <w:gridCol w:w="33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36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Long-Lived Assets by Geographic Area</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Substantially all of Tower’s long-lived assets are located in Israel, substantially all of TSNB’s and TSSA’s long-lived assets are located in the United States and substantially all of TPSCo’s long-lived assets are located in Japan.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2022 and 2021:</w:t>
      </w:r>
    </w:p>
    <w:p>
      <w:pPr>
        <w:pStyle w:val="TextBody"/>
        <w:bidi w:val="0"/>
        <w:spacing w:lineRule="auto" w:line="300" w:before="0" w:after="0"/>
        <w:jc w:val="left"/>
        <w:rPr/>
      </w:pPr>
      <w:r>
        <w:rPr/>
        <w:t> </w:t>
      </w:r>
    </w:p>
    <w:tbl>
      <w:tblPr>
        <w:tblW w:w="2980" w:type="dxa"/>
        <w:jc w:val="left"/>
        <w:tblInd w:w="1620" w:type="dxa"/>
        <w:tblLayout w:type="fixed"/>
        <w:tblCellMar>
          <w:top w:w="0" w:type="dxa"/>
          <w:left w:w="0" w:type="dxa"/>
          <w:bottom w:w="0" w:type="dxa"/>
          <w:right w:w="0" w:type="dxa"/>
        </w:tblCellMar>
      </w:tblPr>
      <w:tblGrid>
        <w:gridCol w:w="1100"/>
        <w:gridCol w:w="60"/>
        <w:gridCol w:w="125"/>
        <w:gridCol w:w="695"/>
        <w:gridCol w:w="60"/>
        <w:gridCol w:w="60"/>
        <w:gridCol w:w="125"/>
        <w:gridCol w:w="695"/>
        <w:gridCol w:w="60"/>
      </w:tblGrid>
      <w:tr>
        <w:trPr/>
        <w:tc>
          <w:tcPr>
            <w:tcW w:w="110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238,758</w:t>
            </w:r>
          </w:p>
        </w:tc>
        <w:tc>
          <w:tcPr>
            <w:tcW w:w="60"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United States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264,038</w:t>
            </w:r>
          </w:p>
        </w:tc>
        <w:tc>
          <w:tcPr>
            <w:tcW w:w="6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Japan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308,295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373,887</w:t>
            </w:r>
          </w:p>
        </w:tc>
        <w:tc>
          <w:tcPr>
            <w:tcW w:w="6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962,258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876,683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6175" w:type="dxa"/>
        <w:jc w:val="left"/>
        <w:tblInd w:w="0" w:type="dxa"/>
        <w:tblLayout w:type="fixed"/>
        <w:tblCellMar>
          <w:top w:w="0" w:type="dxa"/>
          <w:left w:w="0" w:type="dxa"/>
          <w:bottom w:w="0" w:type="dxa"/>
          <w:right w:w="0" w:type="dxa"/>
        </w:tblCellMar>
      </w:tblPr>
      <w:tblGrid>
        <w:gridCol w:w="75"/>
        <w:gridCol w:w="200"/>
        <w:gridCol w:w="59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59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Major Customers - as Percentage of Net Accounts Receivable Balance</w:t>
            </w:r>
          </w:p>
        </w:tc>
      </w:tr>
    </w:tbl>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As of December 31, 2022, no customer exceeded 10% of the net accounts receivable balance. As of December 31, 2021, one customer exceeded 10% of the net accounts receivable balance and represented 14% of such balance.</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w:t>
      </w:r>
      <w:r>
        <w:rPr>
          <w:rFonts w:ascii="Times New Roman;Times;serif" w:hAnsi="Times New Roman;Times;serif"/>
          <w:b/>
          <w:sz w:val="20"/>
        </w:rPr>
        <w:t>INFORMATION ON GEOGRAPHIC AREAS AND MAJOR CUSTOMERS (Continued)</w:t>
      </w:r>
    </w:p>
    <w:p>
      <w:pPr>
        <w:pStyle w:val="TextBody"/>
        <w:bidi w:val="0"/>
        <w:spacing w:lineRule="auto" w:line="300"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200"/>
        <w:gridCol w:w="43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4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Major Customers - as Percentage of Total Revenue</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Years ended December 31, 2022, 2021 and 2020:</w:t>
      </w:r>
    </w:p>
    <w:p>
      <w:pPr>
        <w:pStyle w:val="TextBody"/>
        <w:bidi w:val="0"/>
        <w:spacing w:lineRule="auto" w:line="300" w:before="0" w:after="0"/>
        <w:jc w:val="left"/>
        <w:rPr/>
      </w:pPr>
      <w:r>
        <w:rPr/>
        <w:t> </w:t>
      </w:r>
    </w:p>
    <w:tbl>
      <w:tblPr>
        <w:tblW w:w="3530" w:type="dxa"/>
        <w:jc w:val="left"/>
        <w:tblInd w:w="1620" w:type="dxa"/>
        <w:tblLayout w:type="fixed"/>
        <w:tblCellMar>
          <w:top w:w="0" w:type="dxa"/>
          <w:left w:w="0" w:type="dxa"/>
          <w:bottom w:w="0" w:type="dxa"/>
          <w:right w:w="0" w:type="dxa"/>
        </w:tblCellMar>
      </w:tblPr>
      <w:tblGrid>
        <w:gridCol w:w="1475"/>
        <w:gridCol w:w="60"/>
        <w:gridCol w:w="91"/>
        <w:gridCol w:w="349"/>
        <w:gridCol w:w="185"/>
        <w:gridCol w:w="60"/>
        <w:gridCol w:w="91"/>
        <w:gridCol w:w="349"/>
        <w:gridCol w:w="185"/>
        <w:gridCol w:w="60"/>
        <w:gridCol w:w="91"/>
        <w:gridCol w:w="349"/>
        <w:gridCol w:w="185"/>
      </w:tblGrid>
      <w:tr>
        <w:trPr/>
        <w:tc>
          <w:tcPr>
            <w:tcW w:w="14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185" w:type="dxa"/>
            <w:tcBorders/>
            <w:vAlign w:val="bottom"/>
          </w:tcPr>
          <w:p>
            <w:pPr>
              <w:pStyle w:val="TableContents"/>
              <w:bidi w:val="0"/>
              <w:spacing w:before="0" w:after="283"/>
              <w:jc w:val="left"/>
              <w:rPr/>
            </w:pPr>
            <w:r>
              <w:rPr/>
              <w:t> </w:t>
            </w:r>
          </w:p>
        </w:tc>
      </w:tr>
      <w:tr>
        <w:trPr/>
        <w:tc>
          <w:tcPr>
            <w:tcW w:w="147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B</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w:t>
            </w:r>
          </w:p>
        </w:tc>
        <w:tc>
          <w:tcPr>
            <w:tcW w:w="185" w:type="dxa"/>
            <w:tcBorders/>
            <w:vAlign w:val="bottom"/>
          </w:tcPr>
          <w:p>
            <w:pPr>
              <w:pStyle w:val="TableContents"/>
              <w:bidi w:val="0"/>
              <w:spacing w:before="0" w:after="283"/>
              <w:jc w:val="left"/>
              <w:rPr/>
            </w:pPr>
            <w:r>
              <w:rPr/>
              <w:t> </w:t>
            </w:r>
          </w:p>
        </w:tc>
      </w:tr>
      <w:tr>
        <w:trPr/>
        <w:tc>
          <w:tcPr>
            <w:tcW w:w="147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 customers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Represents aggregated revenue to four customers that accounted for between 4% and 8% of total revenue during 2022, to four customers that accounted for between 4% and 7% of total revenue during 2021, and to four customers that accounted for between 4% and 7% of total revenue during 2020.</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17:</w:t>
      </w:r>
      <w:r>
        <w:rPr>
          <w:rFonts w:ascii="Times New Roman;Times;serif" w:hAnsi="Times New Roman;Times;serif"/>
          <w:sz w:val="20"/>
        </w:rPr>
        <w:t>     </w:t>
      </w:r>
      <w:r>
        <w:rPr>
          <w:rFonts w:ascii="Times New Roman;Times;serif" w:hAnsi="Times New Roman;Times;serif"/>
          <w:b/>
          <w:sz w:val="20"/>
        </w:rPr>
        <w:t>FINANCING INCOME (EXPENSE), NET</w:t>
      </w:r>
    </w:p>
    <w:p>
      <w:pPr>
        <w:pStyle w:val="TextBody"/>
        <w:bidi w:val="0"/>
        <w:spacing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Financing income (expense), net consists of the following for the years ended December 31, 2022, 2021 and 2020:</w:t>
      </w:r>
    </w:p>
    <w:p>
      <w:pPr>
        <w:pStyle w:val="TextBody"/>
        <w:bidi w:val="0"/>
        <w:spacing w:lineRule="auto" w:line="300" w:before="0" w:after="0"/>
        <w:jc w:val="left"/>
        <w:rPr/>
      </w:pPr>
      <w:r>
        <w:rPr/>
        <w:t> </w:t>
      </w:r>
    </w:p>
    <w:tbl>
      <w:tblPr>
        <w:tblW w:w="8945" w:type="dxa"/>
        <w:jc w:val="left"/>
        <w:tblInd w:w="1260" w:type="dxa"/>
        <w:tblLayout w:type="fixed"/>
        <w:tblCellMar>
          <w:top w:w="0" w:type="dxa"/>
          <w:left w:w="0" w:type="dxa"/>
          <w:bottom w:w="0" w:type="dxa"/>
          <w:right w:w="0" w:type="dxa"/>
        </w:tblCellMar>
      </w:tblPr>
      <w:tblGrid>
        <w:gridCol w:w="6305"/>
        <w:gridCol w:w="60"/>
        <w:gridCol w:w="125"/>
        <w:gridCol w:w="650"/>
        <w:gridCol w:w="80"/>
        <w:gridCol w:w="60"/>
        <w:gridCol w:w="125"/>
        <w:gridCol w:w="650"/>
        <w:gridCol w:w="80"/>
        <w:gridCol w:w="60"/>
        <w:gridCol w:w="125"/>
        <w:gridCol w:w="545"/>
        <w:gridCol w:w="80"/>
      </w:tblGrid>
      <w:tr>
        <w:trPr/>
        <w:tc>
          <w:tcPr>
            <w:tcW w:w="630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80"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(5,687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(7,312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(6,755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8,484</w:t>
            </w:r>
          </w:p>
        </w:tc>
        <w:tc>
          <w:tcPr>
            <w:tcW w:w="80"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Series G Debentures amortization, related exchange rate and related hedging results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(1,773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(3,045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Exchange rate and related hedging results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(3,986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(7,092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5,509</w:t>
            </w:r>
          </w:p>
        </w:tc>
        <w:tc>
          <w:tcPr>
            <w:tcW w:w="80"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 fair value adjustments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(9,225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fees and others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(6,693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(2,064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(12,767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(12,873</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2,870</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18:</w:t>
      </w:r>
      <w:r>
        <w:rPr>
          <w:rFonts w:ascii="Times New Roman;Times;serif" w:hAnsi="Times New Roman;Times;serif"/>
          <w:sz w:val="20"/>
        </w:rPr>
        <w:t>     </w:t>
      </w:r>
      <w:r>
        <w:rPr>
          <w:rFonts w:ascii="Times New Roman;Times;serif" w:hAnsi="Times New Roman;Times;serif"/>
          <w:b/>
          <w:sz w:val="20"/>
        </w:rPr>
        <w:t>RELATED PARTIES BALANCES AND TRANSACTIONS</w:t>
      </w:r>
    </w:p>
    <w:p>
      <w:pPr>
        <w:pStyle w:val="TextBody"/>
        <w:bidi w:val="0"/>
        <w:spacing w:lineRule="auto" w:line="300" w:before="0" w:after="0"/>
        <w:jc w:val="left"/>
        <w:rPr/>
      </w:pPr>
      <w:r>
        <w:rPr/>
        <w:t> </w:t>
      </w:r>
    </w:p>
    <w:tbl>
      <w:tblPr>
        <w:tblW w:w="1000" w:type="dxa"/>
        <w:jc w:val="left"/>
        <w:tblInd w:w="0" w:type="dxa"/>
        <w:tblLayout w:type="fixed"/>
        <w:tblCellMar>
          <w:top w:w="0" w:type="dxa"/>
          <w:left w:w="0" w:type="dxa"/>
          <w:bottom w:w="0" w:type="dxa"/>
          <w:right w:w="0" w:type="dxa"/>
        </w:tblCellMar>
      </w:tblPr>
      <w:tblGrid>
        <w:gridCol w:w="75"/>
        <w:gridCol w:w="200"/>
        <w:gridCol w:w="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7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Balance</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nature of the relationship involved as of December 31, 2022 and 2021:</w:t>
      </w:r>
    </w:p>
    <w:p>
      <w:pPr>
        <w:pStyle w:val="TextBody"/>
        <w:bidi w:val="0"/>
        <w:spacing w:lineRule="auto" w:line="300" w:before="0" w:after="0"/>
        <w:jc w:val="left"/>
        <w:rPr/>
      </w:pPr>
      <w:r>
        <w:rPr/>
        <w:t> </w:t>
      </w:r>
    </w:p>
    <w:tbl>
      <w:tblPr>
        <w:tblW w:w="6455" w:type="dxa"/>
        <w:jc w:val="left"/>
        <w:tblInd w:w="1620" w:type="dxa"/>
        <w:tblLayout w:type="fixed"/>
        <w:tblCellMar>
          <w:top w:w="0" w:type="dxa"/>
          <w:left w:w="0" w:type="dxa"/>
          <w:bottom w:w="0" w:type="dxa"/>
          <w:right w:w="0" w:type="dxa"/>
        </w:tblCellMar>
      </w:tblPr>
      <w:tblGrid>
        <w:gridCol w:w="1820"/>
        <w:gridCol w:w="60"/>
        <w:gridCol w:w="3455"/>
        <w:gridCol w:w="60"/>
        <w:gridCol w:w="154"/>
        <w:gridCol w:w="286"/>
        <w:gridCol w:w="60"/>
        <w:gridCol w:w="60"/>
        <w:gridCol w:w="154"/>
        <w:gridCol w:w="286"/>
        <w:gridCol w:w="60"/>
      </w:tblGrid>
      <w:tr>
        <w:trPr/>
        <w:tc>
          <w:tcPr>
            <w:tcW w:w="1820"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3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r>
      <w:tr>
        <w:trPr/>
        <w:tc>
          <w:tcPr>
            <w:tcW w:w="1820"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investment</w:t>
            </w:r>
          </w:p>
        </w:tc>
        <w:tc>
          <w:tcPr>
            <w:tcW w:w="60" w:type="dxa"/>
            <w:tcBorders/>
            <w:shd w:fill="CCEEFF" w:val="clear"/>
            <w:vAlign w:val="bottom"/>
          </w:tcPr>
          <w:p>
            <w:pPr>
              <w:pStyle w:val="TableContents"/>
              <w:bidi w:val="0"/>
              <w:spacing w:before="0" w:after="283"/>
              <w:jc w:val="left"/>
              <w:rPr/>
            </w:pPr>
            <w:r>
              <w:rPr/>
              <w:t> </w:t>
            </w:r>
          </w:p>
        </w:tc>
        <w:tc>
          <w:tcPr>
            <w:tcW w:w="345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Equity investment in a limited partnership</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1420" w:type="dxa"/>
        <w:jc w:val="left"/>
        <w:tblInd w:w="0" w:type="dxa"/>
        <w:tblLayout w:type="fixed"/>
        <w:tblCellMar>
          <w:top w:w="0" w:type="dxa"/>
          <w:left w:w="0" w:type="dxa"/>
          <w:bottom w:w="0" w:type="dxa"/>
          <w:right w:w="0" w:type="dxa"/>
        </w:tblCellMar>
      </w:tblPr>
      <w:tblGrid>
        <w:gridCol w:w="75"/>
        <w:gridCol w:w="200"/>
        <w:gridCol w:w="11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1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Transactions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the transactions for the years ended December 31, 2022, 2021 and 2020:</w:t>
      </w:r>
    </w:p>
    <w:p>
      <w:pPr>
        <w:pStyle w:val="TextBody"/>
        <w:bidi w:val="0"/>
        <w:spacing w:lineRule="auto" w:line="300" w:before="0" w:after="0"/>
        <w:jc w:val="left"/>
        <w:rPr/>
      </w:pPr>
      <w:r>
        <w:rPr/>
        <w:t> </w:t>
      </w:r>
    </w:p>
    <w:tbl>
      <w:tblPr>
        <w:tblW w:w="8440" w:type="dxa"/>
        <w:jc w:val="left"/>
        <w:tblInd w:w="1620" w:type="dxa"/>
        <w:tblLayout w:type="fixed"/>
        <w:tblCellMar>
          <w:top w:w="0" w:type="dxa"/>
          <w:left w:w="0" w:type="dxa"/>
          <w:bottom w:w="0" w:type="dxa"/>
          <w:right w:w="0" w:type="dxa"/>
        </w:tblCellMar>
      </w:tblPr>
      <w:tblGrid>
        <w:gridCol w:w="2915"/>
        <w:gridCol w:w="60"/>
        <w:gridCol w:w="3725"/>
        <w:gridCol w:w="60"/>
        <w:gridCol w:w="125"/>
        <w:gridCol w:w="335"/>
        <w:gridCol w:w="60"/>
        <w:gridCol w:w="60"/>
        <w:gridCol w:w="125"/>
        <w:gridCol w:w="335"/>
        <w:gridCol w:w="60"/>
        <w:gridCol w:w="60"/>
        <w:gridCol w:w="125"/>
        <w:gridCol w:w="335"/>
        <w:gridCol w:w="60"/>
      </w:tblGrid>
      <w:tr>
        <w:trPr/>
        <w:tc>
          <w:tcPr>
            <w:tcW w:w="291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3725" w:type="dxa"/>
            <w:tcBorders>
              <w:bottom w:val="single" w:sz="12"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Description of the transactions</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2020</w:t>
            </w:r>
          </w:p>
        </w:tc>
        <w:tc>
          <w:tcPr>
            <w:tcW w:w="60"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 expense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 fees and reimbursement to directors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sz w:val="20"/>
        </w:rPr>
        <w:t>NOTE 19:     </w:t>
      </w:r>
      <w:r>
        <w:rPr>
          <w:rFonts w:ascii="Times New Roman;Times;serif" w:hAnsi="Times New Roman;Times;serif"/>
          <w:b/>
          <w:sz w:val="20"/>
        </w:rPr>
        <w:t>INCOME TAXES</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b/>
          <w:sz w:val="20"/>
        </w:rPr>
        <w:t>Tower Statutory Income Rates</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Substantially all of Tower’s existing facilities and other capital investments made through 2012 have been granted approved enterprise status, as provided by the Law for the Encouragement of Capital Investment in Israel (“Investments Law”).</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Tower, as an Israeli industrial company located in Migdal Ha’emek, may elect the Preferred Enterprise regime to apply to it under the Investment Law. The election is irrevocable.</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Under the Preferred Enterprise regime, Tower’s entire preferred income is subject to a tax rate of 7.5%. Any portion of Tower’s taxable income that is not eligible for Preferred Enterprise benefits, if at all, shall be taxed at the regular corporate tax rate of 23%.</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Income Tax Provision</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 in applicable local taxable income attributable to those locations.</w:t>
      </w:r>
    </w:p>
    <w:p>
      <w:pPr>
        <w:pStyle w:val="TextBody"/>
        <w:bidi w:val="0"/>
        <w:spacing w:before="220" w:after="200"/>
        <w:ind w:left="1560" w:right="0" w:hanging="0"/>
        <w:jc w:val="left"/>
        <w:rPr>
          <w:rFonts w:ascii="Times New Roman;Times;serif" w:hAnsi="Times New Roman;Times;serif"/>
          <w:sz w:val="20"/>
        </w:rPr>
      </w:pPr>
      <w:r>
        <w:rPr>
          <w:rFonts w:ascii="Times New Roman;Times;serif" w:hAnsi="Times New Roman;Times;serif"/>
          <w:sz w:val="20"/>
        </w:rPr>
        <w:t>The Company’s income tax provision consists of the following for the years ended December 31, 2022, 2021 and 2020:</w:t>
      </w:r>
    </w:p>
    <w:tbl>
      <w:tblPr>
        <w:tblW w:w="5000" w:type="pct"/>
        <w:jc w:val="left"/>
        <w:tblInd w:w="1620" w:type="dxa"/>
        <w:tblLayout w:type="fixed"/>
        <w:tblCellMar>
          <w:top w:w="0" w:type="dxa"/>
          <w:left w:w="0" w:type="dxa"/>
          <w:bottom w:w="0" w:type="dxa"/>
          <w:right w:w="0" w:type="dxa"/>
        </w:tblCellMar>
      </w:tblPr>
      <w:tblGrid>
        <w:gridCol w:w="5032"/>
        <w:gridCol w:w="120"/>
        <w:gridCol w:w="251"/>
        <w:gridCol w:w="1183"/>
        <w:gridCol w:w="160"/>
        <w:gridCol w:w="120"/>
        <w:gridCol w:w="251"/>
        <w:gridCol w:w="1303"/>
        <w:gridCol w:w="161"/>
        <w:gridCol w:w="120"/>
        <w:gridCol w:w="250"/>
        <w:gridCol w:w="1093"/>
        <w:gridCol w:w="161"/>
      </w:tblGrid>
      <w:tr>
        <w:trPr/>
        <w:tc>
          <w:tcPr>
            <w:tcW w:w="5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20" w:type="dxa"/>
            <w:tcBorders/>
            <w:vAlign w:val="center"/>
          </w:tcPr>
          <w:p>
            <w:pPr>
              <w:pStyle w:val="TableContents"/>
              <w:bidi w:val="0"/>
              <w:spacing w:before="0" w:after="283"/>
              <w:jc w:val="left"/>
              <w:rPr/>
            </w:pPr>
            <w:r>
              <w:rPr/>
              <w:t> </w:t>
            </w:r>
          </w:p>
        </w:tc>
        <w:tc>
          <w:tcPr>
            <w:tcW w:w="143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2021</w:t>
            </w:r>
          </w:p>
        </w:tc>
        <w:tc>
          <w:tcPr>
            <w:tcW w:w="1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2020</w:t>
            </w:r>
          </w:p>
        </w:tc>
        <w:tc>
          <w:tcPr>
            <w:tcW w:w="161" w:type="dxa"/>
            <w:tcBorders/>
            <w:vAlign w:val="center"/>
          </w:tcPr>
          <w:p>
            <w:pPr>
              <w:pStyle w:val="TableContents"/>
              <w:bidi w:val="0"/>
              <w:spacing w:before="0" w:after="283"/>
              <w:jc w:val="left"/>
              <w:rPr/>
            </w:pPr>
            <w:r>
              <w:rPr/>
              <w:t> </w:t>
            </w:r>
          </w:p>
        </w:tc>
      </w:tr>
      <w:tr>
        <w:trPr/>
        <w:tc>
          <w:tcPr>
            <w:tcW w:w="503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Current tax expense:</w:t>
            </w:r>
          </w:p>
        </w:tc>
        <w:tc>
          <w:tcPr>
            <w:tcW w:w="120" w:type="dxa"/>
            <w:tcBorders/>
            <w:shd w:fill="CCEEFF" w:val="clear"/>
            <w:vAlign w:val="center"/>
          </w:tcPr>
          <w:p>
            <w:pPr>
              <w:pStyle w:val="TableContents"/>
              <w:bidi w:val="0"/>
              <w:spacing w:before="0" w:after="283"/>
              <w:jc w:val="left"/>
              <w:rPr/>
            </w:pPr>
            <w:r>
              <w:rPr/>
              <w:t> </w:t>
            </w:r>
          </w:p>
        </w:tc>
        <w:tc>
          <w:tcPr>
            <w:tcW w:w="1434" w:type="dxa"/>
            <w:gridSpan w:val="2"/>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4" w:type="dxa"/>
            <w:gridSpan w:val="2"/>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43" w:type="dxa"/>
            <w:gridSpan w:val="2"/>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r>
      <w:tr>
        <w:trPr/>
        <w:tc>
          <w:tcPr>
            <w:tcW w:w="503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Foreign</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13,167</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13,504</w:t>
            </w:r>
          </w:p>
        </w:tc>
        <w:tc>
          <w:tcPr>
            <w:tcW w:w="16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2,232</w:t>
            </w:r>
          </w:p>
        </w:tc>
        <w:tc>
          <w:tcPr>
            <w:tcW w:w="161" w:type="dxa"/>
            <w:tcBorders/>
            <w:shd w:fill="FFFFFF" w:val="clear"/>
            <w:vAlign w:val="center"/>
          </w:tcPr>
          <w:p>
            <w:pPr>
              <w:pStyle w:val="TableContents"/>
              <w:bidi w:val="0"/>
              <w:spacing w:before="0" w:after="283"/>
              <w:jc w:val="left"/>
              <w:rPr/>
            </w:pPr>
            <w:r>
              <w:rPr/>
              <w:t> </w:t>
            </w:r>
          </w:p>
        </w:tc>
      </w:tr>
      <w:tr>
        <w:trPr/>
        <w:tc>
          <w:tcPr>
            <w:tcW w:w="503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Deferred tax expense (benefit):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r>
      <w:tr>
        <w:trPr/>
        <w:tc>
          <w:tcPr>
            <w:tcW w:w="503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Local</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21,550</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2,518</w:t>
            </w:r>
          </w:p>
        </w:tc>
        <w:tc>
          <w:tcPr>
            <w:tcW w:w="16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8,481</w:t>
            </w:r>
          </w:p>
        </w:tc>
        <w:tc>
          <w:tcPr>
            <w:tcW w:w="161" w:type="dxa"/>
            <w:tcBorders/>
            <w:shd w:fill="FFFFFF" w:val="clear"/>
            <w:vAlign w:val="center"/>
          </w:tcPr>
          <w:p>
            <w:pPr>
              <w:pStyle w:val="TableContents"/>
              <w:bidi w:val="0"/>
              <w:spacing w:before="0" w:after="283"/>
              <w:jc w:val="left"/>
              <w:rPr/>
            </w:pPr>
            <w:r>
              <w:rPr/>
              <w:t> </w:t>
            </w:r>
          </w:p>
        </w:tc>
      </w:tr>
      <w:tr>
        <w:trPr/>
        <w:tc>
          <w:tcPr>
            <w:tcW w:w="503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Foreign</w:t>
            </w:r>
          </w:p>
        </w:tc>
        <w:tc>
          <w:tcPr>
            <w:tcW w:w="12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(9,215</w:t>
            </w:r>
          </w:p>
        </w:tc>
        <w:tc>
          <w:tcPr>
            <w:tcW w:w="1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(14,998</w:t>
            </w:r>
          </w:p>
        </w:tc>
        <w:tc>
          <w:tcPr>
            <w:tcW w:w="161" w:type="dxa"/>
            <w:tcBorders/>
            <w:shd w:fill="CCEEFF" w:val="clear"/>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(5,314</w:t>
            </w:r>
          </w:p>
        </w:tc>
        <w:tc>
          <w:tcPr>
            <w:tcW w:w="161" w:type="dxa"/>
            <w:tcBorders/>
            <w:shd w:fill="CCEEFF" w:val="clear"/>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503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 expense</w:t>
            </w:r>
          </w:p>
        </w:tc>
        <w:tc>
          <w:tcPr>
            <w:tcW w:w="120" w:type="dxa"/>
            <w:tcBorders/>
            <w:shd w:fill="FFFFFF" w:val="clear"/>
            <w:vAlign w:val="center"/>
          </w:tcPr>
          <w:p>
            <w:pPr>
              <w:pStyle w:val="TableContents"/>
              <w:bidi w:val="0"/>
              <w:spacing w:before="0" w:after="283"/>
              <w:jc w:val="left"/>
              <w:rPr/>
            </w:pPr>
            <w:r>
              <w:rPr/>
              <w:t> </w:t>
            </w:r>
          </w:p>
        </w:tc>
        <w:tc>
          <w:tcPr>
            <w:tcW w:w="251" w:type="dxa"/>
            <w:tcBorders>
              <w:bottom w:val="double" w:sz="8"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8"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25,502</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1" w:type="dxa"/>
            <w:tcBorders>
              <w:bottom w:val="double" w:sz="8"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3" w:type="dxa"/>
            <w:tcBorders>
              <w:bottom w:val="double" w:sz="8"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1,024</w:t>
            </w:r>
          </w:p>
        </w:tc>
        <w:tc>
          <w:tcPr>
            <w:tcW w:w="16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double" w:sz="8"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8"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5,399</w:t>
            </w:r>
          </w:p>
        </w:tc>
        <w:tc>
          <w:tcPr>
            <w:tcW w:w="161"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1620" w:type="dxa"/>
        <w:tblLayout w:type="fixed"/>
        <w:tblCellMar>
          <w:top w:w="0" w:type="dxa"/>
          <w:left w:w="0" w:type="dxa"/>
          <w:bottom w:w="0" w:type="dxa"/>
          <w:right w:w="0" w:type="dxa"/>
        </w:tblCellMar>
      </w:tblPr>
      <w:tblGrid>
        <w:gridCol w:w="4151"/>
        <w:gridCol w:w="125"/>
        <w:gridCol w:w="262"/>
        <w:gridCol w:w="1453"/>
        <w:gridCol w:w="167"/>
        <w:gridCol w:w="126"/>
        <w:gridCol w:w="261"/>
        <w:gridCol w:w="1454"/>
        <w:gridCol w:w="167"/>
        <w:gridCol w:w="125"/>
        <w:gridCol w:w="261"/>
        <w:gridCol w:w="1454"/>
        <w:gridCol w:w="199"/>
      </w:tblGrid>
      <w:tr>
        <w:trPr/>
        <w:tc>
          <w:tcPr>
            <w:tcW w:w="41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25"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167"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2021</w:t>
            </w:r>
          </w:p>
        </w:tc>
        <w:tc>
          <w:tcPr>
            <w:tcW w:w="16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2020</w:t>
            </w:r>
          </w:p>
        </w:tc>
        <w:tc>
          <w:tcPr>
            <w:tcW w:w="199" w:type="dxa"/>
            <w:tcBorders/>
            <w:vAlign w:val="center"/>
          </w:tcPr>
          <w:p>
            <w:pPr>
              <w:pStyle w:val="TableContents"/>
              <w:bidi w:val="0"/>
              <w:spacing w:before="0" w:after="283"/>
              <w:jc w:val="left"/>
              <w:rPr/>
            </w:pPr>
            <w:r>
              <w:rPr/>
              <w:t> </w:t>
            </w:r>
          </w:p>
        </w:tc>
      </w:tr>
      <w:tr>
        <w:trPr/>
        <w:tc>
          <w:tcPr>
            <w:tcW w:w="415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Profit before taxes:</w:t>
            </w:r>
          </w:p>
        </w:tc>
        <w:tc>
          <w:tcPr>
            <w:tcW w:w="125" w:type="dxa"/>
            <w:tcBorders/>
            <w:shd w:fill="CCEEFF" w:val="clear"/>
            <w:vAlign w:val="center"/>
          </w:tcPr>
          <w:p>
            <w:pPr>
              <w:pStyle w:val="TableContents"/>
              <w:bidi w:val="0"/>
              <w:spacing w:before="0" w:after="283"/>
              <w:jc w:val="left"/>
              <w:rPr/>
            </w:pPr>
            <w:r>
              <w:rPr/>
              <w:t> </w:t>
            </w:r>
          </w:p>
        </w:tc>
        <w:tc>
          <w:tcPr>
            <w:tcW w:w="1715" w:type="dxa"/>
            <w:gridSpan w:val="2"/>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715" w:type="dxa"/>
            <w:gridSpan w:val="2"/>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15" w:type="dxa"/>
            <w:gridSpan w:val="2"/>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r>
      <w:tr>
        <w:trPr/>
        <w:tc>
          <w:tcPr>
            <w:tcW w:w="41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Local</w:t>
            </w:r>
          </w:p>
        </w:tc>
        <w:tc>
          <w:tcPr>
            <w:tcW w:w="1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3"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295,438</w:t>
            </w:r>
          </w:p>
        </w:tc>
        <w:tc>
          <w:tcPr>
            <w:tcW w:w="167"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4"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166,273</w:t>
            </w:r>
          </w:p>
        </w:tc>
        <w:tc>
          <w:tcPr>
            <w:tcW w:w="16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4"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100,145</w:t>
            </w:r>
          </w:p>
        </w:tc>
        <w:tc>
          <w:tcPr>
            <w:tcW w:w="199" w:type="dxa"/>
            <w:tcBorders/>
            <w:vAlign w:val="center"/>
          </w:tcPr>
          <w:p>
            <w:pPr>
              <w:pStyle w:val="TableContents"/>
              <w:bidi w:val="0"/>
              <w:spacing w:before="0" w:after="283"/>
              <w:jc w:val="left"/>
              <w:rPr/>
            </w:pPr>
            <w:r>
              <w:rPr/>
              <w:t> </w:t>
            </w:r>
          </w:p>
        </w:tc>
      </w:tr>
      <w:tr>
        <w:trPr/>
        <w:tc>
          <w:tcPr>
            <w:tcW w:w="415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Foreign</w:t>
            </w:r>
          </w:p>
        </w:tc>
        <w:tc>
          <w:tcPr>
            <w:tcW w:w="125"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(3,465</w:t>
            </w:r>
          </w:p>
        </w:tc>
        <w:tc>
          <w:tcPr>
            <w:tcW w:w="16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(11,174</w:t>
            </w:r>
          </w:p>
        </w:tc>
        <w:tc>
          <w:tcPr>
            <w:tcW w:w="16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(11,457</w:t>
            </w:r>
          </w:p>
        </w:tc>
        <w:tc>
          <w:tcPr>
            <w:tcW w:w="19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profit before taxes</w:t>
            </w:r>
          </w:p>
        </w:tc>
        <w:tc>
          <w:tcPr>
            <w:tcW w:w="125" w:type="dxa"/>
            <w:tcBorders/>
            <w:vAlign w:val="center"/>
          </w:tcPr>
          <w:p>
            <w:pPr>
              <w:pStyle w:val="TableContents"/>
              <w:bidi w:val="0"/>
              <w:spacing w:before="0" w:after="283"/>
              <w:jc w:val="left"/>
              <w:rPr/>
            </w:pPr>
            <w:r>
              <w:rPr/>
              <w:t> </w:t>
            </w:r>
          </w:p>
        </w:tc>
        <w:tc>
          <w:tcPr>
            <w:tcW w:w="262"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3"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291,973</w:t>
            </w:r>
          </w:p>
        </w:tc>
        <w:tc>
          <w:tcPr>
            <w:tcW w:w="167"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61"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4"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155,099</w:t>
            </w:r>
          </w:p>
        </w:tc>
        <w:tc>
          <w:tcPr>
            <w:tcW w:w="16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1"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54"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88,688</w:t>
            </w:r>
          </w:p>
        </w:tc>
        <w:tc>
          <w:tcPr>
            <w:tcW w:w="19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220" w:after="0"/>
        <w:jc w:val="left"/>
        <w:rPr/>
      </w:pPr>
      <w:r>
        <w:rPr>
          <w:rFonts w:ascii="Times New Roman;Times;serif" w:hAnsi="Times New Roman;Times;serif"/>
          <w:b/>
          <w:sz w:val="20"/>
        </w:rPr>
        <w:t>NOTE 19</w:t>
      </w:r>
      <w:r>
        <w:rPr>
          <w:rStyle w:val="StrongEmphasis"/>
          <w:rFonts w:ascii="Times New Roman;Times;serif" w:hAnsi="Times New Roman;Times;serif"/>
          <w:b/>
          <w:sz w:val="20"/>
        </w:rPr>
        <w:t>:      </w:t>
      </w:r>
      <w:r>
        <w:rPr>
          <w:rFonts w:ascii="Times New Roman;Times;serif" w:hAnsi="Times New Roman;Times;serif"/>
          <w:b/>
          <w:sz w:val="20"/>
        </w:rPr>
        <w:t>INCOME TAXES (</w:t>
      </w:r>
      <w:r>
        <w:rPr>
          <w:rFonts w:ascii="Times New Roman;Times;serif" w:hAnsi="Times New Roman;Times;serif"/>
          <w:b/>
          <w:sz w:val="20"/>
        </w:rPr>
        <w:t>Continued</w:t>
      </w:r>
      <w:r>
        <w:rPr>
          <w:rFonts w:ascii="Times New Roman;Times;serif" w:hAnsi="Times New Roman;Times;serif"/>
          <w:b/>
          <w:sz w:val="20"/>
        </w:rPr>
        <w:t>)</w:t>
      </w:r>
    </w:p>
    <w:p>
      <w:pPr>
        <w:pStyle w:val="TextBody"/>
        <w:bidi w:val="0"/>
        <w:spacing w:before="220" w:after="0"/>
        <w:ind w:left="1134" w:right="0" w:hanging="0"/>
        <w:jc w:val="left"/>
        <w:rPr/>
      </w:pPr>
      <w:r>
        <w:rPr>
          <w:rStyle w:val="StrongEmphasis"/>
          <w:rFonts w:ascii="Times New Roman;Times;serif" w:hAnsi="Times New Roman;Times;serif"/>
          <w:b/>
          <w:sz w:val="20"/>
        </w:rPr>
        <w:t>C.</w:t>
      </w:r>
      <w:r>
        <w:rPr>
          <w:rFonts w:ascii="Times New Roman;Times;serif" w:hAnsi="Times New Roman;Times;serif"/>
          <w:sz w:val="20"/>
        </w:rPr>
        <w:t> </w:t>
      </w:r>
      <w:r>
        <w:rPr>
          <w:rStyle w:val="StrongEmphasis"/>
          <w:rFonts w:ascii="Times New Roman;Times;serif" w:hAnsi="Times New Roman;Times;serif"/>
          <w:sz w:val="20"/>
        </w:rPr>
        <w:t>Components of Deferred Tax Asset/Liability</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The following is a summary of the components of the deferred tax assets and liabilities reflected in the balance sheets as of the respective dates (*), as of December 31, 2022 and 2021:</w:t>
      </w:r>
    </w:p>
    <w:p>
      <w:pPr>
        <w:pStyle w:val="TextBody"/>
        <w:bidi w:val="0"/>
        <w:spacing w:lineRule="auto" w:line="300" w:before="0" w:after="0"/>
        <w:jc w:val="left"/>
        <w:rPr/>
      </w:pPr>
      <w:r>
        <w:rPr/>
        <w:t> </w:t>
      </w:r>
    </w:p>
    <w:tbl>
      <w:tblPr>
        <w:tblW w:w="5585" w:type="dxa"/>
        <w:jc w:val="left"/>
        <w:tblInd w:w="1620" w:type="dxa"/>
        <w:tblLayout w:type="fixed"/>
        <w:tblCellMar>
          <w:top w:w="0" w:type="dxa"/>
          <w:left w:w="0" w:type="dxa"/>
          <w:bottom w:w="0" w:type="dxa"/>
          <w:right w:w="0" w:type="dxa"/>
        </w:tblCellMar>
      </w:tblPr>
      <w:tblGrid>
        <w:gridCol w:w="3665"/>
        <w:gridCol w:w="60"/>
        <w:gridCol w:w="125"/>
        <w:gridCol w:w="695"/>
        <w:gridCol w:w="80"/>
        <w:gridCol w:w="60"/>
        <w:gridCol w:w="125"/>
        <w:gridCol w:w="695"/>
        <w:gridCol w:w="80"/>
      </w:tblGrid>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2021</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 and liability - long-term:</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Net operating loss carryforward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53,473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77,586</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Employees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5,366</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Accruals and allowances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7,863</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credit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20,633</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 Section 174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3,737</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107,060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115,185</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Valuation allowance, see Note 19F below</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(17,541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(11,644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89,519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103,541</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liabilities - long-term:</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(69,314</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(72,678</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(1,114</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(69,237</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(73,792</w:t>
            </w:r>
          </w:p>
        </w:tc>
        <w:tc>
          <w:tcPr>
            <w:tcW w:w="80" w:type="dxa"/>
            <w:tcBorders/>
            <w:shd w:fill="CCEEFF" w:val="cle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Presented in long term deferred tax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53,526</w:t>
            </w:r>
          </w:p>
        </w:tc>
        <w:tc>
          <w:tcPr>
            <w:tcW w:w="8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Presented in long term deferred tax liabilities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(12,505</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(23,777</w:t>
            </w:r>
          </w:p>
        </w:tc>
        <w:tc>
          <w:tcPr>
            <w:tcW w:w="80" w:type="dxa"/>
            <w:tcBorders/>
            <w:vAlign w:val="bottom"/>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620" w:right="0" w:hanging="0"/>
        <w:jc w:val="left"/>
        <w:rPr/>
      </w:pPr>
      <w:r>
        <w:rPr/>
        <w:t> </w:t>
      </w:r>
    </w:p>
    <w:p>
      <w:pPr>
        <w:pStyle w:val="TextBody"/>
        <w:bidi w:val="0"/>
        <w:spacing w:lineRule="auto" w:line="300"/>
        <w:ind w:left="1620" w:right="0" w:firstLine="6"/>
        <w:jc w:val="both"/>
        <w:rPr>
          <w:rFonts w:ascii="Times New Roman;Times;serif" w:hAnsi="Times New Roman;Times;serif"/>
          <w:sz w:val="20"/>
        </w:rPr>
      </w:pPr>
      <w:r>
        <w:rPr>
          <w:rFonts w:ascii="Times New Roman;Times;serif" w:hAnsi="Times New Roman;Times;serif"/>
          <w:sz w:val="20"/>
        </w:rPr>
        <w:t>(*) Deferred tax assets and liabilities relating to Tower for the years 2022 and 2021 are computed based on the Israeli Preferred Enterprise tax rate of 7.5%.</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Unrecognized Tax Benefit</w:t>
      </w:r>
    </w:p>
    <w:p>
      <w:pPr>
        <w:pStyle w:val="TextBody"/>
        <w:bidi w:val="0"/>
        <w:spacing w:before="220" w:after="200"/>
        <w:ind w:left="1560" w:right="0" w:hanging="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w:t>
      </w:r>
    </w:p>
    <w:tbl>
      <w:tblPr>
        <w:tblW w:w="5000" w:type="pct"/>
        <w:jc w:val="left"/>
        <w:tblInd w:w="1620" w:type="dxa"/>
        <w:tblLayout w:type="fixed"/>
        <w:tblCellMar>
          <w:top w:w="0" w:type="dxa"/>
          <w:left w:w="0" w:type="dxa"/>
          <w:bottom w:w="0" w:type="dxa"/>
          <w:right w:w="0" w:type="dxa"/>
        </w:tblCellMar>
      </w:tblPr>
      <w:tblGrid>
        <w:gridCol w:w="7435"/>
        <w:gridCol w:w="105"/>
        <w:gridCol w:w="517"/>
        <w:gridCol w:w="2017"/>
        <w:gridCol w:w="131"/>
      </w:tblGrid>
      <w:tr>
        <w:trPr/>
        <w:tc>
          <w:tcPr>
            <w:tcW w:w="74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05" w:type="dxa"/>
            <w:tcBorders/>
            <w:vAlign w:val="center"/>
          </w:tcPr>
          <w:p>
            <w:pPr>
              <w:pStyle w:val="TableContents"/>
              <w:bidi w:val="0"/>
              <w:spacing w:before="0" w:after="283"/>
              <w:jc w:val="left"/>
              <w:rPr/>
            </w:pPr>
            <w:r>
              <w:rPr/>
              <w:t> </w:t>
            </w:r>
          </w:p>
        </w:tc>
        <w:tc>
          <w:tcPr>
            <w:tcW w:w="253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benefits</w:t>
            </w:r>
          </w:p>
        </w:tc>
        <w:tc>
          <w:tcPr>
            <w:tcW w:w="131"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January 1, 2022</w:t>
            </w:r>
          </w:p>
        </w:tc>
        <w:tc>
          <w:tcPr>
            <w:tcW w:w="10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1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7,763</w:t>
            </w:r>
          </w:p>
        </w:tc>
        <w:tc>
          <w:tcPr>
            <w:tcW w:w="131" w:type="dxa"/>
            <w:tcBorders/>
            <w:shd w:fill="CCEEFF" w:val="clear"/>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0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2017"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727</w:t>
            </w:r>
          </w:p>
        </w:tc>
        <w:tc>
          <w:tcPr>
            <w:tcW w:w="131"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105" w:type="dxa"/>
            <w:tcBorders/>
            <w:shd w:fill="CCEEFF" w:val="clear"/>
            <w:vAlign w:val="center"/>
          </w:tcPr>
          <w:p>
            <w:pPr>
              <w:pStyle w:val="TableContents"/>
              <w:bidi w:val="0"/>
              <w:spacing w:before="0" w:after="283"/>
              <w:jc w:val="left"/>
              <w:rPr/>
            </w:pPr>
            <w:r>
              <w:rPr/>
              <w:t> </w:t>
            </w:r>
          </w:p>
        </w:tc>
        <w:tc>
          <w:tcPr>
            <w:tcW w:w="5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1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December 31, 2022</w:t>
            </w:r>
          </w:p>
        </w:tc>
        <w:tc>
          <w:tcPr>
            <w:tcW w:w="105" w:type="dxa"/>
            <w:tcBorders/>
            <w:vAlign w:val="center"/>
          </w:tcPr>
          <w:p>
            <w:pPr>
              <w:pStyle w:val="TableContents"/>
              <w:bidi w:val="0"/>
              <w:spacing w:before="0" w:after="283"/>
              <w:jc w:val="left"/>
              <w:rPr/>
            </w:pPr>
            <w:r>
              <w:rPr/>
              <w:t> </w:t>
            </w:r>
          </w:p>
        </w:tc>
        <w:tc>
          <w:tcPr>
            <w:tcW w:w="517"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17"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8,490</w:t>
            </w:r>
          </w:p>
        </w:tc>
        <w:tc>
          <w:tcPr>
            <w:tcW w:w="1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220" w:after="0"/>
        <w:jc w:val="left"/>
        <w:rPr/>
      </w:pPr>
      <w:r>
        <w:rPr>
          <w:rFonts w:ascii="Times New Roman;Times;serif" w:hAnsi="Times New Roman;Times;serif"/>
          <w:b/>
          <w:sz w:val="20"/>
        </w:rPr>
        <w:t>NOTE 19</w:t>
      </w:r>
      <w:r>
        <w:rPr>
          <w:rStyle w:val="StrongEmphasis"/>
          <w:rFonts w:ascii="Times New Roman;Times;serif" w:hAnsi="Times New Roman;Times;serif"/>
          <w:b/>
          <w:sz w:val="20"/>
        </w:rPr>
        <w:t>:      </w:t>
      </w:r>
      <w:r>
        <w:rPr>
          <w:rFonts w:ascii="Times New Roman;Times;serif" w:hAnsi="Times New Roman;Times;serif"/>
          <w:b/>
          <w:sz w:val="20"/>
        </w:rPr>
        <w:t>INCOME TAXES (</w:t>
      </w:r>
      <w:r>
        <w:rPr>
          <w:rFonts w:ascii="Times New Roman;Times;serif" w:hAnsi="Times New Roman;Times;serif"/>
          <w:b/>
          <w:sz w:val="20"/>
        </w:rPr>
        <w:t>Continued</w:t>
      </w:r>
      <w:r>
        <w:rPr>
          <w:rFonts w:ascii="Times New Roman;Times;serif" w:hAnsi="Times New Roman;Times;serif"/>
          <w:b/>
          <w:sz w:val="20"/>
        </w:rPr>
        <w:t>)</w:t>
      </w:r>
    </w:p>
    <w:p>
      <w:pPr>
        <w:pStyle w:val="TextBody"/>
        <w:bidi w:val="0"/>
        <w:spacing w:before="0" w:after="0"/>
        <w:jc w:val="left"/>
        <w:rPr/>
      </w:pPr>
      <w:r>
        <w:rPr/>
        <w:t> </w:t>
      </w:r>
    </w:p>
    <w:tbl>
      <w:tblPr>
        <w:tblW w:w="5000" w:type="pct"/>
        <w:jc w:val="left"/>
        <w:tblInd w:w="1600" w:type="dxa"/>
        <w:tblLayout w:type="fixed"/>
        <w:tblCellMar>
          <w:top w:w="0" w:type="dxa"/>
          <w:left w:w="0" w:type="dxa"/>
          <w:bottom w:w="0" w:type="dxa"/>
          <w:right w:w="0" w:type="dxa"/>
        </w:tblCellMar>
      </w:tblPr>
      <w:tblGrid>
        <w:gridCol w:w="7410"/>
        <w:gridCol w:w="104"/>
        <w:gridCol w:w="440"/>
        <w:gridCol w:w="2086"/>
        <w:gridCol w:w="165"/>
      </w:tblGrid>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04" w:type="dxa"/>
            <w:tcBorders/>
            <w:vAlign w:val="center"/>
          </w:tcPr>
          <w:p>
            <w:pPr>
              <w:pStyle w:val="TableContents"/>
              <w:bidi w:val="0"/>
              <w:spacing w:before="0" w:after="283"/>
              <w:jc w:val="left"/>
              <w:rPr/>
            </w:pPr>
            <w:r>
              <w:rPr/>
              <w:t> </w:t>
            </w:r>
          </w:p>
        </w:tc>
        <w:tc>
          <w:tcPr>
            <w:tcW w:w="252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benefits</w:t>
            </w:r>
          </w:p>
        </w:tc>
        <w:tc>
          <w:tcPr>
            <w:tcW w:w="165" w:type="dxa"/>
            <w:tcBorders/>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January 1, 2021</w:t>
            </w:r>
          </w:p>
        </w:tc>
        <w:tc>
          <w:tcPr>
            <w:tcW w:w="10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8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15,314</w:t>
            </w:r>
          </w:p>
        </w:tc>
        <w:tc>
          <w:tcPr>
            <w:tcW w:w="165" w:type="dxa"/>
            <w:tcBorders/>
            <w:shd w:fill="CCEEFF" w:val="clear"/>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04"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w:t>
            </w:r>
          </w:p>
        </w:tc>
        <w:tc>
          <w:tcPr>
            <w:tcW w:w="165" w:type="dxa"/>
            <w:tcBorders/>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104" w:type="dxa"/>
            <w:tcBorders/>
            <w:shd w:fill="CCEEFF" w:val="cle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8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(8,175</w:t>
            </w:r>
          </w:p>
        </w:tc>
        <w:tc>
          <w:tcPr>
            <w:tcW w:w="165" w:type="dxa"/>
            <w:tcBorders/>
            <w:shd w:fill="CCEEFF" w:val="clear"/>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December 31, 2021</w:t>
            </w:r>
          </w:p>
        </w:tc>
        <w:tc>
          <w:tcPr>
            <w:tcW w:w="104" w:type="dxa"/>
            <w:tcBorders/>
            <w:vAlign w:val="center"/>
          </w:tcPr>
          <w:p>
            <w:pPr>
              <w:pStyle w:val="TableContents"/>
              <w:bidi w:val="0"/>
              <w:spacing w:before="0" w:after="283"/>
              <w:jc w:val="left"/>
              <w:rPr/>
            </w:pPr>
            <w:r>
              <w:rPr/>
              <w:t> </w:t>
            </w:r>
          </w:p>
        </w:tc>
        <w:tc>
          <w:tcPr>
            <w:tcW w:w="440"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86"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7,763</w:t>
            </w:r>
          </w:p>
        </w:tc>
        <w:tc>
          <w:tcPr>
            <w:tcW w:w="165" w:type="dxa"/>
            <w:tcBorders/>
            <w:vAlign w:val="center"/>
          </w:tcPr>
          <w:p>
            <w:pPr>
              <w:pStyle w:val="TableContents"/>
              <w:bidi w:val="0"/>
              <w:spacing w:before="0" w:after="283"/>
              <w:jc w:val="left"/>
              <w:rPr/>
            </w:pPr>
            <w:r>
              <w:rPr/>
              <w:t> </w:t>
            </w:r>
          </w:p>
        </w:tc>
      </w:tr>
    </w:tbl>
    <w:tbl>
      <w:tblPr>
        <w:tblW w:w="5000" w:type="pct"/>
        <w:jc w:val="left"/>
        <w:tblInd w:w="1600" w:type="dxa"/>
        <w:tblLayout w:type="fixed"/>
        <w:tblCellMar>
          <w:top w:w="0" w:type="dxa"/>
          <w:left w:w="0" w:type="dxa"/>
          <w:bottom w:w="0" w:type="dxa"/>
          <w:right w:w="0" w:type="dxa"/>
        </w:tblCellMar>
      </w:tblPr>
      <w:tblGrid>
        <w:gridCol w:w="7410"/>
        <w:gridCol w:w="104"/>
        <w:gridCol w:w="440"/>
        <w:gridCol w:w="2086"/>
        <w:gridCol w:w="165"/>
      </w:tblGrid>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104" w:type="dxa"/>
            <w:tcBorders/>
            <w:vAlign w:val="center"/>
          </w:tcPr>
          <w:p>
            <w:pPr>
              <w:pStyle w:val="TableContents"/>
              <w:bidi w:val="0"/>
              <w:spacing w:before="0" w:after="283"/>
              <w:jc w:val="left"/>
              <w:rPr/>
            </w:pPr>
            <w:r>
              <w:rPr/>
              <w:t> </w:t>
            </w:r>
          </w:p>
        </w:tc>
        <w:tc>
          <w:tcPr>
            <w:tcW w:w="252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Unrecognized tax</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benefits</w:t>
            </w:r>
          </w:p>
        </w:tc>
        <w:tc>
          <w:tcPr>
            <w:tcW w:w="165" w:type="dxa"/>
            <w:tcBorders/>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January 1, 2020</w:t>
            </w:r>
          </w:p>
        </w:tc>
        <w:tc>
          <w:tcPr>
            <w:tcW w:w="10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8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15,113</w:t>
            </w:r>
          </w:p>
        </w:tc>
        <w:tc>
          <w:tcPr>
            <w:tcW w:w="165" w:type="dxa"/>
            <w:tcBorders/>
            <w:shd w:fill="CCEEFF" w:val="clear"/>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Additions for tax positions of current year</w:t>
            </w:r>
          </w:p>
        </w:tc>
        <w:tc>
          <w:tcPr>
            <w:tcW w:w="104"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w:t>
            </w:r>
          </w:p>
        </w:tc>
        <w:tc>
          <w:tcPr>
            <w:tcW w:w="165" w:type="dxa"/>
            <w:tcBorders/>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104" w:type="dxa"/>
            <w:tcBorders/>
            <w:shd w:fill="CCEEFF" w:val="cle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8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(423</w:t>
            </w:r>
          </w:p>
        </w:tc>
        <w:tc>
          <w:tcPr>
            <w:tcW w:w="165" w:type="dxa"/>
            <w:tcBorders/>
            <w:shd w:fill="CCEEFF" w:val="clear"/>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7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Balance as of December 31, 2020</w:t>
            </w:r>
          </w:p>
        </w:tc>
        <w:tc>
          <w:tcPr>
            <w:tcW w:w="104" w:type="dxa"/>
            <w:tcBorders/>
            <w:vAlign w:val="center"/>
          </w:tcPr>
          <w:p>
            <w:pPr>
              <w:pStyle w:val="TableContents"/>
              <w:bidi w:val="0"/>
              <w:spacing w:before="0" w:after="283"/>
              <w:jc w:val="left"/>
              <w:rPr/>
            </w:pPr>
            <w:r>
              <w:rPr/>
              <w:t> </w:t>
            </w:r>
          </w:p>
        </w:tc>
        <w:tc>
          <w:tcPr>
            <w:tcW w:w="440" w:type="dxa"/>
            <w:tcBorders>
              <w:bottom w:val="doub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086"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15,314</w:t>
            </w:r>
          </w:p>
        </w:tc>
        <w:tc>
          <w:tcPr>
            <w:tcW w:w="165" w:type="dxa"/>
            <w:tcBorders/>
            <w:vAlign w:val="center"/>
          </w:tcPr>
          <w:p>
            <w:pPr>
              <w:pStyle w:val="TableContents"/>
              <w:bidi w:val="0"/>
              <w:spacing w:before="0" w:after="283"/>
              <w:jc w:val="left"/>
              <w:rPr/>
            </w:pPr>
            <w:r>
              <w:rPr/>
              <w:t> </w:t>
            </w:r>
          </w:p>
        </w:tc>
      </w:tr>
    </w:tbl>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Effective Income Tax</w:t>
      </w:r>
    </w:p>
    <w:p>
      <w:pPr>
        <w:pStyle w:val="TextBody"/>
        <w:bidi w:val="0"/>
        <w:spacing w:before="220" w:after="200"/>
        <w:ind w:left="1560" w:right="0" w:hanging="0"/>
        <w:jc w:val="left"/>
        <w:rPr>
          <w:rFonts w:ascii="Times New Roman;Times;serif" w:hAnsi="Times New Roman;Times;serif"/>
          <w:sz w:val="20"/>
        </w:rPr>
      </w:pPr>
      <w:r>
        <w:rPr>
          <w:rFonts w:ascii="Times New Roman;Times;serif" w:hAnsi="Times New Roman;Times;serif"/>
          <w:sz w:val="20"/>
        </w:rPr>
        <w:t>The reconciliation of the statutory tax rate to the effective tax rate for the years ended December 31, 2022, 2021 and 2020:</w:t>
      </w:r>
    </w:p>
    <w:tbl>
      <w:tblPr>
        <w:tblW w:w="5000" w:type="pct"/>
        <w:jc w:val="left"/>
        <w:tblInd w:w="1620" w:type="dxa"/>
        <w:tblLayout w:type="fixed"/>
        <w:tblCellMar>
          <w:top w:w="0" w:type="dxa"/>
          <w:left w:w="0" w:type="dxa"/>
          <w:bottom w:w="0" w:type="dxa"/>
          <w:right w:w="0" w:type="dxa"/>
        </w:tblCellMar>
      </w:tblPr>
      <w:tblGrid>
        <w:gridCol w:w="6924"/>
        <w:gridCol w:w="71"/>
        <w:gridCol w:w="149"/>
        <w:gridCol w:w="772"/>
        <w:gridCol w:w="95"/>
        <w:gridCol w:w="71"/>
        <w:gridCol w:w="149"/>
        <w:gridCol w:w="772"/>
        <w:gridCol w:w="95"/>
        <w:gridCol w:w="72"/>
        <w:gridCol w:w="148"/>
        <w:gridCol w:w="773"/>
        <w:gridCol w:w="114"/>
      </w:tblGrid>
      <w:tr>
        <w:trPr/>
        <w:tc>
          <w:tcPr>
            <w:tcW w:w="692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Details</w:t>
            </w:r>
          </w:p>
        </w:tc>
        <w:tc>
          <w:tcPr>
            <w:tcW w:w="7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2021</w:t>
            </w:r>
          </w:p>
        </w:tc>
        <w:tc>
          <w:tcPr>
            <w:tcW w:w="9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2020</w:t>
            </w:r>
          </w:p>
        </w:tc>
        <w:tc>
          <w:tcPr>
            <w:tcW w:w="114" w:type="dxa"/>
            <w:tcBorders/>
            <w:vAlign w:val="center"/>
          </w:tcPr>
          <w:p>
            <w:pPr>
              <w:pStyle w:val="TableContents"/>
              <w:bidi w:val="0"/>
              <w:spacing w:before="0" w:after="283"/>
              <w:jc w:val="left"/>
              <w:rPr/>
            </w:pPr>
            <w:r>
              <w:rPr/>
              <w:t> </w:t>
            </w:r>
          </w:p>
        </w:tc>
      </w:tr>
      <w:tr>
        <w:trPr/>
        <w:tc>
          <w:tcPr>
            <w:tcW w:w="692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Tax expense computed at statutory rates, see (*) below</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67,154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35,673</w:t>
            </w:r>
          </w:p>
        </w:tc>
        <w:tc>
          <w:tcPr>
            <w:tcW w:w="9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20,398</w:t>
            </w:r>
          </w:p>
        </w:tc>
        <w:tc>
          <w:tcPr>
            <w:tcW w:w="114" w:type="dxa"/>
            <w:tcBorders/>
            <w:shd w:fill="CCEEFF" w:val="clear"/>
            <w:vAlign w:val="center"/>
          </w:tcPr>
          <w:p>
            <w:pPr>
              <w:pStyle w:val="TableContents"/>
              <w:bidi w:val="0"/>
              <w:spacing w:before="0" w:after="283"/>
              <w:jc w:val="left"/>
              <w:rPr/>
            </w:pPr>
            <w:r>
              <w:rPr/>
              <w:t> </w:t>
            </w:r>
          </w:p>
        </w:tc>
      </w:tr>
      <w:tr>
        <w:trPr/>
        <w:tc>
          <w:tcPr>
            <w:tcW w:w="6924" w:type="dxa"/>
            <w:tcBorders/>
            <w:vAlign w:val="center"/>
          </w:tcPr>
          <w:p>
            <w:pPr>
              <w:pStyle w:val="TableContents"/>
              <w:pBdr/>
              <w:bidi w:val="0"/>
              <w:spacing w:before="0" w:after="0"/>
              <w:ind w:left="0" w:right="0" w:hanging="160"/>
              <w:jc w:val="both"/>
              <w:rPr>
                <w:rFonts w:ascii="Times New Roman;Times;serif" w:hAnsi="Times New Roman;Times;serif"/>
                <w:sz w:val="20"/>
              </w:rPr>
            </w:pPr>
            <w:r>
              <w:rPr>
                <w:rFonts w:ascii="Times New Roman;Times;serif" w:hAnsi="Times New Roman;Times;serif"/>
                <w:sz w:val="20"/>
              </w:rPr>
              <w:t>Effect of different tax rates in different jurisdictions and Preferred Enterprise Benefit</w:t>
            </w:r>
          </w:p>
        </w:tc>
        <w:tc>
          <w:tcPr>
            <w:tcW w:w="71"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(46,012</w:t>
            </w:r>
          </w:p>
        </w:tc>
        <w:tc>
          <w:tcPr>
            <w:tcW w:w="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(24,683</w:t>
            </w:r>
          </w:p>
        </w:tc>
        <w:tc>
          <w:tcPr>
            <w:tcW w:w="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(15,046</w:t>
            </w:r>
          </w:p>
        </w:tc>
        <w:tc>
          <w:tcPr>
            <w:tcW w:w="11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92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Change in valuation allowance, see Note 19F below</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5,911</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w:t>
            </w:r>
          </w:p>
        </w:tc>
        <w:tc>
          <w:tcPr>
            <w:tcW w:w="9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3,479</w:t>
            </w:r>
          </w:p>
        </w:tc>
        <w:tc>
          <w:tcPr>
            <w:tcW w:w="114" w:type="dxa"/>
            <w:tcBorders/>
            <w:shd w:fill="CCEEFF" w:val="clear"/>
            <w:vAlign w:val="center"/>
          </w:tcPr>
          <w:p>
            <w:pPr>
              <w:pStyle w:val="TableContents"/>
              <w:bidi w:val="0"/>
              <w:spacing w:before="0" w:after="283"/>
              <w:jc w:val="left"/>
              <w:rPr/>
            </w:pPr>
            <w:r>
              <w:rPr/>
              <w:t> </w:t>
            </w:r>
          </w:p>
        </w:tc>
      </w:tr>
      <w:tr>
        <w:trPr/>
        <w:tc>
          <w:tcPr>
            <w:tcW w:w="692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Permanent differences and other, net</w:t>
            </w:r>
          </w:p>
        </w:tc>
        <w:tc>
          <w:tcPr>
            <w:tcW w:w="71"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(1,551</w:t>
            </w:r>
          </w:p>
        </w:tc>
        <w:tc>
          <w:tcPr>
            <w:tcW w:w="95" w:type="dxa"/>
            <w:tcBorders/>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c>
          <w:tcPr>
            <w:tcW w:w="71"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(10,865</w:t>
            </w:r>
          </w:p>
        </w:tc>
        <w:tc>
          <w:tcPr>
            <w:tcW w:w="95" w:type="dxa"/>
            <w:tcBorders/>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c>
          <w:tcPr>
            <w:tcW w:w="72" w:type="dxa"/>
            <w:tcBorders/>
            <w:vAlign w:val="center"/>
          </w:tcPr>
          <w:p>
            <w:pPr>
              <w:pStyle w:val="TableContents"/>
              <w:bidi w:val="0"/>
              <w:spacing w:before="0" w:after="283"/>
              <w:jc w:val="left"/>
              <w:rPr/>
            </w:pPr>
            <w:r>
              <w:rPr/>
              <w:t> </w:t>
            </w:r>
          </w:p>
        </w:tc>
        <w:tc>
          <w:tcPr>
            <w:tcW w:w="1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(3,432</w:t>
            </w:r>
          </w:p>
        </w:tc>
        <w:tc>
          <w:tcPr>
            <w:tcW w:w="114" w:type="dxa"/>
            <w:tcBorders/>
            <w:vAlign w:val="center"/>
          </w:tcPr>
          <w:p>
            <w:pPr>
              <w:pStyle w:val="TableContents"/>
              <w:bidi w:val="0"/>
              <w:spacing w:before="0" w:after="30"/>
              <w:jc w:val="left"/>
              <w:rPr>
                <w:rFonts w:ascii="Times New Roman;Times;serif" w:hAnsi="Times New Roman;Times;serif"/>
                <w:sz w:val="20"/>
              </w:rPr>
            </w:pPr>
            <w:r>
              <w:rPr>
                <w:rFonts w:ascii="Times New Roman;Times;serif" w:hAnsi="Times New Roman;Times;serif"/>
                <w:sz w:val="20"/>
              </w:rPr>
              <w:t>)</w:t>
            </w:r>
          </w:p>
        </w:tc>
      </w:tr>
      <w:tr>
        <w:trPr/>
        <w:tc>
          <w:tcPr>
            <w:tcW w:w="692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 expense</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25,502</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1,024</w:t>
            </w:r>
          </w:p>
        </w:tc>
        <w:tc>
          <w:tcPr>
            <w:tcW w:w="9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8"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5,399</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220" w:after="0"/>
        <w:ind w:left="0" w:right="0" w:firstLine="1620"/>
        <w:jc w:val="left"/>
        <w:rPr>
          <w:rFonts w:ascii="Times New Roman;Times;serif" w:hAnsi="Times New Roman;Times;serif"/>
          <w:sz w:val="20"/>
        </w:rPr>
      </w:pPr>
      <w:r>
        <w:rPr>
          <w:rFonts w:ascii="Times New Roman;Times;serif" w:hAnsi="Times New Roman;Times;serif"/>
          <w:sz w:val="20"/>
        </w:rPr>
        <w:t>(*)  The tax expense was computed based on the regular Israeli corporate tax rate of 23%. </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Net Operating Loss Carryforward</w:t>
      </w:r>
    </w:p>
    <w:p>
      <w:pPr>
        <w:pStyle w:val="TextBody"/>
        <w:bidi w:val="0"/>
        <w:spacing w:before="195" w:after="165"/>
        <w:ind w:left="1560" w:right="0" w:hanging="0"/>
        <w:jc w:val="both"/>
        <w:rPr>
          <w:rFonts w:ascii="Times New Roman;Times;serif" w:hAnsi="Times New Roman;Times;serif"/>
          <w:sz w:val="20"/>
        </w:rPr>
      </w:pPr>
      <w:r>
        <w:rPr>
          <w:rFonts w:ascii="Times New Roman;Times;serif" w:hAnsi="Times New Roman;Times;serif"/>
          <w:sz w:val="20"/>
        </w:rPr>
        <w:t>As of December 31, 2022, Tower had net operating loss carryforward for tax purposes of approximately $500,000 which may be carried forward indefinitely.</w:t>
      </w:r>
    </w:p>
    <w:p>
      <w:pPr>
        <w:pStyle w:val="TextBody"/>
        <w:bidi w:val="0"/>
        <w:spacing w:before="45" w:after="165"/>
        <w:ind w:left="1560" w:right="0" w:hanging="0"/>
        <w:jc w:val="both"/>
        <w:rPr>
          <w:rFonts w:ascii="Times New Roman;Times;serif" w:hAnsi="Times New Roman;Times;serif"/>
          <w:sz w:val="20"/>
        </w:rPr>
      </w:pPr>
      <w:r>
        <w:rPr>
          <w:rFonts w:ascii="Times New Roman;Times;serif" w:hAnsi="Times New Roman;Times;serif"/>
          <w:sz w:val="20"/>
        </w:rPr>
        <w:t xml:space="preserve">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w:t>
      </w:r>
    </w:p>
    <w:p>
      <w:pPr>
        <w:pStyle w:val="TextBody"/>
        <w:bidi w:val="0"/>
        <w:spacing w:before="220" w:after="0"/>
        <w:ind w:left="1560" w:right="0" w:hanging="0"/>
        <w:jc w:val="both"/>
        <w:rPr>
          <w:rFonts w:ascii="Times New Roman;Times;serif" w:hAnsi="Times New Roman;Times;serif"/>
          <w:sz w:val="20"/>
        </w:rPr>
      </w:pPr>
      <w:r>
        <w:rPr>
          <w:rFonts w:ascii="Times New Roman;Times;serif" w:hAnsi="Times New Roman;Times;serif"/>
          <w:sz w:val="20"/>
        </w:rPr>
        <w:t>TSNB had two “change in ownership” events that limit the utilization of net operating loss carryforward. The first “change in ownership” event occurred in February 2007 upon Jazz Technologies’ acquisition of TSNB. The second “change in ownership” event occurred in September 2008, upon Tower’s acquisition of TSNB. TSNB concluded that the net operating loss limitation for the change in ownership which occurred in September 2008 will be an annual utilization of approximately $2,000 in its tax return.</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OF DECEMBER 31, 2022</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(dollars in thousands, except per share data)</w:t>
      </w:r>
    </w:p>
    <w:p>
      <w:pPr>
        <w:pStyle w:val="TextBody"/>
        <w:bidi w:val="0"/>
        <w:spacing w:before="220" w:after="0"/>
        <w:jc w:val="left"/>
        <w:rPr>
          <w:rFonts w:ascii="Times New Roman;Times;serif" w:hAnsi="Times New Roman;Times;serif"/>
          <w:sz w:val="20"/>
        </w:rPr>
      </w:pPr>
      <w:r>
        <w:rPr>
          <w:rFonts w:ascii="Times New Roman;Times;serif" w:hAnsi="Times New Roman;Times;serif"/>
          <w:b/>
          <w:sz w:val="20"/>
        </w:rPr>
        <w:t>NOTE 19:      INCOME TAXES (</w:t>
      </w:r>
      <w:r>
        <w:rPr>
          <w:rFonts w:ascii="Times New Roman;Times;serif" w:hAnsi="Times New Roman;Times;serif"/>
          <w:b/>
          <w:sz w:val="20"/>
        </w:rPr>
        <w:t>Continued)</w:t>
      </w:r>
    </w:p>
    <w:p>
      <w:pPr>
        <w:pStyle w:val="TextBody"/>
        <w:bidi w:val="0"/>
        <w:spacing w:before="0" w:after="0"/>
        <w:jc w:val="left"/>
        <w:rPr/>
      </w:pPr>
      <w:r>
        <w:rPr/>
        <w:t> </w:t>
      </w:r>
    </w:p>
    <w:p>
      <w:pPr>
        <w:pStyle w:val="TextBody"/>
        <w:bidi w:val="0"/>
        <w:spacing w:before="60" w:after="220"/>
        <w:ind w:left="1560" w:right="0" w:firstLine="6"/>
        <w:jc w:val="both"/>
        <w:rPr>
          <w:rFonts w:ascii="Times New Roman;Times;serif" w:hAnsi="Times New Roman;Times;serif"/>
          <w:sz w:val="20"/>
        </w:rPr>
      </w:pPr>
      <w:r>
        <w:rPr>
          <w:rFonts w:ascii="Times New Roman;Times;serif" w:hAnsi="Times New Roman;Times;serif"/>
          <w:sz w:val="20"/>
        </w:rPr>
        <w:t>As of December 31, 2022, Tower US Holdings has federal net operating loss carryforwards of approximately $75,000 of which approximately $62,000 does not expire and is subject to an annual taxable income limitation of 80%. The remaining federal tax loss carryforward of $13,000 will expire in 2028, unless previously utilized. </w:t>
      </w:r>
    </w:p>
    <w:p>
      <w:pPr>
        <w:pStyle w:val="TextBody"/>
        <w:bidi w:val="0"/>
        <w:spacing w:before="60" w:after="220"/>
        <w:ind w:left="1560" w:right="0" w:firstLine="6"/>
        <w:jc w:val="both"/>
        <w:rPr>
          <w:rFonts w:ascii="Times New Roman;Times;serif" w:hAnsi="Times New Roman;Times;serif"/>
          <w:sz w:val="20"/>
        </w:rPr>
      </w:pPr>
      <w:r>
        <w:rPr>
          <w:rFonts w:ascii="Times New Roman;Times;serif" w:hAnsi="Times New Roman;Times;serif"/>
          <w:sz w:val="20"/>
        </w:rPr>
        <w:t>As of December 31, 2022, Tower US Holdings had California state net operating loss carryforward of approximately $11,000. The state tax loss carryforward will begin to expire in 2029, unless previously utilized.</w:t>
      </w:r>
    </w:p>
    <w:p>
      <w:pPr>
        <w:pStyle w:val="TextBody"/>
        <w:bidi w:val="0"/>
        <w:spacing w:before="45" w:after="165"/>
        <w:ind w:left="1560" w:right="0" w:hanging="0"/>
        <w:jc w:val="both"/>
        <w:rPr>
          <w:rFonts w:ascii="Times New Roman;Times;serif" w:hAnsi="Times New Roman;Times;serif"/>
          <w:sz w:val="20"/>
        </w:rPr>
      </w:pPr>
      <w:r>
        <w:rPr>
          <w:rFonts w:ascii="Times New Roman;Times;serif" w:hAnsi="Times New Roman;Times;serif"/>
          <w:sz w:val="20"/>
        </w:rPr>
        <w:t>Tower US Holdings recorded a valuation allowance thereby reducing the deferred tax asset balances of the federal and state net operating loss carryforward.</w:t>
      </w:r>
    </w:p>
    <w:p>
      <w:pPr>
        <w:pStyle w:val="TextBody"/>
        <w:bidi w:val="0"/>
        <w:spacing w:before="45" w:after="165"/>
        <w:ind w:left="1560" w:right="0" w:hanging="0"/>
        <w:jc w:val="left"/>
        <w:rPr>
          <w:rFonts w:ascii="Times New Roman;Times;serif" w:hAnsi="Times New Roman;Times;serif"/>
          <w:sz w:val="20"/>
        </w:rPr>
      </w:pPr>
      <w:r>
        <w:rPr>
          <w:rFonts w:ascii="Times New Roman;Times;serif" w:hAnsi="Times New Roman;Times;serif"/>
          <w:sz w:val="20"/>
        </w:rPr>
        <w:t>As of December 31, 2022, and 2021, TPSCo had no net operating loss carryforward.</w:t>
      </w:r>
    </w:p>
    <w:p>
      <w:pPr>
        <w:pStyle w:val="TextBody"/>
        <w:bidi w:val="0"/>
        <w:spacing w:before="220" w:after="0"/>
        <w:ind w:left="1134" w:right="0" w:hanging="0"/>
        <w:jc w:val="left"/>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w:t>
      </w:r>
      <w:r>
        <w:rPr>
          <w:rFonts w:ascii="Times New Roman;Times;serif" w:hAnsi="Times New Roman;Times;serif"/>
          <w:b/>
          <w:sz w:val="20"/>
        </w:rPr>
        <w:t>Final Tax Assessments</w:t>
      </w:r>
    </w:p>
    <w:p>
      <w:pPr>
        <w:pStyle w:val="TextBody"/>
        <w:bidi w:val="0"/>
        <w:spacing w:before="260" w:after="220"/>
        <w:ind w:left="1560" w:right="0" w:hanging="0"/>
        <w:jc w:val="both"/>
        <w:rPr>
          <w:rFonts w:ascii="Times New Roman;Times;serif" w:hAnsi="Times New Roman;Times;serif"/>
          <w:sz w:val="20"/>
        </w:rPr>
      </w:pPr>
      <w:r>
        <w:rPr>
          <w:rFonts w:ascii="Times New Roman;Times;serif" w:hAnsi="Times New Roman;Times;serif"/>
          <w:sz w:val="20"/>
        </w:rPr>
        <w:t>Tower possesses final tax assessments through the year 1998. In addition, the tax assessments for the years 1999-2017 are deemed final. During 2023, the Israeli tax authority commenced a tax assessment on Tower for the tax years 2018 to 2021. As of the date of issuance of this annual report, the tax assessment is in initial stages.</w:t>
      </w:r>
    </w:p>
    <w:p>
      <w:pPr>
        <w:pStyle w:val="TextBody"/>
        <w:bidi w:val="0"/>
        <w:spacing w:before="260" w:after="220"/>
        <w:ind w:left="1560" w:right="0" w:hanging="0"/>
        <w:jc w:val="both"/>
        <w:rPr>
          <w:rFonts w:ascii="Times New Roman;Times;serif" w:hAnsi="Times New Roman;Times;serif"/>
          <w:sz w:val="20"/>
        </w:rPr>
      </w:pPr>
      <w:r>
        <w:rPr>
          <w:rFonts w:ascii="Times New Roman;Times;serif" w:hAnsi="Times New Roman;Times;serif"/>
          <w:sz w:val="20"/>
        </w:rPr>
        <w:t>Tower US Holdings files a consolidated tax return including TSNB and TSSA. Tower US Holdings and its subsidiaries are subject to U.S. federal income tax as well as income tax in multiple states.</w:t>
      </w:r>
    </w:p>
    <w:p>
      <w:pPr>
        <w:pStyle w:val="TextBody"/>
        <w:bidi w:val="0"/>
        <w:spacing w:before="260" w:after="220"/>
        <w:ind w:left="1560" w:right="0" w:hanging="0"/>
        <w:jc w:val="both"/>
        <w:rPr>
          <w:rFonts w:ascii="Times New Roman;Times;serif" w:hAnsi="Times New Roman;Times;serif"/>
          <w:sz w:val="20"/>
        </w:rPr>
      </w:pPr>
      <w:r>
        <w:rPr>
          <w:rFonts w:ascii="Times New Roman;Times;serif" w:hAnsi="Times New Roman;Times;serif"/>
          <w:sz w:val="20"/>
        </w:rPr>
        <w:t>In general, Tower US Holdings is no longer subject to U.S. federal income tax examinations on years before 2019 and state and other U.S local income tax examinations on years before 2018. However, to the extent allowed by law, the tax authorities may have the right to examine prior periods where net operating losses were generated and carried forward, and make adjustments up to the amount of the net operating loss carryforward amount.</w:t>
      </w:r>
    </w:p>
    <w:p>
      <w:pPr>
        <w:pStyle w:val="TextBody"/>
        <w:bidi w:val="0"/>
        <w:spacing w:before="0" w:after="0"/>
        <w:ind w:left="1560" w:right="0" w:hanging="0"/>
        <w:jc w:val="both"/>
        <w:rPr>
          <w:rFonts w:ascii="Times New Roman;Times;serif" w:hAnsi="Times New Roman;Times;serif"/>
          <w:sz w:val="20"/>
        </w:rPr>
      </w:pPr>
      <w:r>
        <w:rPr>
          <w:rFonts w:ascii="Times New Roman;Times;serif" w:hAnsi="Times New Roman;Times;serif"/>
          <w:sz w:val="20"/>
        </w:rPr>
        <w:t>TPSCo possesses final tax assessments through the year 2020.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- 54</w:t>
      </w:r>
    </w:p>
    <w:p>
      <w:pPr>
        <w:pStyle w:val="HorizontalLine"/>
        <w:pBdr>
          <w:bottom w:val="double" w:sz="2" w:space="0" w:color="808080"/>
        </w:pBdr>
        <w:bidi w:val="0"/>
        <w:spacing w:before="0" w:after="283"/>
        <w:jc w:val="left"/>
        <w:rPr/>
      </w:pPr>
      <w:r>
        <w:rPr/>
      </w:r>
    </w:p>
    <w:p>
      <w:pPr>
        <w:pStyle w:val="HorizontalLine"/>
        <w:bidi w:val="0"/>
        <w:spacing w:lineRule="auto" w:line="300"/>
        <w:jc w:val="right"/>
        <w:rPr/>
      </w:pPr>
      <w:r>
        <w:rPr/>
      </w:r>
      <w:bookmarkStart w:id="343" w:name="exhibit_8-1.htm"/>
      <w:bookmarkStart w:id="344" w:name="ksexhibit_81"/>
      <w:bookmarkStart w:id="345" w:name="exhibit_8-1.htm"/>
      <w:bookmarkStart w:id="346" w:name="ksexhibit_81"/>
      <w:bookmarkEnd w:id="345"/>
      <w:bookmarkEnd w:id="346"/>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8.1</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b/>
          <w:color w:val="000000"/>
        </w:rPr>
      </w:pPr>
      <w:r>
        <w:rPr>
          <w:rFonts w:ascii="Times New Roman;Times;serif" w:hAnsi="Times New Roman;Times;serif"/>
          <w:b/>
          <w:color w:val="000000"/>
        </w:rPr>
        <w:t>SUBSIDIARIES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The following is a list of our significant subsidiaries, including the name, country/jurisdiction of incorporation and the proportion of our ownership interest.</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37"/>
        <w:gridCol w:w="1100"/>
        <w:gridCol w:w="5468"/>
      </w:tblGrid>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u w:val="single"/>
              </w:rPr>
            </w:pPr>
            <w:r>
              <w:rPr>
                <w:rFonts w:ascii="Times New Roman;Times;serif" w:hAnsi="Times New Roman;Times;serif"/>
                <w:color w:val="000000"/>
                <w:u w:val="single"/>
              </w:rPr>
              <w:t>Subsidiary</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u w:val="single"/>
              </w:rPr>
            </w:pPr>
            <w:r>
              <w:rPr>
                <w:rFonts w:ascii="Times New Roman;Times;serif" w:hAnsi="Times New Roman;Times;serif"/>
                <w:color w:val="000000"/>
                <w:u w:val="single"/>
              </w:rPr>
              <w:t>Jurisdiction</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u w:val="single"/>
              </w:rPr>
            </w:pPr>
            <w:r>
              <w:rPr>
                <w:rFonts w:ascii="Times New Roman;Times;serif" w:hAnsi="Times New Roman;Times;serif"/>
                <w:color w:val="000000"/>
                <w:u w:val="single"/>
              </w:rPr>
              <w:t>Ownership</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US Holdings Inc.</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Delaware</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directly</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Semiconductor NPB Holdings Inc.</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Delaware</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indirectly through Tower US Holdings Inc.</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Semiconductor Newport Beach, Inc.</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Delaware</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indirectly through Tower Semiconductor NPB Holdings Inc.</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Newport Fab LLC</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Delaware</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indirectly through Tower Semiconductor Newport Beach Inc.</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Semiconductor San Antonio Inc.</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Delaware</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indirectly through Tower US Holdings Inc.</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Partners Semiconductor Co., Ltd.</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Japan</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51% directly</w:t>
            </w:r>
          </w:p>
        </w:tc>
      </w:tr>
      <w:tr>
        <w:trPr/>
        <w:tc>
          <w:tcPr>
            <w:tcW w:w="3637"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Tower Semiconductor Italy S.r.l.</w:t>
            </w:r>
          </w:p>
        </w:tc>
        <w:tc>
          <w:tcPr>
            <w:tcW w:w="1100"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Italy</w:t>
            </w:r>
          </w:p>
        </w:tc>
        <w:tc>
          <w:tcPr>
            <w:tcW w:w="5468" w:type="dxa"/>
            <w:tcBorders/>
            <w:vAlign w:val="center"/>
          </w:tcPr>
          <w:p>
            <w:pPr>
              <w:pStyle w:val="TableContents"/>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100% directly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lineRule="auto" w:line="300"/>
        <w:jc w:val="right"/>
        <w:rPr/>
      </w:pPr>
      <w:r>
        <w:rPr/>
      </w:r>
      <w:bookmarkStart w:id="347" w:name="exhibit_12-1.htm"/>
      <w:bookmarkStart w:id="348" w:name="ksexhibit_121"/>
      <w:bookmarkStart w:id="349" w:name="exhibit_12-1.htm"/>
      <w:bookmarkStart w:id="350" w:name="ksexhibit_121"/>
      <w:bookmarkEnd w:id="349"/>
      <w:bookmarkEnd w:id="350"/>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12.1</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CERTIFICATION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I, Russell C. Ellwanger, certify that: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1.</w:t>
      </w:r>
      <w:r>
        <w:rPr/>
        <w:t>          </w:t>
      </w:r>
      <w:r>
        <w:rPr>
          <w:rFonts w:ascii="Times New Roman;Times;serif" w:hAnsi="Times New Roman;Times;serif"/>
          <w:color w:val="000000"/>
        </w:rPr>
        <w:t>I have reviewed this annual report on Form 20-F of Tower Semiconductor Ltd.;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2.</w:t>
      </w:r>
      <w:r>
        <w:rPr/>
        <w:t>          </w:t>
      </w:r>
      <w:r>
        <w:rPr>
          <w:rFonts w:ascii="Times New Roman;Times;serif" w:hAnsi="Times New Roman;Times;serif"/>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3.</w:t>
      </w:r>
      <w:r>
        <w:rPr/>
        <w:t>          </w:t>
      </w:r>
      <w:r>
        <w:rPr>
          <w:rFonts w:ascii="Times New Roman;Times;serif" w:hAnsi="Times New Roman;Times;serif"/>
          <w:color w:val="00000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4.</w:t>
      </w:r>
      <w:r>
        <w:rPr/>
        <w:t>          </w:t>
      </w:r>
      <w:r>
        <w:rPr>
          <w:rFonts w:ascii="Times New Roman;Times;serif" w:hAnsi="Times New Roman;Times;serif"/>
          <w:color w:val="00000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(a)</w:t>
      </w:r>
      <w:r>
        <w:rPr/>
        <w:t>          </w:t>
      </w:r>
      <w:r>
        <w:rPr>
          <w:rFonts w:ascii="Times New Roman;Times;serif" w:hAnsi="Times New Roman;Times;serif"/>
          <w:color w:val="00000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(b)</w:t>
      </w:r>
      <w:r>
        <w:rPr/>
        <w:t>          </w:t>
      </w:r>
      <w:r>
        <w:rPr>
          <w:rFonts w:ascii="Times New Roman;Times;serif" w:hAnsi="Times New Roman;Times;serif"/>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(c)</w:t>
      </w:r>
      <w:r>
        <w:rPr/>
        <w:t>          </w:t>
      </w:r>
      <w:r>
        <w:rPr>
          <w:rFonts w:ascii="Times New Roman;Times;serif" w:hAnsi="Times New Roman;Times;serif"/>
          <w:color w:val="00000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(d)</w:t>
      </w:r>
      <w:r>
        <w:rPr/>
        <w:t>          </w:t>
      </w:r>
      <w:r>
        <w:rPr>
          <w:rFonts w:ascii="Times New Roman;Times;serif" w:hAnsi="Times New Roman;Times;serif"/>
          <w:color w:val="00000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5.</w:t>
      </w:r>
      <w:r>
        <w:rPr/>
        <w:t>          </w:t>
      </w:r>
      <w:r>
        <w:rPr>
          <w:rFonts w:ascii="Times New Roman;Times;serif" w:hAnsi="Times New Roman;Times;serif"/>
          <w:color w:val="00000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(a)</w:t>
      </w:r>
      <w:r>
        <w:rPr/>
        <w:t>          </w:t>
      </w:r>
      <w:r>
        <w:rPr>
          <w:rFonts w:ascii="Times New Roman;Times;serif" w:hAnsi="Times New Roman;Times;serif"/>
          <w:color w:val="00000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(b)</w:t>
      </w:r>
      <w:r>
        <w:rPr/>
        <w:t>          </w:t>
      </w:r>
      <w:r>
        <w:rPr>
          <w:rFonts w:ascii="Times New Roman;Times;serif" w:hAnsi="Times New Roman;Times;serif"/>
          <w:color w:val="000000"/>
        </w:rPr>
        <w:t>Any fraud, whether or not material, that involves management or other employees who have a significant role in the company’s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May 16, 2023</w:t>
      </w:r>
    </w:p>
    <w:p>
      <w:pPr>
        <w:pStyle w:val="TextBody"/>
        <w:bidi w:val="0"/>
        <w:spacing w:lineRule="auto" w:line="300" w:before="0" w:after="0"/>
        <w:jc w:val="left"/>
        <w:rPr/>
      </w:pPr>
      <w:r>
        <w:rPr/>
        <w:t> </w:t>
      </w:r>
    </w:p>
    <w:p>
      <w:pPr>
        <w:pStyle w:val="TextBody"/>
        <w:bidi w:val="0"/>
        <w:spacing w:lineRule="auto" w:line="300" w:before="0" w:after="0"/>
        <w:jc w:val="left"/>
        <w:rPr/>
      </w:pPr>
      <w:r>
        <w:rPr>
          <w:rFonts w:ascii="Times New Roman;Times;serif" w:hAnsi="Times New Roman;Times;serif"/>
          <w:color w:val="000000"/>
          <w:u w:val="single"/>
        </w:rPr>
        <w:t>/s/ Russell C. Ellwanger</w:t>
      </w:r>
      <w:r>
        <w:rPr/>
        <w:t>          </w:t>
      </w:r>
      <w:r>
        <w:rPr>
          <w:rFonts w:ascii="Times New Roman;Times;serif" w:hAnsi="Times New Roman;Times;serif"/>
          <w:color w:val="000000"/>
        </w:rPr>
        <w:br/>
        <w:t>Russell C. Ellwanger</w:t>
        <w:br/>
        <w:t>Chief Executive Officer</w:t>
        <w:br/>
        <w:t>Tower Semiconductor Ltd.</w:t>
      </w:r>
    </w:p>
    <w:p>
      <w:pPr>
        <w:pStyle w:val="TextBody"/>
        <w:bidi w:val="0"/>
        <w:spacing w:lineRule="auto" w:line="300" w:before="0" w:after="0"/>
        <w:jc w:val="left"/>
        <w:rPr/>
      </w:pPr>
      <w:r>
        <w:rPr/>
        <w:t> </w:t>
      </w:r>
    </w:p>
    <w:p>
      <w:pPr>
        <w:pStyle w:val="HorizontalLine"/>
        <w:pBdr>
          <w:bottom w:val="double" w:sz="2" w:space="0" w:color="808080"/>
        </w:pBdr>
        <w:bidi w:val="0"/>
        <w:spacing w:before="0" w:after="283"/>
        <w:jc w:val="left"/>
        <w:rPr/>
      </w:pPr>
      <w:r>
        <w:rPr/>
      </w:r>
    </w:p>
    <w:p>
      <w:pPr>
        <w:pStyle w:val="HorizontalLine"/>
        <w:bidi w:val="0"/>
        <w:spacing w:lineRule="auto" w:line="300"/>
        <w:jc w:val="right"/>
        <w:rPr/>
      </w:pPr>
      <w:r>
        <w:rPr/>
      </w:r>
      <w:bookmarkStart w:id="351" w:name="exhibit_12-2.htm"/>
      <w:bookmarkStart w:id="352" w:name="ksexhibit_122"/>
      <w:bookmarkStart w:id="353" w:name="exhibit_12-2.htm"/>
      <w:bookmarkStart w:id="354" w:name="ksexhibit_122"/>
      <w:bookmarkEnd w:id="353"/>
      <w:bookmarkEnd w:id="354"/>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12.2</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rFonts w:ascii="Times New Roman;Times;serif" w:hAnsi="Times New Roman;Times;serif"/>
          <w:b/>
          <w:color w:val="000000"/>
        </w:rPr>
      </w:pPr>
      <w:r>
        <w:rPr>
          <w:rFonts w:ascii="Times New Roman;Times;serif" w:hAnsi="Times New Roman;Times;serif"/>
          <w:b/>
          <w:color w:val="000000"/>
        </w:rPr>
        <w:t>CERTIFICATION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I, Oren Shirazi, certify that: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1.</w:t>
      </w:r>
      <w:r>
        <w:rPr/>
        <w:t>          </w:t>
      </w:r>
      <w:r>
        <w:rPr>
          <w:rFonts w:ascii="Times New Roman;Times;serif" w:hAnsi="Times New Roman;Times;serif"/>
          <w:color w:val="000000"/>
        </w:rPr>
        <w:t>I have reviewed this annual report on Form 20-F of Tower Semiconductor Ltd.;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2.</w:t>
      </w:r>
      <w:r>
        <w:rPr/>
        <w:t>          </w:t>
      </w:r>
      <w:r>
        <w:rPr>
          <w:rFonts w:ascii="Times New Roman;Times;serif" w:hAnsi="Times New Roman;Times;serif"/>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3.</w:t>
      </w:r>
      <w:r>
        <w:rPr/>
        <w:t>          </w:t>
      </w:r>
      <w:r>
        <w:rPr>
          <w:rFonts w:ascii="Times New Roman;Times;serif" w:hAnsi="Times New Roman;Times;serif"/>
          <w:color w:val="00000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4.</w:t>
      </w:r>
      <w:r>
        <w:rPr/>
        <w:t>          </w:t>
      </w:r>
      <w:r>
        <w:rPr>
          <w:rFonts w:ascii="Times New Roman;Times;serif" w:hAnsi="Times New Roman;Times;serif"/>
          <w:color w:val="00000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(a)</w:t>
      </w:r>
      <w:r>
        <w:rPr/>
        <w:t>          </w:t>
      </w:r>
      <w:r>
        <w:rPr>
          <w:rFonts w:ascii="Times New Roman;Times;serif" w:hAnsi="Times New Roman;Times;serif"/>
          <w:color w:val="00000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(b)</w:t>
      </w:r>
      <w:r>
        <w:rPr/>
        <w:t>          </w:t>
      </w:r>
      <w:r>
        <w:rPr>
          <w:rFonts w:ascii="Times New Roman;Times;serif" w:hAnsi="Times New Roman;Times;serif"/>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(c)</w:t>
      </w:r>
      <w:r>
        <w:rPr/>
        <w:t>          </w:t>
      </w:r>
      <w:r>
        <w:rPr>
          <w:rFonts w:ascii="Times New Roman;Times;serif" w:hAnsi="Times New Roman;Times;serif"/>
          <w:color w:val="00000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(d)</w:t>
      </w:r>
      <w:r>
        <w:rPr/>
        <w:t>          </w:t>
      </w:r>
      <w:r>
        <w:rPr>
          <w:rFonts w:ascii="Times New Roman;Times;serif" w:hAnsi="Times New Roman;Times;serif"/>
          <w:color w:val="00000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5.</w:t>
      </w:r>
      <w:r>
        <w:rPr/>
        <w:t>          </w:t>
      </w:r>
      <w:r>
        <w:rPr>
          <w:rFonts w:ascii="Times New Roman;Times;serif" w:hAnsi="Times New Roman;Times;serif"/>
          <w:color w:val="00000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(a)</w:t>
      </w:r>
      <w:r>
        <w:rPr/>
        <w:t>          </w:t>
      </w:r>
      <w:r>
        <w:rPr>
          <w:rFonts w:ascii="Times New Roman;Times;serif" w:hAnsi="Times New Roman;Times;serif"/>
          <w:color w:val="00000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(b)</w:t>
      </w:r>
      <w:r>
        <w:rPr/>
        <w:t>          </w:t>
      </w:r>
      <w:r>
        <w:rPr>
          <w:rFonts w:ascii="Times New Roman;Times;serif" w:hAnsi="Times New Roman;Times;serif"/>
          <w:color w:val="000000"/>
        </w:rPr>
        <w:t>Any fraud, whether or not material, that involves management or other employees who have a significant role in the company’s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May 16,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/s/ Oren Shirazi</w:t>
      </w:r>
      <w:r>
        <w:rPr>
          <w:rFonts w:ascii="Times New Roman;Times;serif" w:hAnsi="Times New Roman;Times;serif"/>
          <w:color w:val="000000"/>
          <w:sz w:val="20"/>
        </w:rPr>
        <w:br/>
        <w:t>Oren Shirazi</w:t>
        <w:br/>
        <w:t>Chief Financial Officer</w:t>
        <w:br/>
        <w:t>Tower Semiconductor Ltd.</w:t>
      </w:r>
    </w:p>
    <w:p>
      <w:pPr>
        <w:pStyle w:val="TextBody"/>
        <w:bidi w:val="0"/>
        <w:spacing w:lineRule="auto" w:line="300" w:before="0" w:after="0"/>
        <w:jc w:val="left"/>
        <w:rPr/>
      </w:pPr>
      <w:r>
        <w:rPr/>
        <w:t> </w:t>
      </w:r>
    </w:p>
    <w:p>
      <w:pPr>
        <w:pStyle w:val="HorizontalLine"/>
        <w:pBdr>
          <w:bottom w:val="double" w:sz="2" w:space="0" w:color="808080"/>
        </w:pBdr>
        <w:bidi w:val="0"/>
        <w:spacing w:before="0" w:after="283"/>
        <w:jc w:val="left"/>
        <w:rPr/>
      </w:pPr>
      <w:r>
        <w:rPr/>
      </w:r>
    </w:p>
    <w:p>
      <w:pPr>
        <w:pStyle w:val="HorizontalLine"/>
        <w:bidi w:val="0"/>
        <w:spacing w:lineRule="auto" w:line="300"/>
        <w:jc w:val="right"/>
        <w:rPr/>
      </w:pPr>
      <w:r>
        <w:rPr/>
      </w:r>
      <w:bookmarkStart w:id="355" w:name="exhibit_13-1.htm"/>
      <w:bookmarkStart w:id="356" w:name="ksexhibit_131"/>
      <w:bookmarkStart w:id="357" w:name="exhibit_13-1.htm"/>
      <w:bookmarkStart w:id="358" w:name="ksexhibit_131"/>
      <w:bookmarkEnd w:id="357"/>
      <w:bookmarkEnd w:id="358"/>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13.1</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CERTIFICATION PURSUANT TO</w:t>
        <w:br/>
        <w:t>18 USC SECTION 1350,</w:t>
        <w:br/>
        <w:t>AS ADOPTED PURSUANT TO</w:t>
        <w:br/>
        <w:t>SECTION 906 OF THE SARBANES-OXLEY ACT OF 2002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In connection with the Annual Report of Tower Semiconductor Ltd. (the “Registrant”) on Form 20-F for the year ended December 31, 2022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1.</w:t>
      </w:r>
      <w:r>
        <w:rPr/>
        <w:t>          </w:t>
      </w:r>
      <w:r>
        <w:rPr>
          <w:rFonts w:ascii="Times New Roman;Times;serif" w:hAnsi="Times New Roman;Times;serif"/>
          <w:color w:val="000000"/>
        </w:rPr>
        <w:t>the Report fully complies with the requirements of Section 13(a) or 15(d) of the Securities Exchange Act of 1934;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2.</w:t>
      </w:r>
      <w:r>
        <w:rPr/>
        <w:t>          </w:t>
      </w:r>
      <w:r>
        <w:rPr>
          <w:rFonts w:ascii="Times New Roman;Times;serif" w:hAnsi="Times New Roman;Times;serif"/>
          <w:color w:val="000000"/>
        </w:rPr>
        <w:t>the information contained in the Report fairly presents, in all material respects, the financial condition and results of operations of the Registrant.</w:t>
      </w:r>
    </w:p>
    <w:p>
      <w:pPr>
        <w:pStyle w:val="TextBody"/>
        <w:bidi w:val="0"/>
        <w:spacing w:lineRule="auto" w:line="300" w:before="0" w:after="0"/>
        <w:jc w:val="left"/>
        <w:rPr/>
      </w:pPr>
      <w:r>
        <w:rPr/>
        <w:t> </w:t>
      </w:r>
    </w:p>
    <w:p>
      <w:pPr>
        <w:pStyle w:val="TextBody"/>
        <w:bidi w:val="0"/>
        <w:spacing w:lineRule="auto" w:line="300" w:before="0" w:after="0"/>
        <w:jc w:val="left"/>
        <w:rPr/>
      </w:pPr>
      <w:r>
        <w:rPr>
          <w:rFonts w:ascii="Times New Roman;Times;serif" w:hAnsi="Times New Roman;Times;serif"/>
          <w:color w:val="000000"/>
          <w:u w:val="single"/>
        </w:rPr>
        <w:t>/s/ Russell C. Ellwanger</w:t>
      </w:r>
      <w:r>
        <w:rPr/>
        <w:t>          </w:t>
      </w:r>
      <w:r>
        <w:rPr>
          <w:rFonts w:ascii="Times New Roman;Times;serif" w:hAnsi="Times New Roman;Times;serif"/>
          <w:color w:val="000000"/>
        </w:rPr>
        <w:br/>
        <w:t>Russell C. Ellwanger</w:t>
        <w:br/>
        <w:t>Chief Executive Officer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May 16,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A signed original of this written statement required by Section 906 has been provided to the Registrant and will be retained by the Registrant and furnished to the Securities and Exchange Commission or its staff upon request.</w:t>
      </w:r>
    </w:p>
    <w:p>
      <w:pPr>
        <w:pStyle w:val="TextBody"/>
        <w:bidi w:val="0"/>
        <w:spacing w:lineRule="auto" w:line="300" w:before="0" w:after="0"/>
        <w:jc w:val="left"/>
        <w:rPr/>
      </w:pPr>
      <w:r>
        <w:rPr/>
        <w:t> </w:t>
      </w:r>
    </w:p>
    <w:p>
      <w:pPr>
        <w:pStyle w:val="HorizontalLine"/>
        <w:bidi w:val="0"/>
        <w:spacing w:lineRule="auto" w:line="300"/>
        <w:jc w:val="left"/>
        <w:rPr/>
      </w:pPr>
      <w:r>
        <w:rPr/>
      </w:r>
    </w:p>
    <w:p>
      <w:pPr>
        <w:pStyle w:val="TextBody"/>
        <w:bidi w:val="0"/>
        <w:spacing w:lineRule="auto" w:line="300"/>
        <w:jc w:val="left"/>
        <w:rPr>
          <w:rFonts w:ascii="Times New Roman;Times;serif" w:hAnsi="Times New Roman;Times;serif"/>
        </w:rPr>
      </w:pPr>
      <w:r>
        <w:rPr>
          <w:rFonts w:ascii="Times New Roman;Times;serif" w:hAnsi="Times New Roman;Times;serif"/>
        </w:rPr>
      </w:r>
    </w:p>
    <w:p>
      <w:pPr>
        <w:pStyle w:val="HorizontalLine"/>
        <w:bidi w:val="0"/>
        <w:spacing w:lineRule="auto" w:line="300"/>
        <w:jc w:val="right"/>
        <w:rPr/>
      </w:pPr>
      <w:r>
        <w:rPr/>
      </w:r>
      <w:bookmarkStart w:id="359" w:name="exhibit_13-2.htm"/>
      <w:bookmarkStart w:id="360" w:name="ksexhibit_132"/>
      <w:bookmarkStart w:id="361" w:name="exhibit_13-2.htm"/>
      <w:bookmarkStart w:id="362" w:name="ksexhibit_132"/>
      <w:bookmarkEnd w:id="361"/>
      <w:bookmarkEnd w:id="362"/>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13.2</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CERTIFICATION PURSUANT TO</w:t>
        <w:br/>
        <w:t>18 USC SECTION 1350,</w:t>
        <w:br/>
        <w:t>AS ADOPTED PURSUANT TO</w:t>
        <w:br/>
        <w:t>SECTION 906 OF THE SARBANES-OXLEY ACT OF 2002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In connection with the Annual Report of Tower Semiconductor Ltd. (the “Registrant”) on Form 20-F for the year ended December 31, 2022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1.</w:t>
      </w:r>
      <w:r>
        <w:rPr/>
        <w:t>          </w:t>
      </w:r>
      <w:r>
        <w:rPr>
          <w:rFonts w:ascii="Times New Roman;Times;serif" w:hAnsi="Times New Roman;Times;serif"/>
          <w:color w:val="000000"/>
        </w:rPr>
        <w:t>the Report fully complies with the requirements of Section 13(a) or 15(d) of the Securities Exchange Act of 1934; 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rFonts w:ascii="Times New Roman;Times;serif" w:hAnsi="Times New Roman;Times;serif"/>
          <w:color w:val="000000"/>
        </w:rPr>
        <w:t>2.</w:t>
      </w:r>
      <w:r>
        <w:rPr/>
        <w:t>          </w:t>
      </w:r>
      <w:r>
        <w:rPr>
          <w:rFonts w:ascii="Times New Roman;Times;serif" w:hAnsi="Times New Roman;Times;serif"/>
          <w:color w:val="000000"/>
        </w:rPr>
        <w:t>the information contained in the Report fairly presents, in all material respects, the financial condition and results of operations of the Registrant.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u w:val="single"/>
        </w:rPr>
      </w:pPr>
      <w:r>
        <w:rPr>
          <w:rFonts w:ascii="Times New Roman;Times;serif" w:hAnsi="Times New Roman;Times;serif"/>
          <w:color w:val="000000"/>
          <w:u w:val="single"/>
        </w:rPr>
        <w:t>/s/ Oren Shirazi</w:t>
      </w:r>
    </w:p>
    <w:p>
      <w:pPr>
        <w:pStyle w:val="TextBody"/>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Oren Shirazi</w:t>
      </w:r>
    </w:p>
    <w:p>
      <w:pPr>
        <w:pStyle w:val="TextBody"/>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Chief Financial Officer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color w:val="000000"/>
        </w:rPr>
      </w:pPr>
      <w:r>
        <w:rPr>
          <w:rFonts w:ascii="Times New Roman;Times;serif" w:hAnsi="Times New Roman;Times;serif"/>
          <w:color w:val="000000"/>
        </w:rPr>
        <w:t>May 16,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A signed original of this written statement required by Section 906 has been provided to the Registrant and will be retained by the Registrant and furnished to the Securities and Exchange Commission or its staff upon request.</w:t>
      </w:r>
    </w:p>
    <w:p>
      <w:pPr>
        <w:pStyle w:val="TextBody"/>
        <w:bidi w:val="0"/>
        <w:spacing w:lineRule="auto" w:line="300" w:before="0" w:after="0"/>
        <w:jc w:val="left"/>
        <w:rPr/>
      </w:pPr>
      <w:r>
        <w:rPr/>
        <w:t> </w:t>
      </w:r>
    </w:p>
    <w:p>
      <w:pPr>
        <w:pStyle w:val="HorizontalLine"/>
        <w:bidi w:val="0"/>
        <w:spacing w:lineRule="auto" w:line="300"/>
        <w:jc w:val="left"/>
        <w:rPr/>
      </w:pPr>
      <w:r>
        <w:rPr/>
      </w:r>
    </w:p>
    <w:p>
      <w:pPr>
        <w:pStyle w:val="HorizontalLine"/>
        <w:bidi w:val="0"/>
        <w:spacing w:lineRule="auto" w:line="300"/>
        <w:jc w:val="right"/>
        <w:rPr/>
      </w:pPr>
      <w:r>
        <w:rPr/>
      </w:r>
      <w:bookmarkStart w:id="363" w:name="exhibit_15-1.htm"/>
      <w:bookmarkStart w:id="364" w:name="ksexhibit_151"/>
      <w:bookmarkStart w:id="365" w:name="exhibit_15-1.htm"/>
      <w:bookmarkStart w:id="366" w:name="ksexhibit_151"/>
      <w:bookmarkEnd w:id="365"/>
      <w:bookmarkEnd w:id="366"/>
      <w:r>
        <w:br w:type="page"/>
      </w:r>
    </w:p>
    <w:p>
      <w:pPr>
        <w:pStyle w:val="TextBody"/>
        <w:bidi w:val="0"/>
        <w:spacing w:lineRule="auto" w:line="300" w:before="0" w:after="0"/>
        <w:jc w:val="right"/>
        <w:rPr>
          <w:rFonts w:ascii="Times New Roman;Times;serif" w:hAnsi="Times New Roman;Times;serif"/>
          <w:b/>
          <w:color w:val="000000"/>
          <w:u w:val="single"/>
        </w:rPr>
      </w:pPr>
      <w:r>
        <w:rPr>
          <w:rFonts w:ascii="Times New Roman;Times;serif" w:hAnsi="Times New Roman;Times;serif"/>
          <w:b/>
          <w:color w:val="000000"/>
          <w:u w:val="single"/>
        </w:rPr>
        <w:t>Exhibit 15.1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We consent to the incorporation by reference in Registration Statement No. 333-204173 on Form S-8 of our reports dated April 30, 2023, relating to the consolidated financial statements of Tower Semiconductor Ltd. (the “Company”) and the effectiveness of the Company’s internal control over financial reporting, appearing in the Company’s Annual Report on Form 20-F for the year ended December 31,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u w:val="single"/>
        </w:rPr>
      </w:pPr>
      <w:r>
        <w:rPr>
          <w:rFonts w:ascii="Times New Roman;Times;serif" w:hAnsi="Times New Roman;Times;serif"/>
          <w:color w:val="000000"/>
          <w:u w:val="single"/>
        </w:rPr>
        <w:t>/s/ Brightman Almagor Zohar &amp;Co</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Brightman Almagor Zohar &amp;Co.</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Certified Public Accountants</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A Firm in The Deloitte Network</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Tel Aviv,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color w:val="000000"/>
        </w:rPr>
      </w:pPr>
      <w:r>
        <w:rPr>
          <w:rFonts w:ascii="Times New Roman;Times;serif" w:hAnsi="Times New Roman;Times;serif"/>
          <w:color w:val="000000"/>
        </w:rPr>
        <w:t>May 16, 2023</w:t>
      </w:r>
    </w:p>
    <w:p>
      <w:pPr>
        <w:pStyle w:val="TextBody"/>
        <w:bidi w:val="0"/>
        <w:spacing w:lineRule="auto" w:line="300" w:before="0" w:after="0"/>
        <w:jc w:val="left"/>
        <w:rPr/>
      </w:pPr>
      <w:r>
        <w:rPr/>
        <w:t> </w:t>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8876/000114420404010413/v04684_ex4-2.txt" TargetMode="External"/><Relationship Id="rId3" Type="http://schemas.openxmlformats.org/officeDocument/2006/relationships/hyperlink" Target="https://www.sec.gov/Archives/edgar/data/928876/000114420404010413/v04684_ex4-2.txt" TargetMode="External"/><Relationship Id="rId4" Type="http://schemas.openxmlformats.org/officeDocument/2006/relationships/hyperlink" Target="https://www.sec.gov/Archives/edgar/data/928876/000117891306002150/exhibit_4-2.txt" TargetMode="External"/><Relationship Id="rId5" Type="http://schemas.openxmlformats.org/officeDocument/2006/relationships/hyperlink" Target="https://www.sec.gov/Archives/edgar/data/928876/000117891306002150/exhibit_4-2.txt" TargetMode="External"/><Relationship Id="rId6" Type="http://schemas.openxmlformats.org/officeDocument/2006/relationships/hyperlink" Target="https://www.sec.gov/Archives/edgar/data/928876/000117891308002543/exhibit_3-4.htm" TargetMode="External"/><Relationship Id="rId7" Type="http://schemas.openxmlformats.org/officeDocument/2006/relationships/hyperlink" Target="https://www.sec.gov/Archives/edgar/data/928876/000117891308002543/exhibit_3-4.htm" TargetMode="External"/><Relationship Id="rId8" Type="http://schemas.openxmlformats.org/officeDocument/2006/relationships/hyperlink" Target="https://www.sec.gov/Archives/edgar/data/928876/000117891312000147/exhibit_99-1.htm" TargetMode="External"/><Relationship Id="rId9" Type="http://schemas.openxmlformats.org/officeDocument/2006/relationships/hyperlink" Target="https://www.sec.gov/Archives/edgar/data/928876/000117891312000147/exhibit_99-1.htm" TargetMode="External"/><Relationship Id="rId10" Type="http://schemas.openxmlformats.org/officeDocument/2006/relationships/hyperlink" Target="https://www.sec.gov/Archives/edgar/data/928876/000117891312001728/zk1211595.htm" TargetMode="External"/><Relationship Id="rId11" Type="http://schemas.openxmlformats.org/officeDocument/2006/relationships/hyperlink" Target="https://www.sec.gov/Archives/edgar/data/928876/000117891312001728/zk1211595.htm" TargetMode="External"/><Relationship Id="rId12" Type="http://schemas.openxmlformats.org/officeDocument/2006/relationships/hyperlink" Target="https://www.sec.gov/Archives/edgar/data/928876/000117891313001104/zk1312959.htm" TargetMode="External"/><Relationship Id="rId13" Type="http://schemas.openxmlformats.org/officeDocument/2006/relationships/hyperlink" Target="https://www.sec.gov/Archives/edgar/data/928876/000117891313001104/zk1312959.htm" TargetMode="External"/><Relationship Id="rId14" Type="http://schemas.openxmlformats.org/officeDocument/2006/relationships/hyperlink" Target="https://www.sec.gov/Archives/edgar/data/928876/000117891320001277/exhibit_2-1.htm" TargetMode="External"/><Relationship Id="rId15" Type="http://schemas.openxmlformats.org/officeDocument/2006/relationships/hyperlink" Target="https://www.sec.gov/Archives/edgar/data/928876/000117891320001277/exhibit_2-1.htm" TargetMode="External"/><Relationship Id="rId16" Type="http://schemas.openxmlformats.org/officeDocument/2006/relationships/hyperlink" Target="https://www.sec.gov/Archives/edgar/data/928876/000117891322001694/exhibit_4-1.htm" TargetMode="External"/><Relationship Id="rId17" Type="http://schemas.openxmlformats.org/officeDocument/2006/relationships/hyperlink" Target="https://www.sec.gov/Archives/edgar/data/928876/000117891322001694/exhibit_4-1.htm" TargetMode="External"/><Relationship Id="rId18" Type="http://schemas.openxmlformats.org/officeDocument/2006/relationships/hyperlink" Target="https://www.sec.gov/Archives/edgar/data/928876/000117891320002215/ex_99-1.htm" TargetMode="External"/><Relationship Id="rId19" Type="http://schemas.openxmlformats.org/officeDocument/2006/relationships/hyperlink" Target="https://www.sec.gov/Archives/edgar/data/928876/000117891320002215/ex_99-1.htm" TargetMode="External"/><Relationship Id="rId20" Type="http://schemas.openxmlformats.org/officeDocument/2006/relationships/hyperlink" Target="https://www.sec.gov/Archives/edgar/data/928876/000117891322000700/exhibit_99-1.htm" TargetMode="External"/><Relationship Id="rId21" Type="http://schemas.openxmlformats.org/officeDocument/2006/relationships/hyperlink" Target="https://www.sec.gov/Archives/edgar/data/928876/000117891322000700/exhibit_99-1.htm" TargetMode="External"/><Relationship Id="rId22" Type="http://schemas.openxmlformats.org/officeDocument/2006/relationships/hyperlink" Target="https://www.sec.gov/Archives/edgar/data/928876/000117891322001694/exhibit_4-4.htm" TargetMode="External"/><Relationship Id="rId23" Type="http://schemas.openxmlformats.org/officeDocument/2006/relationships/hyperlink" Target="https://www.sec.gov/Archives/edgar/data/928876/000117891322001694/exhibit_4-4.htm" TargetMode="External"/><Relationship Id="rId24" Type="http://schemas.openxmlformats.org/officeDocument/2006/relationships/hyperlink" Target="https://www.sec.gov/Archives/edgar/data/928876/000117891322001694/exhibit_4-4.htm" TargetMode="External"/><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1.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74656</Words>
  <Characters>407670</Characters>
  <CharactersWithSpaces>485441</CharactersWithSpaces>
  <Paragraphs>11846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