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6-K</w:t>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November 2022 No.1</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3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November 14, 2022, the Registrant issued a press release announcing its financial results for the nine months and the three months ended September 30, 2022. The press release is attached hereto as Exhibit 99.1.</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99.1Press release dated 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4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580"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4"/>
          </w:tcPr>
          <w:p>
            <w:pPr>
              <w:ind w:left="1860"/>
              <w:spacing w:after="0"/>
              <w:rPr>
                <w:sz w:val="20"/>
                <w:szCs w:val="20"/>
                <w:color w:val="auto"/>
              </w:rPr>
            </w:pPr>
            <w:r>
              <w:rPr>
                <w:rFonts w:ascii="Arial" w:cs="Arial" w:eastAsia="Arial" w:hAnsi="Arial"/>
                <w:sz w:val="18"/>
                <w:szCs w:val="18"/>
                <w:b w:val="1"/>
                <w:bCs w:val="1"/>
                <w:color w:val="auto"/>
              </w:rPr>
              <w:t>TOWER SEMICONDUCTOR LTD.</w:t>
            </w:r>
          </w:p>
        </w:tc>
      </w:tr>
      <w:tr>
        <w:trPr>
          <w:trHeight w:val="405"/>
        </w:trPr>
        <w:tc>
          <w:tcPr>
            <w:tcW w:w="3760" w:type="dxa"/>
            <w:vAlign w:val="bottom"/>
          </w:tcPr>
          <w:p>
            <w:pPr>
              <w:spacing w:after="0"/>
              <w:rPr>
                <w:sz w:val="20"/>
                <w:szCs w:val="20"/>
                <w:color w:val="auto"/>
              </w:rPr>
            </w:pPr>
            <w:r>
              <w:rPr>
                <w:rFonts w:ascii="Arial" w:cs="Arial" w:eastAsia="Arial" w:hAnsi="Arial"/>
                <w:sz w:val="18"/>
                <w:szCs w:val="18"/>
                <w:color w:val="auto"/>
              </w:rPr>
              <w:t>Date: November 14, 2022</w:t>
            </w:r>
          </w:p>
        </w:tc>
        <w:tc>
          <w:tcPr>
            <w:tcW w:w="2340" w:type="dxa"/>
            <w:vAlign w:val="bottom"/>
          </w:tcPr>
          <w:p>
            <w:pPr>
              <w:ind w:left="1860"/>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Nati Somekh</w:t>
            </w:r>
          </w:p>
        </w:tc>
        <w:tc>
          <w:tcPr>
            <w:tcW w:w="3880" w:type="dxa"/>
            <w:vAlign w:val="bottom"/>
          </w:tcPr>
          <w:p>
            <w:pPr>
              <w:spacing w:after="0"/>
              <w:rPr>
                <w:sz w:val="24"/>
                <w:szCs w:val="24"/>
                <w:color w:val="auto"/>
              </w:rPr>
            </w:pPr>
          </w:p>
        </w:tc>
      </w:tr>
      <w:tr>
        <w:trPr>
          <w:trHeight w:val="249"/>
        </w:trPr>
        <w:tc>
          <w:tcPr>
            <w:tcW w:w="3760" w:type="dxa"/>
            <w:vAlign w:val="bottom"/>
          </w:tcPr>
          <w:p>
            <w:pPr>
              <w:spacing w:after="0"/>
              <w:rPr>
                <w:sz w:val="21"/>
                <w:szCs w:val="21"/>
                <w:color w:val="auto"/>
              </w:rPr>
            </w:pPr>
          </w:p>
        </w:tc>
        <w:tc>
          <w:tcPr>
            <w:tcW w:w="7480" w:type="dxa"/>
            <w:vAlign w:val="bottom"/>
            <w:gridSpan w:val="4"/>
          </w:tcPr>
          <w:p>
            <w:pPr>
              <w:ind w:left="1860"/>
              <w:spacing w:after="0"/>
              <w:rPr>
                <w:sz w:val="20"/>
                <w:szCs w:val="20"/>
                <w:color w:val="auto"/>
              </w:rPr>
            </w:pPr>
            <w:r>
              <w:rPr>
                <w:rFonts w:ascii="Arial" w:cs="Arial" w:eastAsia="Arial" w:hAnsi="Arial"/>
                <w:sz w:val="18"/>
                <w:szCs w:val="18"/>
                <w:color w:val="auto"/>
              </w:rPr>
              <w:t>Name: Nati Somekh</w:t>
            </w:r>
          </w:p>
        </w:tc>
      </w:tr>
      <w:tr>
        <w:trPr>
          <w:trHeight w:val="230"/>
        </w:trPr>
        <w:tc>
          <w:tcPr>
            <w:tcW w:w="3760" w:type="dxa"/>
            <w:vAlign w:val="bottom"/>
          </w:tcPr>
          <w:p>
            <w:pPr>
              <w:spacing w:after="0"/>
              <w:rPr>
                <w:sz w:val="20"/>
                <w:szCs w:val="20"/>
                <w:color w:val="auto"/>
              </w:rPr>
            </w:pPr>
          </w:p>
        </w:tc>
        <w:tc>
          <w:tcPr>
            <w:tcW w:w="2340" w:type="dxa"/>
            <w:vAlign w:val="bottom"/>
          </w:tcPr>
          <w:p>
            <w:pPr>
              <w:ind w:left="1860"/>
              <w:spacing w:after="0"/>
              <w:rPr>
                <w:sz w:val="20"/>
                <w:szCs w:val="20"/>
                <w:color w:val="auto"/>
              </w:rPr>
            </w:pPr>
            <w:r>
              <w:rPr>
                <w:rFonts w:ascii="Arial" w:cs="Arial" w:eastAsia="Arial" w:hAnsi="Arial"/>
                <w:sz w:val="18"/>
                <w:szCs w:val="18"/>
                <w:color w:val="auto"/>
              </w:rPr>
              <w:t>Title:</w:t>
            </w:r>
          </w:p>
        </w:tc>
        <w:tc>
          <w:tcPr>
            <w:tcW w:w="5140" w:type="dxa"/>
            <w:vAlign w:val="bottom"/>
            <w:gridSpan w:val="3"/>
          </w:tcPr>
          <w:p>
            <w:pPr>
              <w:ind w:left="80"/>
              <w:spacing w:after="0"/>
              <w:rPr>
                <w:sz w:val="20"/>
                <w:szCs w:val="20"/>
                <w:color w:val="auto"/>
              </w:rPr>
            </w:pPr>
            <w:r>
              <w:rPr>
                <w:rFonts w:ascii="Arial" w:cs="Arial" w:eastAsia="Arial" w:hAnsi="Arial"/>
                <w:sz w:val="18"/>
                <w:szCs w:val="18"/>
                <w:color w:val="auto"/>
              </w:rPr>
              <w:t>Corporate Secretary</w:t>
            </w:r>
          </w:p>
        </w:tc>
      </w:tr>
      <w:tr>
        <w:trPr>
          <w:trHeight w:val="378"/>
        </w:trPr>
        <w:tc>
          <w:tcPr>
            <w:tcW w:w="37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163"/>
        </w:trPr>
        <w:tc>
          <w:tcPr>
            <w:tcW w:w="37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Third Quarter 2022 Record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Revenue of $427 Million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Sequential increases in profitability, resulting in 16.2% 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margins, exceeding the second half 2022 target</w:t>
      </w:r>
    </w:p>
    <w:p>
      <w:pPr>
        <w:spacing w:after="0" w:line="272"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MIGDAL HAEMEK, ISRAEL – November 14, 2022 – </w:t>
      </w:r>
      <w:r>
        <w:rPr>
          <w:rFonts w:ascii="Arial" w:cs="Arial" w:eastAsia="Arial" w:hAnsi="Arial"/>
          <w:sz w:val="18"/>
          <w:szCs w:val="18"/>
          <w:color w:val="auto"/>
        </w:rPr>
        <w:t>Tower Semiconductor (NASDAQ: TSEM &amp; TASE: TSEM) reports today its results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2022.</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of 2022 Results Overview</w:t>
      </w:r>
    </w:p>
    <w:p>
      <w:pPr>
        <w:spacing w:after="0" w:line="28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for the third quarter of 2022 was $427 million, as compared to $387 million in the third quarter of 2021, reflecting 10% revenue growth. Organic</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grew by 22% year over year for the third quarter of 2022 (organic revenue defined as total revenue excluding revenues from (i) Nuvoton in the Japanese fabs and (ii) Maxim in the San Antonio fab). Revenue for the second quarter of 2022 was $426 million.</w:t>
      </w:r>
    </w:p>
    <w:p>
      <w:pPr>
        <w:spacing w:after="0" w:line="200"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third quarter of 2022 was $125 million, 46% higher than $85 million recorded in the third quarter of 2021. Gross profit in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2022 was $112 million.</w:t>
      </w:r>
    </w:p>
    <w:p>
      <w:pPr>
        <w:spacing w:after="0" w:line="2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for the third quarter of 2022 was $79 million, 79% higher than $44 million recorded in the third quarter of 2021. Operating profit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2022 was $71 million.</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Net profit </w:t>
      </w:r>
      <w:r>
        <w:rPr>
          <w:rFonts w:ascii="Arial" w:cs="Arial" w:eastAsia="Arial" w:hAnsi="Arial"/>
          <w:sz w:val="18"/>
          <w:szCs w:val="18"/>
          <w:color w:val="auto"/>
        </w:rPr>
        <w:t>for the third quarter of 2022 was $69 million, reflecting 16.2% net margin, which exceeded the November 2021 publicly stated target of</w:t>
      </w:r>
      <w:r>
        <w:rPr>
          <w:rFonts w:ascii="Arial" w:cs="Arial" w:eastAsia="Arial" w:hAnsi="Arial"/>
          <w:sz w:val="18"/>
          <w:szCs w:val="18"/>
          <w:b w:val="1"/>
          <w:bCs w:val="1"/>
          <w:color w:val="auto"/>
        </w:rPr>
        <w:t xml:space="preserve"> </w:t>
      </w:r>
      <w:r>
        <w:rPr>
          <w:rFonts w:ascii="Arial" w:cs="Arial" w:eastAsia="Arial" w:hAnsi="Arial"/>
          <w:sz w:val="18"/>
          <w:szCs w:val="18"/>
          <w:color w:val="auto"/>
        </w:rPr>
        <w:t>achieving 15% net margin in 2022, or $0.63 basic and $0.62 diluted earnings per share, 77% higher than $39 million recorded in the third quarter of 2021, which represented $0.36 basic and diluted earnings per share.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Net profit for the second quarter of 2022 was $58 million, representing $0.53 basic and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 w:name="page5"/>
    <w:bookmarkEnd w:id="4"/>
    <w:p>
      <w:pPr>
        <w:jc w:val="both"/>
        <w:spacing w:after="0" w:line="297" w:lineRule="auto"/>
        <w:rPr>
          <w:sz w:val="20"/>
          <w:szCs w:val="20"/>
          <w:color w:val="auto"/>
        </w:rPr>
      </w:pPr>
      <w:r>
        <w:rPr>
          <w:rFonts w:ascii="Arial" w:cs="Arial" w:eastAsia="Arial" w:hAnsi="Arial"/>
          <w:sz w:val="18"/>
          <w:szCs w:val="18"/>
          <w:b w:val="1"/>
          <w:bCs w:val="1"/>
          <w:color w:val="auto"/>
        </w:rPr>
        <w:t xml:space="preserve">Cash flow </w:t>
      </w:r>
      <w:r>
        <w:rPr>
          <w:rFonts w:ascii="Arial" w:cs="Arial" w:eastAsia="Arial" w:hAnsi="Arial"/>
          <w:sz w:val="18"/>
          <w:szCs w:val="18"/>
          <w:color w:val="auto"/>
        </w:rPr>
        <w:t>generated from operating activities in the third quarter of 2022 was $122 million and investment in fixed assets was $45 million, net.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2022, the Company repaid $28 million of its debt.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Guidance and Conference Call</w:t>
      </w:r>
    </w:p>
    <w:p>
      <w:pPr>
        <w:spacing w:after="0" w:line="2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light of the Company’s definitive agreement with Intel Corporation, as announced on February 15, 2022, the Company is not providing revenue guidance for the fourth quarter 2022 and will not host an earnings conference call.</w:t>
      </w:r>
    </w:p>
    <w:p>
      <w:pPr>
        <w:spacing w:after="0" w:line="24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(2) compensation expenses in respect of equity grants to directors, officers, and employees and (3) restructuring costs, which include costs associated with the cessation of operations of the Arai manufacturing factory in Japan in 2022 in the amount of approximately $4 million recorded in the statements of operations for the three and nine months ended September 30, 2022.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and (iv) restructuring costs in relation to the Arai manufacturing factory in Japan, as described in (3) above. EBITDA is reconciled in the tables below from GAAP operating profit. EBITDA is not a required GAAP financial measure and may not be comparable to a similarly titled measure employed by other companies. EBITDA and the adjusted financial information presented herein and/ or prior earnings 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$122 million, $138 million and $107 million for the three months periods ended September 30, 2022, June 30, 2022 and September 30, 2021, respectively) less cash used for investments in property and equipment, net (in the amounts of $45 million, $49 million and $88 million for the three months periods ended September 30, 2022, June 30, 2022 and September 30, 2021,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z w:val="1"/>
          <w:szCs w:val="1"/>
          <w:color w:val="auto"/>
        </w:rPr>
        <w:drawing>
          <wp:inline distT="0" distB="0" distL="0" distR="0">
            <wp:extent cx="68580" cy="146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46050"/>
                    </a:xfrm>
                    <a:prstGeom prst="rect">
                      <a:avLst/>
                    </a:prstGeom>
                    <a:noFill/>
                    <a:ln>
                      <a:noFill/>
                    </a:ln>
                  </pic:spPr>
                </pic:pic>
              </a:graphicData>
            </a:graphic>
          </wp:inline>
        </w:drawing>
      </w:r>
      <w:r>
        <w:rPr>
          <w:rFonts w:ascii="Arial" w:cs="Arial" w:eastAsia="Arial" w:hAnsi="Arial"/>
          <w:sz w:val="21"/>
          <w:szCs w:val="21"/>
          <w:color w:val="auto"/>
        </w:rPr>
        <w:t xml:space="preserve">For more information, please visit: </w:t>
      </w:r>
      <w:r>
        <w:rPr>
          <w:rFonts w:ascii="Arial" w:cs="Arial" w:eastAsia="Arial" w:hAnsi="Arial"/>
          <w:sz w:val="21"/>
          <w:szCs w:val="21"/>
          <w:u w:val="single" w:color="auto"/>
          <w:color w:val="0000FF"/>
        </w:rPr>
        <w:t>www.towersemi.com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0000FF"/>
        </w:rPr>
        <w:t>noitle@towersemi.com</w:t>
      </w:r>
    </w:p>
    <w:p>
      <w:pPr>
        <w:spacing w:after="0" w:line="281" w:lineRule="exact"/>
        <w:rPr>
          <w:sz w:val="20"/>
          <w:szCs w:val="20"/>
          <w:color w:val="auto"/>
        </w:rPr>
      </w:pPr>
    </w:p>
    <w:p>
      <w:pPr>
        <w:jc w:val="both"/>
        <w:ind w:left="340" w:hanging="332"/>
        <w:spacing w:after="0" w:line="28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w:t>
      </w:r>
    </w:p>
    <w:p>
      <w:pPr>
        <w:spacing w:after="0" w:line="9" w:lineRule="exact"/>
        <w:rPr>
          <w:rFonts w:ascii="Arial" w:cs="Arial" w:eastAsia="Arial" w:hAnsi="Arial"/>
          <w:sz w:val="16"/>
          <w:szCs w:val="16"/>
          <w:color w:val="auto"/>
        </w:rPr>
      </w:pPr>
    </w:p>
    <w:p>
      <w:pPr>
        <w:jc w:val="both"/>
        <w:ind w:left="340" w:hanging="8"/>
        <w:spacing w:after="0" w:line="283" w:lineRule="auto"/>
        <w:tabs>
          <w:tab w:leader="none" w:pos="938" w:val="left"/>
        </w:tabs>
        <w:numPr>
          <w:ilvl w:val="1"/>
          <w:numId w:val="1"/>
        </w:numPr>
        <w:rPr>
          <w:rFonts w:ascii="Arial" w:cs="Arial" w:eastAsia="Arial" w:hAnsi="Arial"/>
          <w:sz w:val="16"/>
          <w:szCs w:val="16"/>
          <w:color w:val="auto"/>
        </w:rPr>
      </w:pPr>
      <w:r>
        <w:rPr>
          <w:rFonts w:ascii="Arial" w:cs="Arial" w:eastAsia="Arial" w:hAnsi="Arial"/>
          <w:sz w:val="16"/>
          <w:szCs w:val="16"/>
          <w:color w:val="auto"/>
        </w:rPr>
        <w:t>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in addition to the aforementioned restructuring costs and future additional such costs, on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(xxxix) our ability to satisfy the covenants stipulated in our agreements with the series G bondholders (as of September 30, 2022, we are in compliance with this indenture’s covenants), (xxxx)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(xxxxi) business interruption due to fire, earthquake and other natural disasters, the security situation in Israel, global trade “war”, COVID-19 pandemic, including its impact on global supply chain to the fabs and from the fabs, power interruptions and other events beyond our control.</w:t>
      </w:r>
    </w:p>
    <w:p>
      <w:pPr>
        <w:sectPr>
          <w:pgSz w:w="11900" w:h="16838" w:orient="portrait"/>
          <w:cols w:equalWidth="0" w:num="1">
            <w:col w:w="11240"/>
          </w:cols>
          <w:pgMar w:left="320" w:top="396" w:right="339" w:bottom="0" w:gutter="0" w:footer="0" w:header="0"/>
        </w:sectPr>
      </w:pPr>
    </w:p>
    <w:bookmarkStart w:id="6" w:name="page7"/>
    <w:bookmarkEnd w:id="6"/>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80" w:type="dxa"/>
            <w:vAlign w:val="bottom"/>
          </w:tcPr>
          <w:p>
            <w:pPr>
              <w:spacing w:after="0"/>
              <w:rPr>
                <w:sz w:val="22"/>
                <w:szCs w:val="22"/>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390,369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210,930</w:t>
            </w: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338,811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363,648</w:t>
            </w: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171,951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190,068</w:t>
            </w: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165,086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142,228</w:t>
            </w:r>
          </w:p>
        </w:tc>
      </w:tr>
      <w:tr>
        <w:trPr>
          <w:trHeight w:val="22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269,405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234,512</w:t>
            </w:r>
          </w:p>
        </w:tc>
      </w:tr>
      <w:tr>
        <w:trPr>
          <w:trHeight w:val="237"/>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41,710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54,817</w:t>
            </w:r>
          </w:p>
        </w:tc>
      </w:tr>
      <w:tr>
        <w:trPr>
          <w:trHeight w:val="230"/>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1,377,332</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1,196,203</w:t>
            </w: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902,440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876,683</w:t>
            </w: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GOODWILL AND OTHER INTANGIBLE ASSETS, NET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15,774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18,820</w:t>
            </w: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88,864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139,535</w:t>
            </w:r>
          </w:p>
        </w:tc>
      </w:tr>
      <w:tr>
        <w:trPr>
          <w:trHeight w:val="270"/>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2,384,410</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2,231,241</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61,186</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83,868</w:t>
            </w: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143,992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78,712</w:t>
            </w:r>
          </w:p>
        </w:tc>
      </w:tr>
      <w:tr>
        <w:trPr>
          <w:trHeight w:val="229"/>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37,907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39,992</w:t>
            </w:r>
          </w:p>
        </w:tc>
      </w:tr>
      <w:tr>
        <w:trPr>
          <w:trHeight w:val="23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121,487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73,756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364,572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276,328</w:t>
            </w: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202,142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230,972</w:t>
            </w: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44,414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69,968</w:t>
            </w: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AND OTHER LONG-TERM LIABILITIES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20,356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38,584</w:t>
            </w:r>
          </w:p>
        </w:tc>
      </w:tr>
      <w:tr>
        <w:trPr>
          <w:trHeight w:val="229"/>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631,484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615,852</w:t>
            </w:r>
          </w:p>
        </w:tc>
        <w:tc>
          <w:tcPr>
            <w:tcW w:w="100" w:type="dxa"/>
            <w:vAlign w:val="bottom"/>
            <w:tcBorders>
              <w:top w:val="single" w:sz="8" w:color="CCEEFF"/>
            </w:tcBorders>
          </w:tcPr>
          <w:p>
            <w:pPr>
              <w:spacing w:after="0"/>
              <w:rPr>
                <w:sz w:val="19"/>
                <w:szCs w:val="19"/>
                <w:color w:val="auto"/>
              </w:rPr>
            </w:pPr>
          </w:p>
        </w:tc>
      </w:tr>
      <w:tr>
        <w:trPr>
          <w:trHeight w:val="237"/>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1,752,926</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1,615,389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868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2,384,410</w:t>
            </w:r>
          </w:p>
        </w:tc>
        <w:tc>
          <w:tcPr>
            <w:tcW w:w="22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2,231,241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jc w:val="center"/>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427,087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386,706</w:t>
            </w:r>
          </w:p>
        </w:tc>
        <w:tc>
          <w:tcPr>
            <w:tcW w:w="100" w:type="dxa"/>
            <w:vAlign w:val="bottom"/>
            <w:shd w:val="clear" w:color="auto" w:fill="CCEEFF"/>
          </w:tcPr>
          <w:p>
            <w:pPr>
              <w:spacing w:after="0"/>
              <w:rPr>
                <w:sz w:val="19"/>
                <w:szCs w:val="19"/>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302,576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313,728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301,330</w:t>
            </w:r>
          </w:p>
        </w:tc>
      </w:tr>
      <w:tr>
        <w:trPr>
          <w:trHeight w:val="237"/>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124,511</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112,440</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85,376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20,481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21,591</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18,864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21,285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19,620</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Restructuring costs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45,303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41,766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41,211</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79,208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70,674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44,165</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(9,351)</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(8,162)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(2,714)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69,857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62,512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41,451</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(3,175)</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(1,084)</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66,682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58,173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40,367</w:t>
            </w: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(1,282)</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69,135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58,077</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39,085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109,416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109,138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108,354</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110,825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110,561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109,825</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220" w:type="dxa"/>
            <w:vAlign w:val="bottom"/>
            <w:tcBorders>
              <w:top w:val="single" w:sz="8" w:color="auto"/>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1,274,387</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1,096,058</w:t>
            </w:r>
          </w:p>
        </w:tc>
        <w:tc>
          <w:tcPr>
            <w:tcW w:w="100" w:type="dxa"/>
            <w:vAlign w:val="bottom"/>
            <w:shd w:val="clear" w:color="auto" w:fill="CCEEFF"/>
          </w:tcPr>
          <w:p>
            <w:pPr>
              <w:spacing w:after="0"/>
              <w:rPr>
                <w:sz w:val="19"/>
                <w:szCs w:val="19"/>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932,805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867,113</w:t>
            </w: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top w:val="single" w:sz="8" w:color="auto"/>
            </w:tcBorders>
            <w:shd w:val="clear" w:color="auto" w:fill="CCEEFF"/>
          </w:tcPr>
          <w:p>
            <w:pPr>
              <w:spacing w:after="0"/>
              <w:rPr>
                <w:sz w:val="20"/>
                <w:szCs w:val="20"/>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341,582</w:t>
            </w:r>
          </w:p>
        </w:tc>
        <w:tc>
          <w:tcPr>
            <w:tcW w:w="2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228,945</w:t>
            </w:r>
          </w:p>
        </w:tc>
        <w:tc>
          <w:tcPr>
            <w:tcW w:w="100" w:type="dxa"/>
            <w:vAlign w:val="bottom"/>
            <w:shd w:val="clear" w:color="auto" w:fill="CCEEFF"/>
          </w:tcPr>
          <w:p>
            <w:pPr>
              <w:spacing w:after="0"/>
              <w:rPr>
                <w:sz w:val="20"/>
                <w:szCs w:val="20"/>
                <w:color w:val="auto"/>
              </w:rPr>
            </w:pPr>
          </w:p>
        </w:tc>
      </w:tr>
      <w:tr>
        <w:trPr>
          <w:trHeight w:val="22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63,205</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63,015</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61,402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55,282</w:t>
            </w: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Restructuring costs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4,033</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70"/>
        </w:trPr>
        <w:tc>
          <w:tcPr>
            <w:tcW w:w="8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128,640</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118,297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212,942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110,648</w:t>
            </w: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FINANCING AND OTHER EXPENSE, NET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(19,646)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(11,040)</w:t>
            </w: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193,296</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99,608</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(12,667)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2,590</w:t>
            </w: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180,629</w:t>
            </w:r>
          </w:p>
        </w:tc>
        <w:tc>
          <w:tcPr>
            <w:tcW w:w="20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102,198</w:t>
            </w:r>
          </w:p>
        </w:tc>
        <w:tc>
          <w:tcPr>
            <w:tcW w:w="100" w:type="dxa"/>
            <w:vAlign w:val="bottom"/>
            <w:shd w:val="clear" w:color="auto" w:fill="CCEEFF"/>
          </w:tcPr>
          <w:p>
            <w:pPr>
              <w:spacing w:after="0"/>
              <w:rPr>
                <w:sz w:val="19"/>
                <w:szCs w:val="19"/>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4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616</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(3,925)</w:t>
            </w:r>
          </w:p>
        </w:tc>
      </w:tr>
      <w:tr>
        <w:trPr>
          <w:trHeight w:val="27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ATTRIBUTABLE TO THE COMPANY</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181,245</w:t>
            </w:r>
          </w:p>
        </w:tc>
        <w:tc>
          <w:tcPr>
            <w:tcW w:w="20" w:type="dxa"/>
            <w:vAlign w:val="bottom"/>
            <w:tcBorders>
              <w:top w:val="single" w:sz="8" w:color="auto"/>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98,273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109,165</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108,114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1.64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0.90</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110,691</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109,640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46"/>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ind w:left="340" w:right="2160"/>
        <w:spacing w:after="0" w:line="295" w:lineRule="auto"/>
        <w:rPr>
          <w:sz w:val="20"/>
          <w:szCs w:val="20"/>
          <w:color w:val="auto"/>
        </w:rPr>
      </w:pPr>
      <w:r>
        <w:rPr>
          <w:rFonts w:ascii="Arial" w:cs="Arial" w:eastAsia="Arial" w:hAnsi="Arial"/>
          <w:sz w:val="18"/>
          <w:szCs w:val="18"/>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79,208</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70,674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44,165</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Depreciation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67,343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60,886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63,021</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6,526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5,543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5,452</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509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504</w:t>
            </w:r>
          </w:p>
        </w:tc>
      </w:tr>
      <w:tr>
        <w:trPr>
          <w:trHeight w:val="229"/>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Restructuring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157,619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137,611</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113,142</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29"/>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203,484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215,755</w:t>
            </w:r>
          </w:p>
        </w:tc>
        <w:tc>
          <w:tcPr>
            <w:tcW w:w="100" w:type="dxa"/>
            <w:vAlign w:val="bottom"/>
            <w:shd w:val="clear" w:color="auto" w:fill="CCEEFF"/>
          </w:tcPr>
          <w:p>
            <w:pPr>
              <w:spacing w:after="0"/>
              <w:rPr>
                <w:sz w:val="19"/>
                <w:szCs w:val="19"/>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122,402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138,097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106,974</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(45,134)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(49,377)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(87,714)</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(28,164)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(8,211)</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(29,211)</w:t>
            </w: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(4,638)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(7,682)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(597)</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129,257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(65,134)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6,250</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390,369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211,503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446"/>
        </w:trPr>
        <w:tc>
          <w:tcPr>
            <w:tcW w:w="7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jc w:val="center"/>
        <w:ind w:left="340" w:right="2280"/>
        <w:spacing w:after="0" w:line="281"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73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r>
      <w:tr>
        <w:trPr>
          <w:trHeight w:val="236"/>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spacing w:after="0"/>
              <w:rPr>
                <w:sz w:val="20"/>
                <w:szCs w:val="20"/>
                <w:color w:val="auto"/>
              </w:rPr>
            </w:pPr>
            <w:r>
              <w:rPr>
                <w:rFonts w:ascii="Arial" w:cs="Arial" w:eastAsia="Arial" w:hAnsi="Arial"/>
                <w:sz w:val="18"/>
                <w:szCs w:val="18"/>
                <w:b w:val="1"/>
                <w:bCs w:val="1"/>
                <w:color w:val="auto"/>
              </w:rPr>
              <w:t>Net profit for the period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66,682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58,173</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40,367</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74,958</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67,007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69,482</w:t>
            </w:r>
          </w:p>
        </w:tc>
      </w:tr>
      <w:tr>
        <w:trPr>
          <w:trHeight w:val="229"/>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Effect of exchange rate differences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779</w:t>
            </w:r>
          </w:p>
        </w:tc>
      </w:tr>
      <w:tr>
        <w:trPr>
          <w:trHeight w:val="229"/>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7,950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1,941</w:t>
            </w:r>
          </w:p>
        </w:tc>
      </w:tr>
      <w:tr>
        <w:trPr>
          <w:trHeight w:val="230"/>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3,578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(678)</w:t>
            </w:r>
          </w:p>
        </w:tc>
      </w:tr>
      <w:tr>
        <w:trPr>
          <w:trHeight w:val="230"/>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527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(4,186)</w:t>
            </w:r>
          </w:p>
        </w:tc>
      </w:tr>
      <w:tr>
        <w:trPr>
          <w:trHeight w:val="229"/>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(25,510)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(10,630)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(12,553)</w:t>
            </w:r>
          </w:p>
        </w:tc>
      </w:tr>
      <w:tr>
        <w:trPr>
          <w:trHeight w:val="229"/>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(15,951)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(2,100)</w:t>
            </w:r>
          </w:p>
        </w:tc>
      </w:tr>
      <w:tr>
        <w:trPr>
          <w:trHeight w:val="230"/>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(16,906)</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(14,031)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19,288</w:t>
            </w:r>
          </w:p>
        </w:tc>
      </w:tr>
      <w:tr>
        <w:trPr>
          <w:trHeight w:val="229"/>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20,725</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10,974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(8,087)</w:t>
            </w:r>
          </w:p>
        </w:tc>
      </w:tr>
      <w:tr>
        <w:trPr>
          <w:trHeight w:val="230"/>
        </w:trPr>
        <w:tc>
          <w:tcPr>
            <w:tcW w:w="732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(220)</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w:t>
            </w:r>
          </w:p>
        </w:tc>
      </w:tr>
      <w:tr>
        <w:trPr>
          <w:trHeight w:val="236"/>
        </w:trPr>
        <w:tc>
          <w:tcPr>
            <w:tcW w:w="7320" w:type="dxa"/>
            <w:vAlign w:val="bottom"/>
          </w:tcPr>
          <w:p>
            <w:pPr>
              <w:ind w:left="66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6,052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2,764</w:t>
            </w:r>
          </w:p>
        </w:tc>
      </w:tr>
      <w:tr>
        <w:trPr>
          <w:trHeight w:val="237"/>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122,402</w:t>
            </w: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138,097</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106,974</w:t>
            </w:r>
          </w:p>
        </w:tc>
        <w:tc>
          <w:tcPr>
            <w:tcW w:w="100" w:type="dxa"/>
            <w:vAlign w:val="bottom"/>
            <w:shd w:val="clear" w:color="auto" w:fill="CCEEFF"/>
          </w:tcPr>
          <w:p>
            <w:pPr>
              <w:spacing w:after="0"/>
              <w:rPr>
                <w:sz w:val="20"/>
                <w:szCs w:val="20"/>
                <w:color w:val="auto"/>
              </w:rPr>
            </w:pPr>
          </w:p>
        </w:tc>
      </w:tr>
      <w:tr>
        <w:trPr>
          <w:trHeight w:val="229"/>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(45,134)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(49,377)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(87,714)</w:t>
            </w:r>
          </w:p>
        </w:tc>
      </w:tr>
      <w:tr>
        <w:trPr>
          <w:trHeight w:val="23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129,257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(65,134)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6,250</w:t>
            </w:r>
          </w:p>
        </w:tc>
      </w:tr>
      <w:tr>
        <w:trPr>
          <w:trHeight w:val="237"/>
        </w:trPr>
        <w:tc>
          <w:tcPr>
            <w:tcW w:w="732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84,123</w:t>
            </w:r>
          </w:p>
        </w:tc>
        <w:tc>
          <w:tcPr>
            <w:tcW w:w="22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(114,511)</w:t>
            </w:r>
          </w:p>
        </w:tc>
        <w:tc>
          <w:tcPr>
            <w:tcW w:w="22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(81,464)</w:t>
            </w:r>
          </w:p>
        </w:tc>
        <w:tc>
          <w:tcPr>
            <w:tcW w:w="100" w:type="dxa"/>
            <w:vAlign w:val="bottom"/>
            <w:shd w:val="clear" w:color="auto" w:fill="CCEEFF"/>
          </w:tcPr>
          <w:p>
            <w:pPr>
              <w:spacing w:after="0"/>
              <w:rPr>
                <w:sz w:val="20"/>
                <w:szCs w:val="20"/>
                <w:color w:val="auto"/>
              </w:rPr>
            </w:pPr>
          </w:p>
        </w:tc>
      </w:tr>
      <w:tr>
        <w:trPr>
          <w:trHeight w:val="230"/>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29"/>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(28,164)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(8,211)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(29,211)</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6"/>
        </w:trPr>
        <w:tc>
          <w:tcPr>
            <w:tcW w:w="7320" w:type="dxa"/>
            <w:vAlign w:val="bottom"/>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(22,695)</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(8,211)</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(29,165)</w:t>
            </w:r>
          </w:p>
        </w:tc>
      </w:tr>
      <w:tr>
        <w:trPr>
          <w:trHeight w:val="27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(7,682)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3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179,192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7,693</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(4,252)</w:t>
            </w:r>
          </w:p>
        </w:tc>
      </w:tr>
      <w:tr>
        <w:trPr>
          <w:trHeight w:val="23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203,484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215,755</w:t>
            </w:r>
          </w:p>
        </w:tc>
      </w:tr>
      <w:tr>
        <w:trPr>
          <w:trHeight w:val="270"/>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390,369</w:t>
            </w:r>
          </w:p>
        </w:tc>
        <w:tc>
          <w:tcPr>
            <w:tcW w:w="220" w:type="dxa"/>
            <w:vAlign w:val="bottom"/>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211,177</w:t>
            </w:r>
          </w:p>
        </w:tc>
        <w:tc>
          <w:tcPr>
            <w:tcW w:w="220" w:type="dxa"/>
            <w:vAlign w:val="bottom"/>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211,503</w:t>
            </w:r>
          </w:p>
        </w:tc>
        <w:tc>
          <w:tcPr>
            <w:tcW w:w="100" w:type="dxa"/>
            <w:vAlign w:val="bottom"/>
            <w:shd w:val="clear" w:color="auto" w:fill="CCEEFF"/>
          </w:tcPr>
          <w:p>
            <w:pPr>
              <w:spacing w:after="0"/>
              <w:rPr>
                <w:sz w:val="23"/>
                <w:szCs w:val="23"/>
                <w:color w:val="auto"/>
              </w:rPr>
            </w:pPr>
          </w:p>
        </w:tc>
      </w:tr>
      <w:tr>
        <w:trPr>
          <w:trHeight w:val="372"/>
        </w:trPr>
        <w:tc>
          <w:tcPr>
            <w:tcW w:w="73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r>
        <w:trPr>
          <w:trHeight w:val="163"/>
        </w:trPr>
        <w:tc>
          <w:tcPr>
            <w:tcW w:w="7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lvl w:ilvl="1">
      <w:lvlJc w:val="left"/>
      <w:lvlText w:val="(%2)"/>
      <w:numFmt w:val="lowerRoman"/>
      <w:start w:val="2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2022-11-14T07:36:33Z</dcterms:created>
  <dcterms:modified xsi:type="dcterms:W3CDTF">2022-11-14T07:36:33Z</dcterms:modified>
</cp:coreProperties>
</file>