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rPr>
              <w:t>ISRAEL</w:t>
            </w:r>
          </w:p>
        </w:tc>
        <w:tc>
          <w:tcPr>
            <w:tcW w:w="34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0"/>
              </w:rPr>
              <w:t>000-24790</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r>
      <w:tr>
        <w:trPr>
          <w:trHeight w:val="202"/>
        </w:trPr>
        <w:tc>
          <w:tcPr>
            <w:tcW w:w="4100" w:type="dxa"/>
            <w:vAlign w:val="bottom"/>
          </w:tcPr>
          <w:p>
            <w:pPr>
              <w:jc w:val="center"/>
              <w:ind w:right="270"/>
              <w:spacing w:after="0" w:line="201" w:lineRule="exact"/>
              <w:rPr>
                <w:sz w:val="20"/>
                <w:szCs w:val="20"/>
                <w:color w:val="auto"/>
              </w:rPr>
            </w:pPr>
            <w:r>
              <w:rPr>
                <w:rFonts w:ascii="Arial" w:cs="Arial" w:eastAsia="Arial" w:hAnsi="Arial"/>
                <w:sz w:val="18"/>
                <w:szCs w:val="18"/>
                <w:color w:val="auto"/>
                <w:w w:val="92"/>
              </w:rPr>
              <w:t>(State or other jurisdiction</w:t>
            </w:r>
          </w:p>
        </w:tc>
        <w:tc>
          <w:tcPr>
            <w:tcW w:w="348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3"/>
              </w:rPr>
              <w:t>(Commission</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100" w:type="dxa"/>
            <w:vAlign w:val="bottom"/>
          </w:tcPr>
          <w:p>
            <w:pPr>
              <w:jc w:val="center"/>
              <w:ind w:right="290"/>
              <w:spacing w:after="0"/>
              <w:rPr>
                <w:sz w:val="20"/>
                <w:szCs w:val="20"/>
                <w:color w:val="auto"/>
              </w:rPr>
            </w:pPr>
            <w:r>
              <w:rPr>
                <w:rFonts w:ascii="Arial" w:cs="Arial" w:eastAsia="Arial" w:hAnsi="Arial"/>
                <w:sz w:val="18"/>
                <w:szCs w:val="18"/>
                <w:color w:val="auto"/>
                <w:w w:val="92"/>
              </w:rPr>
              <w:t>of incorporation or organization)</w:t>
            </w:r>
          </w:p>
        </w:tc>
        <w:tc>
          <w:tcPr>
            <w:tcW w:w="3480" w:type="dxa"/>
            <w:vAlign w:val="bottom"/>
          </w:tcPr>
          <w:p>
            <w:pPr>
              <w:jc w:val="center"/>
              <w:ind w:right="330"/>
              <w:spacing w:after="0"/>
              <w:rPr>
                <w:sz w:val="20"/>
                <w:szCs w:val="20"/>
                <w:color w:val="auto"/>
              </w:rPr>
            </w:pPr>
            <w:r>
              <w:rPr>
                <w:rFonts w:ascii="Arial" w:cs="Arial" w:eastAsia="Arial" w:hAnsi="Arial"/>
                <w:sz w:val="18"/>
                <w:szCs w:val="18"/>
                <w:color w:val="auto"/>
                <w:w w:val="94"/>
              </w:rPr>
              <w:t>File Number)</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93"/>
        </w:trPr>
        <w:tc>
          <w:tcPr>
            <w:tcW w:w="7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Ramat Gavriel Industrial Park P.O. Box 619, Migdal Haemek, Israel</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2310502</w:t>
            </w:r>
          </w:p>
        </w:tc>
      </w:tr>
      <w:tr>
        <w:trPr>
          <w:trHeight w:val="230"/>
        </w:trPr>
        <w:tc>
          <w:tcPr>
            <w:tcW w:w="75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Nati Somekh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+972-4-650-6109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telephone number, including area code, of the person to contact in connection with this report.)</w:t>
      </w:r>
    </w:p>
    <w:p>
      <w:pPr>
        <w:spacing w:after="0" w:line="287" w:lineRule="exact"/>
        <w:rPr>
          <w:sz w:val="24"/>
          <w:szCs w:val="24"/>
          <w:color w:val="auto"/>
        </w:rPr>
      </w:pPr>
    </w:p>
    <w:p>
      <w:pPr>
        <w:jc w:val="both"/>
        <w:spacing w:after="0" w:line="276"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8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This Specialized Disclosure Report on Form SD (“Form SD”) of Tower Semiconductor Ltd. for the year ended December 31, 2019 is presented to comply with Rule 13p-1 under the Securities Exchange Act of 1934 (the “Rule”). Unless the context indicates otherwise, “Tower,” “we,” “us” and “our” refers to Tower Semiconductor Ltd. and its consolidated subsidiaries as of December 31, 2019.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whose products contain conflict minerals that are necessary for the functionality or production of their products (such minerals are referred to as “necessary conflict minerals”). For products which contain necessary conflict minerals, the registrant must conduct in good faith a reasonable country of origin inquiry (" RCOI ") designed to determine whether any of the necessary conflict minerals originated in the Democratic Republic of the Congo (“DRC”) or an adjoining country, collectively defined as the “Covered Countries”. If, based on such RCOI ,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did or did not directly or indirectly finance or benefit armed groups in the Covered Countries. Products which do not contain necessary conflict minerals that directly or indirectly finance or benefit armed groups in the Covered Countries are considered “DRC conflict free”.</w:t>
      </w:r>
    </w:p>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239" w:lineRule="exact"/>
        <w:rPr>
          <w:sz w:val="20"/>
          <w:szCs w:val="20"/>
          <w:color w:val="auto"/>
        </w:rPr>
      </w:pPr>
    </w:p>
    <w:p>
      <w:pPr>
        <w:ind w:right="680"/>
        <w:spacing w:after="0" w:line="276" w:lineRule="auto"/>
        <w:rPr>
          <w:sz w:val="20"/>
          <w:szCs w:val="20"/>
          <w:color w:val="auto"/>
        </w:rPr>
      </w:pPr>
      <w:r>
        <w:rPr>
          <w:rFonts w:ascii="Arial" w:cs="Arial" w:eastAsia="Arial" w:hAnsi="Arial"/>
          <w:sz w:val="22"/>
          <w:szCs w:val="22"/>
          <w:color w:val="auto"/>
        </w:rPr>
        <w:t>The content of any website referred to in this Form SD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We are a pure-play independent specialty foundry dedicated to the manufacture of integrated circuits in the form of silicon wafers. Typically, pure-play foundries do not offer products of their own, but focus on producing integrated circuits, or ICs, based on the design specifications of their customers. We manufacture ICs for our customers primarily based on third party designs. We currently offer the manufacture of ICs with geometries ranging down to 45-nanometers.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We currently operate seven manufacturing facilities ("fabs") in three geographic regions: two fabs (for 150mm and 200mm wafers) located in Migdal Haemek, Israel, one fab (for 200mm wafers) located in Newport Beach, California, one fab (for 200mm wafers) located in San Antonio, Texas, and three additional fabs (for two 200mm and one 300mm wafers) located in the Hokuriku region of Japan. We offer state-of-the-art production lines for core bulk CMOS and specialized technologies such as RF SOI back-end-of-line (BEOL ), magnetoresistive random access memory (MRAM), SiGe and MEMS.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Overview of Tower’s Conflict Minerals Program</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As a semiconductor manufacturer, we are knowledgeable of the materials needed for our production processes and products manufactured. To comply with the Rule, we reviewed the products we manufactured in 2019 to determine whether conflict minerals were necessary for their functionality or production. Based on this review, we determined that tungsten was used in the manufacturing processes of most of our products and that tantalum was used in a few manufacturing processes of certain of our products.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Description</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All of our integrated circuits are manufactured in our own fabs. Tower does not purchase any tungsten or tantalum directly from smelters, refiners, or mines, and is many steps removed in the supply chain from the mining of these necessary conflict minerals. Rather, these necessary conflict minerals are obtained via our direct suppliers, who obtain them from sources worldwide. As a result, we rely on our direct suppliers to assist with our RCOI and due diligence efforts, including the identification of smelters and refiners for any necessary conflict minerals contained in the materials which our direct suppliers supply to us.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93"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i w:val="1"/>
          <w:iCs w:val="1"/>
          <w:color w:val="auto"/>
        </w:rPr>
        <w:t>Item 1.01</w:t>
      </w:r>
      <w:r>
        <w:rPr>
          <w:sz w:val="20"/>
          <w:szCs w:val="20"/>
          <w:color w:val="auto"/>
        </w:rPr>
        <w:tab/>
      </w:r>
      <w:r>
        <w:rPr>
          <w:rFonts w:ascii="Arial" w:cs="Arial" w:eastAsia="Arial" w:hAnsi="Arial"/>
          <w:sz w:val="19"/>
          <w:szCs w:val="19"/>
          <w:b w:val="1"/>
          <w:bCs w:val="1"/>
          <w:i w:val="1"/>
          <w:iCs w:val="1"/>
          <w:color w:val="auto"/>
        </w:rPr>
        <w:t>Conflict Minerals Disclosure and Report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Reasonable Country of Origin Inquiry ("RCOI") Efforts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As indicated, Tower concluded that during 2019, it had manufactured products as to which tungsten and tantalum were necessary for their functionality or production. As a result, we conducted in good faith an RCOI that was designed to reasonably determine whether any of the necessary conflict minerals in our products originated in the Covered Countries or were from recycled or scrap sources.</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As part of the RCOI, we conducted a supply chain survey of our direct suppliers of tungsten and tantalum (and of any material used in our manufacturing processes that contains tungsten or tantalum) to obtain country of origin information using the Conflict Minerals Reporting Template (the "Template”), which is published by the Conflict-Free Sourcing Initiative (“CFSI”). The Template, which requests direct suppliers to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are available on CFSI’s website at http://www.conflictfreesourcing.org/conflict-minerals-reporting- template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 w:name="page4"/>
    <w:bookmarkEnd w:id="3"/>
    <w:p>
      <w:pPr>
        <w:jc w:val="both"/>
        <w:spacing w:after="0" w:line="327" w:lineRule="auto"/>
        <w:rPr>
          <w:sz w:val="20"/>
          <w:szCs w:val="20"/>
          <w:color w:val="auto"/>
        </w:rPr>
      </w:pPr>
      <w:r>
        <w:rPr>
          <w:rFonts w:ascii="Arial" w:cs="Arial" w:eastAsia="Arial" w:hAnsi="Arial"/>
          <w:sz w:val="19"/>
          <w:szCs w:val="19"/>
          <w:color w:val="auto"/>
        </w:rPr>
        <w:t>We received responses from each of our direct suppliers of tungsten and tantalum (and of any material used in our manufacturing processes that contains tungsten or tantalum), and then confirmed whether or not each smelter or refiner they identified as providing conflict minerals had received a “conflict-free smelter” designation from an independent third party audit program.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 Based on Reasonable Country of Origin Inquiry</w:t>
      </w:r>
    </w:p>
    <w:p>
      <w:pPr>
        <w:spacing w:after="0" w:line="29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As a result of our survey regarding 2019 activity, six out of the seven direct suppliers of tungsten (and of any material used in our manufacturing processes that contains tungsten) indicated that they did not source from the Covered Countries. All these suppliers confirmed that each smelter or refiner identified by such tungsten suppliers has been certified as "conflict-free" by CFSI's Conflict-Free Smelter Program or have provided documentation to the supplier that they use recycled or scrap sources.</w:t>
      </w:r>
    </w:p>
    <w:p>
      <w:pPr>
        <w:spacing w:after="0" w:line="196" w:lineRule="exact"/>
        <w:rPr>
          <w:sz w:val="20"/>
          <w:szCs w:val="20"/>
          <w:color w:val="auto"/>
        </w:rPr>
      </w:pPr>
    </w:p>
    <w:p>
      <w:pPr>
        <w:jc w:val="both"/>
        <w:ind w:right="20"/>
        <w:spacing w:after="0" w:line="317" w:lineRule="auto"/>
        <w:rPr>
          <w:sz w:val="20"/>
          <w:szCs w:val="20"/>
          <w:color w:val="auto"/>
        </w:rPr>
      </w:pPr>
      <w:r>
        <w:rPr>
          <w:rFonts w:ascii="Arial" w:cs="Arial" w:eastAsia="Arial" w:hAnsi="Arial"/>
          <w:sz w:val="19"/>
          <w:szCs w:val="19"/>
          <w:color w:val="auto"/>
        </w:rPr>
        <w:t>Regarding tantalum, we identified three direct suppliers of tantalum (and of any material used in our manufacturing processes that contains tantalum), each of which indicated that their supply chain includes smelters or refiners sourcing tantalum from the Covered Countries. These suppliers confirmed that each of the smelters and refiners has been certified as “conflict-free” by CFSI's Conflict-Free Smelter Program or have provided documentation to the supplier that they use recycled or scrap sources.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Because we know or have reason to believe that a certain amount of the tungsten and tantalum used in the process of manufacturing certain of our products originated or may have originated in a Covered Country, we conducted due diligence on the source and chain of custody of the tungsten and tantalum in our products. Our due diligence was designed to conform to an internationally recognized due diligence framework, specifically the Organization for Economic Co-operation and Development’s “Due Diligence Guidance for Responsible Supply Chains of Minerals from Conflict-Affected and High-Risk Areas ", Second Edition (2013).</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due diligence measures that we performed are discussed further in the conflict minerals report filed as Exhibit 1.01 hereto.</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Minerals Disclosure</w:t>
      </w:r>
    </w:p>
    <w:p>
      <w:pPr>
        <w:spacing w:after="0" w:line="293" w:lineRule="exact"/>
        <w:rPr>
          <w:sz w:val="20"/>
          <w:szCs w:val="20"/>
          <w:color w:val="auto"/>
        </w:rPr>
      </w:pPr>
    </w:p>
    <w:p>
      <w:pPr>
        <w:ind w:right="1280"/>
        <w:spacing w:after="0" w:line="276" w:lineRule="auto"/>
        <w:rPr>
          <w:sz w:val="20"/>
          <w:szCs w:val="20"/>
          <w:color w:val="auto"/>
        </w:rPr>
      </w:pPr>
      <w:r>
        <w:rPr>
          <w:rFonts w:ascii="Arial" w:cs="Arial" w:eastAsia="Arial" w:hAnsi="Arial"/>
          <w:sz w:val="22"/>
          <w:szCs w:val="22"/>
          <w:color w:val="auto"/>
        </w:rPr>
        <w:t xml:space="preserve">This Form SD and the conflict minerals report, filed as Exhibit 1.01 hereto, are publicly available on our website at </w:t>
      </w:r>
      <w:r>
        <w:rPr>
          <w:rFonts w:ascii="Arial" w:cs="Arial" w:eastAsia="Arial" w:hAnsi="Arial"/>
          <w:sz w:val="22"/>
          <w:szCs w:val="22"/>
          <w:u w:val="single" w:color="auto"/>
          <w:color w:val="auto"/>
        </w:rPr>
        <w:t>https://ir.towersemi.com/financial-information/sec-filings.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1.02 Exhibits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Conflict Minerals Report required by Item 1.01 of Form SD is filed as Exhibit 1.01 to this Form SD.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rFonts w:ascii="Arial" w:cs="Arial" w:eastAsia="Arial" w:hAnsi="Arial"/>
          <w:sz w:val="16"/>
          <w:szCs w:val="16"/>
          <w:color w:val="0000EE"/>
        </w:rPr>
      </w:pPr>
      <w:hyperlink w:anchor="page6">
        <w:r>
          <w:rPr>
            <w:rFonts w:ascii="Arial" w:cs="Arial" w:eastAsia="Arial" w:hAnsi="Arial"/>
            <w:sz w:val="16"/>
            <w:szCs w:val="16"/>
            <w:u w:val="single" w:color="auto"/>
            <w:color w:val="0000EE"/>
          </w:rPr>
          <w:t>Exhibit 1.01 – conflict minerals report for the reporting period January 1, 2019 to December 31, 2019 as required by Items 1.01 and 1.02 of this Form</w:t>
        </w:r>
        <w:r>
          <w:rPr>
            <w:rFonts w:ascii="Arial" w:cs="Arial" w:eastAsia="Arial" w:hAnsi="Arial"/>
            <w:sz w:val="16"/>
            <w:szCs w:val="16"/>
            <w:color w:val="0000EE"/>
          </w:rPr>
          <w:t>.</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40" w:val="left"/>
          <w:tab w:leader="none" w:pos="3940" w:val="left"/>
        </w:tabs>
        <w:rPr>
          <w:sz w:val="20"/>
          <w:szCs w:val="20"/>
          <w:color w:val="auto"/>
        </w:rPr>
      </w:pPr>
      <w:r>
        <w:rPr>
          <w:rFonts w:ascii="Arial" w:cs="Arial" w:eastAsia="Arial" w:hAnsi="Arial"/>
          <w:sz w:val="18"/>
          <w:szCs w:val="18"/>
          <w:color w:val="auto"/>
        </w:rPr>
        <w:t>By:</w:t>
        <w:tab/>
        <w:t>/s/ Nati Somekh</w:t>
      </w:r>
      <w:r>
        <w:rPr>
          <w:sz w:val="20"/>
          <w:szCs w:val="20"/>
          <w:color w:val="auto"/>
        </w:rPr>
        <w:tab/>
      </w:r>
      <w:r>
        <w:rPr>
          <w:rFonts w:ascii="Arial" w:cs="Arial" w:eastAsia="Arial" w:hAnsi="Arial"/>
          <w:sz w:val="15"/>
          <w:szCs w:val="15"/>
          <w:color w:val="auto"/>
        </w:rPr>
        <w:t>June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8599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 Somekh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 President, Chief Legal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2019</w:t>
      </w:r>
    </w:p>
    <w:p>
      <w:pPr>
        <w:spacing w:after="0" w:line="28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This conflict minerals report for the year ended December 31, 2019 is presented to comply with Section 13(p) of the Securities Exchange Act of 1934 and Rule 13p-1 (the "Rule") and Form SD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contain conflict minerals which are necessary for the functionality or production of their products (such minerals are referred to as “necessary conflict minerals”). "Conflict minerals" are defined as gold as well as columbite-tantalite (coltan), cassiterite, wolframite, or their derivatives, which are limited to tin, tantalum and tungsten.</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For products which contain necessary conflict minerals, the registrant must conduct in good faith a reasonable country of origin inquiry designed to determine whether any of the necessary conflict minerals originated in the Democratic Republic of the Congo (“DRC”) or an adjoining country, collectively defined as the “Covered Countries”. If, based on such inquiry,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content of any website referred to in this conflict minerals report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and Description of Conflict Minerals Diligence Program</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due diligence efforts by Tower Semiconductor Ltd. (unless the context indicates otherwise, “Tower ,” “Company ,” “we,” “us” and “our” refers to Tower Semiconductor Ltd. and its consolidated subsidiaries for 2019) have been designed to conform in all material respects with the framework provided by the Organization for Economic Co-operation and Development ("OECD") Due Diligence Guidance for Responsible Supply Chains of Minerals from Conflict-Affected And High-Risk Areas (Second Edition, 2013)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Consistent with the OECD Guidance, our due diligence in respect of 2019 consisted of a five-step process described below:</w:t>
      </w:r>
    </w:p>
    <w:p>
      <w:pPr>
        <w:spacing w:after="0" w:line="311" w:lineRule="exact"/>
        <w:rPr>
          <w:sz w:val="20"/>
          <w:szCs w:val="20"/>
          <w:color w:val="auto"/>
        </w:rPr>
      </w:pPr>
    </w:p>
    <w:p>
      <w:pPr>
        <w:ind w:left="920" w:hanging="467"/>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89" w:lineRule="exact"/>
        <w:rPr>
          <w:sz w:val="20"/>
          <w:szCs w:val="20"/>
          <w:color w:val="auto"/>
        </w:rPr>
      </w:pPr>
    </w:p>
    <w:p>
      <w:pPr>
        <w:ind w:right="720"/>
        <w:spacing w:after="0" w:line="276" w:lineRule="auto"/>
        <w:rPr>
          <w:sz w:val="20"/>
          <w:szCs w:val="20"/>
          <w:color w:val="auto"/>
        </w:rPr>
      </w:pPr>
      <w:r>
        <w:rPr>
          <w:rFonts w:ascii="Arial" w:cs="Arial" w:eastAsia="Arial" w:hAnsi="Arial"/>
          <w:sz w:val="22"/>
          <w:szCs w:val="22"/>
          <w:color w:val="auto"/>
        </w:rPr>
        <w:t>The management system adopted by Tower for addressing the issue of conflict minerals in its products includes a conflict minerals policy which states, in part, that the Company:</w:t>
      </w:r>
    </w:p>
    <w:p>
      <w:pPr>
        <w:spacing w:after="0" w:line="222" w:lineRule="exact"/>
        <w:rPr>
          <w:sz w:val="20"/>
          <w:szCs w:val="20"/>
          <w:color w:val="auto"/>
        </w:rPr>
      </w:pPr>
    </w:p>
    <w:p>
      <w:pPr>
        <w:ind w:left="920" w:hanging="467"/>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Avoids the use of conflict minerals that directly or indirectly finance or benefit armed groups in the Covered Countries;</w:t>
      </w:r>
    </w:p>
    <w:p>
      <w:pPr>
        <w:spacing w:after="0" w:line="279"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237" w:lineRule="exact"/>
        <w:rPr>
          <w:rFonts w:ascii="Arial" w:cs="Arial" w:eastAsia="Arial" w:hAnsi="Arial"/>
          <w:sz w:val="18"/>
          <w:szCs w:val="18"/>
          <w:color w:val="auto"/>
        </w:rPr>
      </w:pPr>
    </w:p>
    <w:p>
      <w:pPr>
        <w:ind w:left="920" w:right="20" w:hanging="467"/>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Requires the Company's direct suppliers to provide it with annual declarations regarding their use of conflict minerals (utilizing a format described below);</w:t>
      </w:r>
    </w:p>
    <w:p>
      <w:pPr>
        <w:spacing w:after="0" w:line="224"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Reserves the right to take appropriate action to enforce its conflict minerals policy, including discontinuing purchases from suppliers that fail to comply; and</w:t>
      </w:r>
    </w:p>
    <w:p>
      <w:pPr>
        <w:spacing w:after="0" w:line="224"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committed to responsible sourcing of conflict minerals throughout its supply chain and to continued compliance with applicable SEC rules and regulations in this area.</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conflict minerals policy also directs any questions about such policy to the Company's Corporate Compliance Officer.</w:t>
      </w:r>
    </w:p>
    <w:p>
      <w:pPr>
        <w:spacing w:after="0" w:line="32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Our conflict minerals policy is publicly available on our company website at </w:t>
      </w:r>
      <w:r>
        <w:rPr>
          <w:rFonts w:ascii="Arial" w:cs="Arial" w:eastAsia="Arial" w:hAnsi="Arial"/>
          <w:sz w:val="22"/>
          <w:szCs w:val="22"/>
          <w:u w:val="single" w:color="auto"/>
          <w:color w:val="auto"/>
        </w:rPr>
        <w:t>https://towersemi.com/about/corporate-social-responsibility/</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order to provide transparency within our supply chain, we have adopted the Conflict Minerals Reporting Template (the "Template”), which is published by the Conflict-Free Sourcing Initiative (“CFSI”), to directly survey our suppliers. In addition, we confirm that smelters or refiners identified by such suppliers are classified and certified as "conflict-free" by CFSI (as part of CFSI 's Conflict-Free Smelter Program).</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All responses from suppliers are recorded and stored in an electronic database and are maintained for a minimum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jc w:val="both"/>
        <w:spacing w:after="0" w:line="311" w:lineRule="auto"/>
        <w:rPr>
          <w:sz w:val="20"/>
          <w:szCs w:val="20"/>
          <w:color w:val="auto"/>
        </w:rPr>
      </w:pPr>
      <w:r>
        <w:rPr>
          <w:rFonts w:ascii="Arial" w:cs="Arial" w:eastAsia="Arial" w:hAnsi="Arial"/>
          <w:sz w:val="19"/>
          <w:szCs w:val="19"/>
          <w:color w:val="auto"/>
        </w:rPr>
        <w:t>Finally, our management system includes the establishment of a team of Company employees, consisting of senior operations, engineering, QA, regulatory compliance and legal personnel, to oversee implementation of the Company's conflict minerals compliance strategy. Senior management of the Company, including the Senior Vice President of Quality and Reliability, VP of Procurement and the Senior Vice President, Chief Legal Officer and Corporate Secretary, are briefed on a regular basis by the Company’s Corporate Compliance Officer about such conflict minerals compliance efforts.</w:t>
      </w:r>
    </w:p>
    <w:p>
      <w:pPr>
        <w:spacing w:after="0" w:line="194"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89"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We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Because we do not purchase tungsten and tantalum directly from smelters, refiners or mines and are many steps removed in the supply chain from mining of such tungsten and tantalum , we focus our efforts on surveying our direct suppliers who were required to survey their own suppliers (i.e., our upstream suppliers) in order to receive the required information. As indicated above, we use the Template to conduct such a survey of each of our direct suppliers in order to identify and receive information regarding smelters and refiners of tungsten and tantalum in our supply chain.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initial distribution of the Template to our direct suppliers, we follow up through emails and telephone calls until all responses are received. In addition, submitted Templates were reviewed for reasonableness and for missing or incomplete data, and we follow up with our direct suppliers as necessary to obtain clarifications or additional information where needed. At the end, we receive a completed Template from each of our direct suppliers of tungsten and tantalum (or of any material used in our manufacturing processes that contains tungsten and tantalum). We then compare the smelters or refiners identified by our suppliers in their completed Templates with the list of facilities certified by CFSI as “compliant” in its Conflict-Free Smelter Program to confirm that all such smelters and refiners are certified “conflict-free”.</w:t>
      </w:r>
    </w:p>
    <w:p>
      <w:pPr>
        <w:spacing w:after="0" w:line="242" w:lineRule="exact"/>
        <w:rPr>
          <w:sz w:val="20"/>
          <w:szCs w:val="20"/>
          <w:color w:val="auto"/>
        </w:rPr>
      </w:pPr>
    </w:p>
    <w:p>
      <w:pPr>
        <w:ind w:left="920" w:hanging="467"/>
        <w:spacing w:after="0"/>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289"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Per Company policy, we expect suppliers to have in place due diligence policies and procedures that ensure that materials that it supplies containing conflict minerals are in fact "conflict-free", meaning that they do not directly or indirectly finance or benefit armed groups in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 w:name="page9"/>
    <w:bookmarkEnd w:id="8"/>
    <w:p>
      <w:pPr>
        <w:jc w:val="both"/>
        <w:spacing w:after="0" w:line="266" w:lineRule="auto"/>
        <w:rPr>
          <w:sz w:val="20"/>
          <w:szCs w:val="20"/>
          <w:color w:val="auto"/>
        </w:rPr>
      </w:pPr>
      <w:r>
        <w:rPr>
          <w:rFonts w:ascii="Arial" w:cs="Arial" w:eastAsia="Arial" w:hAnsi="Arial"/>
          <w:sz w:val="22"/>
          <w:szCs w:val="22"/>
          <w:color w:val="auto"/>
        </w:rPr>
        <w:t>In addition, conflict minerals findings are reported regularly to Tower’s Expert Materials Quality Engineer, who is responsible for collecting and reviewing all relevant conflict minerals data and formulating a proposed corporate strategy to address any risks identified by such review.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taking these steps, we manage the risks associated with our supply chain by:</w:t>
      </w:r>
    </w:p>
    <w:p>
      <w:pPr>
        <w:spacing w:after="0" w:line="28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engaging with suppliers to obtain current, accurate and complete information about the suppliers’ supply chains; and</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encouraging suppliers to implement responsible sourcing and work with smelters and refiners which have obtained a “conflict-free” designation from an independent, third-party auditor.</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evaluated by the Company in such instances may include requiring a contracted supplier to find an alternative source for the necessary conflict minerals for use in products or components supplied to the Company, or, if appropriate, in light of all relevant circumstances, seeking an alternate source of supply and suspending or terminating the contractual relationship with such supplier.</w:t>
      </w:r>
    </w:p>
    <w:p>
      <w:pPr>
        <w:spacing w:after="0" w:line="235" w:lineRule="exact"/>
        <w:rPr>
          <w:sz w:val="20"/>
          <w:szCs w:val="20"/>
          <w:color w:val="auto"/>
        </w:rPr>
      </w:pPr>
    </w:p>
    <w:p>
      <w:pPr>
        <w:ind w:left="920" w:hanging="467"/>
        <w:spacing w:after="0"/>
        <w:tabs>
          <w:tab w:leader="none" w:pos="9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Smelter/Refiner's Due Diligence Practices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Template provided to our suppliers requests information on the smelters and refiners used to provide the tungsten and tantalum in our products. We do not typically have a direct relationship with smelters and refiners of such minerals and are unable to perform or direct audits of these entities within our supply chain. Instead, we compare information regarding refiners and smelters provided by our suppliers in their Template with lists of refiners and smelters certified by the CFSI as "conflict-free”.</w:t>
      </w:r>
    </w:p>
    <w:p>
      <w:pPr>
        <w:spacing w:after="0" w:line="237" w:lineRule="exact"/>
        <w:rPr>
          <w:sz w:val="20"/>
          <w:szCs w:val="20"/>
          <w:color w:val="auto"/>
        </w:rPr>
      </w:pPr>
    </w:p>
    <w:p>
      <w:pPr>
        <w:ind w:left="920" w:hanging="467"/>
        <w:spacing w:after="0"/>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289"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color w:val="auto"/>
        </w:rPr>
        <w:t xml:space="preserve">This conflict minerals report is available on our website at </w:t>
      </w:r>
      <w:r>
        <w:rPr>
          <w:rFonts w:ascii="Arial" w:cs="Arial" w:eastAsia="Arial" w:hAnsi="Arial"/>
          <w:sz w:val="22"/>
          <w:szCs w:val="22"/>
          <w:u w:val="single" w:color="auto"/>
          <w:color w:val="auto"/>
        </w:rPr>
        <w:t>https://ir.towersemi.com/financial-information/sec-filings</w:t>
      </w:r>
      <w:r>
        <w:rPr>
          <w:rFonts w:ascii="Arial" w:cs="Arial" w:eastAsia="Arial" w:hAnsi="Arial"/>
          <w:sz w:val="22"/>
          <w:szCs w:val="22"/>
          <w:color w:val="auto"/>
        </w:rPr>
        <w:t xml:space="preserve"> and has also been filed with the SEC.</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our Due Diligence Measures</w:t>
      </w:r>
    </w:p>
    <w:p>
      <w:pPr>
        <w:spacing w:after="0" w:line="293" w:lineRule="exact"/>
        <w:rPr>
          <w:sz w:val="20"/>
          <w:szCs w:val="20"/>
          <w:color w:val="auto"/>
        </w:rPr>
      </w:pPr>
    </w:p>
    <w:p>
      <w:pPr>
        <w:spacing w:after="0" w:line="301" w:lineRule="auto"/>
        <w:rPr>
          <w:sz w:val="20"/>
          <w:szCs w:val="20"/>
          <w:color w:val="auto"/>
        </w:rPr>
      </w:pPr>
      <w:r>
        <w:rPr>
          <w:rFonts w:ascii="Arial" w:cs="Arial" w:eastAsia="Arial" w:hAnsi="Arial"/>
          <w:sz w:val="21"/>
          <w:szCs w:val="21"/>
          <w:color w:val="auto"/>
        </w:rPr>
        <w:t>We believe that following the OECD guidelines on due diligence and usage of the Template and CFSI 's Conflict-Free Smelter Program are currently the best ways to gather information on the source of conflict minerals in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Inherent Limitations on Due Diligence Measures</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Our due diligence measures can provide only reasonable, not absolute, assurance regarding the source and chain of custody of the necessary conflict minerals in our products. Our due diligence processes are based on the data received from our direct suppliers of tungsten and tantalum (or of any material used in our manufacturing processes that contains tungsten and tantalum), which in turn is based on information received by those suppliers seeking similar data within their supply chains to identify the original sources of the necessary conflict minerals. We also rely, to a large extent, on information collected through CFSI 's Conflict-Free Smelter Program. Such sources of information may not yield accurate and complete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Supplier Chain Survey Responses</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Each of the Company’s three direct suppliers of tantalum (and of any material used in our manufacturing processes that contains tantalum) indicated that their supply chain includes smelters or refiners sourcing from the Covered Countries, as did one of the Company’s direct suppliers of tungsten (and of any material used in our manufacturing processes that contains tungsten). However, each of the smelters and refiners identified by such suppliers as sourcing tantalum or tungsten from Covered Countries has been certified as “conflict-free” by CFSI 's Conflict-Free Smelter Program or has provided documentation to the supplier that they use recycled or scrap sources.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table below lists the facilities identified by our direct suppliers which, to the extent known, may have processed the tantalum or tungsten used in our products or in our manufacturing processes in 2019. All of the below listed facilities have received a “conflict-free" designation from CFSI 's Conflict-Free Smelter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ind w:left="40"/>
        <w:spacing w:after="0"/>
        <w:tabs>
          <w:tab w:leader="none" w:pos="1240" w:val="left"/>
          <w:tab w:leader="none" w:pos="7220" w:val="left"/>
        </w:tabs>
        <w:rPr>
          <w:sz w:val="20"/>
          <w:szCs w:val="20"/>
          <w:color w:val="auto"/>
        </w:rPr>
      </w:pPr>
      <w:r>
        <w:rPr>
          <w:rFonts w:ascii="Arial" w:cs="Arial" w:eastAsia="Arial" w:hAnsi="Arial"/>
          <w:sz w:val="18"/>
          <w:szCs w:val="18"/>
          <w:b w:val="1"/>
          <w:bCs w:val="1"/>
          <w:color w:val="auto"/>
          <w:shd w:val="clear" w:color="auto" w:fill="929292"/>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Metal</w:t>
      </w:r>
      <w:r>
        <w:rPr>
          <w:sz w:val="20"/>
          <w:szCs w:val="20"/>
          <w:color w:val="auto"/>
        </w:rPr>
        <w:tab/>
      </w:r>
      <w:r>
        <w:rPr>
          <w:rFonts w:ascii="Arial" w:cs="Arial" w:eastAsia="Arial" w:hAnsi="Arial"/>
          <w:sz w:val="18"/>
          <w:szCs w:val="18"/>
          <w:b w:val="1"/>
          <w:bCs w:val="1"/>
          <w:color w:val="auto"/>
          <w:shd w:val="clear" w:color="auto" w:fill="929292"/>
        </w:rPr>
        <w:t>Smelter or Refiner Facility Name</w:t>
      </w:r>
      <w:r>
        <w:rPr>
          <w:sz w:val="20"/>
          <w:szCs w:val="20"/>
          <w:color w:val="auto"/>
        </w:rPr>
        <w:tab/>
      </w:r>
      <w:r>
        <w:rPr>
          <w:rFonts w:ascii="Arial" w:cs="Arial" w:eastAsia="Arial" w:hAnsi="Arial"/>
          <w:sz w:val="16"/>
          <w:szCs w:val="16"/>
          <w:b w:val="1"/>
          <w:bCs w:val="1"/>
          <w:color w:val="auto"/>
          <w:shd w:val="clear" w:color="auto" w:fill="929292"/>
        </w:rPr>
        <w:t>Smelter or Refiner Location</w:t>
      </w:r>
    </w:p>
    <w:p>
      <w:pPr>
        <w:sectPr>
          <w:pgSz w:w="11900" w:h="16838" w:orient="portrait"/>
          <w:cols w:equalWidth="0" w:num="1">
            <w:col w:w="11240"/>
          </w:cols>
          <w:pgMar w:left="320" w:top="432" w:right="339" w:bottom="1440" w:gutter="0" w:footer="0" w:header="0"/>
        </w:sect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580" w:type="dxa"/>
            <w:vAlign w:val="bottom"/>
          </w:tcPr>
          <w:p>
            <w:pPr>
              <w:ind w:left="260"/>
              <w:spacing w:after="0"/>
              <w:rPr>
                <w:sz w:val="20"/>
                <w:szCs w:val="20"/>
                <w:color w:val="auto"/>
              </w:rPr>
            </w:pPr>
            <w:r>
              <w:rPr>
                <w:rFonts w:ascii="Arial" w:cs="Arial" w:eastAsia="Arial" w:hAnsi="Arial"/>
                <w:sz w:val="18"/>
                <w:szCs w:val="18"/>
                <w:color w:val="auto"/>
              </w:rPr>
              <w:t>Changsha South Tantalum Niobium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D Block Metals, LLC</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Exotech Inc.</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F&amp;X Electro-Materials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Global Advanced Metals Aizu</w:t>
            </w:r>
          </w:p>
        </w:tc>
        <w:tc>
          <w:tcPr>
            <w:tcW w:w="466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Global Advanced Metals Boyertown</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Guangdong Rising Rare Metals-EO Materials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Guangdong Zhiyuan New Material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H.C. Starck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Thailand</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H.C. Starck Inc.</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H.C. Starck Ltd.</w:t>
            </w:r>
          </w:p>
        </w:tc>
        <w:tc>
          <w:tcPr>
            <w:tcW w:w="466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H.C. Starck Smelting GmbH &amp; Co. KG</w:t>
            </w:r>
          </w:p>
        </w:tc>
        <w:tc>
          <w:tcPr>
            <w:tcW w:w="466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H.C. Starck Tantalum and Niobium GmbH</w:t>
            </w:r>
          </w:p>
        </w:tc>
        <w:tc>
          <w:tcPr>
            <w:tcW w:w="466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Hengyang King Xing Lifeng New Materials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JiuJiang JinXin Nonferrous Metals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Jiujiang Tanbre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Metallurgical Products India Pvt., Ltd.</w:t>
            </w:r>
          </w:p>
        </w:tc>
        <w:tc>
          <w:tcPr>
            <w:tcW w:w="4660" w:type="dxa"/>
            <w:vAlign w:val="bottom"/>
          </w:tcPr>
          <w:p>
            <w:pPr>
              <w:ind w:left="660"/>
              <w:spacing w:after="0"/>
              <w:rPr>
                <w:sz w:val="20"/>
                <w:szCs w:val="20"/>
                <w:color w:val="auto"/>
              </w:rPr>
            </w:pPr>
            <w:r>
              <w:rPr>
                <w:rFonts w:ascii="Arial" w:cs="Arial" w:eastAsia="Arial" w:hAnsi="Arial"/>
                <w:sz w:val="18"/>
                <w:szCs w:val="18"/>
                <w:color w:val="auto"/>
              </w:rPr>
              <w:t>INDIA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Ningxia Orient Tantalum Industry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Ulba Metallurgical Plant JSC</w:t>
            </w:r>
          </w:p>
        </w:tc>
        <w:tc>
          <w:tcPr>
            <w:tcW w:w="4660" w:type="dxa"/>
            <w:vAlign w:val="bottom"/>
          </w:tcPr>
          <w:p>
            <w:pPr>
              <w:ind w:left="660"/>
              <w:spacing w:after="0"/>
              <w:rPr>
                <w:sz w:val="20"/>
                <w:szCs w:val="20"/>
                <w:color w:val="auto"/>
              </w:rPr>
            </w:pPr>
            <w:r>
              <w:rPr>
                <w:rFonts w:ascii="Arial" w:cs="Arial" w:eastAsia="Arial" w:hAnsi="Arial"/>
                <w:sz w:val="18"/>
                <w:szCs w:val="18"/>
                <w:color w:val="auto"/>
              </w:rPr>
              <w:t>Kazakhstan</w:t>
            </w:r>
          </w:p>
        </w:tc>
      </w:tr>
      <w:tr>
        <w:trPr>
          <w:trHeight w:val="594"/>
        </w:trPr>
        <w:tc>
          <w:tcPr>
            <w:tcW w:w="1000" w:type="dxa"/>
            <w:vAlign w:val="bottom"/>
          </w:tcPr>
          <w:p>
            <w:pPr>
              <w:ind w:left="40"/>
              <w:spacing w:after="0"/>
              <w:rPr>
                <w:sz w:val="20"/>
                <w:szCs w:val="20"/>
                <w:color w:val="auto"/>
              </w:rPr>
            </w:pPr>
            <w:r>
              <w:rPr>
                <w:rFonts w:ascii="Arial" w:cs="Arial" w:eastAsia="Arial" w:hAnsi="Arial"/>
                <w:sz w:val="18"/>
                <w:szCs w:val="18"/>
                <w:color w:val="auto"/>
              </w:rPr>
              <w:t>Tungsten</w:t>
            </w:r>
          </w:p>
        </w:tc>
        <w:tc>
          <w:tcPr>
            <w:tcW w:w="5580" w:type="dxa"/>
            <w:vAlign w:val="bottom"/>
          </w:tcPr>
          <w:p>
            <w:pPr>
              <w:ind w:left="260"/>
              <w:spacing w:after="0"/>
              <w:rPr>
                <w:sz w:val="20"/>
                <w:szCs w:val="20"/>
                <w:color w:val="auto"/>
              </w:rPr>
            </w:pPr>
            <w:r>
              <w:rPr>
                <w:rFonts w:ascii="Arial" w:cs="Arial" w:eastAsia="Arial" w:hAnsi="Arial"/>
                <w:sz w:val="18"/>
                <w:szCs w:val="18"/>
                <w:color w:val="auto"/>
              </w:rPr>
              <w:t>Chenzhou Diamond Tungsten Products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Chongyi Zhangyuan Tungsten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Fujian Jinxin Tungsten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Ganzhou Huaxing Tungsten Products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Global Tungsten &amp; Powders Corp.</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Guangdong Xianglu Tungsten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Hydrometallurg, JSC</w:t>
            </w:r>
          </w:p>
        </w:tc>
        <w:tc>
          <w:tcPr>
            <w:tcW w:w="4660" w:type="dxa"/>
            <w:vAlign w:val="bottom"/>
          </w:tcPr>
          <w:p>
            <w:pPr>
              <w:ind w:left="660"/>
              <w:spacing w:after="0"/>
              <w:rPr>
                <w:sz w:val="20"/>
                <w:szCs w:val="20"/>
                <w:color w:val="auto"/>
              </w:rPr>
            </w:pPr>
            <w:r>
              <w:rPr>
                <w:rFonts w:ascii="Arial" w:cs="Arial" w:eastAsia="Arial" w:hAnsi="Arial"/>
                <w:sz w:val="18"/>
                <w:szCs w:val="18"/>
                <w:color w:val="auto"/>
              </w:rPr>
              <w:t>Russian Federation</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Jiangwu H.C. Starck Tungsten Products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Jiangxi Gan Bei Tungsten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Jiangxi Tonggu Non-ferrous Metallurgical &amp; Chemical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Jiangxi Xinsheng Tungsten Industry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Kennametal Huntsville</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Niagara Refining LLC</w:t>
            </w:r>
          </w:p>
        </w:tc>
        <w:tc>
          <w:tcPr>
            <w:tcW w:w="4660" w:type="dxa"/>
            <w:vAlign w:val="bottom"/>
          </w:tcPr>
          <w:p>
            <w:pPr>
              <w:ind w:left="660"/>
              <w:spacing w:after="0"/>
              <w:rPr>
                <w:sz w:val="20"/>
                <w:szCs w:val="20"/>
                <w:color w:val="auto"/>
              </w:rPr>
            </w:pPr>
            <w:r>
              <w:rPr>
                <w:rFonts w:ascii="Arial" w:cs="Arial" w:eastAsia="Arial" w:hAnsi="Arial"/>
                <w:sz w:val="18"/>
                <w:szCs w:val="18"/>
                <w:color w:val="auto"/>
              </w:rPr>
              <w:t>USA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Nui Phao H.C. Starck Tungsten Chemicals Manufacturing LLC</w:t>
            </w:r>
          </w:p>
        </w:tc>
        <w:tc>
          <w:tcPr>
            <w:tcW w:w="4660" w:type="dxa"/>
            <w:vAlign w:val="bottom"/>
          </w:tcPr>
          <w:p>
            <w:pPr>
              <w:ind w:left="660"/>
              <w:spacing w:after="0"/>
              <w:rPr>
                <w:sz w:val="20"/>
                <w:szCs w:val="20"/>
                <w:color w:val="auto"/>
              </w:rPr>
            </w:pPr>
            <w:r>
              <w:rPr>
                <w:rFonts w:ascii="Arial" w:cs="Arial" w:eastAsia="Arial" w:hAnsi="Arial"/>
                <w:sz w:val="18"/>
                <w:szCs w:val="18"/>
                <w:color w:val="auto"/>
              </w:rPr>
              <w:t>Vietnam</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Xiamen Tungsten (H.C.)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Xiamen Tungsten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97"/>
        </w:trPr>
        <w:tc>
          <w:tcPr>
            <w:tcW w:w="1000" w:type="dxa"/>
            <w:vAlign w:val="bottom"/>
          </w:tcPr>
          <w:p>
            <w:pPr>
              <w:spacing w:after="0"/>
              <w:rPr>
                <w:sz w:val="24"/>
                <w:szCs w:val="24"/>
                <w:color w:val="auto"/>
              </w:rPr>
            </w:pPr>
          </w:p>
        </w:tc>
        <w:tc>
          <w:tcPr>
            <w:tcW w:w="5580" w:type="dxa"/>
            <w:vAlign w:val="bottom"/>
          </w:tcPr>
          <w:p>
            <w:pPr>
              <w:ind w:left="260"/>
              <w:spacing w:after="0"/>
              <w:rPr>
                <w:sz w:val="20"/>
                <w:szCs w:val="20"/>
                <w:color w:val="auto"/>
              </w:rPr>
            </w:pPr>
            <w:r>
              <w:rPr>
                <w:rFonts w:ascii="Arial" w:cs="Arial" w:eastAsia="Arial" w:hAnsi="Arial"/>
                <w:sz w:val="18"/>
                <w:szCs w:val="18"/>
                <w:color w:val="auto"/>
              </w:rPr>
              <w:t>Xinhai Rendan Shaoguan Tungsten Co., Ltd.</w:t>
            </w:r>
          </w:p>
        </w:tc>
        <w:tc>
          <w:tcPr>
            <w:tcW w:w="466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493"/>
        </w:trPr>
        <w:tc>
          <w:tcPr>
            <w:tcW w:w="10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2" w:right="339" w:bottom="1440" w:gutter="0" w:footer="0" w:header="0"/>
          <w:type w:val="continuous"/>
        </w:sectPr>
      </w:pPr>
    </w:p>
    <w:bookmarkStart w:id="11" w:name="page12"/>
    <w:bookmarkEnd w:id="11"/>
    <w:p>
      <w:pPr>
        <w:jc w:val="both"/>
        <w:spacing w:after="0" w:line="317" w:lineRule="auto"/>
        <w:rPr>
          <w:sz w:val="20"/>
          <w:szCs w:val="20"/>
          <w:color w:val="auto"/>
        </w:rPr>
      </w:pPr>
      <w:r>
        <w:rPr>
          <w:rFonts w:ascii="Arial" w:cs="Arial" w:eastAsia="Arial" w:hAnsi="Arial"/>
          <w:sz w:val="19"/>
          <w:szCs w:val="19"/>
          <w:color w:val="auto"/>
        </w:rPr>
        <w:t>In addition, our suppliers provided us with information regarding the countries of origin of the tantalum and tungsten supplied by certain of the above smelters and refiners, a list of which is provided below. Our suppliers did not provide specific country of origin information for certain smelters and refiners. On account of this incomplete information, Tower is unable at this time to determine and describe in this report a complete list of specific countries of origin of such conflict minerals.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Australia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Bolivia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Brazil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Burundi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Canada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China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Democratic Republic of Congo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Ethiopia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Guyana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Katanga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Mozambique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Namibia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Nigeria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Russia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Rwanda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Sierra Leone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Suriname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Zimbabwe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Due Diligence Measures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For the calendar year ending December 31, 2019, we have engaged in the due diligence process described above. We will also continue to attempt to validate supplier responses using information collected through independent conflict-free smelter validation programs, such as that of CFSI, and will take measures as needed to address any potential risks that are identified through these due diligence efforts.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2020-06-01T06:09:54Z</dcterms:created>
  <dcterms:modified xsi:type="dcterms:W3CDTF">2020-06-01T06:09:54Z</dcterms:modified>
</cp:coreProperties>
</file>