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3)*</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9100" w:hanging="86"/>
        <w:spacing w:after="0" w:line="264" w:lineRule="auto"/>
        <w:tabs>
          <w:tab w:leader="none" w:pos="1026"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Rule 13d-1(b) ý Rule 13d-1(c)</w:t>
      </w: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454" w:right="339" w:bottom="1440" w:gutter="0" w:footer="0" w:header="0"/>
        </w:sectPr>
      </w:pPr>
    </w:p>
    <w:bookmarkStart w:id="1" w:name="page2"/>
    <w:bookmarkEnd w:id="1"/>
    <w:p>
      <w:pPr>
        <w:spacing w:after="0"/>
        <w:tabs>
          <w:tab w:leader="none" w:pos="5340" w:val="left"/>
          <w:tab w:leader="none" w:pos="9760" w:val="left"/>
        </w:tabs>
        <w:rPr>
          <w:sz w:val="20"/>
          <w:szCs w:val="20"/>
          <w:color w:val="auto"/>
        </w:rPr>
      </w:pPr>
      <w:r>
        <w:rPr>
          <w:rFonts w:ascii="Times New Roman" w:cs="Times New Roman" w:eastAsia="Times New Roman" w:hAnsi="Times New Roman"/>
          <w:sz w:val="20"/>
          <w:szCs w:val="20"/>
          <w:b w:val="1"/>
          <w:bCs w:val="1"/>
          <w:color w:val="auto"/>
        </w:rPr>
        <w:t>CUSIP No. M87915274</w:t>
      </w:r>
      <w:r>
        <w:rPr>
          <w:sz w:val="20"/>
          <w:szCs w:val="20"/>
          <w:color w:val="auto"/>
        </w:rPr>
        <w:tab/>
      </w:r>
      <w:r>
        <w:rPr>
          <w:rFonts w:ascii="Times New Roman" w:cs="Times New Roman" w:eastAsia="Times New Roman" w:hAnsi="Times New Roman"/>
          <w:sz w:val="20"/>
          <w:szCs w:val="20"/>
          <w:b w:val="1"/>
          <w:bCs w:val="1"/>
          <w:color w:val="auto"/>
        </w:rPr>
        <w:t>13G/A</w:t>
      </w:r>
      <w:r>
        <w:rPr>
          <w:sz w:val="20"/>
          <w:szCs w:val="20"/>
          <w:color w:val="auto"/>
        </w:rPr>
        <w:tab/>
      </w:r>
      <w:r>
        <w:rPr>
          <w:rFonts w:ascii="Times New Roman" w:cs="Times New Roman" w:eastAsia="Times New Roman" w:hAnsi="Times New Roman"/>
          <w:sz w:val="19"/>
          <w:szCs w:val="19"/>
          <w:b w:val="1"/>
          <w:bCs w:val="1"/>
          <w:color w:val="auto"/>
        </w:rPr>
        <w:t>Page 2 of 7 Pages</w:t>
      </w:r>
    </w:p>
    <w:p>
      <w:pPr>
        <w:sectPr>
          <w:pgSz w:w="11900" w:h="16838" w:orient="portrait"/>
          <w:cols w:equalWidth="0" w:num="1">
            <w:col w:w="11240"/>
          </w:cols>
          <w:pgMar w:left="320" w:top="464" w:right="339" w:bottom="1440" w:gutter="0" w:footer="0" w:header="0"/>
        </w:sectPr>
      </w:pPr>
    </w:p>
    <w:p>
      <w:pPr>
        <w:ind w:left="1700" w:hanging="967"/>
        <w:spacing w:after="0" w:line="225" w:lineRule="auto"/>
        <w:tabs>
          <w:tab w:leader="none" w:pos="1700" w:val="left"/>
        </w:tabs>
        <w:numPr>
          <w:ilvl w:val="0"/>
          <w:numId w:val="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478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783455"/>
                    </a:xfrm>
                    <a:prstGeom prst="rect">
                      <a:avLst/>
                    </a:prstGeom>
                    <a:noFill/>
                  </pic:spPr>
                </pic:pic>
              </a:graphicData>
            </a:graphic>
          </wp:anchor>
        </w:drawing>
      </w:r>
    </w:p>
    <w:p>
      <w:pPr>
        <w:spacing w:after="0" w:line="22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Senvest Management, LLC</w:t>
      </w:r>
    </w:p>
    <w:p>
      <w:pPr>
        <w:ind w:left="1700" w:hanging="967"/>
        <w:spacing w:after="0" w:line="182" w:lineRule="auto"/>
        <w:tabs>
          <w:tab w:leader="none" w:pos="1700" w:val="left"/>
        </w:tabs>
        <w:numPr>
          <w:ilvl w:val="0"/>
          <w:numId w:val="3"/>
        </w:numPr>
        <w:rPr>
          <w:rFonts w:ascii="Times New Roman" w:cs="Times New Roman" w:eastAsia="Times New Roman" w:hAnsi="Times New Roman"/>
          <w:sz w:val="45"/>
          <w:szCs w:val="45"/>
          <w:b w:val="1"/>
          <w:bCs w:val="1"/>
          <w:color w:val="auto"/>
          <w:vertAlign w:val="subscript"/>
        </w:rPr>
      </w:pPr>
      <w:r>
        <w:rPr>
          <w:rFonts w:ascii="Times New Roman" w:cs="Times New Roman" w:eastAsia="Times New Roman" w:hAnsi="Times New Roman"/>
          <w:sz w:val="15"/>
          <w:szCs w:val="15"/>
          <w:color w:val="auto"/>
        </w:rPr>
        <w:t>CHECK THE APPROPRIATE BOX IF A MEMBER OF A GROUP</w:t>
      </w:r>
    </w:p>
    <w:p>
      <w:pPr>
        <w:spacing w:after="0" w:line="78" w:lineRule="exact"/>
        <w:rPr>
          <w:sz w:val="20"/>
          <w:szCs w:val="20"/>
          <w:color w:val="auto"/>
        </w:rPr>
      </w:pPr>
    </w:p>
    <w:p>
      <w:pPr>
        <w:ind w:left="1700" w:hanging="967"/>
        <w:spacing w:after="0"/>
        <w:tabs>
          <w:tab w:leader="none" w:pos="170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7,954,807</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7,954,807</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4"/>
              </w:rPr>
              <w:t>7,954,807</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7.42%</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OO, IA</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73" w:hanging="273"/>
        <w:spacing w:after="0" w:line="263" w:lineRule="exact"/>
        <w:tabs>
          <w:tab w:leader="none" w:pos="27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464" w:right="339" w:bottom="1440" w:gutter="0" w:footer="0" w:header="0"/>
          <w:type w:val="continuous"/>
        </w:sectPr>
      </w:pPr>
    </w:p>
    <w:bookmarkStart w:id="2" w:name="page3"/>
    <w:bookmarkEnd w:id="2"/>
    <w:p>
      <w:pPr>
        <w:spacing w:after="0"/>
        <w:tabs>
          <w:tab w:leader="none" w:pos="5340" w:val="left"/>
          <w:tab w:leader="none" w:pos="9760" w:val="left"/>
        </w:tabs>
        <w:rPr>
          <w:sz w:val="20"/>
          <w:szCs w:val="20"/>
          <w:color w:val="auto"/>
        </w:rPr>
      </w:pPr>
      <w:r>
        <w:rPr>
          <w:rFonts w:ascii="Times New Roman" w:cs="Times New Roman" w:eastAsia="Times New Roman" w:hAnsi="Times New Roman"/>
          <w:sz w:val="20"/>
          <w:szCs w:val="20"/>
          <w:b w:val="1"/>
          <w:bCs w:val="1"/>
          <w:color w:val="auto"/>
        </w:rPr>
        <w:t>CUSIP No. M87915274</w:t>
      </w:r>
      <w:r>
        <w:rPr>
          <w:sz w:val="20"/>
          <w:szCs w:val="20"/>
          <w:color w:val="auto"/>
        </w:rPr>
        <w:tab/>
      </w:r>
      <w:r>
        <w:rPr>
          <w:rFonts w:ascii="Times New Roman" w:cs="Times New Roman" w:eastAsia="Times New Roman" w:hAnsi="Times New Roman"/>
          <w:sz w:val="20"/>
          <w:szCs w:val="20"/>
          <w:b w:val="1"/>
          <w:bCs w:val="1"/>
          <w:color w:val="auto"/>
        </w:rPr>
        <w:t>13G/A</w:t>
      </w:r>
      <w:r>
        <w:rPr>
          <w:sz w:val="20"/>
          <w:szCs w:val="20"/>
          <w:color w:val="auto"/>
        </w:rPr>
        <w:tab/>
      </w:r>
      <w:r>
        <w:rPr>
          <w:rFonts w:ascii="Times New Roman" w:cs="Times New Roman" w:eastAsia="Times New Roman" w:hAnsi="Times New Roman"/>
          <w:sz w:val="19"/>
          <w:szCs w:val="19"/>
          <w:b w:val="1"/>
          <w:bCs w:val="1"/>
          <w:color w:val="auto"/>
        </w:rPr>
        <w:t>Page 3 of 7 Pages</w:t>
      </w:r>
    </w:p>
    <w:p>
      <w:pPr>
        <w:sectPr>
          <w:pgSz w:w="11900" w:h="16838" w:orient="portrait"/>
          <w:cols w:equalWidth="0" w:num="1">
            <w:col w:w="11240"/>
          </w:cols>
          <w:pgMar w:left="320" w:top="464" w:right="339" w:bottom="1440" w:gutter="0" w:footer="0" w:header="0"/>
        </w:sectPr>
      </w:pPr>
    </w:p>
    <w:p>
      <w:pPr>
        <w:ind w:left="1700" w:hanging="967"/>
        <w:spacing w:after="0" w:line="225" w:lineRule="auto"/>
        <w:tabs>
          <w:tab w:leader="none" w:pos="1700" w:val="left"/>
        </w:tabs>
        <w:numPr>
          <w:ilvl w:val="0"/>
          <w:numId w:val="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4783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783455"/>
                    </a:xfrm>
                    <a:prstGeom prst="rect">
                      <a:avLst/>
                    </a:prstGeom>
                    <a:noFill/>
                  </pic:spPr>
                </pic:pic>
              </a:graphicData>
            </a:graphic>
          </wp:anchor>
        </w:drawing>
      </w:r>
    </w:p>
    <w:p>
      <w:pPr>
        <w:spacing w:after="0" w:line="22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Richard Mashaal</w:t>
      </w:r>
    </w:p>
    <w:p>
      <w:pPr>
        <w:ind w:left="1700" w:hanging="967"/>
        <w:spacing w:after="0" w:line="182" w:lineRule="auto"/>
        <w:tabs>
          <w:tab w:leader="none" w:pos="1700" w:val="left"/>
        </w:tabs>
        <w:numPr>
          <w:ilvl w:val="0"/>
          <w:numId w:val="7"/>
        </w:numPr>
        <w:rPr>
          <w:rFonts w:ascii="Times New Roman" w:cs="Times New Roman" w:eastAsia="Times New Roman" w:hAnsi="Times New Roman"/>
          <w:sz w:val="45"/>
          <w:szCs w:val="45"/>
          <w:b w:val="1"/>
          <w:bCs w:val="1"/>
          <w:color w:val="auto"/>
          <w:vertAlign w:val="subscript"/>
        </w:rPr>
      </w:pPr>
      <w:r>
        <w:rPr>
          <w:rFonts w:ascii="Times New Roman" w:cs="Times New Roman" w:eastAsia="Times New Roman" w:hAnsi="Times New Roman"/>
          <w:sz w:val="15"/>
          <w:szCs w:val="15"/>
          <w:color w:val="auto"/>
        </w:rPr>
        <w:t>CHECK THE APPROPRIATE BOX IF A MEMBER OF A GROUP</w:t>
      </w:r>
    </w:p>
    <w:p>
      <w:pPr>
        <w:spacing w:after="0" w:line="78" w:lineRule="exact"/>
        <w:rPr>
          <w:sz w:val="20"/>
          <w:szCs w:val="20"/>
          <w:color w:val="auto"/>
        </w:rPr>
      </w:pPr>
    </w:p>
    <w:p>
      <w:pPr>
        <w:ind w:left="1700" w:hanging="967"/>
        <w:spacing w:after="0"/>
        <w:tabs>
          <w:tab w:leader="none" w:pos="1700" w:val="left"/>
        </w:tabs>
        <w:numPr>
          <w:ilvl w:val="0"/>
          <w:numId w:val="8"/>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Canada</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7,954,807</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7,954,807</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4"/>
              </w:rPr>
              <w:t>7,954,807</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7.42%</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IN, HC</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73" w:hanging="273"/>
        <w:spacing w:after="0" w:line="263" w:lineRule="exact"/>
        <w:tabs>
          <w:tab w:leader="none" w:pos="273"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464"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62"/>
        </w:trPr>
        <w:tc>
          <w:tcPr>
            <w:tcW w:w="52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CUSIP No. M87915274</w:t>
            </w:r>
          </w:p>
        </w:tc>
        <w:tc>
          <w:tcPr>
            <w:tcW w:w="360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13G/A</w:t>
            </w:r>
          </w:p>
        </w:tc>
        <w:tc>
          <w:tcPr>
            <w:tcW w:w="2440" w:type="dxa"/>
            <w:vAlign w:val="bottom"/>
          </w:tcPr>
          <w:p>
            <w:pPr>
              <w:ind w:left="980"/>
              <w:spacing w:after="0"/>
              <w:rPr>
                <w:sz w:val="20"/>
                <w:szCs w:val="20"/>
                <w:color w:val="auto"/>
              </w:rPr>
            </w:pPr>
            <w:r>
              <w:rPr>
                <w:rFonts w:ascii="Times New Roman" w:cs="Times New Roman" w:eastAsia="Times New Roman" w:hAnsi="Times New Roman"/>
                <w:sz w:val="20"/>
                <w:szCs w:val="20"/>
                <w:b w:val="1"/>
                <w:bCs w:val="1"/>
                <w:color w:val="auto"/>
                <w:w w:val="98"/>
              </w:rPr>
              <w:t>Page 4 of 7 Pages</w:t>
            </w:r>
          </w:p>
        </w:tc>
      </w:tr>
      <w:tr>
        <w:trPr>
          <w:trHeight w:val="538"/>
        </w:trPr>
        <w:tc>
          <w:tcPr>
            <w:tcW w:w="13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3820" w:type="dxa"/>
            <w:vAlign w:val="bottom"/>
            <w:gridSpan w:val="3"/>
          </w:tcPr>
          <w:p>
            <w:pPr>
              <w:ind w:left="420"/>
              <w:spacing w:after="0"/>
              <w:rPr>
                <w:sz w:val="20"/>
                <w:szCs w:val="20"/>
                <w:color w:val="auto"/>
              </w:rPr>
            </w:pPr>
            <w:r>
              <w:rPr>
                <w:rFonts w:ascii="Times New Roman" w:cs="Times New Roman" w:eastAsia="Times New Roman" w:hAnsi="Times New Roman"/>
                <w:sz w:val="20"/>
                <w:szCs w:val="20"/>
                <w:b w:val="1"/>
                <w:bCs w:val="1"/>
                <w:color w:val="auto"/>
              </w:rPr>
              <w:t>Name of Issuer.</w:t>
            </w:r>
          </w:p>
        </w:tc>
        <w:tc>
          <w:tcPr>
            <w:tcW w:w="36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2"/>
        </w:trPr>
        <w:tc>
          <w:tcPr>
            <w:tcW w:w="1380" w:type="dxa"/>
            <w:vAlign w:val="bottom"/>
          </w:tcPr>
          <w:p>
            <w:pPr>
              <w:spacing w:after="0"/>
              <w:rPr>
                <w:sz w:val="18"/>
                <w:szCs w:val="18"/>
                <w:color w:val="auto"/>
              </w:rPr>
            </w:pPr>
          </w:p>
        </w:tc>
        <w:tc>
          <w:tcPr>
            <w:tcW w:w="3820" w:type="dxa"/>
            <w:vAlign w:val="bottom"/>
            <w:gridSpan w:val="3"/>
          </w:tcPr>
          <w:p>
            <w:pPr>
              <w:ind w:left="420"/>
              <w:spacing w:after="0" w:line="212" w:lineRule="exact"/>
              <w:rPr>
                <w:sz w:val="20"/>
                <w:szCs w:val="20"/>
                <w:color w:val="auto"/>
              </w:rPr>
            </w:pPr>
            <w:r>
              <w:rPr>
                <w:rFonts w:ascii="Times New Roman" w:cs="Times New Roman" w:eastAsia="Times New Roman" w:hAnsi="Times New Roman"/>
                <w:sz w:val="20"/>
                <w:szCs w:val="20"/>
                <w:color w:val="auto"/>
              </w:rPr>
              <w:t>Tower Semiconductor Ltd. (the "Issuer")</w:t>
            </w:r>
          </w:p>
        </w:tc>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57"/>
        </w:trPr>
        <w:tc>
          <w:tcPr>
            <w:tcW w:w="13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7420" w:type="dxa"/>
            <w:vAlign w:val="bottom"/>
            <w:gridSpan w:val="4"/>
          </w:tcPr>
          <w:p>
            <w:pPr>
              <w:ind w:left="42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c>
          <w:tcPr>
            <w:tcW w:w="2440" w:type="dxa"/>
            <w:vAlign w:val="bottom"/>
          </w:tcPr>
          <w:p>
            <w:pPr>
              <w:spacing w:after="0"/>
              <w:rPr>
                <w:sz w:val="24"/>
                <w:szCs w:val="24"/>
                <w:color w:val="auto"/>
              </w:rPr>
            </w:pPr>
          </w:p>
        </w:tc>
      </w:tr>
      <w:tr>
        <w:trPr>
          <w:trHeight w:val="229"/>
        </w:trPr>
        <w:tc>
          <w:tcPr>
            <w:tcW w:w="1380" w:type="dxa"/>
            <w:vAlign w:val="bottom"/>
          </w:tcPr>
          <w:p>
            <w:pPr>
              <w:spacing w:after="0"/>
              <w:rPr>
                <w:sz w:val="19"/>
                <w:szCs w:val="19"/>
                <w:color w:val="auto"/>
              </w:rPr>
            </w:pPr>
          </w:p>
        </w:tc>
        <w:tc>
          <w:tcPr>
            <w:tcW w:w="38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Ramat Gavriel Industrial Park</w:t>
            </w:r>
          </w:p>
        </w:tc>
        <w:tc>
          <w:tcPr>
            <w:tcW w:w="36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58"/>
        </w:trPr>
        <w:tc>
          <w:tcPr>
            <w:tcW w:w="1380" w:type="dxa"/>
            <w:vAlign w:val="bottom"/>
          </w:tcPr>
          <w:p>
            <w:pPr>
              <w:spacing w:after="0"/>
              <w:rPr>
                <w:sz w:val="22"/>
                <w:szCs w:val="22"/>
                <w:color w:val="auto"/>
              </w:rPr>
            </w:pPr>
          </w:p>
        </w:tc>
        <w:tc>
          <w:tcPr>
            <w:tcW w:w="7420" w:type="dxa"/>
            <w:vAlign w:val="bottom"/>
            <w:gridSpan w:val="4"/>
          </w:tcPr>
          <w:p>
            <w:pPr>
              <w:ind w:left="420"/>
              <w:spacing w:after="0"/>
              <w:rPr>
                <w:sz w:val="20"/>
                <w:szCs w:val="20"/>
                <w:color w:val="auto"/>
              </w:rPr>
            </w:pPr>
            <w:r>
              <w:rPr>
                <w:rFonts w:ascii="Times New Roman" w:cs="Times New Roman" w:eastAsia="Times New Roman" w:hAnsi="Times New Roman"/>
                <w:sz w:val="20"/>
                <w:szCs w:val="20"/>
                <w:color w:val="auto"/>
              </w:rPr>
              <w:t>P.O. Box 619, Migdal Haemek, Israel 2310502</w:t>
            </w:r>
          </w:p>
        </w:tc>
        <w:tc>
          <w:tcPr>
            <w:tcW w:w="2440" w:type="dxa"/>
            <w:vAlign w:val="bottom"/>
          </w:tcPr>
          <w:p>
            <w:pPr>
              <w:spacing w:after="0"/>
              <w:rPr>
                <w:sz w:val="22"/>
                <w:szCs w:val="22"/>
                <w:color w:val="auto"/>
              </w:rPr>
            </w:pPr>
          </w:p>
        </w:tc>
      </w:tr>
      <w:tr>
        <w:trPr>
          <w:trHeight w:val="430"/>
        </w:trPr>
        <w:tc>
          <w:tcPr>
            <w:tcW w:w="13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3820" w:type="dxa"/>
            <w:vAlign w:val="bottom"/>
            <w:gridSpan w:val="3"/>
          </w:tcPr>
          <w:p>
            <w:pPr>
              <w:ind w:left="42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c>
          <w:tcPr>
            <w:tcW w:w="36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58"/>
        </w:trPr>
        <w:tc>
          <w:tcPr>
            <w:tcW w:w="1380" w:type="dxa"/>
            <w:vAlign w:val="bottom"/>
          </w:tcPr>
          <w:p>
            <w:pPr>
              <w:spacing w:after="0"/>
              <w:rPr>
                <w:sz w:val="22"/>
                <w:szCs w:val="22"/>
                <w:color w:val="auto"/>
              </w:rPr>
            </w:pPr>
          </w:p>
        </w:tc>
        <w:tc>
          <w:tcPr>
            <w:tcW w:w="7420" w:type="dxa"/>
            <w:vAlign w:val="bottom"/>
            <w:gridSpan w:val="4"/>
          </w:tcPr>
          <w:p>
            <w:pPr>
              <w:ind w:left="420"/>
              <w:spacing w:after="0"/>
              <w:rPr>
                <w:sz w:val="20"/>
                <w:szCs w:val="20"/>
                <w:color w:val="auto"/>
              </w:rPr>
            </w:pPr>
            <w:r>
              <w:rPr>
                <w:rFonts w:ascii="Times New Roman" w:cs="Times New Roman" w:eastAsia="Times New Roman" w:hAnsi="Times New Roman"/>
                <w:sz w:val="20"/>
                <w:szCs w:val="20"/>
                <w:color w:val="auto"/>
              </w:rPr>
              <w:t>This statement is filed by Senvest Management, LLC and Richard Mashaal.</w:t>
            </w:r>
          </w:p>
        </w:tc>
        <w:tc>
          <w:tcPr>
            <w:tcW w:w="2440" w:type="dxa"/>
            <w:vAlign w:val="bottom"/>
          </w:tcPr>
          <w:p>
            <w:pPr>
              <w:spacing w:after="0"/>
              <w:rPr>
                <w:sz w:val="22"/>
                <w:szCs w:val="22"/>
                <w:color w:val="auto"/>
              </w:rPr>
            </w:pPr>
          </w:p>
        </w:tc>
      </w:tr>
    </w:tbl>
    <w:p>
      <w:pPr>
        <w:spacing w:after="0" w:line="201" w:lineRule="exact"/>
        <w:rPr>
          <w:sz w:val="20"/>
          <w:szCs w:val="20"/>
          <w:color w:val="auto"/>
        </w:rPr>
      </w:pPr>
    </w:p>
    <w:p>
      <w:pPr>
        <w:jc w:val="both"/>
        <w:ind w:left="1800" w:right="120"/>
        <w:spacing w:after="0" w:line="269" w:lineRule="auto"/>
        <w:rPr>
          <w:sz w:val="20"/>
          <w:szCs w:val="20"/>
          <w:color w:val="auto"/>
        </w:rPr>
      </w:pPr>
      <w:r>
        <w:rPr>
          <w:rFonts w:ascii="Times New Roman" w:cs="Times New Roman" w:eastAsia="Times New Roman" w:hAnsi="Times New Roman"/>
          <w:sz w:val="20"/>
          <w:szCs w:val="20"/>
          <w:color w:val="auto"/>
        </w:rPr>
        <w:t>The reported securities are held in the accounts of Senvest Master Fund, LP, Senvest Technology Partners Master Fund, LP and Senvest Global (KY), LP (collectively, the "</w:t>
      </w:r>
      <w:r>
        <w:rPr>
          <w:rFonts w:ascii="Times New Roman" w:cs="Times New Roman" w:eastAsia="Times New Roman" w:hAnsi="Times New Roman"/>
          <w:sz w:val="20"/>
          <w:szCs w:val="20"/>
          <w:u w:val="single" w:color="auto"/>
          <w:color w:val="auto"/>
        </w:rPr>
        <w:t>Investment Vehicles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1800" w:right="100"/>
        <w:spacing w:after="0" w:line="246" w:lineRule="auto"/>
        <w:rPr>
          <w:sz w:val="20"/>
          <w:szCs w:val="20"/>
          <w:color w:val="auto"/>
        </w:rPr>
      </w:pPr>
      <w:r>
        <w:rPr>
          <w:rFonts w:ascii="Times New Roman" w:cs="Times New Roman" w:eastAsia="Times New Roman" w:hAnsi="Times New Roman"/>
          <w:sz w:val="20"/>
          <w:szCs w:val="20"/>
          <w:color w:val="auto"/>
        </w:rPr>
        <w:t>Senvest Management, LLC may be deemed to beneficially own the securities held by the Investment Vehicles by virtue of Senvest Management, LLC's position as investment manager of each of the Investment Vehicles. Mr. Mashaal may be deemed to beneficially own the securities held by the Investment Vehicles by virtue of Mr. Mashaal's status as the managing member of Senvest Management, LLC. None of the foregoing should be construed in and of itself as an admission by any Reporting Person as to beneficial ownership of the securities reported herein.</w:t>
      </w:r>
    </w:p>
    <w:p>
      <w:pPr>
        <w:spacing w:after="0" w:line="194"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2(b).</w:t>
      </w:r>
      <w:r>
        <w:rPr>
          <w:sz w:val="20"/>
          <w:szCs w:val="20"/>
          <w:color w:val="auto"/>
        </w:rPr>
        <w:tab/>
      </w:r>
      <w:r>
        <w:rPr>
          <w:rFonts w:ascii="Times New Roman" w:cs="Times New Roman" w:eastAsia="Times New Roman" w:hAnsi="Times New Roman"/>
          <w:sz w:val="19"/>
          <w:szCs w:val="19"/>
          <w:b w:val="1"/>
          <w:bCs w:val="1"/>
          <w:color w:val="auto"/>
        </w:rPr>
        <w:t>Address of Principal Business Office.</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Senvest Management, LLC</w:t>
      </w:r>
    </w:p>
    <w:p>
      <w:pPr>
        <w:ind w:left="1800"/>
        <w:spacing w:after="0" w:line="184" w:lineRule="auto"/>
        <w:rPr>
          <w:sz w:val="20"/>
          <w:szCs w:val="20"/>
          <w:color w:val="auto"/>
        </w:rPr>
      </w:pPr>
      <w:r>
        <w:rPr>
          <w:rFonts w:ascii="Times New Roman" w:cs="Times New Roman" w:eastAsia="Times New Roman" w:hAnsi="Times New Roman"/>
          <w:sz w:val="20"/>
          <w:szCs w:val="20"/>
          <w:color w:val="auto"/>
        </w:rPr>
        <w:t>540 Madison Avenue, 32</w:t>
      </w:r>
      <w:r>
        <w:rPr>
          <w:rFonts w:ascii="Times New Roman" w:cs="Times New Roman" w:eastAsia="Times New Roman" w:hAnsi="Times New Roman"/>
          <w:sz w:val="32"/>
          <w:szCs w:val="32"/>
          <w:color w:val="auto"/>
          <w:vertAlign w:val="superscript"/>
        </w:rPr>
        <w:t>nd</w:t>
      </w:r>
      <w:r>
        <w:rPr>
          <w:rFonts w:ascii="Times New Roman" w:cs="Times New Roman" w:eastAsia="Times New Roman" w:hAnsi="Times New Roman"/>
          <w:sz w:val="20"/>
          <w:szCs w:val="20"/>
          <w:color w:val="auto"/>
        </w:rPr>
        <w:t xml:space="preserve"> Floor</w:t>
      </w:r>
    </w:p>
    <w:p>
      <w:pPr>
        <w:spacing w:after="0" w:line="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New York, New York 10022</w:t>
      </w:r>
    </w:p>
    <w:p>
      <w:pPr>
        <w:spacing w:after="0" w:line="2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Richard Mashaal</w:t>
      </w:r>
    </w:p>
    <w:p>
      <w:pPr>
        <w:spacing w:after="0" w:line="2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c/o Senvest Management, LLC</w:t>
      </w:r>
    </w:p>
    <w:p>
      <w:pPr>
        <w:ind w:left="1800"/>
        <w:spacing w:after="0" w:line="184" w:lineRule="auto"/>
        <w:rPr>
          <w:sz w:val="20"/>
          <w:szCs w:val="20"/>
          <w:color w:val="auto"/>
        </w:rPr>
      </w:pPr>
      <w:r>
        <w:rPr>
          <w:rFonts w:ascii="Times New Roman" w:cs="Times New Roman" w:eastAsia="Times New Roman" w:hAnsi="Times New Roman"/>
          <w:sz w:val="20"/>
          <w:szCs w:val="20"/>
          <w:color w:val="auto"/>
        </w:rPr>
        <w:t>540 Madison Avenue, 32</w:t>
      </w:r>
      <w:r>
        <w:rPr>
          <w:rFonts w:ascii="Times New Roman" w:cs="Times New Roman" w:eastAsia="Times New Roman" w:hAnsi="Times New Roman"/>
          <w:sz w:val="32"/>
          <w:szCs w:val="32"/>
          <w:color w:val="auto"/>
          <w:vertAlign w:val="superscript"/>
        </w:rPr>
        <w:t>nd</w:t>
      </w:r>
      <w:r>
        <w:rPr>
          <w:rFonts w:ascii="Times New Roman" w:cs="Times New Roman" w:eastAsia="Times New Roman" w:hAnsi="Times New Roman"/>
          <w:sz w:val="20"/>
          <w:szCs w:val="20"/>
          <w:color w:val="auto"/>
        </w:rPr>
        <w:t xml:space="preserve"> Floor</w:t>
      </w:r>
    </w:p>
    <w:p>
      <w:pPr>
        <w:spacing w:after="0" w:line="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New York, New York 10022</w:t>
      </w:r>
    </w:p>
    <w:p>
      <w:pPr>
        <w:spacing w:after="0" w:line="203"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2(c).</w:t>
      </w:r>
      <w:r>
        <w:rPr>
          <w:sz w:val="20"/>
          <w:szCs w:val="20"/>
          <w:color w:val="auto"/>
        </w:rPr>
        <w:tab/>
      </w:r>
      <w:r>
        <w:rPr>
          <w:rFonts w:ascii="Times New Roman" w:cs="Times New Roman" w:eastAsia="Times New Roman" w:hAnsi="Times New Roman"/>
          <w:sz w:val="19"/>
          <w:szCs w:val="19"/>
          <w:b w:val="1"/>
          <w:bCs w:val="1"/>
          <w:color w:val="auto"/>
        </w:rPr>
        <w:t>Place of Organization.</w:t>
      </w:r>
    </w:p>
    <w:p>
      <w:pPr>
        <w:spacing w:after="0" w:line="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Senvest Management, LLC – Delaware</w:t>
      </w:r>
    </w:p>
    <w:p>
      <w:pPr>
        <w:ind w:left="1800"/>
        <w:spacing w:after="0"/>
        <w:rPr>
          <w:sz w:val="20"/>
          <w:szCs w:val="20"/>
          <w:color w:val="auto"/>
        </w:rPr>
      </w:pPr>
      <w:r>
        <w:rPr>
          <w:rFonts w:ascii="Times New Roman" w:cs="Times New Roman" w:eastAsia="Times New Roman" w:hAnsi="Times New Roman"/>
          <w:sz w:val="20"/>
          <w:szCs w:val="20"/>
          <w:color w:val="auto"/>
        </w:rPr>
        <w:t>Richard Mashaal – Canada</w:t>
      </w:r>
    </w:p>
    <w:p>
      <w:pPr>
        <w:spacing w:after="0" w:line="203"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2(d).</w:t>
      </w:r>
      <w:r>
        <w:rPr>
          <w:sz w:val="20"/>
          <w:szCs w:val="20"/>
          <w:color w:val="auto"/>
        </w:rPr>
        <w:tab/>
      </w:r>
      <w:r>
        <w:rPr>
          <w:rFonts w:ascii="Times New Roman" w:cs="Times New Roman" w:eastAsia="Times New Roman" w:hAnsi="Times New Roman"/>
          <w:sz w:val="19"/>
          <w:szCs w:val="19"/>
          <w:b w:val="1"/>
          <w:bCs w:val="1"/>
          <w:color w:val="auto"/>
        </w:rPr>
        <w:t>Title of Class of Securities.</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Ordinary Shares, par value NIS 15.00 per share</w:t>
      </w:r>
    </w:p>
    <w:p>
      <w:pPr>
        <w:spacing w:after="0" w:line="203"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2(e).</w:t>
      </w:r>
      <w:r>
        <w:rPr>
          <w:sz w:val="20"/>
          <w:szCs w:val="20"/>
          <w:color w:val="auto"/>
        </w:rPr>
        <w:tab/>
      </w:r>
      <w:r>
        <w:rPr>
          <w:rFonts w:ascii="Times New Roman" w:cs="Times New Roman" w:eastAsia="Times New Roman" w:hAnsi="Times New Roman"/>
          <w:sz w:val="19"/>
          <w:szCs w:val="19"/>
          <w:b w:val="1"/>
          <w:bCs w:val="1"/>
          <w:color w:val="auto"/>
        </w:rPr>
        <w:t>CUSIP Number.</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M87915274</w:t>
      </w:r>
    </w:p>
    <w:p>
      <w:pPr>
        <w:spacing w:after="0" w:line="203" w:lineRule="exact"/>
        <w:rPr>
          <w:sz w:val="20"/>
          <w:szCs w:val="20"/>
          <w:color w:val="auto"/>
        </w:rPr>
      </w:pPr>
    </w:p>
    <w:p>
      <w:pPr>
        <w:ind w:left="1800" w:right="100" w:hanging="1686"/>
        <w:spacing w:after="0" w:line="253"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 240.13d-1(b) or 240.13d-2(b), or (c), check whether the Person Filing is a:</w:t>
      </w:r>
    </w:p>
    <w:p>
      <w:pPr>
        <w:ind w:left="2620" w:hanging="821"/>
        <w:spacing w:after="0" w:line="230" w:lineRule="exact"/>
        <w:tabs>
          <w:tab w:leader="none" w:pos="262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Broker or dealer registered under section 15 of the Act (15 U.S.C. 78o);</w:t>
      </w:r>
    </w:p>
    <w:p>
      <w:pPr>
        <w:spacing w:after="0" w:line="175" w:lineRule="exact"/>
        <w:rPr>
          <w:rFonts w:ascii="Times New Roman" w:cs="Times New Roman" w:eastAsia="Times New Roman" w:hAnsi="Times New Roman"/>
          <w:sz w:val="20"/>
          <w:szCs w:val="20"/>
          <w:color w:val="auto"/>
        </w:rPr>
      </w:pPr>
    </w:p>
    <w:p>
      <w:pPr>
        <w:ind w:left="2620" w:hanging="821"/>
        <w:spacing w:after="0" w:line="230" w:lineRule="exact"/>
        <w:tabs>
          <w:tab w:leader="none" w:pos="262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Bank as defined in section 3(a)(6) of the Act (15 U.S.C. 78c);</w:t>
      </w:r>
    </w:p>
    <w:p>
      <w:pPr>
        <w:sectPr>
          <w:pgSz w:w="11900" w:h="16838" w:orient="portrait"/>
          <w:cols w:equalWidth="0" w:num="1">
            <w:col w:w="11240"/>
          </w:cols>
          <w:pgMar w:left="320" w:top="464" w:right="339" w:bottom="1440" w:gutter="0" w:footer="0" w:header="0"/>
        </w:sectPr>
      </w:pPr>
    </w:p>
    <w:bookmarkStart w:id="4" w:name="page5"/>
    <w:bookmarkEnd w:id="4"/>
    <w:p>
      <w:pPr>
        <w:spacing w:after="0"/>
        <w:tabs>
          <w:tab w:leader="none" w:pos="5340" w:val="left"/>
          <w:tab w:leader="none" w:pos="9760" w:val="left"/>
        </w:tabs>
        <w:rPr>
          <w:sz w:val="20"/>
          <w:szCs w:val="20"/>
          <w:color w:val="auto"/>
        </w:rPr>
      </w:pPr>
      <w:r>
        <w:rPr>
          <w:rFonts w:ascii="Times New Roman" w:cs="Times New Roman" w:eastAsia="Times New Roman" w:hAnsi="Times New Roman"/>
          <w:sz w:val="20"/>
          <w:szCs w:val="20"/>
          <w:b w:val="1"/>
          <w:bCs w:val="1"/>
          <w:color w:val="auto"/>
        </w:rPr>
        <w:t>CUSIP No. M87915274</w:t>
      </w:r>
      <w:r>
        <w:rPr>
          <w:sz w:val="20"/>
          <w:szCs w:val="20"/>
          <w:color w:val="auto"/>
        </w:rPr>
        <w:tab/>
      </w:r>
      <w:r>
        <w:rPr>
          <w:rFonts w:ascii="Times New Roman" w:cs="Times New Roman" w:eastAsia="Times New Roman" w:hAnsi="Times New Roman"/>
          <w:sz w:val="20"/>
          <w:szCs w:val="20"/>
          <w:b w:val="1"/>
          <w:bCs w:val="1"/>
          <w:color w:val="auto"/>
        </w:rPr>
        <w:t>13G/A</w:t>
      </w:r>
      <w:r>
        <w:rPr>
          <w:sz w:val="20"/>
          <w:szCs w:val="20"/>
          <w:color w:val="auto"/>
        </w:rPr>
        <w:tab/>
      </w:r>
      <w:r>
        <w:rPr>
          <w:rFonts w:ascii="Times New Roman" w:cs="Times New Roman" w:eastAsia="Times New Roman" w:hAnsi="Times New Roman"/>
          <w:sz w:val="19"/>
          <w:szCs w:val="19"/>
          <w:b w:val="1"/>
          <w:bCs w:val="1"/>
          <w:color w:val="auto"/>
        </w:rPr>
        <w:t>Page 5 of 7 Pages</w:t>
      </w:r>
    </w:p>
    <w:p>
      <w:pPr>
        <w:sectPr>
          <w:pgSz w:w="11900" w:h="16838" w:orient="portrait"/>
          <w:cols w:equalWidth="0" w:num="1">
            <w:col w:w="11240"/>
          </w:cols>
          <w:pgMar w:left="320" w:top="464" w:right="339" w:bottom="1440" w:gutter="0" w:footer="0" w:header="0"/>
        </w:sectPr>
      </w:pP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310"/>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Insurance company as defined in section 3(a)(19) of the Act (15 U.S.C. 78c);</w:t>
            </w:r>
          </w:p>
        </w:tc>
      </w:tr>
      <w:tr>
        <w:trPr>
          <w:trHeight w:val="383"/>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Investment company registered under section 8 of the Investment Company Act of 1940 (15 U.S.C.</w:t>
            </w:r>
          </w:p>
        </w:tc>
      </w:tr>
      <w:tr>
        <w:trPr>
          <w:trHeight w:val="258"/>
        </w:trPr>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80a-8);</w:t>
            </w:r>
          </w:p>
        </w:tc>
      </w:tr>
      <w:tr>
        <w:trPr>
          <w:trHeight w:val="479"/>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(e)</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An investment adviser in accordance with § 240.13d-1(b)(1)(ii)(E);</w:t>
            </w:r>
          </w:p>
        </w:tc>
      </w:tr>
      <w:tr>
        <w:trPr>
          <w:trHeight w:val="446"/>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(f)</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An employee benefit plan or endowment fund in accordance with § 240.13d-1(b)(1)(ii)(F);</w:t>
            </w:r>
          </w:p>
        </w:tc>
      </w:tr>
      <w:tr>
        <w:trPr>
          <w:trHeight w:val="445"/>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(g)</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 parent holding company or control person in accordance with §240.13d-1(b)(1)(ii)(G);</w:t>
            </w:r>
          </w:p>
        </w:tc>
      </w:tr>
      <w:tr>
        <w:trPr>
          <w:trHeight w:val="383"/>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(h)</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 savings association as defined in Section 3(b) of the Federal Deposit Insurance Act (12</w:t>
            </w:r>
          </w:p>
        </w:tc>
      </w:tr>
      <w:tr>
        <w:trPr>
          <w:trHeight w:val="258"/>
        </w:trPr>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U.S.C.1813);</w:t>
            </w:r>
          </w:p>
        </w:tc>
      </w:tr>
      <w:tr>
        <w:trPr>
          <w:trHeight w:val="417"/>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(i)</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9"/>
              </w:rPr>
              <w:t>A church plan that is excluded from the definition of an investment company under section 3(c)(14)</w:t>
            </w:r>
          </w:p>
        </w:tc>
      </w:tr>
      <w:tr>
        <w:trPr>
          <w:trHeight w:val="258"/>
        </w:trPr>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of the Investment Company Act of 1940 (15 U.S.C. 80a-3);</w:t>
            </w:r>
          </w:p>
        </w:tc>
      </w:tr>
      <w:tr>
        <w:trPr>
          <w:trHeight w:val="479"/>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(j)</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 non-U.S. institution in accordance with §240.13d-1(b)(1)(ii)(J);</w:t>
            </w:r>
          </w:p>
        </w:tc>
      </w:tr>
      <w:tr>
        <w:trPr>
          <w:trHeight w:val="445"/>
        </w:trPr>
        <w:tc>
          <w:tcPr>
            <w:tcW w:w="11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(k)</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Group, in accordance with §240.13d-1(b)(1)(ii)(K).</w:t>
            </w:r>
          </w:p>
        </w:tc>
      </w:tr>
      <w:tr>
        <w:trPr>
          <w:trHeight w:val="397"/>
        </w:trPr>
        <w:tc>
          <w:tcPr>
            <w:tcW w:w="1140" w:type="dxa"/>
            <w:vAlign w:val="bottom"/>
          </w:tcPr>
          <w:p>
            <w:pPr>
              <w:spacing w:after="0"/>
              <w:rPr>
                <w:sz w:val="24"/>
                <w:szCs w:val="24"/>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w:t>
            </w:r>
          </w:p>
        </w:tc>
      </w:tr>
      <w:tr>
        <w:trPr>
          <w:trHeight w:val="252"/>
        </w:trPr>
        <w:tc>
          <w:tcPr>
            <w:tcW w:w="1140" w:type="dxa"/>
            <w:vAlign w:val="bottom"/>
          </w:tcPr>
          <w:p>
            <w:pPr>
              <w:spacing w:after="0"/>
              <w:rPr>
                <w:sz w:val="21"/>
                <w:szCs w:val="21"/>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specify the type of institution:</w:t>
            </w: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4.</w:t>
            </w:r>
          </w:p>
        </w:tc>
        <w:tc>
          <w:tcPr>
            <w:tcW w:w="1820" w:type="dxa"/>
            <w:vAlign w:val="bottom"/>
            <w:gridSpan w:val="2"/>
          </w:tcPr>
          <w:p>
            <w:pPr>
              <w:ind w:left="540"/>
              <w:spacing w:after="0"/>
              <w:rPr>
                <w:sz w:val="20"/>
                <w:szCs w:val="20"/>
                <w:color w:val="auto"/>
              </w:rPr>
            </w:pPr>
            <w:r>
              <w:rPr>
                <w:rFonts w:ascii="Times New Roman" w:cs="Times New Roman" w:eastAsia="Times New Roman" w:hAnsi="Times New Roman"/>
                <w:sz w:val="20"/>
                <w:szCs w:val="20"/>
                <w:b w:val="1"/>
                <w:bCs w:val="1"/>
                <w:color w:val="auto"/>
              </w:rPr>
              <w:t>Ownership.</w:t>
            </w:r>
          </w:p>
        </w:tc>
        <w:tc>
          <w:tcPr>
            <w:tcW w:w="2000" w:type="dxa"/>
            <w:vAlign w:val="bottom"/>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1140" w:type="dxa"/>
            <w:vAlign w:val="bottom"/>
          </w:tcPr>
          <w:p>
            <w:pPr>
              <w:spacing w:after="0"/>
              <w:rPr>
                <w:sz w:val="19"/>
                <w:szCs w:val="19"/>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Reporting</w:t>
            </w:r>
          </w:p>
        </w:tc>
      </w:tr>
      <w:tr>
        <w:trPr>
          <w:trHeight w:val="230"/>
        </w:trPr>
        <w:tc>
          <w:tcPr>
            <w:tcW w:w="1140" w:type="dxa"/>
            <w:vAlign w:val="bottom"/>
          </w:tcPr>
          <w:p>
            <w:pPr>
              <w:spacing w:after="0"/>
              <w:rPr>
                <w:sz w:val="19"/>
                <w:szCs w:val="19"/>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Person hereto and is incorporated herein by reference for each such Reporting Person. The percentages set forth in</w:t>
            </w:r>
          </w:p>
        </w:tc>
      </w:tr>
      <w:tr>
        <w:trPr>
          <w:trHeight w:val="230"/>
        </w:trPr>
        <w:tc>
          <w:tcPr>
            <w:tcW w:w="1140" w:type="dxa"/>
            <w:vAlign w:val="bottom"/>
          </w:tcPr>
          <w:p>
            <w:pPr>
              <w:spacing w:after="0"/>
              <w:rPr>
                <w:sz w:val="19"/>
                <w:szCs w:val="19"/>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this Schedule 13G/A are calculated based upon an aggregate of 107,262,420 Ordinary Shares outstanding as of July</w:t>
            </w:r>
          </w:p>
        </w:tc>
      </w:tr>
      <w:tr>
        <w:trPr>
          <w:trHeight w:val="229"/>
        </w:trPr>
        <w:tc>
          <w:tcPr>
            <w:tcW w:w="1140" w:type="dxa"/>
            <w:vAlign w:val="bottom"/>
          </w:tcPr>
          <w:p>
            <w:pPr>
              <w:spacing w:after="0"/>
              <w:rPr>
                <w:sz w:val="19"/>
                <w:szCs w:val="19"/>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1, 2020 as reported in Exhibit 99.1 attached to the Issuer's Report of Foreign Private Issuer on Form 6-K filed with</w:t>
            </w:r>
          </w:p>
        </w:tc>
      </w:tr>
      <w:tr>
        <w:trPr>
          <w:trHeight w:val="258"/>
        </w:trPr>
        <w:tc>
          <w:tcPr>
            <w:tcW w:w="1140" w:type="dxa"/>
            <w:vAlign w:val="bottom"/>
          </w:tcPr>
          <w:p>
            <w:pPr>
              <w:spacing w:after="0"/>
              <w:rPr>
                <w:sz w:val="22"/>
                <w:szCs w:val="22"/>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the Securities and Exchange Commission on August 3, 2020.</w:t>
            </w: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5.</w:t>
            </w: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b w:val="1"/>
                <w:bCs w:val="1"/>
                <w:color w:val="auto"/>
              </w:rPr>
              <w:t>Ownership of Five Percent or Less of a Class.</w:t>
            </w:r>
          </w:p>
        </w:tc>
      </w:tr>
      <w:tr>
        <w:trPr>
          <w:trHeight w:val="258"/>
        </w:trPr>
        <w:tc>
          <w:tcPr>
            <w:tcW w:w="1140" w:type="dxa"/>
            <w:vAlign w:val="bottom"/>
          </w:tcPr>
          <w:p>
            <w:pPr>
              <w:spacing w:after="0"/>
              <w:rPr>
                <w:sz w:val="22"/>
                <w:szCs w:val="22"/>
                <w:color w:val="auto"/>
              </w:rPr>
            </w:pPr>
          </w:p>
        </w:tc>
        <w:tc>
          <w:tcPr>
            <w:tcW w:w="182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Not applicable.</w:t>
            </w:r>
          </w:p>
        </w:tc>
        <w:tc>
          <w:tcPr>
            <w:tcW w:w="2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6.</w:t>
            </w: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b w:val="1"/>
                <w:bCs w:val="1"/>
                <w:color w:val="auto"/>
              </w:rPr>
              <w:t>Ownership of More Than Five Percent on Behalf of Another Person.</w:t>
            </w:r>
          </w:p>
        </w:tc>
      </w:tr>
      <w:tr>
        <w:trPr>
          <w:trHeight w:val="230"/>
        </w:trPr>
        <w:tc>
          <w:tcPr>
            <w:tcW w:w="1140" w:type="dxa"/>
            <w:vAlign w:val="bottom"/>
          </w:tcPr>
          <w:p>
            <w:pPr>
              <w:spacing w:after="0"/>
              <w:rPr>
                <w:sz w:val="19"/>
                <w:szCs w:val="19"/>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The Investment Vehicles have the right to receive and the power to direct the receipt of dividends from, and the</w:t>
            </w:r>
          </w:p>
        </w:tc>
      </w:tr>
      <w:tr>
        <w:trPr>
          <w:trHeight w:val="229"/>
        </w:trPr>
        <w:tc>
          <w:tcPr>
            <w:tcW w:w="1140" w:type="dxa"/>
            <w:vAlign w:val="bottom"/>
          </w:tcPr>
          <w:p>
            <w:pPr>
              <w:spacing w:after="0"/>
              <w:rPr>
                <w:sz w:val="19"/>
                <w:szCs w:val="19"/>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proceeds from the sale of the Ordinary Shares.  Senvest Master Fund, LP has the right to receive or the power to</w:t>
            </w:r>
          </w:p>
        </w:tc>
      </w:tr>
      <w:tr>
        <w:trPr>
          <w:trHeight w:val="258"/>
        </w:trPr>
        <w:tc>
          <w:tcPr>
            <w:tcW w:w="1140" w:type="dxa"/>
            <w:vAlign w:val="bottom"/>
          </w:tcPr>
          <w:p>
            <w:pPr>
              <w:spacing w:after="0"/>
              <w:rPr>
                <w:sz w:val="22"/>
                <w:szCs w:val="22"/>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direct the receipt of dividends from, or the proceeds from the sale of, more than 5% of the Ordinary Shares.</w:t>
            </w:r>
          </w:p>
        </w:tc>
      </w:tr>
      <w:tr>
        <w:trPr>
          <w:trHeight w:val="426"/>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7.</w:t>
            </w: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b w:val="1"/>
                <w:bCs w:val="1"/>
                <w:color w:val="auto"/>
              </w:rPr>
              <w:t>Identification and Classification of the Subsidiary Which Acquired the Security Being Reported on by the</w:t>
            </w:r>
          </w:p>
        </w:tc>
      </w:tr>
      <w:tr>
        <w:trPr>
          <w:trHeight w:val="233"/>
        </w:trPr>
        <w:tc>
          <w:tcPr>
            <w:tcW w:w="1140" w:type="dxa"/>
            <w:vAlign w:val="bottom"/>
          </w:tcPr>
          <w:p>
            <w:pPr>
              <w:spacing w:after="0"/>
              <w:rPr>
                <w:sz w:val="20"/>
                <w:szCs w:val="20"/>
                <w:color w:val="auto"/>
              </w:rPr>
            </w:pPr>
          </w:p>
        </w:tc>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b w:val="1"/>
                <w:bCs w:val="1"/>
                <w:color w:val="auto"/>
              </w:rPr>
              <w:t>Parent Holding Company or Control Person.</w:t>
            </w:r>
          </w:p>
        </w:tc>
      </w:tr>
      <w:tr>
        <w:trPr>
          <w:trHeight w:val="258"/>
        </w:trPr>
        <w:tc>
          <w:tcPr>
            <w:tcW w:w="1140" w:type="dxa"/>
            <w:vAlign w:val="bottom"/>
          </w:tcPr>
          <w:p>
            <w:pPr>
              <w:spacing w:after="0"/>
              <w:rPr>
                <w:sz w:val="22"/>
                <w:szCs w:val="22"/>
                <w:color w:val="auto"/>
              </w:rPr>
            </w:pPr>
          </w:p>
        </w:tc>
        <w:tc>
          <w:tcPr>
            <w:tcW w:w="182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Not applicable.</w:t>
            </w:r>
          </w:p>
        </w:tc>
        <w:tc>
          <w:tcPr>
            <w:tcW w:w="2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240" w:type="dxa"/>
            <w:vAlign w:val="bottom"/>
          </w:tcPr>
          <w:p>
            <w:pPr>
              <w:spacing w:after="0"/>
              <w:rPr>
                <w:sz w:val="22"/>
                <w:szCs w:val="22"/>
                <w:color w:val="auto"/>
              </w:rPr>
            </w:pPr>
          </w:p>
        </w:tc>
      </w:tr>
    </w:tbl>
    <w:p>
      <w:pPr>
        <w:sectPr>
          <w:pgSz w:w="11900" w:h="16838" w:orient="portrait"/>
          <w:cols w:equalWidth="0" w:num="1">
            <w:col w:w="11240"/>
          </w:cols>
          <w:pgMar w:left="320" w:top="464" w:right="339" w:bottom="1440" w:gutter="0" w:footer="0" w:header="0"/>
          <w:type w:val="continuous"/>
        </w:sectPr>
      </w:pPr>
    </w:p>
    <w:bookmarkStart w:id="5" w:name="page6"/>
    <w:bookmarkEnd w:id="5"/>
    <w:p>
      <w:pPr>
        <w:spacing w:after="0"/>
        <w:tabs>
          <w:tab w:leader="none" w:pos="5340" w:val="left"/>
          <w:tab w:leader="none" w:pos="9760" w:val="left"/>
        </w:tabs>
        <w:rPr>
          <w:sz w:val="20"/>
          <w:szCs w:val="20"/>
          <w:color w:val="auto"/>
        </w:rPr>
      </w:pPr>
      <w:r>
        <w:rPr>
          <w:rFonts w:ascii="Times New Roman" w:cs="Times New Roman" w:eastAsia="Times New Roman" w:hAnsi="Times New Roman"/>
          <w:sz w:val="20"/>
          <w:szCs w:val="20"/>
          <w:b w:val="1"/>
          <w:bCs w:val="1"/>
          <w:color w:val="auto"/>
        </w:rPr>
        <w:t>CUSIP No. M87915274</w:t>
      </w:r>
      <w:r>
        <w:rPr>
          <w:sz w:val="20"/>
          <w:szCs w:val="20"/>
          <w:color w:val="auto"/>
        </w:rPr>
        <w:tab/>
      </w:r>
      <w:r>
        <w:rPr>
          <w:rFonts w:ascii="Times New Roman" w:cs="Times New Roman" w:eastAsia="Times New Roman" w:hAnsi="Times New Roman"/>
          <w:sz w:val="20"/>
          <w:szCs w:val="20"/>
          <w:b w:val="1"/>
          <w:bCs w:val="1"/>
          <w:color w:val="auto"/>
        </w:rPr>
        <w:t>13G/A</w:t>
      </w:r>
      <w:r>
        <w:rPr>
          <w:sz w:val="20"/>
          <w:szCs w:val="20"/>
          <w:color w:val="auto"/>
        </w:rPr>
        <w:tab/>
      </w:r>
      <w:r>
        <w:rPr>
          <w:rFonts w:ascii="Times New Roman" w:cs="Times New Roman" w:eastAsia="Times New Roman" w:hAnsi="Times New Roman"/>
          <w:sz w:val="19"/>
          <w:szCs w:val="19"/>
          <w:b w:val="1"/>
          <w:bCs w:val="1"/>
          <w:color w:val="auto"/>
        </w:rPr>
        <w:t>Page 6 of 7 Pages</w:t>
      </w:r>
    </w:p>
    <w:p>
      <w:pPr>
        <w:sectPr>
          <w:pgSz w:w="11900" w:h="16838" w:orient="portrait"/>
          <w:cols w:equalWidth="0" w:num="1">
            <w:col w:w="11240"/>
          </w:cols>
          <w:pgMar w:left="320" w:top="464" w:right="339" w:bottom="1440" w:gutter="0" w:footer="0" w:header="0"/>
        </w:sectPr>
      </w:pPr>
    </w:p>
    <w:p>
      <w:pPr>
        <w:spacing w:after="0" w:line="337"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w:t>
      </w:r>
    </w:p>
    <w:p>
      <w:pPr>
        <w:jc w:val="right"/>
        <w:ind w:right="120"/>
        <w:spacing w:after="0"/>
        <w:rPr>
          <w:sz w:val="20"/>
          <w:szCs w:val="20"/>
          <w:color w:val="auto"/>
        </w:rPr>
      </w:pPr>
      <w:r>
        <w:rPr>
          <w:rFonts w:ascii="Times New Roman" w:cs="Times New Roman" w:eastAsia="Times New Roman" w:hAnsi="Times New Roman"/>
          <w:sz w:val="20"/>
          <w:szCs w:val="20"/>
          <w:color w:val="auto"/>
        </w:rPr>
        <w:t>referred to above were not acquired and are not held for the purpose of or with the effect of changing or influencing</w:t>
      </w:r>
    </w:p>
    <w:p>
      <w:pPr>
        <w:ind w:left="1800"/>
        <w:spacing w:after="0"/>
        <w:rPr>
          <w:sz w:val="20"/>
          <w:szCs w:val="20"/>
          <w:color w:val="auto"/>
        </w:rPr>
      </w:pPr>
      <w:r>
        <w:rPr>
          <w:rFonts w:ascii="Times New Roman" w:cs="Times New Roman" w:eastAsia="Times New Roman" w:hAnsi="Times New Roman"/>
          <w:sz w:val="19"/>
          <w:szCs w:val="19"/>
          <w:color w:val="auto"/>
        </w:rPr>
        <w:t>the control of the issuer of the securities and were not acquired and are not held in connection with or as a participant</w:t>
      </w:r>
    </w:p>
    <w:p>
      <w:pPr>
        <w:spacing w:after="0" w:line="1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in any transaction having that purpose or effect.</w:t>
      </w:r>
    </w:p>
    <w:p>
      <w:pPr>
        <w:sectPr>
          <w:pgSz w:w="11900" w:h="16838" w:orient="portrait"/>
          <w:cols w:equalWidth="0" w:num="1">
            <w:col w:w="11240"/>
          </w:cols>
          <w:pgMar w:left="320" w:top="464" w:right="339" w:bottom="1440" w:gutter="0" w:footer="0" w:header="0"/>
          <w:type w:val="continuous"/>
        </w:sectPr>
      </w:pPr>
    </w:p>
    <w:bookmarkStart w:id="6" w:name="page7"/>
    <w:bookmarkEnd w:id="6"/>
    <w:p>
      <w:pPr>
        <w:spacing w:after="0"/>
        <w:tabs>
          <w:tab w:leader="none" w:pos="5340" w:val="left"/>
          <w:tab w:leader="none" w:pos="9760" w:val="left"/>
        </w:tabs>
        <w:rPr>
          <w:sz w:val="20"/>
          <w:szCs w:val="20"/>
          <w:color w:val="auto"/>
        </w:rPr>
      </w:pPr>
      <w:r>
        <w:rPr>
          <w:rFonts w:ascii="Times New Roman" w:cs="Times New Roman" w:eastAsia="Times New Roman" w:hAnsi="Times New Roman"/>
          <w:sz w:val="20"/>
          <w:szCs w:val="20"/>
          <w:b w:val="1"/>
          <w:bCs w:val="1"/>
          <w:color w:val="auto"/>
        </w:rPr>
        <w:t>CUSIP No. M87915274</w:t>
      </w:r>
      <w:r>
        <w:rPr>
          <w:sz w:val="20"/>
          <w:szCs w:val="20"/>
          <w:color w:val="auto"/>
        </w:rPr>
        <w:tab/>
      </w:r>
      <w:r>
        <w:rPr>
          <w:rFonts w:ascii="Times New Roman" w:cs="Times New Roman" w:eastAsia="Times New Roman" w:hAnsi="Times New Roman"/>
          <w:sz w:val="20"/>
          <w:szCs w:val="20"/>
          <w:b w:val="1"/>
          <w:bCs w:val="1"/>
          <w:color w:val="auto"/>
        </w:rPr>
        <w:t>13G/A</w:t>
      </w:r>
      <w:r>
        <w:rPr>
          <w:sz w:val="20"/>
          <w:szCs w:val="20"/>
          <w:color w:val="auto"/>
        </w:rPr>
        <w:tab/>
      </w:r>
      <w:r>
        <w:rPr>
          <w:rFonts w:ascii="Times New Roman" w:cs="Times New Roman" w:eastAsia="Times New Roman" w:hAnsi="Times New Roman"/>
          <w:sz w:val="19"/>
          <w:szCs w:val="19"/>
          <w:b w:val="1"/>
          <w:bCs w:val="1"/>
          <w:color w:val="auto"/>
        </w:rPr>
        <w:t>Page 7 of 7 Pages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SIGNATURE</w:t>
      </w:r>
    </w:p>
    <w:p>
      <w:pPr>
        <w:spacing w:after="0" w:line="220"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each of the undersigned certifies that the information set forth in this statement is true, complete and correct.</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Date: February 12, 2021</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SENVEST MANAGEMENT, LLC</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40" w:type="dxa"/>
            <w:vAlign w:val="bottom"/>
          </w:tcPr>
          <w:p>
            <w:pPr>
              <w:jc w:val="right"/>
              <w:ind w:right="3421"/>
              <w:spacing w:after="0"/>
              <w:rPr>
                <w:sz w:val="20"/>
                <w:szCs w:val="20"/>
                <w:color w:val="auto"/>
              </w:rPr>
            </w:pPr>
            <w:r>
              <w:rPr>
                <w:rFonts w:ascii="Times New Roman" w:cs="Times New Roman" w:eastAsia="Times New Roman" w:hAnsi="Times New Roman"/>
                <w:sz w:val="20"/>
                <w:szCs w:val="20"/>
                <w:color w:val="auto"/>
                <w:w w:val="96"/>
              </w:rPr>
              <w:t>/s/ Bobby Trahanas</w:t>
            </w:r>
          </w:p>
        </w:tc>
        <w:tc>
          <w:tcPr>
            <w:tcW w:w="0" w:type="dxa"/>
            <w:vAlign w:val="bottom"/>
          </w:tcPr>
          <w:p>
            <w:pPr>
              <w:spacing w:after="0"/>
              <w:rPr>
                <w:sz w:val="1"/>
                <w:szCs w:val="1"/>
                <w:color w:val="auto"/>
              </w:rPr>
            </w:pPr>
          </w:p>
        </w:tc>
      </w:tr>
      <w:tr>
        <w:trPr>
          <w:trHeight w:val="23"/>
        </w:trPr>
        <w:tc>
          <w:tcPr>
            <w:tcW w:w="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80" w:type="dxa"/>
            <w:vAlign w:val="bottom"/>
            <w:vMerge w:val="continue"/>
          </w:tcPr>
          <w:p>
            <w:pPr>
              <w:spacing w:after="0"/>
              <w:rPr>
                <w:sz w:val="17"/>
                <w:szCs w:val="17"/>
                <w:color w:val="auto"/>
              </w:rPr>
            </w:pPr>
          </w:p>
        </w:tc>
        <w:tc>
          <w:tcPr>
            <w:tcW w:w="5040" w:type="dxa"/>
            <w:vAlign w:val="bottom"/>
          </w:tcPr>
          <w:p>
            <w:pPr>
              <w:jc w:val="right"/>
              <w:ind w:right="3421"/>
              <w:spacing w:after="0" w:line="200" w:lineRule="exact"/>
              <w:rPr>
                <w:sz w:val="20"/>
                <w:szCs w:val="20"/>
                <w:color w:val="auto"/>
              </w:rPr>
            </w:pPr>
            <w:r>
              <w:rPr>
                <w:rFonts w:ascii="Times New Roman" w:cs="Times New Roman" w:eastAsia="Times New Roman" w:hAnsi="Times New Roman"/>
                <w:sz w:val="20"/>
                <w:szCs w:val="20"/>
                <w:color w:val="auto"/>
              </w:rPr>
              <w:t>Bobby Trahanas</w:t>
            </w:r>
          </w:p>
        </w:tc>
        <w:tc>
          <w:tcPr>
            <w:tcW w:w="0" w:type="dxa"/>
            <w:vAlign w:val="bottom"/>
          </w:tcPr>
          <w:p>
            <w:pPr>
              <w:spacing w:after="0"/>
              <w:rPr>
                <w:sz w:val="1"/>
                <w:szCs w:val="1"/>
                <w:color w:val="auto"/>
              </w:rPr>
            </w:pP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040" w:type="dxa"/>
            <w:vAlign w:val="bottom"/>
          </w:tcPr>
          <w:p>
            <w:pPr>
              <w:jc w:val="right"/>
              <w:ind w:right="2661"/>
              <w:spacing w:after="0"/>
              <w:rPr>
                <w:sz w:val="20"/>
                <w:szCs w:val="20"/>
                <w:color w:val="auto"/>
              </w:rPr>
            </w:pPr>
            <w:r>
              <w:rPr>
                <w:rFonts w:ascii="Times New Roman" w:cs="Times New Roman" w:eastAsia="Times New Roman" w:hAnsi="Times New Roman"/>
                <w:sz w:val="20"/>
                <w:szCs w:val="20"/>
                <w:color w:val="auto"/>
              </w:rPr>
              <w:t>Chief Compliance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13970</wp:posOffset>
            </wp:positionV>
            <wp:extent cx="3634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RICHARD MASHAAL</w:t>
      </w:r>
    </w:p>
    <w:sectPr>
      <w:pgSz w:w="11900" w:h="16838" w:orient="portrait"/>
      <w:cols w:equalWidth="0" w:num="1">
        <w:col w:w="11240"/>
      </w:cols>
      <w:pgMar w:left="320" w:top="4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3"/>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2021-02-12T15:19:53Z</dcterms:created>
  <dcterms:modified xsi:type="dcterms:W3CDTF">2021-02-12T15:19:53Z</dcterms:modified>
</cp:coreProperties>
</file>