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For the month of April 2026 No.1</w:t>
      </w:r>
    </w:p>
    <w:p>
      <w:pPr>
        <w:spacing w:after="0" w:line="25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3740"/>
        <w:spacing w:after="0" w:line="207" w:lineRule="exact"/>
        <w:tabs>
          <w:tab w:leader="none" w:pos="5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On April 20, 2026, the Registrant Announces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First Quarter 2026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20,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5438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54380" cy="436880"/>
                    </a:xfrm>
                    <a:prstGeom prst="rect">
                      <a:avLst/>
                    </a:prstGeom>
                    <a:noFill/>
                  </pic:spPr>
                </pic:pic>
              </a:graphicData>
            </a:graphic>
          </wp:anchor>
        </w:drawing>
        <w:t>Tower Semiconductor Announces First Quarter 2026 Financial Results and Conference Call</w:t>
      </w:r>
    </w:p>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April 20,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TASE: TSEM),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will issue its first quarter 2026 earnings release on Wednesday, May 13, 2026. The Company will hold a conference call to discuss its first quarter 2026 financial results and second quarter 2026 guidance on Wednesday, May 13, 2026, at 10:00 a.m. Eastern Time (09:00 a.m. Central, 08:00 a.m. Mountain, 07:00 a.m. Pacific and 05:00 p.m. Israel time).</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https://ir.towersemi.com/</w:t>
      </w:r>
      <w:r>
        <w:rPr>
          <w:rFonts w:ascii="Times New Roman" w:cs="Times New Roman" w:eastAsia="Times New Roman" w:hAnsi="Times New Roman"/>
          <w:sz w:val="18"/>
          <w:szCs w:val="18"/>
          <w:color w:val="auto"/>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w:t>
      </w:r>
      <w:r>
        <w:rPr>
          <w:rFonts w:ascii="Times New Roman" w:cs="Times New Roman" w:eastAsia="Times New Roman" w:hAnsi="Times New Roman"/>
          <w:sz w:val="18"/>
          <w:szCs w:val="18"/>
          <w:color w:val="auto"/>
        </w:rPr>
        <w:t xml:space="preserve"> | +972 4 650 6154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2026-04-20T05:10:00Z</dcterms:created>
  <dcterms:modified xsi:type="dcterms:W3CDTF">2026-04-20T05:10:00Z</dcterms:modified>
</cp:coreProperties>
</file>