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For the month of August 2021 No.1</w:t>
      </w: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Commission File Number 000-24790</w:t>
      </w: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79"/>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59" w:lineRule="exact"/>
        <w:rPr>
          <w:sz w:val="24"/>
          <w:szCs w:val="24"/>
          <w:color w:val="auto"/>
        </w:rPr>
      </w:pPr>
    </w:p>
    <w:p>
      <w:pPr>
        <w:jc w:val="center"/>
        <w:ind w:right="-17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(1): 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92" w:right="499" w:bottom="1440" w:gutter="0" w:footer="0" w:header="0"/>
        </w:sectPr>
      </w:pPr>
    </w:p>
    <w:bookmarkStart w:id="1" w:name="page2"/>
    <w:bookmarkEnd w:id="1"/>
    <w:p>
      <w:pPr>
        <w:ind w:left="640"/>
        <w:spacing w:after="0"/>
        <w:rPr>
          <w:sz w:val="20"/>
          <w:szCs w:val="20"/>
          <w:color w:val="auto"/>
        </w:rPr>
      </w:pPr>
      <w:r>
        <w:rPr>
          <w:rFonts w:ascii="Arial" w:cs="Arial" w:eastAsia="Arial" w:hAnsi="Arial"/>
          <w:sz w:val="19"/>
          <w:szCs w:val="19"/>
          <w:color w:val="auto"/>
        </w:rPr>
        <w:t>On August 2, 2021, the Registrant announced its financial results for the six and three months ended June 30, 2021.</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Attached hereto is the following exhibit.</w:t>
      </w:r>
    </w:p>
    <w:p>
      <w:pPr>
        <w:spacing w:after="0" w:line="276"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August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2,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60"/>
          </w:cols>
          <w:pgMar w:left="320" w:top="126"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560195" cy="908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1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Tower Semiconductor Reports Second Quarter</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2021 Record Revenues; Guides Third Quarter</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Further Strong Revenue Growth</w:t>
      </w:r>
    </w:p>
    <w:p>
      <w:pPr>
        <w:spacing w:after="0" w:line="277" w:lineRule="exact"/>
        <w:rPr>
          <w:sz w:val="20"/>
          <w:szCs w:val="20"/>
          <w:color w:val="auto"/>
        </w:rPr>
      </w:pPr>
    </w:p>
    <w:p>
      <w:pPr>
        <w:jc w:val="center"/>
        <w:ind w:right="80"/>
        <w:spacing w:after="0" w:line="330" w:lineRule="auto"/>
        <w:rPr>
          <w:sz w:val="20"/>
          <w:szCs w:val="20"/>
          <w:color w:val="auto"/>
        </w:rPr>
      </w:pPr>
      <w:r>
        <w:rPr>
          <w:rFonts w:ascii="Arial" w:cs="Arial" w:eastAsia="Arial" w:hAnsi="Arial"/>
          <w:sz w:val="19"/>
          <w:szCs w:val="19"/>
          <w:b w:val="1"/>
          <w:bCs w:val="1"/>
          <w:color w:val="auto"/>
        </w:rPr>
        <w:t>Second quarter 2021 revenue represents 17% total and 26% organic year over year growth, with 2021 third quarter mid-range revenue guidance of 24% total and 38% organic year over year growth</w:t>
      </w:r>
    </w:p>
    <w:p>
      <w:pPr>
        <w:spacing w:after="0" w:line="179" w:lineRule="exact"/>
        <w:rPr>
          <w:sz w:val="20"/>
          <w:szCs w:val="20"/>
          <w:color w:val="auto"/>
        </w:rPr>
      </w:pPr>
    </w:p>
    <w:p>
      <w:pPr>
        <w:ind w:right="20"/>
        <w:spacing w:after="0" w:line="282" w:lineRule="auto"/>
        <w:rPr>
          <w:sz w:val="20"/>
          <w:szCs w:val="20"/>
          <w:color w:val="auto"/>
        </w:rPr>
      </w:pPr>
      <w:r>
        <w:rPr>
          <w:rFonts w:ascii="Arial" w:cs="Arial" w:eastAsia="Arial" w:hAnsi="Arial"/>
          <w:sz w:val="22"/>
          <w:szCs w:val="22"/>
          <w:b w:val="1"/>
          <w:bCs w:val="1"/>
          <w:color w:val="auto"/>
        </w:rPr>
        <w:t xml:space="preserve">MIGDAL HAEMEK, ISRAEL – August 2, 2021 – </w:t>
      </w:r>
      <w:r>
        <w:rPr>
          <w:rFonts w:ascii="Arial" w:cs="Arial" w:eastAsia="Arial" w:hAnsi="Arial"/>
          <w:sz w:val="22"/>
          <w:szCs w:val="22"/>
          <w:color w:val="auto"/>
        </w:rPr>
        <w:t>Tower Semiconductor (NASDAQ: TSEM &amp; TASE: TSEM) reports today</w:t>
      </w:r>
      <w:r>
        <w:rPr>
          <w:rFonts w:ascii="Arial" w:cs="Arial" w:eastAsia="Arial" w:hAnsi="Arial"/>
          <w:sz w:val="22"/>
          <w:szCs w:val="22"/>
          <w:b w:val="1"/>
          <w:bCs w:val="1"/>
          <w:color w:val="auto"/>
        </w:rPr>
        <w:t xml:space="preserve"> </w:t>
      </w:r>
      <w:r>
        <w:rPr>
          <w:rFonts w:ascii="Arial" w:cs="Arial" w:eastAsia="Arial" w:hAnsi="Arial"/>
          <w:sz w:val="22"/>
          <w:szCs w:val="22"/>
          <w:color w:val="auto"/>
        </w:rPr>
        <w:t>its results for the second quarter ended June 30, 2021.</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87" w:lineRule="exact"/>
        <w:rPr>
          <w:sz w:val="20"/>
          <w:szCs w:val="20"/>
          <w:color w:val="auto"/>
        </w:rPr>
      </w:pPr>
    </w:p>
    <w:p>
      <w:pPr>
        <w:ind w:left="980" w:hanging="324"/>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quarter revenue of $362 million, reflecting record revenue for the company, with year over year 26% organic growth and 17% total growth.</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year over year increases in gross profit, operating profit, and net profit.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Guides mid-range revenue for the third quarter of 2021 of $385 million, demonstrating 24% year over year growth and 38% organic growth.</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Expanding the previously announced capacity expansion plan by an additional $100 million, to support continued increases in customers’ demand for highly differentiated 200mm platforms.</w:t>
      </w:r>
    </w:p>
    <w:p>
      <w:pPr>
        <w:ind w:left="980" w:hanging="324"/>
        <w:spacing w:after="0" w:line="26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Established partnership with ST Microelectronics accelerating the volume ramp-up of the Agrate 300mm factory, tripling Tower’s 300mm capacity.</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of 2021 Results Overview</w:t>
      </w:r>
    </w:p>
    <w:p>
      <w:pPr>
        <w:spacing w:after="0" w:line="28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for the second quarter of 2021 was $362 million, the highest quarterly revenue in Company’s history, as compared to</w:t>
      </w:r>
      <w:r>
        <w:rPr>
          <w:rFonts w:ascii="Arial" w:cs="Arial" w:eastAsia="Arial" w:hAnsi="Arial"/>
          <w:sz w:val="22"/>
          <w:szCs w:val="22"/>
          <w:b w:val="1"/>
          <w:bCs w:val="1"/>
          <w:color w:val="auto"/>
        </w:rPr>
        <w:t xml:space="preserve"> </w:t>
      </w:r>
      <w:r>
        <w:rPr>
          <w:rFonts w:ascii="Arial" w:cs="Arial" w:eastAsia="Arial" w:hAnsi="Arial"/>
          <w:sz w:val="22"/>
          <w:szCs w:val="22"/>
          <w:color w:val="auto"/>
        </w:rPr>
        <w:t>$310 million in the second quarter of 2020, reflecting 17% year over year growth. Organic revenue for the second quarter of 2021, defined as total revenue excluding revenues from Nuvoton Japan (previously named Panasonic Semiconductor Solutions) and from Maxim in the San Antonio fab, grew by 26%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 xml:space="preserve">Gross profit </w:t>
      </w:r>
      <w:r>
        <w:rPr>
          <w:rFonts w:ascii="Arial" w:cs="Arial" w:eastAsia="Arial" w:hAnsi="Arial"/>
          <w:sz w:val="21"/>
          <w:szCs w:val="21"/>
          <w:color w:val="auto"/>
        </w:rPr>
        <w:t>for the second quarter of 2021 was $74 million, 28% higher than $58 million in the second quarter of 2020.</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Operating profit </w:t>
      </w:r>
      <w:r>
        <w:rPr>
          <w:rFonts w:ascii="Arial" w:cs="Arial" w:eastAsia="Arial" w:hAnsi="Arial"/>
          <w:sz w:val="19"/>
          <w:szCs w:val="19"/>
          <w:color w:val="auto"/>
        </w:rPr>
        <w:t>for the second quarter of 2021 was $34 million, 54% higher than $22 million in the second quarter of 2020.</w:t>
      </w:r>
    </w:p>
    <w:p>
      <w:pPr>
        <w:spacing w:after="0" w:line="32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Net profit </w:t>
      </w:r>
      <w:r>
        <w:rPr>
          <w:rFonts w:ascii="Arial" w:cs="Arial" w:eastAsia="Arial" w:hAnsi="Arial"/>
          <w:sz w:val="22"/>
          <w:szCs w:val="22"/>
          <w:color w:val="auto"/>
        </w:rPr>
        <w:t>for the second quarter of 2021 was $31 million, or $0.29 basic earnings per share, 62% higher as compared to net</w:t>
      </w:r>
      <w:r>
        <w:rPr>
          <w:rFonts w:ascii="Arial" w:cs="Arial" w:eastAsia="Arial" w:hAnsi="Arial"/>
          <w:sz w:val="22"/>
          <w:szCs w:val="22"/>
          <w:b w:val="1"/>
          <w:bCs w:val="1"/>
          <w:color w:val="auto"/>
        </w:rPr>
        <w:t xml:space="preserve"> </w:t>
      </w:r>
      <w:r>
        <w:rPr>
          <w:rFonts w:ascii="Arial" w:cs="Arial" w:eastAsia="Arial" w:hAnsi="Arial"/>
          <w:sz w:val="22"/>
          <w:szCs w:val="22"/>
          <w:color w:val="auto"/>
        </w:rPr>
        <w:t>profit of $19 million or $0.18 basic earnings per share in the second quarter of 2020.</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generated from operating activities in the second quarter of 2021 was $93 million with investment in fixed assets of</w:t>
      </w:r>
      <w:r>
        <w:rPr>
          <w:rFonts w:ascii="Arial" w:cs="Arial" w:eastAsia="Arial" w:hAnsi="Arial"/>
          <w:sz w:val="22"/>
          <w:szCs w:val="22"/>
          <w:b w:val="1"/>
          <w:bCs w:val="1"/>
          <w:color w:val="auto"/>
        </w:rPr>
        <w:t xml:space="preserve"> </w:t>
      </w:r>
      <w:r>
        <w:rPr>
          <w:rFonts w:ascii="Arial" w:cs="Arial" w:eastAsia="Arial" w:hAnsi="Arial"/>
          <w:sz w:val="22"/>
          <w:szCs w:val="22"/>
          <w:color w:val="auto"/>
        </w:rPr>
        <w:t>$56 million, net. In addition, in the second quarter of 2021, the company repaid $20 million of its debt and invested $17 million in deposits and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 with ST Microelectronics accelerating the ramp-up of Agrate 300mm fab to large volumes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22"/>
          <w:szCs w:val="22"/>
          <w:color w:val="auto"/>
        </w:rPr>
        <w:t>In June 2021, Tower and ST Microelectronics announced joining forces to accelerate Agrate 300mm factory ramp-up. Tower and ST will share the cleanroom in Agrate facility, with Tower installing its own equipment in one third of the total space. The transaction will support Tower’s customers’ increasing demand for analog RF, power platforms, displays and other technologies, tripling its 300mm foundry capacity.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 Expansion and Capabilities</w:t>
      </w:r>
    </w:p>
    <w:p>
      <w:pPr>
        <w:spacing w:after="0" w:line="27"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The Company continues to execute its $150 million capacity expansion plan and is now announcing an additional $100 million investment for further expansion of 200mm differentiated platforms.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Tower Semiconductor guides revenue for the third quarter of 2021 to be $385 million, with an upward or downward range of 5%.</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Mid-range revenue guidance represents year over year 24% total growth and 38% organic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both"/>
        <w:spacing w:after="0" w:line="281" w:lineRule="auto"/>
        <w:rPr>
          <w:sz w:val="20"/>
          <w:szCs w:val="20"/>
          <w:color w:val="auto"/>
        </w:rPr>
      </w:pPr>
      <w:r>
        <w:rPr>
          <w:rFonts w:ascii="Arial" w:cs="Arial" w:eastAsia="Arial" w:hAnsi="Arial"/>
          <w:sz w:val="21"/>
          <w:szCs w:val="21"/>
          <w:b w:val="1"/>
          <w:bCs w:val="1"/>
          <w:color w:val="auto"/>
        </w:rPr>
        <w:t>Mr. Russell Ellwanger, Chief Executive Officer of Tower Semiconductor</w:t>
      </w:r>
      <w:r>
        <w:rPr>
          <w:rFonts w:ascii="Arial" w:cs="Arial" w:eastAsia="Arial" w:hAnsi="Arial"/>
          <w:sz w:val="21"/>
          <w:szCs w:val="21"/>
          <w:color w:val="auto"/>
        </w:rPr>
        <w:t>,</w:t>
      </w:r>
      <w:r>
        <w:rPr>
          <w:rFonts w:ascii="Arial" w:cs="Arial" w:eastAsia="Arial" w:hAnsi="Arial"/>
          <w:sz w:val="21"/>
          <w:szCs w:val="21"/>
          <w:b w:val="1"/>
          <w:bCs w:val="1"/>
          <w:color w:val="auto"/>
        </w:rPr>
        <w:t xml:space="preserve"> stated</w:t>
      </w:r>
      <w:r>
        <w:rPr>
          <w:rFonts w:ascii="Arial" w:cs="Arial" w:eastAsia="Arial" w:hAnsi="Arial"/>
          <w:sz w:val="21"/>
          <w:szCs w:val="21"/>
          <w:color w:val="auto"/>
        </w:rPr>
        <w:t>: “We are excited with the second quarter</w:t>
      </w:r>
      <w:r>
        <w:rPr>
          <w:rFonts w:ascii="Arial" w:cs="Arial" w:eastAsia="Arial" w:hAnsi="Arial"/>
          <w:sz w:val="21"/>
          <w:szCs w:val="21"/>
          <w:b w:val="1"/>
          <w:bCs w:val="1"/>
          <w:color w:val="auto"/>
        </w:rPr>
        <w:t xml:space="preserve"> </w:t>
      </w:r>
      <w:r>
        <w:rPr>
          <w:rFonts w:ascii="Arial" w:cs="Arial" w:eastAsia="Arial" w:hAnsi="Arial"/>
          <w:sz w:val="21"/>
          <w:szCs w:val="21"/>
          <w:color w:val="auto"/>
        </w:rPr>
        <w:t>2021 record revenue performance, leading to a third quarter revenue guidance of substantial continued growth, breaking a $1.5 billion annual run rate. We remain confident that we are serving the right customers in the right markets as evidenced by the 38% mid-range year over year organic revenue growth guidance.”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Ellwanger added, “We are effectively executing our expansion plans, and hence expect continued fourth quarter 2021 growth in both top and bottom lines. Our announced partnership with ST Microelectronics at the Agrate, Italy 300mm factory, will significantly enhance our 300mm capabilities, in order to further boost our leading position in advanced 300mm based analog RF, power platforms, displays and other technologies.”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Teleconference and Webcast</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Tower Semiconductor will host an investor conference call today, Monday, August 2, 2021, at 10:00 a.m. Eastern time (9:00 a.m. Central time, 8:00 a.m. Mountain time, 7:00 a.m. Pacific time and 5:00 p.m. Israel time) to discuss the company’s financial results for the second quarter of 2021 and its outlook.</w:t>
      </w:r>
    </w:p>
    <w:p>
      <w:pPr>
        <w:spacing w:after="0" w:line="24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This call will be webcast and can be accessed via Tower Semiconductor’s website at </w:t>
      </w:r>
      <w:r>
        <w:rPr>
          <w:rFonts w:ascii="Arial" w:cs="Arial" w:eastAsia="Arial" w:hAnsi="Arial"/>
          <w:sz w:val="22"/>
          <w:szCs w:val="22"/>
          <w:u w:val="single" w:color="auto"/>
          <w:color w:val="auto"/>
        </w:rPr>
        <w:t>www.towersemi.com</w:t>
      </w:r>
      <w:r>
        <w:rPr>
          <w:rFonts w:ascii="Arial" w:cs="Arial" w:eastAsia="Arial" w:hAnsi="Arial"/>
          <w:sz w:val="22"/>
          <w:szCs w:val="22"/>
          <w:color w:val="auto"/>
        </w:rPr>
        <w:t xml:space="preserve"> or by calling 1-888-642-5032 (U.S. Toll-Free), 03-918-0610 (Israel), +972-3-918-0610 (International). For those who are not available to listen to the live broadcast, the call will be archived on Tower Semiconductor’s website for 90 days.</w:t>
      </w:r>
    </w:p>
    <w:p>
      <w:pPr>
        <w:spacing w:after="0" w:line="23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are non-GAAP financial measures as defined in Regulation G and related reporting requirements promulgated by the Securities and Exchange Commission as they apply to our Company. These adjusted financial measures are calculated excluding one or both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net profit in accordance with GAAP, excluding financing and other income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net cash provided by operating activities (in the amounts of $93 million, $87 million and $67 million for the three months periods ended June 30, 2021, March 31, 2021 and June 30, 2020, respectively) less cash used for investments in property and equipment, net (in the amounts of $56 million, $49 million and $63 million for the three months periods ended June 30, 2021, March 31, 2021 and June 30, 2020,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auto"/>
        </w:rPr>
        <w:t>www.towersemi.com</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press release, including our revenue guidance and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w:t>
      </w:r>
    </w:p>
    <w:p>
      <w:pPr>
        <w:spacing w:after="0" w:line="1" w:lineRule="exact"/>
        <w:rPr>
          <w:sz w:val="20"/>
          <w:szCs w:val="20"/>
          <w:color w:val="auto"/>
        </w:rPr>
      </w:pPr>
    </w:p>
    <w:p>
      <w:pPr>
        <w:jc w:val="both"/>
        <w:ind w:firstLine="8"/>
        <w:spacing w:after="0" w:line="298" w:lineRule="auto"/>
        <w:tabs>
          <w:tab w:leader="none" w:pos="505" w:val="left"/>
        </w:tabs>
        <w:numPr>
          <w:ilvl w:val="0"/>
          <w:numId w:val="2"/>
        </w:numPr>
        <w:rPr>
          <w:rFonts w:ascii="Arial" w:cs="Arial" w:eastAsia="Arial" w:hAnsi="Arial"/>
          <w:sz w:val="19"/>
          <w:szCs w:val="19"/>
          <w:color w:val="auto"/>
        </w:rPr>
      </w:pPr>
      <w:r>
        <w:rPr>
          <w:rFonts w:ascii="Arial" w:cs="Arial" w:eastAsia="Arial" w:hAnsi="Arial"/>
          <w:sz w:val="19"/>
          <w:szCs w:val="19"/>
          <w:color w:val="auto"/>
        </w:rPr>
        <w:t>fluctuations in cash flow, (ix) our ability to satisfy the covenants stipulated in our agreements with our lender banks and bondholders (as of June 30, 2021 we are in compliance with all such covenants included in our banks’ agreements, bond G indenture and others), (x) pending litigation, (xi) new customer engagements, qualification and production ramp-up at our facilities, including TPSCo and the San Antonio facility,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in addition to other previously announced capacity expansion plans ,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w:t>
      </w:r>
    </w:p>
    <w:p>
      <w:pPr>
        <w:sectPr>
          <w:pgSz w:w="11900" w:h="16838" w:orient="portrait"/>
          <w:cols w:equalWidth="0" w:num="1">
            <w:col w:w="11240"/>
          </w:cols>
          <w:pgMar w:left="320" w:top="396" w:right="339" w:bottom="0" w:gutter="0" w:footer="0" w:header="0"/>
        </w:sectPr>
      </w:pPr>
    </w:p>
    <w:bookmarkStart w:id="7" w:name="page8"/>
    <w:bookmarkEnd w:id="7"/>
    <w:p>
      <w:pPr>
        <w:jc w:val="both"/>
        <w:spacing w:after="0" w:line="305" w:lineRule="auto"/>
        <w:rPr>
          <w:sz w:val="20"/>
          <w:szCs w:val="20"/>
          <w:color w:val="auto"/>
        </w:rPr>
      </w:pPr>
      <w:r>
        <w:rPr>
          <w:rFonts w:ascii="Arial" w:cs="Arial" w:eastAsia="Arial" w:hAnsi="Arial"/>
          <w:sz w:val="19"/>
          <w:szCs w:val="19"/>
          <w:color w:val="auto"/>
        </w:rPr>
        <w:t>Agrate fab establishment project, its qualification schedule, customer engagements, cost structure and investment amounts and other terms, which may entail new customer engagements, technology, equipment and process qualification and production facility ramp-up, and which may require additional funding to cover its significant capacity investment needs and other payments, the availability of which funding cannot be assured on favorable terms, if at all; (xxxvi) potential impact on TPSCo and the Company due to the purchase of 49% of TPSCo by NTCJ (previously named PSCS) from Panasonic, (xxxvii) industry and market impact due to the coronavirus and its potential impact on our business, operational continuity, supply chain, revenue and profitability; (xxxviii) potential security, cyber and privacy breaches, and (xxxix) business interruption due to fire and other natural disasters, the security situation in Israel and other events beyond our control such as power interruptions.</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  #</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 w:name="page9"/>
    <w:bookmarkEnd w:id="8"/>
    <w:p>
      <w:pPr>
        <w:jc w:val="center"/>
        <w:ind w:left="340" w:right="2280"/>
        <w:spacing w:after="0" w:line="269" w:lineRule="auto"/>
        <w:rPr>
          <w:sz w:val="20"/>
          <w:szCs w:val="20"/>
          <w:color w:val="auto"/>
        </w:rPr>
      </w:pPr>
      <w:r>
        <w:rPr>
          <w:rFonts w:ascii="Arial" w:cs="Arial" w:eastAsia="Arial" w:hAnsi="Arial"/>
          <w:sz w:val="22"/>
          <w:szCs w:val="22"/>
          <w:b w:val="1"/>
          <w:bCs w:val="1"/>
          <w:color w:val="auto"/>
        </w:rPr>
        <w:t>TOWER SEMICONDUCTOR LTD. AND SUBSIDIARIES CONDENSED CONSOLIDATED BALANCE SHEETS (UNAUDITED)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215,755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215,581</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211,683</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deposits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323,713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307,386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310,230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Marketable securities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189,489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187,027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188,967</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Trade accounts receivable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144,868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164,166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162,100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209,306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197,189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199,126</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27,854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30,810</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1,123,060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1,099,203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1,102,916</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LONG-TERM INVESTMENTS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41,453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40,765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40,699</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859,589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827,230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839,171</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GOODWILL AND INTANGIBLE ASSETS, NET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16,978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17,962</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91,312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92,980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93,401</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2,132,392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2,077,649</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2,094,149</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Short-term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104,062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101,295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106,513</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Trade accounts payable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100,426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85,288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96,940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Deferred revenue and customers' advances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19,608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10,027</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78,411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66,160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59,432</w:t>
            </w:r>
          </w:p>
        </w:tc>
      </w:tr>
      <w:tr>
        <w:trPr>
          <w:trHeight w:val="216"/>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302,507</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273,557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272,912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234,500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241,634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283,765</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32,047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33,971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25,451</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EMPLOYEE RELATED LIABILITIES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15,958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15,833</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LIABILITIES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29,771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35,011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41,286</w:t>
            </w: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614,783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599,620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639,247</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1,517,609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1,478,029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1,454,902</w:t>
            </w: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2,132,392</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2,077,649</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2,094,149</w:t>
            </w:r>
          </w:p>
        </w:tc>
      </w:tr>
      <w:tr>
        <w:trPr>
          <w:trHeight w:val="419"/>
        </w:trPr>
        <w:tc>
          <w:tcPr>
            <w:tcW w:w="73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9" w:name="page10"/>
    <w:bookmarkEnd w:id="9"/>
    <w:p>
      <w:pPr>
        <w:jc w:val="center"/>
        <w:spacing w:after="0" w:line="269" w:lineRule="auto"/>
        <w:rPr>
          <w:sz w:val="20"/>
          <w:szCs w:val="20"/>
          <w:color w:val="auto"/>
        </w:rPr>
      </w:pPr>
      <w:r>
        <w:rPr>
          <w:rFonts w:ascii="Arial" w:cs="Arial" w:eastAsia="Arial" w:hAnsi="Arial"/>
          <w:sz w:val="22"/>
          <w:szCs w:val="22"/>
          <w:b w:val="1"/>
          <w:bCs w:val="1"/>
          <w:color w:val="auto"/>
        </w:rPr>
        <w:t>TOWER SEMICONDUCTOR LTD. AND SUBSIDIARIES CONDENSED CONSOLIDATED STATEMENTS OF OPERATIONS (UNAUDITED) (dollars and share count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362,138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347,214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310,090</w:t>
            </w: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288,383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277,400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252,385</w:t>
            </w: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73,755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69,814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57,705</w:t>
            </w: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19,424</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18,671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16,991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16,154</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39,752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37,334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35,578</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34,003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32,480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22,127</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(484)</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(7,842)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1,831</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33,519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24,638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23,958</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(2,202)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5,876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(2,484)</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31,317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30,514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21,474</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(2,192)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(2,422)</w:t>
            </w:r>
          </w:p>
        </w:tc>
      </w:tr>
      <w:tr>
        <w:trPr>
          <w:trHeight w:val="25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30,866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28,322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0.18</w:t>
            </w:r>
          </w:p>
        </w:tc>
      </w:tr>
      <w:tr>
        <w:trPr>
          <w:trHeight w:val="210"/>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108,043</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107,940</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106,956</w:t>
            </w:r>
          </w:p>
        </w:tc>
      </w:tr>
      <w:tr>
        <w:trPr>
          <w:trHeight w:val="210"/>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0.28</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0.18</w:t>
            </w:r>
          </w:p>
        </w:tc>
      </w:tr>
      <w:tr>
        <w:trPr>
          <w:trHeight w:val="209"/>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109,629</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109,462</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108,277</w:t>
            </w:r>
          </w:p>
        </w:tc>
      </w:tr>
      <w:tr>
        <w:trPr>
          <w:trHeight w:val="210"/>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NET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28,322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19,052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3,795</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493</w:t>
            </w: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37,329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33,719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23,340</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ADJUSTED EARNINGS PER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0.22</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0.22</w:t>
            </w: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line="269" w:lineRule="auto"/>
        <w:rPr>
          <w:sz w:val="20"/>
          <w:szCs w:val="20"/>
          <w:color w:val="auto"/>
        </w:rPr>
      </w:pPr>
      <w:r>
        <w:rPr>
          <w:rFonts w:ascii="Arial" w:cs="Arial" w:eastAsia="Arial" w:hAnsi="Arial"/>
          <w:sz w:val="22"/>
          <w:szCs w:val="22"/>
          <w:b w:val="1"/>
          <w:bCs w:val="1"/>
          <w:color w:val="auto"/>
        </w:rPr>
        <w:t>TOWER SEMICONDUCTOR LTD. AND SUBSIDIARIES CONDENSED CONSOLIDATED STATEMENTS OF OPERATIONS (UNAUDITED) (dollars and share count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7"/>
              </w:rPr>
              <w:t>S i x  m o n t h s  e n d e d</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709,352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610,261</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565,783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143,569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110,248</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38,838</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35,662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32,845</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77,086</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71,683</w:t>
            </w:r>
          </w:p>
        </w:tc>
        <w:tc>
          <w:tcPr>
            <w:tcW w:w="100" w:type="dxa"/>
            <w:vAlign w:val="bottom"/>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66,483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38,565</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AND OTHER EXPENSE, NET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(8,326)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(282)</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58,157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38,283</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3,674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(778)</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PROFIT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61,831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37,505</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(2,643)</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(1,433)</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59,188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36,072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107,992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106,885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109,545</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108,213</w:t>
            </w:r>
          </w:p>
        </w:tc>
      </w:tr>
      <w:tr>
        <w:trPr>
          <w:trHeight w:val="210"/>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NET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59,188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36,072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10,877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8,338</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71,048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45,213</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ADJUSTED EARNINGS PER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0.65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0.42</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line="278" w:lineRule="auto"/>
        <w:rPr>
          <w:sz w:val="20"/>
          <w:szCs w:val="20"/>
          <w:color w:val="auto"/>
        </w:rPr>
      </w:pPr>
      <w:r>
        <w:rPr>
          <w:rFonts w:ascii="Arial" w:cs="Arial" w:eastAsia="Arial" w:hAnsi="Arial"/>
          <w:sz w:val="22"/>
          <w:szCs w:val="22"/>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gridSpan w:val="10"/>
          </w:tcPr>
          <w:p>
            <w:pPr>
              <w:jc w:val="center"/>
              <w:ind w:right="30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OPERATING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34,003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22,127</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Depreciation of fixed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58,474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56,624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55,175</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4,906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3,795</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491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493</w:t>
            </w: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98,940</w:t>
            </w:r>
          </w:p>
        </w:tc>
        <w:tc>
          <w:tcPr>
            <w:tcW w:w="2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94,501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81,590</w:t>
            </w: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6"/>
          </w:tcPr>
          <w:p>
            <w:pPr>
              <w:ind w:left="20"/>
              <w:spacing w:after="0"/>
              <w:rPr>
                <w:sz w:val="20"/>
                <w:szCs w:val="20"/>
                <w:color w:val="auto"/>
              </w:rPr>
            </w:pPr>
            <w:r>
              <w:rPr>
                <w:rFonts w:ascii="Arial" w:cs="Arial" w:eastAsia="Arial" w:hAnsi="Arial"/>
                <w:sz w:val="18"/>
                <w:szCs w:val="18"/>
                <w:b w:val="1"/>
                <w:bCs w:val="1"/>
                <w:color w:val="auto"/>
              </w:rPr>
              <w:t>S i x  m o n t h s  e n d e d</w:t>
            </w: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PROFIT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66,483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38,565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Depreciation of fixed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115,098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106,659</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 based compensation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8,338</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Amortization of acquired intangible assets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983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193,441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154,365</w:t>
            </w:r>
          </w:p>
        </w:tc>
      </w:tr>
      <w:tr>
        <w:trPr>
          <w:trHeight w:val="20"/>
        </w:trPr>
        <w:tc>
          <w:tcPr>
            <w:tcW w:w="7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9" w:right="339" w:bottom="1440" w:gutter="0" w:footer="0" w:header="0"/>
        </w:sectPr>
      </w:pPr>
    </w:p>
    <w:bookmarkStart w:id="12" w:name="page13"/>
    <w:bookmarkEnd w:id="12"/>
    <w:p>
      <w:pPr>
        <w:jc w:val="center"/>
        <w:ind w:left="340" w:right="2420"/>
        <w:spacing w:after="0" w:line="269" w:lineRule="auto"/>
        <w:rPr>
          <w:sz w:val="20"/>
          <w:szCs w:val="20"/>
          <w:color w:val="auto"/>
        </w:rPr>
      </w:pPr>
      <w:r>
        <w:rPr>
          <w:rFonts w:ascii="Arial" w:cs="Arial" w:eastAsia="Arial" w:hAnsi="Arial"/>
          <w:sz w:val="22"/>
          <w:szCs w:val="22"/>
          <w:b w:val="1"/>
          <w:bCs w:val="1"/>
          <w:color w:val="auto"/>
        </w:rPr>
        <w:t>TOWER SEMICONDUCTOR LTD. AND SUBSIDIARIES CONSOLIDATED SOURCES AND USES REPORT (UNAUDITED)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5"/>
              </w:rPr>
              <w:t>T h r e e  m o n t h s  e n d e d</w:t>
            </w:r>
          </w:p>
        </w:tc>
      </w:tr>
      <w:tr>
        <w:trPr>
          <w:trHeight w:val="223"/>
        </w:trPr>
        <w:tc>
          <w:tcPr>
            <w:tcW w:w="7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215,581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211,683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251,348</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93,250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87,413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66,603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(56,184)</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(62,537)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1,127</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(19,769)</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(5,000)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(17,055)</w:t>
            </w: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6,570</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215,755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215,581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258,793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6"/>
              </w:rPr>
              <w:t>S i x   m o n t h s   e n d e 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4"/>
          </w:tcPr>
          <w:p>
            <w:pPr>
              <w:jc w:val="center"/>
              <w:ind w:right="3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211,683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355,561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180,663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134,939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(105,599)</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(125,444)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(49,144)</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(29,197)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(3,546)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(18,666)</w:t>
            </w: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(78,786)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215,755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258,793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6" w:right="339" w:bottom="1440" w:gutter="0" w:footer="0" w:header="0"/>
        </w:sectPr>
      </w:pPr>
    </w:p>
    <w:bookmarkStart w:id="13" w:name="page14"/>
    <w:bookmarkEnd w:id="13"/>
    <w:p>
      <w:pPr>
        <w:jc w:val="center"/>
        <w:spacing w:after="0" w:line="269" w:lineRule="auto"/>
        <w:rPr>
          <w:sz w:val="20"/>
          <w:szCs w:val="20"/>
          <w:color w:val="auto"/>
        </w:rPr>
      </w:pPr>
      <w:r>
        <w:rPr>
          <w:rFonts w:ascii="Arial" w:cs="Arial" w:eastAsia="Arial" w:hAnsi="Arial"/>
          <w:sz w:val="22"/>
          <w:szCs w:val="22"/>
          <w:b w:val="1"/>
          <w:bCs w:val="1"/>
          <w:color w:val="auto"/>
        </w:rPr>
        <w:t>TOWER SEMICONDUCTOR LTD. AND SUBSIDIARIES CONDENSED CONSOLIDATED STATEMENTS OF CASH FLOWS (UNAUDITED)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S i x  m o n t h s  e n d e d</w:t>
            </w:r>
          </w:p>
        </w:tc>
        <w:tc>
          <w:tcPr>
            <w:tcW w:w="160" w:type="dxa"/>
            <w:vAlign w:val="bottom"/>
          </w:tcPr>
          <w:p>
            <w:pPr>
              <w:spacing w:after="0"/>
              <w:rPr>
                <w:sz w:val="20"/>
                <w:szCs w:val="20"/>
                <w:color w:val="auto"/>
              </w:rPr>
            </w:pPr>
          </w:p>
        </w:tc>
        <w:tc>
          <w:tcPr>
            <w:tcW w:w="370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6"/>
              </w:rPr>
              <w:t>T h r e e  m o n t h s  e n d e d</w:t>
            </w:r>
          </w:p>
        </w:tc>
      </w:tr>
      <w:tr>
        <w:trPr>
          <w:trHeight w:val="223"/>
        </w:trPr>
        <w:tc>
          <w:tcPr>
            <w:tcW w:w="4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June 30,</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23"/>
        </w:trPr>
        <w:tc>
          <w:tcPr>
            <w:tcW w:w="4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for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61,831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37,505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31,317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30,514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21,474</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b w:val="1"/>
                <w:bCs w:val="1"/>
                <w:color w:val="auto"/>
                <w:w w:val="91"/>
              </w:rPr>
              <w:t>Income and expense items not involving cash flows: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127,535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117,299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65,482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62,053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60,268</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w w:val="92"/>
              </w:rPr>
              <w:t>Effect of exchange rate differences on debentures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(1,994)</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(910)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1,798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(3,792)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3,159</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expense (income),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(3,227)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(876)</w:t>
            </w: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b w:val="1"/>
                <w:bCs w:val="1"/>
                <w:color w:val="auto"/>
              </w:rPr>
              <w:t>Changes in assets and 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Trade accounts receivable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12,722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18,996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(12,981)</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(8,983)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5,122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(16,065)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7,082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(1,998)</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Inventories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(15,484)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(17,380)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(11,209)</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Trade accounts payable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(14,568)</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(12,950)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(5,302)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(9,266)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(6,751)</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Deferred revenue and customers' advances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16,207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(1,927)</w:t>
            </w:r>
          </w:p>
        </w:tc>
      </w:tr>
      <w:tr>
        <w:trPr>
          <w:trHeight w:val="216"/>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rPr>
              <w:t>Other current liabilities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19,696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10,729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13,977</w:t>
            </w:r>
          </w:p>
        </w:tc>
      </w:tr>
      <w:tr>
        <w:trPr>
          <w:trHeight w:val="216"/>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Long-term employee related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2,109</w:t>
            </w:r>
          </w:p>
        </w:tc>
      </w:tr>
      <w:tr>
        <w:trPr>
          <w:trHeight w:val="223"/>
        </w:trPr>
        <w:tc>
          <w:tcPr>
            <w:tcW w:w="4620" w:type="dxa"/>
            <w:vAlign w:val="bottom"/>
          </w:tcPr>
          <w:p>
            <w:pPr>
              <w:ind w:left="660"/>
              <w:spacing w:after="0"/>
              <w:rPr>
                <w:sz w:val="20"/>
                <w:szCs w:val="20"/>
                <w:color w:val="auto"/>
              </w:rPr>
            </w:pPr>
            <w:r>
              <w:rPr>
                <w:rFonts w:ascii="Arial" w:cs="Arial" w:eastAsia="Arial" w:hAnsi="Arial"/>
                <w:sz w:val="18"/>
                <w:szCs w:val="18"/>
                <w:b w:val="1"/>
                <w:bCs w:val="1"/>
                <w:color w:val="auto"/>
                <w:w w:val="98"/>
              </w:rPr>
              <w:t>Deferred tax, net and other long-term liabilities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(13,212)</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(1,870)</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(2,383)</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(10,829)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1,358</w:t>
            </w:r>
          </w:p>
        </w:tc>
      </w:tr>
      <w:tr>
        <w:trPr>
          <w:trHeight w:val="223"/>
        </w:trPr>
        <w:tc>
          <w:tcPr>
            <w:tcW w:w="4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180,663</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134,939</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93,250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87,413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(105,599)</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(125,444)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(56,184)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(49,415)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(62,537)</w:t>
            </w:r>
          </w:p>
        </w:tc>
      </w:tr>
      <w:tr>
        <w:trPr>
          <w:trHeight w:val="198"/>
        </w:trPr>
        <w:tc>
          <w:tcPr>
            <w:tcW w:w="462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0"/>
              </w:rPr>
              <w:t>Investments in deposits, marketable securities and other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assets, net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(18,666)</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(78,786)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(17,055)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(1,611)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6,570</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(124,265)</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(204,230)</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(73,239)</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(51,026)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(55,967)</w:t>
            </w:r>
          </w:p>
        </w:tc>
      </w:tr>
      <w:tr>
        <w:trPr>
          <w:trHeight w:val="216"/>
        </w:trPr>
        <w:tc>
          <w:tcPr>
            <w:tcW w:w="4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(49,144)</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(29,197)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(19,769)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(29,375)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(5,000)</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1,127</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8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(48,780)</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(27,983)</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(19,769)</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(29,011)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(3,873)</w:t>
            </w:r>
          </w:p>
        </w:tc>
      </w:tr>
      <w:tr>
        <w:trPr>
          <w:trHeight w:val="216"/>
        </w:trPr>
        <w:tc>
          <w:tcPr>
            <w:tcW w:w="4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Arial" w:cs="Arial" w:eastAsia="Arial" w:hAnsi="Arial"/>
                <w:sz w:val="18"/>
                <w:szCs w:val="18"/>
                <w:b w:val="1"/>
                <w:bCs w:val="1"/>
                <w:color w:val="auto"/>
              </w:rPr>
              <w:t>EFFECT OF FOREIGN CURRENCY EXCHANGE</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RATE CHANGE</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(3,546)</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506</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(3,478)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682</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20" w:type="dxa"/>
            <w:vAlign w:val="bottom"/>
          </w:tcPr>
          <w:p>
            <w:pPr>
              <w:spacing w:after="0" w:line="198" w:lineRule="exact"/>
              <w:rPr>
                <w:sz w:val="20"/>
                <w:szCs w:val="20"/>
                <w:color w:val="auto"/>
              </w:rPr>
            </w:pPr>
            <w:r>
              <w:rPr>
                <w:rFonts w:ascii="Arial" w:cs="Arial" w:eastAsia="Arial" w:hAnsi="Arial"/>
                <w:sz w:val="18"/>
                <w:szCs w:val="18"/>
                <w:b w:val="1"/>
                <w:bCs w:val="1"/>
                <w:color w:val="auto"/>
              </w:rPr>
              <w:t>INCREASE (DECREASE) IN CASH AND CASH</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EQUIVALENTS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(96,768)</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3,898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7,445</w:t>
            </w:r>
          </w:p>
        </w:tc>
      </w:tr>
      <w:tr>
        <w:trPr>
          <w:trHeight w:val="198"/>
        </w:trPr>
        <w:tc>
          <w:tcPr>
            <w:tcW w:w="4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211,683</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355,561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215,581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211,683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251,348</w:t>
            </w:r>
          </w:p>
        </w:tc>
      </w:tr>
      <w:tr>
        <w:trPr>
          <w:trHeight w:val="216"/>
        </w:trPr>
        <w:tc>
          <w:tcPr>
            <w:tcW w:w="4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215,755</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258,793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215,755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215,581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258,793</w:t>
            </w:r>
          </w:p>
        </w:tc>
      </w:tr>
      <w:tr>
        <w:trPr>
          <w:trHeight w:val="345"/>
        </w:trPr>
        <w:tc>
          <w:tcPr>
            <w:tcW w:w="46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4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2021-08-02T06:02:35Z</dcterms:created>
  <dcterms:modified xsi:type="dcterms:W3CDTF">2021-08-02T06:02:35Z</dcterms:modified>
</cp:coreProperties>
</file>