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154940</wp:posOffset>
            </wp:positionH>
            <wp:positionV relativeFrom="page">
              <wp:posOffset>112395</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FORM 6-K</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October 2010 No. 4</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0"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0" w:lineRule="exact"/>
        <w:rPr>
          <w:sz w:val="24"/>
          <w:szCs w:val="24"/>
          <w:color w:val="auto"/>
        </w:rPr>
      </w:pPr>
    </w:p>
    <w:p>
      <w:pPr>
        <w:ind w:firstLine="645"/>
        <w:spacing w:after="0" w:line="27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8" w:lineRule="exact"/>
        <w:rPr>
          <w:sz w:val="24"/>
          <w:szCs w:val="24"/>
          <w:color w:val="auto"/>
        </w:rPr>
      </w:pPr>
    </w:p>
    <w:p>
      <w:pPr>
        <w:ind w:left="504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1400"/>
          </w:cols>
          <w:pgMar w:left="240" w:top="30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October 18, 2010 the registrant announces Entropic Communications Strengthens Partnership with TowerJazz.</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436245</wp:posOffset>
            </wp:positionV>
            <wp:extent cx="725106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9660"/>
          </w:cols>
          <w:pgMar w:left="900" w:top="488" w:right="13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18, 2010</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13970</wp:posOffset>
            </wp:positionV>
            <wp:extent cx="26803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0335" cy="1714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549275</wp:posOffset>
            </wp:positionV>
            <wp:extent cx="725106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0880"/>
          </w:cols>
          <w:pgMar w:left="240" w:top="511" w:right="77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25"/>
          <w:szCs w:val="25"/>
          <w:b w:val="1"/>
          <w:bCs w:val="1"/>
          <w:color w:val="auto"/>
        </w:rPr>
        <w:t>Entropic Communications Strengthens Partnership with TowerJazz</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Expanded Supplier Agreement Enables Business Growth in Entropic’s Satellite</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Outdoor Unit and Silicon TV Tuner Product Lines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SAN DIEGO, and NEWPORT BEACH, Calif., October 18, 2010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Entropic Communications,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ENTR</w:t>
      </w:r>
      <w:r>
        <w:rPr>
          <w:rFonts w:ascii="Arial" w:cs="Arial" w:eastAsia="Arial" w:hAnsi="Arial"/>
          <w:sz w:val="18"/>
          <w:szCs w:val="18"/>
          <w:color w:val="auto"/>
        </w:rPr>
        <w:t>), a leading provider of silicon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software solutions that enable connected home entertainment, and </w:t>
      </w:r>
      <w:r>
        <w:rPr>
          <w:rFonts w:ascii="Arial" w:cs="Arial" w:eastAsia="Arial" w:hAnsi="Arial"/>
          <w:sz w:val="18"/>
          <w:szCs w:val="18"/>
          <w:u w:val="single" w:color="auto"/>
          <w:color w:val="auto"/>
        </w:rPr>
        <w:t>TowerJazz</w:t>
      </w:r>
      <w:r>
        <w:rPr>
          <w:rFonts w:ascii="Arial" w:cs="Arial" w:eastAsia="Arial" w:hAnsi="Arial"/>
          <w:sz w:val="18"/>
          <w:szCs w:val="18"/>
          <w:color w:val="auto"/>
        </w:rPr>
        <w:t xml:space="preserve"> (NASDAQ: </w:t>
      </w:r>
      <w:r>
        <w:rPr>
          <w:rFonts w:ascii="Arial" w:cs="Arial" w:eastAsia="Arial" w:hAnsi="Arial"/>
          <w:sz w:val="18"/>
          <w:szCs w:val="18"/>
          <w:u w:val="single" w:color="auto"/>
          <w:color w:val="auto"/>
        </w:rPr>
        <w:t>TSEM</w:t>
      </w:r>
      <w:r>
        <w:rPr>
          <w:rFonts w:ascii="Arial" w:cs="Arial" w:eastAsia="Arial" w:hAnsi="Arial"/>
          <w:sz w:val="18"/>
          <w:szCs w:val="18"/>
          <w:color w:val="auto"/>
        </w:rPr>
        <w:t xml:space="preserve">, TASE: TSEM), the global specialty foundry leader, today announced an expanded supplier capacity agreement that provides enhanced supply predictability and upside flexibility to support Entropic’s </w:t>
      </w:r>
      <w:r>
        <w:rPr>
          <w:rFonts w:ascii="Arial" w:cs="Arial" w:eastAsia="Arial" w:hAnsi="Arial"/>
          <w:sz w:val="18"/>
          <w:szCs w:val="18"/>
          <w:u w:val="single" w:color="auto"/>
          <w:color w:val="auto"/>
        </w:rPr>
        <w:t>Direct Broadcast</w:t>
      </w:r>
      <w:r>
        <w:rPr>
          <w:rFonts w:ascii="Arial" w:cs="Arial" w:eastAsia="Arial" w:hAnsi="Arial"/>
          <w:sz w:val="18"/>
          <w:szCs w:val="18"/>
          <w:color w:val="auto"/>
        </w:rPr>
        <w:t xml:space="preserve"> </w:t>
      </w:r>
      <w:r>
        <w:rPr>
          <w:rFonts w:ascii="Arial" w:cs="Arial" w:eastAsia="Arial" w:hAnsi="Arial"/>
          <w:sz w:val="18"/>
          <w:szCs w:val="18"/>
          <w:u w:val="single" w:color="auto"/>
          <w:color w:val="auto"/>
        </w:rPr>
        <w:t>Satellite (DBS)</w:t>
      </w:r>
      <w:r>
        <w:rPr>
          <w:rFonts w:ascii="Arial" w:cs="Arial" w:eastAsia="Arial" w:hAnsi="Arial"/>
          <w:sz w:val="18"/>
          <w:szCs w:val="18"/>
          <w:color w:val="auto"/>
        </w:rPr>
        <w:t xml:space="preserve"> and TV tuner product lines.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expanded agreement assures high-volume production for Entropic’s family of outdoor unit (ODU) silicon, which comprises both its </w:t>
      </w:r>
      <w:r>
        <w:rPr>
          <w:rFonts w:ascii="Arial" w:cs="Arial" w:eastAsia="Arial" w:hAnsi="Arial"/>
          <w:sz w:val="18"/>
          <w:szCs w:val="18"/>
          <w:u w:val="single" w:color="auto"/>
          <w:color w:val="auto"/>
        </w:rPr>
        <w:t>Channel Stacking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Switch (CSS)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Band Translation Switch (BTS)</w:t>
      </w:r>
      <w:r>
        <w:rPr>
          <w:rFonts w:ascii="Arial" w:cs="Arial" w:eastAsia="Arial" w:hAnsi="Arial"/>
          <w:sz w:val="18"/>
          <w:szCs w:val="18"/>
          <w:color w:val="auto"/>
        </w:rPr>
        <w:t xml:space="preserve"> products, as well as its multi-mode silicon TV tuner products.</w:t>
      </w:r>
    </w:p>
    <w:p>
      <w:pPr>
        <w:spacing w:after="0" w:line="19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Entropic’s ODU technologies create a single cable network that reduce cost and installation complexity for DBS operators; allowing for remote upgrades, support for the distribution of high definition (HD) quality content, and prepare operator systems to further expand home networking application offerings. TowerJazz will also expand its manufacturing capacity to support Entropic’s family of multi-mode silicon TV tuner solutions, which aim to replace high volume can tuners in support of worldwide standards for delivering high performance digital TV (DTV) in cable/terrestrial set-top box (STB) products.</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“TowerJazz has been a strategic supplier to Entropic for many years and as a result, we have been able to address the demanding performance requirements of today’s rapidly growing home entertainment market,” said Mike Farese, Senior Vice President, Operations &amp; Engineering, Entropic. “Due to the increase in the volume of production for our DBS ODU and tuner products, we entered into a new supply agreement with TowerJazz to meet the expanding needs of our customers. The foundry’s advanced process, models, and support have been key in helping us achieve specific product goals.”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“TowerJazz is pleased to build on the partnership with a market leader such as Entropic that continues to leverage our </w:t>
      </w:r>
      <w:r>
        <w:rPr>
          <w:rFonts w:ascii="Arial" w:cs="Arial" w:eastAsia="Arial" w:hAnsi="Arial"/>
          <w:sz w:val="16"/>
          <w:szCs w:val="16"/>
          <w:u w:val="single" w:color="auto"/>
          <w:color w:val="auto"/>
        </w:rPr>
        <w:t>BiCMOS</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RF CMOS</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technology and design enablement to deliver timely and innovative solutions for ODU and TV tuning technologies,” said Marco Racanelli, Senior Vice President and General Manager, RF and High Performance Analog Business Group, TowerJazz. “With the addition of a long term supply agreement and planned multi-fab sourcing at TowerJazz’s various geographic regions, we are jointly poised t o take advantage of the strong growth anticipated for these products and look forward to supporting Entropic and its customers as they continue to improve the way multimedia is delivered into and enjoyed throughout the home.”</w:t>
      </w:r>
    </w:p>
    <w:p>
      <w:pPr>
        <w:spacing w:after="0" w:line="205"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As part of the agreement, TowerJazz will expand its wafer fabrication capacity at its Newport Beach, CA facility for Entropic products, and will also support a program to achieve greater production of Entropic’s ODU and silicon TV tuner products at its production facility in Migdal Haemek,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373380</wp:posOffset>
            </wp:positionV>
            <wp:extent cx="725106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1420"/>
          </w:cols>
          <w:pgMar w:left="240" w:top="74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Tower Semiconductor Ltd. (NASDAQ: TSEM,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 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Entropic Communications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Entropic Communications, Inc. (NASDAQ:ENTR) is a leading fabless semiconductor company that is engineering the future of connected home networking and entertainment by providing next-generation silicon and software technologies to the world's leading cable, telco and satellite service providers, OEMs and consumer electronics manufacturers. As a co-founder of MoCA (Multimedia over Coax Alliance), Entropic pioneered and continues to evolve the way high-definition television-quality video and other multimedia and digital content such as movies, music, games and photos are brought into and delivered throughout the home. For more information, visit Entropic at </w:t>
      </w:r>
      <w:r>
        <w:rPr>
          <w:rFonts w:ascii="Arial" w:cs="Arial" w:eastAsia="Arial" w:hAnsi="Arial"/>
          <w:sz w:val="18"/>
          <w:szCs w:val="18"/>
          <w:u w:val="single" w:color="auto"/>
          <w:color w:val="auto"/>
        </w:rPr>
        <w:t>www.entropic.com</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Statements in this press release that are not strictly historical in nature constitute "forward-looking statements." Such statements include, but are not limited to, statements regarding Entropic’s technology, it prospects and its role in the future of home networking, Such forward-looking statements involve known and unknown risks, uncertainties and other factors which may cause Entropic and/or Tower and/or Jazz’s actual results to be materially different from historical results or from any results expressed or implied by such forward-looking statements. With respect to Entropic, these factors include, but are not limited to, competition, risks associated with Entropic’s dependence on a limited number of suppliers, technology risks, the risk that the market for HD video and multimedia content delivery solutions may n ot develop as the Company anticipates and other factors discussed in the "Risk Factors" section of Entropic's Quarterly Report on Form 10-Q for the three months ended June 30, 2010. With respect to Tower and Jazz,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All forward-looking statements are qualified in their entirety by this cautionary statement. Entropic, Tower and Jazz are providing this information as of the date of this release and do not intend to update, and expressly disclaim any obligation to update any forward- looking statements contained in this release as a result of new information, future events or otherwise.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Editors Note:</w:t>
      </w:r>
    </w:p>
    <w:p>
      <w:pPr>
        <w:spacing w:after="0" w:line="198"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Definition for BiCMOS: Bi-polar complementary metal–oxide–semiconductor</w:t>
      </w: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Definition for RF CMOS: Radio frequency complementary metal–oxide–semiconductor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364490</wp:posOffset>
            </wp:positionV>
            <wp:extent cx="725106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b w:val="1"/>
                <w:bCs w:val="1"/>
                <w:color w:val="auto"/>
                <w:w w:val="91"/>
              </w:rPr>
              <w:t>For TowerJazz</w:t>
            </w:r>
          </w:p>
        </w:tc>
        <w:tc>
          <w:tcPr>
            <w:tcW w:w="4860" w:type="dxa"/>
            <w:vAlign w:val="bottom"/>
            <w:gridSpan w:val="4"/>
          </w:tcPr>
          <w:p>
            <w:pPr>
              <w:spacing w:after="0"/>
              <w:rPr>
                <w:sz w:val="17"/>
                <w:szCs w:val="17"/>
                <w:color w:val="auto"/>
              </w:rPr>
            </w:pPr>
          </w:p>
        </w:tc>
        <w:tc>
          <w:tcPr>
            <w:tcW w:w="5400" w:type="dxa"/>
            <w:vAlign w:val="bottom"/>
            <w:gridSpan w:val="4"/>
          </w:tcPr>
          <w:p>
            <w:pPr>
              <w:ind w:left="20"/>
              <w:spacing w:after="0"/>
              <w:rPr>
                <w:sz w:val="20"/>
                <w:szCs w:val="20"/>
                <w:color w:val="auto"/>
              </w:rPr>
            </w:pPr>
            <w:r>
              <w:rPr>
                <w:rFonts w:ascii="Arial" w:cs="Arial" w:eastAsia="Arial" w:hAnsi="Arial"/>
                <w:sz w:val="18"/>
                <w:szCs w:val="18"/>
                <w:b w:val="1"/>
                <w:bCs w:val="1"/>
                <w:color w:val="auto"/>
              </w:rPr>
              <w:t>For Entropic</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20" w:type="dxa"/>
            <w:vAlign w:val="bottom"/>
            <w:gridSpan w:val="5"/>
          </w:tcPr>
          <w:p>
            <w:pPr>
              <w:spacing w:after="0"/>
              <w:rPr>
                <w:sz w:val="20"/>
                <w:szCs w:val="20"/>
                <w:color w:val="auto"/>
              </w:rPr>
            </w:pPr>
            <w:r>
              <w:rPr>
                <w:rFonts w:ascii="Arial" w:cs="Arial" w:eastAsia="Arial" w:hAnsi="Arial"/>
                <w:sz w:val="18"/>
                <w:szCs w:val="18"/>
                <w:b w:val="1"/>
                <w:bCs w:val="1"/>
                <w:color w:val="auto"/>
              </w:rPr>
              <w:t>Company Contact:</w:t>
            </w:r>
          </w:p>
        </w:tc>
        <w:tc>
          <w:tcPr>
            <w:tcW w:w="5400" w:type="dxa"/>
            <w:vAlign w:val="bottom"/>
            <w:gridSpan w:val="4"/>
          </w:tcPr>
          <w:p>
            <w:pPr>
              <w:ind w:left="20"/>
              <w:spacing w:after="0"/>
              <w:rPr>
                <w:sz w:val="20"/>
                <w:szCs w:val="20"/>
                <w:color w:val="auto"/>
              </w:rPr>
            </w:pPr>
            <w:r>
              <w:rPr>
                <w:rFonts w:ascii="Arial" w:cs="Arial" w:eastAsia="Arial" w:hAnsi="Arial"/>
                <w:sz w:val="18"/>
                <w:szCs w:val="18"/>
                <w:b w:val="1"/>
                <w:bCs w:val="1"/>
                <w:color w:val="auto"/>
              </w:rPr>
              <w:t>Investor Contact:</w:t>
            </w:r>
          </w:p>
        </w:tc>
        <w:tc>
          <w:tcPr>
            <w:tcW w:w="0" w:type="dxa"/>
            <w:vAlign w:val="bottom"/>
          </w:tcPr>
          <w:p>
            <w:pPr>
              <w:spacing w:after="0"/>
              <w:rPr>
                <w:sz w:val="1"/>
                <w:szCs w:val="1"/>
                <w:color w:val="auto"/>
              </w:rPr>
            </w:pPr>
          </w:p>
        </w:tc>
      </w:tr>
      <w:tr>
        <w:trPr>
          <w:trHeight w:val="215"/>
        </w:trPr>
        <w:tc>
          <w:tcPr>
            <w:tcW w:w="6020" w:type="dxa"/>
            <w:vAlign w:val="bottom"/>
            <w:gridSpan w:val="5"/>
          </w:tcPr>
          <w:p>
            <w:pPr>
              <w:spacing w:after="0"/>
              <w:rPr>
                <w:sz w:val="20"/>
                <w:szCs w:val="20"/>
                <w:color w:val="auto"/>
              </w:rPr>
            </w:pPr>
            <w:r>
              <w:rPr>
                <w:rFonts w:ascii="Arial" w:cs="Arial" w:eastAsia="Arial" w:hAnsi="Arial"/>
                <w:sz w:val="18"/>
                <w:szCs w:val="18"/>
                <w:color w:val="auto"/>
              </w:rPr>
              <w:t>Melinda Jarrell</w:t>
            </w:r>
          </w:p>
        </w:tc>
        <w:tc>
          <w:tcPr>
            <w:tcW w:w="5400" w:type="dxa"/>
            <w:vAlign w:val="bottom"/>
            <w:gridSpan w:val="4"/>
          </w:tcPr>
          <w:p>
            <w:pPr>
              <w:ind w:left="20"/>
              <w:spacing w:after="0"/>
              <w:rPr>
                <w:sz w:val="20"/>
                <w:szCs w:val="20"/>
                <w:color w:val="auto"/>
              </w:rPr>
            </w:pPr>
            <w:r>
              <w:rPr>
                <w:rFonts w:ascii="Arial" w:cs="Arial" w:eastAsia="Arial" w:hAnsi="Arial"/>
                <w:sz w:val="18"/>
                <w:szCs w:val="18"/>
                <w:color w:val="auto"/>
              </w:rPr>
              <w:t>Debra Hart</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20"/>
                <w:szCs w:val="20"/>
                <w:color w:val="auto"/>
              </w:rPr>
            </w:pPr>
            <w:r>
              <w:rPr>
                <w:rFonts w:ascii="Arial" w:cs="Arial" w:eastAsia="Arial" w:hAnsi="Arial"/>
                <w:sz w:val="18"/>
                <w:szCs w:val="18"/>
                <w:color w:val="auto"/>
              </w:rPr>
              <w:t>949/435-8181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400" w:type="dxa"/>
            <w:vAlign w:val="bottom"/>
            <w:gridSpan w:val="4"/>
          </w:tcPr>
          <w:p>
            <w:pPr>
              <w:ind w:left="20"/>
              <w:spacing w:after="0"/>
              <w:rPr>
                <w:sz w:val="20"/>
                <w:szCs w:val="20"/>
                <w:color w:val="auto"/>
              </w:rPr>
            </w:pPr>
            <w:r>
              <w:rPr>
                <w:rFonts w:ascii="Arial" w:cs="Arial" w:eastAsia="Arial" w:hAnsi="Arial"/>
                <w:sz w:val="18"/>
                <w:szCs w:val="18"/>
                <w:color w:val="auto"/>
              </w:rPr>
              <w:t>Director, Investor Relations</w:t>
            </w:r>
          </w:p>
        </w:tc>
        <w:tc>
          <w:tcPr>
            <w:tcW w:w="0" w:type="dxa"/>
            <w:vAlign w:val="bottom"/>
          </w:tcPr>
          <w:p>
            <w:pPr>
              <w:spacing w:after="0"/>
              <w:rPr>
                <w:sz w:val="1"/>
                <w:szCs w:val="1"/>
                <w:color w:val="auto"/>
              </w:rPr>
            </w:pPr>
          </w:p>
        </w:tc>
      </w:tr>
      <w:tr>
        <w:trPr>
          <w:trHeight w:val="189"/>
        </w:trPr>
        <w:tc>
          <w:tcPr>
            <w:tcW w:w="228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8"/>
                <w:szCs w:val="18"/>
                <w:color w:val="auto"/>
                <w:w w:val="92"/>
              </w:rPr>
              <w:t>melinda.jarrell@towerjazz.com</w:t>
            </w:r>
          </w:p>
        </w:tc>
        <w:tc>
          <w:tcPr>
            <w:tcW w:w="3740" w:type="dxa"/>
            <w:vAlign w:val="bottom"/>
          </w:tcPr>
          <w:p>
            <w:pPr>
              <w:spacing w:after="0"/>
              <w:rPr>
                <w:sz w:val="16"/>
                <w:szCs w:val="16"/>
                <w:color w:val="auto"/>
              </w:rPr>
            </w:pPr>
          </w:p>
        </w:tc>
        <w:tc>
          <w:tcPr>
            <w:tcW w:w="1000" w:type="dxa"/>
            <w:vAlign w:val="bottom"/>
          </w:tcPr>
          <w:p>
            <w:pPr>
              <w:ind w:left="20"/>
              <w:spacing w:after="0" w:line="189" w:lineRule="exact"/>
              <w:rPr>
                <w:sz w:val="20"/>
                <w:szCs w:val="20"/>
                <w:color w:val="auto"/>
              </w:rPr>
            </w:pPr>
            <w:r>
              <w:rPr>
                <w:rFonts w:ascii="Arial" w:cs="Arial" w:eastAsia="Arial" w:hAnsi="Arial"/>
                <w:sz w:val="18"/>
                <w:szCs w:val="18"/>
                <w:color w:val="auto"/>
                <w:w w:val="87"/>
              </w:rPr>
              <w:t>858.768.3852</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Media Contact:</w:t>
            </w:r>
          </w:p>
        </w:tc>
        <w:tc>
          <w:tcPr>
            <w:tcW w:w="1840" w:type="dxa"/>
            <w:vAlign w:val="bottom"/>
            <w:tcBorders>
              <w:bottom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w w:val="88"/>
              </w:rPr>
              <w:t>debra.hart@entropic.com</w:t>
            </w: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020" w:type="dxa"/>
            <w:vAlign w:val="bottom"/>
            <w:gridSpan w:val="5"/>
            <w:vMerge w:val="continue"/>
          </w:tcPr>
          <w:p>
            <w:pPr>
              <w:spacing w:after="0"/>
              <w:rPr>
                <w:sz w:val="19"/>
                <w:szCs w:val="19"/>
                <w:color w:val="auto"/>
              </w:rPr>
            </w:pPr>
          </w:p>
        </w:tc>
        <w:tc>
          <w:tcPr>
            <w:tcW w:w="54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Media Contact:.</w:t>
            </w:r>
          </w:p>
        </w:tc>
        <w:tc>
          <w:tcPr>
            <w:tcW w:w="0" w:type="dxa"/>
            <w:vAlign w:val="bottom"/>
          </w:tcPr>
          <w:p>
            <w:pPr>
              <w:spacing w:after="0"/>
              <w:rPr>
                <w:sz w:val="1"/>
                <w:szCs w:val="1"/>
                <w:color w:val="auto"/>
              </w:rPr>
            </w:pPr>
          </w:p>
        </w:tc>
      </w:tr>
      <w:tr>
        <w:trPr>
          <w:trHeight w:val="215"/>
        </w:trPr>
        <w:tc>
          <w:tcPr>
            <w:tcW w:w="6020" w:type="dxa"/>
            <w:vAlign w:val="bottom"/>
            <w:gridSpan w:val="5"/>
          </w:tcPr>
          <w:p>
            <w:pPr>
              <w:spacing w:after="0"/>
              <w:rPr>
                <w:sz w:val="20"/>
                <w:szCs w:val="20"/>
                <w:color w:val="auto"/>
              </w:rPr>
            </w:pPr>
            <w:r>
              <w:rPr>
                <w:rFonts w:ascii="Arial" w:cs="Arial" w:eastAsia="Arial" w:hAnsi="Arial"/>
                <w:sz w:val="18"/>
                <w:szCs w:val="18"/>
                <w:color w:val="auto"/>
              </w:rPr>
              <w:t>Lauri Julian</w:t>
            </w:r>
          </w:p>
        </w:tc>
        <w:tc>
          <w:tcPr>
            <w:tcW w:w="54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20"/>
                <w:szCs w:val="20"/>
                <w:color w:val="auto"/>
              </w:rPr>
            </w:pPr>
            <w:r>
              <w:rPr>
                <w:rFonts w:ascii="Arial" w:cs="Arial" w:eastAsia="Arial" w:hAnsi="Arial"/>
                <w:sz w:val="18"/>
                <w:szCs w:val="18"/>
                <w:color w:val="auto"/>
              </w:rPr>
              <w:t>949/715-3049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400" w:type="dxa"/>
            <w:vAlign w:val="bottom"/>
            <w:gridSpan w:val="4"/>
          </w:tcPr>
          <w:p>
            <w:pPr>
              <w:ind w:left="20"/>
              <w:spacing w:after="0"/>
              <w:rPr>
                <w:sz w:val="20"/>
                <w:szCs w:val="20"/>
                <w:color w:val="auto"/>
              </w:rPr>
            </w:pPr>
            <w:r>
              <w:rPr>
                <w:rFonts w:ascii="Arial" w:cs="Arial" w:eastAsia="Arial" w:hAnsi="Arial"/>
                <w:sz w:val="18"/>
                <w:szCs w:val="18"/>
                <w:color w:val="auto"/>
              </w:rPr>
              <w:t>Chris Fallon</w:t>
            </w:r>
          </w:p>
        </w:tc>
        <w:tc>
          <w:tcPr>
            <w:tcW w:w="0" w:type="dxa"/>
            <w:vAlign w:val="bottom"/>
          </w:tcPr>
          <w:p>
            <w:pPr>
              <w:spacing w:after="0"/>
              <w:rPr>
                <w:sz w:val="1"/>
                <w:szCs w:val="1"/>
                <w:color w:val="auto"/>
              </w:rPr>
            </w:pPr>
          </w:p>
        </w:tc>
      </w:tr>
      <w:tr>
        <w:trPr>
          <w:trHeight w:val="189"/>
        </w:trPr>
        <w:tc>
          <w:tcPr>
            <w:tcW w:w="6020" w:type="dxa"/>
            <w:vAlign w:val="bottom"/>
            <w:gridSpan w:val="5"/>
          </w:tcPr>
          <w:p>
            <w:pPr>
              <w:spacing w:after="0" w:line="189" w:lineRule="exact"/>
              <w:rPr>
                <w:sz w:val="20"/>
                <w:szCs w:val="20"/>
                <w:color w:val="auto"/>
              </w:rPr>
            </w:pPr>
            <w:r>
              <w:rPr>
                <w:rFonts w:ascii="Arial" w:cs="Arial" w:eastAsia="Arial" w:hAnsi="Arial"/>
                <w:sz w:val="18"/>
                <w:szCs w:val="18"/>
                <w:color w:val="auto"/>
              </w:rPr>
              <w:t>lauri.julian@towerjazz.com</w:t>
            </w:r>
          </w:p>
        </w:tc>
        <w:tc>
          <w:tcPr>
            <w:tcW w:w="540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Ruder Finn for Entropic</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0" w:type="dxa"/>
            <w:vAlign w:val="bottom"/>
            <w:vMerge w:val="restart"/>
          </w:tcPr>
          <w:p>
            <w:pPr>
              <w:ind w:left="20"/>
              <w:spacing w:after="0"/>
              <w:rPr>
                <w:sz w:val="20"/>
                <w:szCs w:val="20"/>
                <w:color w:val="auto"/>
              </w:rPr>
            </w:pPr>
            <w:r>
              <w:rPr>
                <w:rFonts w:ascii="Arial" w:cs="Arial" w:eastAsia="Arial" w:hAnsi="Arial"/>
                <w:sz w:val="18"/>
                <w:szCs w:val="18"/>
                <w:color w:val="auto"/>
                <w:w w:val="87"/>
              </w:rPr>
              <w:t>212.715.1691</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Investor Relations Contact:</w:t>
            </w:r>
          </w:p>
        </w:tc>
        <w:tc>
          <w:tcPr>
            <w:tcW w:w="100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020" w:type="dxa"/>
            <w:vAlign w:val="bottom"/>
            <w:gridSpan w:val="5"/>
            <w:vMerge w:val="continue"/>
          </w:tcPr>
          <w:p>
            <w:pPr>
              <w:spacing w:after="0"/>
              <w:rPr>
                <w:sz w:val="16"/>
                <w:szCs w:val="16"/>
                <w:color w:val="auto"/>
              </w:rPr>
            </w:pPr>
          </w:p>
        </w:tc>
        <w:tc>
          <w:tcPr>
            <w:tcW w:w="540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fallonc@ruderfinn.com</w:t>
            </w:r>
          </w:p>
        </w:tc>
        <w:tc>
          <w:tcPr>
            <w:tcW w:w="0" w:type="dxa"/>
            <w:vAlign w:val="bottom"/>
          </w:tcPr>
          <w:p>
            <w:pPr>
              <w:spacing w:after="0"/>
              <w:rPr>
                <w:sz w:val="1"/>
                <w:szCs w:val="1"/>
                <w:color w:val="auto"/>
              </w:rPr>
            </w:pPr>
          </w:p>
        </w:tc>
      </w:tr>
      <w:tr>
        <w:trPr>
          <w:trHeight w:val="221"/>
        </w:trPr>
        <w:tc>
          <w:tcPr>
            <w:tcW w:w="6020" w:type="dxa"/>
            <w:vAlign w:val="bottom"/>
            <w:gridSpan w:val="5"/>
          </w:tcPr>
          <w:p>
            <w:pPr>
              <w:spacing w:after="0"/>
              <w:rPr>
                <w:sz w:val="20"/>
                <w:szCs w:val="20"/>
                <w:color w:val="auto"/>
              </w:rPr>
            </w:pPr>
            <w:r>
              <w:rPr>
                <w:rFonts w:ascii="Arial" w:cs="Arial" w:eastAsia="Arial" w:hAnsi="Arial"/>
                <w:sz w:val="18"/>
                <w:szCs w:val="18"/>
                <w:color w:val="auto"/>
              </w:rPr>
              <w:t>Levi Noit</w:t>
            </w:r>
          </w:p>
        </w:tc>
        <w:tc>
          <w:tcPr>
            <w:tcW w:w="10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20" w:type="dxa"/>
            <w:vAlign w:val="bottom"/>
            <w:gridSpan w:val="2"/>
          </w:tcPr>
          <w:p>
            <w:pPr>
              <w:spacing w:after="0"/>
              <w:rPr>
                <w:sz w:val="20"/>
                <w:szCs w:val="20"/>
                <w:color w:val="auto"/>
              </w:rPr>
            </w:pPr>
            <w:r>
              <w:rPr>
                <w:rFonts w:ascii="Arial" w:cs="Arial" w:eastAsia="Arial" w:hAnsi="Arial"/>
                <w:sz w:val="18"/>
                <w:szCs w:val="18"/>
                <w:color w:val="auto"/>
              </w:rPr>
              <w:t>+972 4 604 7066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20" w:type="dxa"/>
            <w:vAlign w:val="bottom"/>
            <w:gridSpan w:val="5"/>
          </w:tcPr>
          <w:p>
            <w:pPr>
              <w:spacing w:after="0" w:line="189" w:lineRule="exact"/>
              <w:rPr>
                <w:sz w:val="20"/>
                <w:szCs w:val="20"/>
                <w:color w:val="auto"/>
              </w:rPr>
            </w:pPr>
            <w:r>
              <w:rPr>
                <w:rFonts w:ascii="Arial" w:cs="Arial" w:eastAsia="Arial" w:hAnsi="Arial"/>
                <w:sz w:val="18"/>
                <w:szCs w:val="18"/>
                <w:color w:val="auto"/>
              </w:rPr>
              <w:t>noit.levi@towerjazz.com</w:t>
            </w: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160" w:type="dxa"/>
            <w:vAlign w:val="bottom"/>
            <w:shd w:val="clear" w:color="auto" w:fill="808080"/>
          </w:tcPr>
          <w:p>
            <w:pPr>
              <w:spacing w:after="0"/>
              <w:rPr>
                <w:sz w:val="6"/>
                <w:szCs w:val="6"/>
                <w:color w:val="auto"/>
              </w:rPr>
            </w:pPr>
          </w:p>
        </w:tc>
        <w:tc>
          <w:tcPr>
            <w:tcW w:w="66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280" w:type="dxa"/>
            <w:vAlign w:val="bottom"/>
            <w:shd w:val="clear" w:color="auto" w:fill="808080"/>
          </w:tcPr>
          <w:p>
            <w:pPr>
              <w:spacing w:after="0"/>
              <w:rPr>
                <w:sz w:val="6"/>
                <w:szCs w:val="6"/>
                <w:color w:val="auto"/>
              </w:rPr>
            </w:pPr>
          </w:p>
        </w:tc>
        <w:tc>
          <w:tcPr>
            <w:tcW w:w="3740" w:type="dxa"/>
            <w:vAlign w:val="bottom"/>
            <w:shd w:val="clear" w:color="auto" w:fill="808080"/>
          </w:tcPr>
          <w:p>
            <w:pPr>
              <w:spacing w:after="0"/>
              <w:rPr>
                <w:sz w:val="6"/>
                <w:szCs w:val="6"/>
                <w:color w:val="auto"/>
              </w:rPr>
            </w:pPr>
          </w:p>
        </w:tc>
        <w:tc>
          <w:tcPr>
            <w:tcW w:w="1000" w:type="dxa"/>
            <w:vAlign w:val="bottom"/>
            <w:shd w:val="clear" w:color="auto" w:fill="808080"/>
          </w:tcPr>
          <w:p>
            <w:pPr>
              <w:spacing w:after="0"/>
              <w:rPr>
                <w:sz w:val="6"/>
                <w:szCs w:val="6"/>
                <w:color w:val="auto"/>
              </w:rPr>
            </w:pPr>
          </w:p>
        </w:tc>
        <w:tc>
          <w:tcPr>
            <w:tcW w:w="70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356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2019-12-10T12:38:29Z</dcterms:created>
  <dcterms:modified xsi:type="dcterms:W3CDTF">2019-12-10T12:38:29Z</dcterms:modified>
</cp:coreProperties>
</file>