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Filed under Rule 424(b)(3)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333-131315</w:t>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205105</wp:posOffset>
            </wp:positionV>
            <wp:extent cx="171513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31,191,606 of Convertible Debentures due 2012</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37,517,065 Ordinary Shares</w:t>
      </w:r>
    </w:p>
    <w:p>
      <w:pPr>
        <w:spacing w:after="0" w:line="21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prospectus relates to the resale, from time to time, by the selling securityholders named in this prospectus of up to:</w:t>
      </w:r>
    </w:p>
    <w:p>
      <w:pPr>
        <w:spacing w:after="0" w:line="225" w:lineRule="exact"/>
        <w:rPr>
          <w:sz w:val="24"/>
          <w:szCs w:val="24"/>
          <w:color w:val="auto"/>
        </w:rPr>
      </w:pPr>
    </w:p>
    <w:p>
      <w:pPr>
        <w:ind w:left="1720" w:right="1080" w:hanging="567"/>
        <w:spacing w:after="0" w:line="257" w:lineRule="auto"/>
        <w:rPr>
          <w:sz w:val="24"/>
          <w:szCs w:val="24"/>
          <w:color w:val="auto"/>
        </w:rPr>
      </w:pPr>
      <w:r>
        <w:rPr>
          <w:rFonts w:ascii="Times New Roman" w:cs="Times New Roman" w:eastAsia="Times New Roman" w:hAnsi="Times New Roman"/>
          <w:sz w:val="18"/>
          <w:szCs w:val="18"/>
          <w:color w:val="auto"/>
        </w:rPr>
        <w:t>—$31,191,606 aggregate principal amount of our issued and outstanding convertible debentures due 2012 held by the selling securityholders;</w:t>
      </w:r>
    </w:p>
    <w:p>
      <w:pPr>
        <w:spacing w:after="0" w:line="1" w:lineRule="exact"/>
        <w:rPr>
          <w:sz w:val="24"/>
          <w:szCs w:val="24"/>
          <w:color w:val="auto"/>
        </w:rPr>
      </w:pPr>
    </w:p>
    <w:p>
      <w:pPr>
        <w:ind w:left="1160"/>
        <w:spacing w:after="0"/>
        <w:rPr>
          <w:sz w:val="24"/>
          <w:szCs w:val="24"/>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37,517,065 ordinary shares issuable upon the conversion of the debentures and the exercise of warrants.</w:t>
      </w:r>
    </w:p>
    <w:p>
      <w:pPr>
        <w:spacing w:after="0" w:line="200" w:lineRule="exact"/>
        <w:rPr>
          <w:sz w:val="24"/>
          <w:szCs w:val="24"/>
          <w:color w:val="auto"/>
        </w:rPr>
      </w:pPr>
    </w:p>
    <w:p>
      <w:pPr>
        <w:spacing w:after="0" w:line="256" w:lineRule="exact"/>
        <w:rPr>
          <w:sz w:val="24"/>
          <w:szCs w:val="24"/>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debentures are each convertible into our ordinary shares, on or before December 27, 2011 at a conversion price of one ordinary share per each $1.10 amount of outstanding principal of the debentures, which conversion price may be adjusted from time to time (see “Description of the Debentures – Conversion of Debentures”). This prospectus also relates to the offering by the company of up 28,356,005 ordinary shares issuable upon conversion of the debentures and 9,161,060 ordinary shares issuable upon the exercise of warrants to persons to whom the debentures and ordinary shares may be sold or otherwise transferred by the selling securityholders.</w:t>
      </w:r>
    </w:p>
    <w:p>
      <w:pPr>
        <w:spacing w:after="0" w:line="193" w:lineRule="exact"/>
        <w:rPr>
          <w:sz w:val="24"/>
          <w:szCs w:val="24"/>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selling securityholders may sell all or any portion of these securities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0" w:lineRule="exact"/>
        <w:rPr>
          <w:sz w:val="24"/>
          <w:szCs w:val="24"/>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Our ordinary shares are listed on the NASDAQ National Market under the symbol “TSEM” and on the Tel Aviv Stock Exchange in Israel under the symbol “TSEM.” The debentures are listed on the NASDAQ Capital Market under the symbol “TSEMG” and the Tel Aviv Stock Exchange under the symbol “TSEM.C2" and may be identified on the Tel Aviv Stock Exchange as Debentures (Series B). On February 28, 2006, the last reported sale price of our ordinary shares on the NASDAQ National Market was $1.39 per share and on the Tel Aviv Stock Exchange was NIS 6.56 per share. The last reported sale price of our debentures on the NASDAQ Capital Market was $1.44 per debenture on February 9, 2006 and on the Tel Aviv Stock Exchange was NIS 5.97 per debenture on February 28, 2006.</w:t>
      </w:r>
    </w:p>
    <w:p>
      <w:pPr>
        <w:spacing w:after="0" w:line="19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securities offered hereby involve a high degree of risk. See “Risk Factors” beginning on page 2.</w:t>
      </w:r>
    </w:p>
    <w:p>
      <w:pPr>
        <w:spacing w:after="0" w:line="225" w:lineRule="exact"/>
        <w:rPr>
          <w:sz w:val="24"/>
          <w:szCs w:val="24"/>
          <w:color w:val="auto"/>
        </w:rPr>
      </w:pPr>
    </w:p>
    <w:p>
      <w:pPr>
        <w:jc w:val="both"/>
        <w:ind w:right="5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March 15,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475"/>
        </w:trPr>
        <w:tc>
          <w:tcPr>
            <w:tcW w:w="3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1">
              <w:r>
                <w:rPr>
                  <w:rFonts w:ascii="Times New Roman" w:cs="Times New Roman" w:eastAsia="Times New Roman" w:hAnsi="Times New Roman"/>
                  <w:sz w:val="18"/>
                  <w:szCs w:val="18"/>
                  <w:color w:val="0000EE"/>
                  <w:w w:val="96"/>
                </w:rPr>
                <w:t>ABOUT TOWER SEMICONDUCTOR LTD</w:t>
              </w:r>
            </w:hyperlink>
          </w:p>
        </w:tc>
        <w:tc>
          <w:tcPr>
            <w:tcW w:w="6700" w:type="dxa"/>
            <w:vAlign w:val="bottom"/>
            <w:gridSpan w:val="8"/>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RISK FACTORS</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SPECIAL NOTE ON FORWARD-LOOKING STATEMENTS</w:t>
              </w:r>
            </w:hyperlink>
          </w:p>
        </w:tc>
        <w:tc>
          <w:tcPr>
            <w:tcW w:w="54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RATIO OF EARNINGS TO FIXED CHARGES</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11">
              <w:r>
                <w:rPr>
                  <w:rFonts w:ascii="Times New Roman" w:cs="Times New Roman" w:eastAsia="Times New Roman" w:hAnsi="Times New Roman"/>
                  <w:sz w:val="18"/>
                  <w:szCs w:val="18"/>
                  <w:color w:val="0000EE"/>
                  <w:w w:val="95"/>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USE OF PROCEEDS</w:t>
              </w:r>
            </w:hyperlink>
          </w:p>
        </w:tc>
        <w:tc>
          <w:tcPr>
            <w:tcW w:w="834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PLAN OF DISTRIBUTION</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DESCRIPTION OF THE DEBENTURES</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9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DIVIDEND POLICY</w:t>
              </w:r>
            </w:hyperlink>
          </w:p>
        </w:tc>
        <w:tc>
          <w:tcPr>
            <w:tcW w:w="692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TAXATION</w:t>
              </w:r>
            </w:hyperlink>
          </w:p>
        </w:tc>
        <w:tc>
          <w:tcPr>
            <w:tcW w:w="836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FOREIGN EXCHANGE CONTROLS AND OTHER LIMITATIONS</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49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DESCRIPTION OF SHARE CAPITAL</w:t>
              </w:r>
            </w:hyperlink>
          </w:p>
        </w:tc>
        <w:tc>
          <w:tcPr>
            <w:tcW w:w="49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8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MATTERS</w:t>
              </w:r>
            </w:hyperlink>
          </w:p>
        </w:tc>
        <w:tc>
          <w:tcPr>
            <w:tcW w:w="710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27">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900" w:type="dxa"/>
            <w:vAlign w:val="bottom"/>
            <w:gridSpan w:val="1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ENFORCEABILITY OF CIVIL LIABILITIES AND AGENT FOR SERVICE OF PROCESS IN THE UNITED STATES</w:t>
              </w:r>
            </w:hyperlink>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85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WHERE YOU CAN FIND MORE INFORMATION; INCORPORATION OF INFORMATION BY REFERENCE</w:t>
              </w:r>
            </w:hyperlink>
          </w:p>
        </w:tc>
        <w:tc>
          <w:tcPr>
            <w:tcW w:w="13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372"/>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40" w:type="dxa"/>
            <w:vAlign w:val="bottom"/>
            <w:tcBorders>
              <w:top w:val="single" w:sz="8" w:color="0000EE"/>
              <w:bottom w:val="single" w:sz="8" w:color="808080"/>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1"/>
        </w:trPr>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420" w:right="239" w:bottom="111" w:gutter="0" w:footer="0" w:header="0"/>
        </w:sectPr>
      </w:pP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ABOUT TOWER SEMICONDUCTOR LTD.</w:t>
      </w:r>
    </w:p>
    <w:p>
      <w:pPr>
        <w:sectPr>
          <w:pgSz w:w="11900" w:h="16838" w:orient="portrait"/>
          <w:cols w:equalWidth="0" w:num="1">
            <w:col w:w="11420"/>
          </w:cols>
          <w:pgMar w:left="240" w:top="420" w:right="239" w:bottom="111" w:gutter="0" w:footer="0" w:header="0"/>
          <w:type w:val="continuous"/>
        </w:sectPr>
      </w:pPr>
    </w:p>
    <w:bookmarkStart w:id="1" w:name="page2"/>
    <w:bookmarkEnd w:id="1"/>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95"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In January 2001, we commenced construction of a new, state-of-the-art wafer fabrication facility, which we refer to as Fab 2, located in Migdal Haemek, Israel and adjacent to our first facility, Fab 1. Depending on the process technology and product mix, as of December 31,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December 2005 was 15,400 wafers per month. Depending on the process technology and product mix, when fully ramped-up we estimate that Fab 2 will be able to achieve capacity levels of up to 36,000 wafers per month.</w:t>
      </w:r>
    </w:p>
    <w:p>
      <w:pPr>
        <w:spacing w:after="0" w:line="19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Our manufacturing facilities and executive offices are located in the Ramat Gavriel Industrial Park, Post Office Box 619, Migdal Haemek, 23105 Israel, and our telephone number is 972-4-650-6611.</w:t>
      </w:r>
    </w:p>
    <w:p>
      <w:pPr>
        <w:spacing w:after="0" w:line="174"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Additional information about us and our operations may be found at our web 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06"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raise additional funds, we may not be able to maintain our operations.</w:t>
      </w:r>
    </w:p>
    <w:p>
      <w:pPr>
        <w:spacing w:after="0" w:line="22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the amended credit facility agreement with our banks, in addition to amounts we have raised to date, we are required to raise approximately $8 million by June 30, 2006. Even if we raise these additional funds, we will still need to raise significant additional funds in order to maintain our operations and finance our short-term activities and liabilities in 2006, at least until we achieve positive cash flows from our operations. In the event we fail to raise the amounts required for our short-term activities and liabilities in 2006, we may have to cease our operations.</w:t>
      </w:r>
    </w:p>
    <w:p>
      <w:pPr>
        <w:spacing w:after="0" w:line="18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complete the equipment installation, technology transfer and ramp-up of production in Fab 2, our business will be materially adversely affected.</w:t>
      </w:r>
    </w:p>
    <w:p>
      <w:pPr>
        <w:spacing w:after="0" w:line="17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Fab 2 production capacity at the end of December 2005 was 15,400 200-mm wafers per month.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have sufficient funds to fully equip Fab 2, our business will be materially adversely affected.</w:t>
      </w:r>
    </w:p>
    <w:p>
      <w:pPr>
        <w:spacing w:after="0" w:line="227"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ectPr>
          <w:pgSz w:w="11900" w:h="16838" w:orient="portrait"/>
          <w:cols w:equalWidth="0" w:num="1">
            <w:col w:w="11420"/>
          </w:cols>
          <w:pgMar w:left="240" w:top="125" w:right="239" w:bottom="244"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244" w:gutter="0" w:footer="0" w:header="0"/>
          <w:type w:val="continuous"/>
        </w:sectPr>
      </w:pPr>
    </w:p>
    <w:bookmarkStart w:id="2" w:name="page3"/>
    <w:bookmarkEnd w:id="2"/>
    <w:p>
      <w:pPr>
        <w:ind w:firstLine="351"/>
        <w:spacing w:after="0" w:line="285" w:lineRule="auto"/>
        <w:rPr>
          <w:sz w:val="20"/>
          <w:szCs w:val="20"/>
          <w:color w:val="auto"/>
        </w:rPr>
      </w:pPr>
      <w:r>
        <w:rPr>
          <w:rFonts w:ascii="Times New Roman" w:cs="Times New Roman" w:eastAsia="Times New Roman" w:hAnsi="Times New Roman"/>
          <w:sz w:val="16"/>
          <w:szCs w:val="16"/>
          <w:color w:val="auto"/>
        </w:rPr>
        <w:t>In connection with Fab 2, we received approval for grants and tax benefits from the Investment Center of the government of Israel under its Approved Enterprise Program. Under the terms of the approval, we were eligible to receive grants of 20% of up to $1.25 billion invested in Fab 2 plant and equipment, or an aggregate of up to $250 million. As of December 31, 2005, we received $158.1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future operations do not increase or if we fail to raise additional funding, we may be unable to repay our debt on a timely basis.</w:t>
      </w:r>
    </w:p>
    <w:p>
      <w:pPr>
        <w:spacing w:after="0" w:line="227"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or negotiating revised repayment schedules of our other debt, when we have liquidity problems. Any postponement of payments to our suppliers and service providers may delay our ramp-up of Fab 2 and therefore significantly harm our financial results.</w:t>
      </w:r>
    </w:p>
    <w:p>
      <w:pPr>
        <w:spacing w:after="0" w:line="19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2"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8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7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fluctuate from quarter to quarter which makes it difficult to predict our future performance.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Inventory and supply chain management of our customers;</w:t>
      </w:r>
    </w:p>
    <w:p>
      <w:pPr>
        <w:spacing w:after="0" w:line="252"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—The loss of a key customer, postponement of an order from a key customer, failure of a key customer to pay accounts receivables in a timely manner or the financial condition of our customers;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obtain raw materials and equipment on a timely and cost-effective basis;</w:t>
      </w:r>
    </w:p>
    <w:p>
      <w:pPr>
        <w:sectPr>
          <w:pgSz w:w="11900" w:h="16838" w:orient="portrait"/>
          <w:cols w:equalWidth="0" w:num="1">
            <w:col w:w="11420"/>
          </w:cols>
          <w:pgMar w:left="240" w:top="125" w:right="239" w:bottom="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72"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72"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cycles may be long and, as a result, orders received may not meet our expectations which may adversely affect our operating results.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foundry services is dependent on the demand in our customers’ end markets.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attract additional customers, our business may be adversely affected.</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2005, approximately 56% of our business was generated by five significant customers that contributed 22%, 14%, 8%, 7%, and 5% of our revenues, respectively. We expect to continue to receive a significant portion of our revenue from a limited number of customers in 2006.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 s to reflect the lower revenues in a timely manner, which could harm our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relatively small number of products for a significant portion of our revenues.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orders from our wafer partners we may have excess capacity.</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maintain and develop our technology processes and services, we will lose customers and may not be able to attract new ones.</w:t>
      </w:r>
    </w:p>
    <w:p>
      <w:pPr>
        <w:sectPr>
          <w:pgSz w:w="11900" w:h="16838" w:orient="portrait"/>
          <w:cols w:equalWidth="0" w:num="1">
            <w:col w:w="11420"/>
          </w:cols>
          <w:pgMar w:left="240" w:top="125" w:right="239" w:bottom="0" w:gutter="0" w:footer="0" w:header="0"/>
        </w:sectPr>
      </w:pPr>
    </w:p>
    <w:bookmarkStart w:id="4" w:name="page5"/>
    <w:bookmarkEnd w:id="4"/>
    <w:p>
      <w:pPr>
        <w:ind w:left="360"/>
        <w:spacing w:after="0"/>
        <w:rPr>
          <w:sz w:val="20"/>
          <w:szCs w:val="20"/>
          <w:color w:val="auto"/>
        </w:rPr>
      </w:pPr>
      <w:r>
        <w:rPr>
          <w:rFonts w:ascii="Times New Roman" w:cs="Times New Roman" w:eastAsia="Times New Roman" w:hAnsi="Times New Roman"/>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customer and product end user requirements;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we will lose business to our competitors.</w:t>
      </w:r>
    </w:p>
    <w:p>
      <w:pPr>
        <w:spacing w:after="0" w:line="227" w:lineRule="exact"/>
        <w:rPr>
          <w:sz w:val="20"/>
          <w:szCs w:val="20"/>
          <w:color w:val="auto"/>
        </w:rPr>
      </w:pPr>
    </w:p>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better operational performance in cycle time and yields.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large amount of debt which could have significant negative consequences.</w:t>
      </w:r>
    </w:p>
    <w:p>
      <w:pPr>
        <w:spacing w:after="0" w:line="227" w:lineRule="exact"/>
        <w:rPr>
          <w:sz w:val="20"/>
          <w:szCs w:val="20"/>
          <w:color w:val="auto"/>
        </w:rPr>
      </w:pPr>
    </w:p>
    <w:p>
      <w:pPr>
        <w:jc w:val="both"/>
        <w:ind w:right="280" w:firstLine="348"/>
        <w:spacing w:after="0" w:line="262" w:lineRule="auto"/>
        <w:rPr>
          <w:sz w:val="20"/>
          <w:szCs w:val="20"/>
          <w:color w:val="auto"/>
        </w:rPr>
      </w:pPr>
      <w:r>
        <w:rPr>
          <w:rFonts w:ascii="Times New Roman" w:cs="Times New Roman" w:eastAsia="Times New Roman" w:hAnsi="Times New Roman"/>
          <w:sz w:val="18"/>
          <w:szCs w:val="18"/>
          <w:color w:val="auto"/>
        </w:rPr>
        <w:t>We have a large amount of long-term debt, which could have significant negative consequences. As of January 31, 2006, we had approximately $526.7 million of bank debt and approximately $67.5 million of convertible debt. Our current and future indebtedness could have significant negative consequences, including: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affecting our ability to make interest payments and other required debt service on our indebtedness.</w:t>
      </w:r>
    </w:p>
    <w:p>
      <w:pPr>
        <w:spacing w:after="0" w:line="200" w:lineRule="exact"/>
        <w:rPr>
          <w:sz w:val="20"/>
          <w:szCs w:val="20"/>
          <w:color w:val="auto"/>
        </w:rPr>
      </w:pPr>
    </w:p>
    <w:p>
      <w:pPr>
        <w:spacing w:after="0" w:line="26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raise the funds required by our amended credit facility agreement or fail to satisfy the covenants set forth in our amended credit facility, our banks will be able to call our loans.</w:t>
      </w:r>
    </w:p>
    <w:p>
      <w:pPr>
        <w:spacing w:after="0" w:line="172"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Our credit facility, under which we have drawn down approximately $526.7 million as of January 31, 2006, requires that we comply with certain financial, capital raising and production milestone covenants. In accordance with the amended credit facility agreement with our banks, in addition to amounts we have raised to date, we are required to raise approximately $8 million by June 30, 2006. In the July 2005 amendment to our credit facility agreement, our banks agreed to amend our financial ratios and covenants through the third quarter of 2006. We anticipate that we will not be in compliance with all of the financial ratios and covenants under the amended facility agreement commencing in the fourth quarter of 2006. Should we fail to raise the funds required under our facility agreement in a timely manner or to comply with our revised covenants, and our banks do not waive our non-compliance, pursuant to the terms of the credit facility agreement, our banks may require us to immediately repay all loans made by them to us, plus penalties, and they would be entitled to exercise the</w:t>
      </w:r>
    </w:p>
    <w:p>
      <w:pPr>
        <w:sectPr>
          <w:pgSz w:w="11900" w:h="16838" w:orient="portrait"/>
          <w:cols w:equalWidth="0" w:num="1">
            <w:col w:w="11340"/>
          </w:cols>
          <w:pgMar w:left="240" w:top="125" w:right="319" w:bottom="0" w:gutter="0" w:footer="0" w:header="0"/>
        </w:sectPr>
      </w:pPr>
    </w:p>
    <w:bookmarkStart w:id="5" w:name="page6"/>
    <w:bookmarkEnd w:id="5"/>
    <w:p>
      <w:pPr>
        <w:ind w:right="300"/>
        <w:spacing w:after="0" w:line="275" w:lineRule="auto"/>
        <w:rPr>
          <w:sz w:val="20"/>
          <w:szCs w:val="20"/>
          <w:color w:val="auto"/>
        </w:rPr>
      </w:pPr>
      <w:r>
        <w:rPr>
          <w:rFonts w:ascii="Times New Roman" w:cs="Times New Roman" w:eastAsia="Times New Roman" w:hAnsi="Times New Roman"/>
          <w:sz w:val="18"/>
          <w:szCs w:val="18"/>
          <w:color w:val="auto"/>
        </w:rPr>
        <w:t>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banking laws may impose restrictions on the total debt that we may borrow from our banks.</w:t>
      </w:r>
    </w:p>
    <w:p>
      <w:pPr>
        <w:spacing w:after="0" w:line="22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approximately $526.7 million as of January 31, 2006), which may have a material adverse effect on our business, financial condition and results of operations.</w:t>
      </w:r>
    </w:p>
    <w:p>
      <w:pPr>
        <w:spacing w:after="0" w:line="19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72"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9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7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exposure to currency exchange and interest rate fluctuations may increase our cost of operations.</w:t>
      </w:r>
    </w:p>
    <w:p>
      <w:pPr>
        <w:spacing w:after="0" w:line="227"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86"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intellectual property rights of third parties and failure to maintain or acquire licenses could harm our business.</w:t>
      </w:r>
    </w:p>
    <w:p>
      <w:pPr>
        <w:spacing w:after="0" w:line="227"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 intellectual property rights of third parties or defend our intellectual property rights could harm our business.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expired at the end of 2005, and we are currently negotiating its renewal. If we are unable to renew it on similar terms, we may have to agree to less favorable terms or consider other alternatives, including designing around certain processes.</w:t>
      </w:r>
    </w:p>
    <w:p>
      <w:pPr>
        <w:spacing w:after="0" w:line="192"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negotiating cross-license agreements;</w:t>
      </w:r>
    </w:p>
    <w:p>
      <w:pPr>
        <w:sectPr>
          <w:pgSz w:w="11900" w:h="16838" w:orient="portrait"/>
          <w:cols w:equalWidth="0" w:num="1">
            <w:col w:w="11420"/>
          </w:cols>
          <w:pgMar w:left="240" w:top="125" w:right="239" w:bottom="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hanging="567"/>
        <w:spacing w:after="0" w:line="275" w:lineRule="auto"/>
        <w:rPr>
          <w:sz w:val="20"/>
          <w:szCs w:val="20"/>
          <w:color w:val="auto"/>
        </w:rPr>
      </w:pPr>
      <w:r>
        <w:rPr>
          <w:rFonts w:ascii="Times New Roman" w:cs="Times New Roman" w:eastAsia="Times New Roman" w:hAnsi="Times New Roman"/>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3" w:lineRule="exact"/>
        <w:rPr>
          <w:sz w:val="20"/>
          <w:szCs w:val="20"/>
          <w:color w:val="auto"/>
        </w:rPr>
      </w:pPr>
    </w:p>
    <w:p>
      <w:pPr>
        <w:ind w:right="100" w:firstLine="341"/>
        <w:spacing w:after="0" w:line="254" w:lineRule="auto"/>
        <w:rPr>
          <w:sz w:val="20"/>
          <w:szCs w:val="20"/>
          <w:color w:val="auto"/>
        </w:rPr>
      </w:pPr>
      <w:r>
        <w:rPr>
          <w:rFonts w:ascii="Times New Roman" w:cs="Times New Roman" w:eastAsia="Times New Roman" w:hAnsi="Times New Roman"/>
          <w:sz w:val="18"/>
          <w:szCs w:val="18"/>
          <w:color w:val="auto"/>
        </w:rPr>
        <w:t>As of December 31,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seriously harmed by failure to comply with environmental regulations.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 of loss due to fire because the materials we use in our manufacturing processes are highly flammable.</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product returns could harm our business.</w:t>
      </w:r>
    </w:p>
    <w:p>
      <w:pPr>
        <w:spacing w:after="0" w:line="30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repay grants to the Israel Investment Center that we received in connection with Fab 1.</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related to our international operations.</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Since 2003, we have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160" w:right="480" w:hanging="567"/>
        <w:spacing w:after="0" w:line="275" w:lineRule="auto"/>
        <w:rPr>
          <w:sz w:val="20"/>
          <w:szCs w:val="20"/>
          <w:color w:val="auto"/>
        </w:rPr>
      </w:pPr>
      <w:r>
        <w:rPr>
          <w:rFonts w:ascii="Times New Roman" w:cs="Times New Roman" w:eastAsia="Times New Roman" w:hAnsi="Times New Roman"/>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adverse tax rules and regulations;</w:t>
      </w:r>
    </w:p>
    <w:p>
      <w:pPr>
        <w:sectPr>
          <w:pgSz w:w="11900" w:h="16838" w:orient="portrait"/>
          <w:cols w:equalWidth="0" w:num="1">
            <w:col w:w="11400"/>
          </w:cols>
          <w:pgMar w:left="240" w:top="125" w:right="259" w:bottom="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delays in product shipments due to local customs restrictions.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new executive officers are unable to fully transition into their new positions, our company may be adversely affected.</w:t>
      </w:r>
    </w:p>
    <w:p>
      <w:pPr>
        <w:spacing w:after="0" w:line="227"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In 2004 and 2005 we made several changes to our senior management team. If our new executive officers are unable to fully transition into their new positions, or if such transition is significantly delayed, our company may be adversely affected.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are unable to retain and recruit qualified personnel.</w:t>
      </w:r>
    </w:p>
    <w:p>
      <w:pPr>
        <w:spacing w:after="0" w:line="227"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in the future.</w:t>
      </w:r>
    </w:p>
    <w:p>
      <w:pPr>
        <w:spacing w:after="0" w:line="308"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0"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72"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7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connection with Fab 2, we have issued as of February 19, 2006, 62,552,440 ordinary shares to our wafer and equity partners and other shareholders.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an aggregate 8,264,464 ordinary shares with an exercise price of $1.21, one-half of which shall only be exercisable if our banks agree to reschedule the repayment dates of the loans to be made available to us under the July 2005 amendment. As of February 19, 2006, up to approximately 44.2 million additional ordinary shares may be issued upon the conversion of our 2002 outstanding convertible debentures, 2006 outstanding convertible debentures and upon exercise of warrants held by some of our shareholders and others.</w:t>
      </w:r>
    </w:p>
    <w:p>
      <w:pPr>
        <w:spacing w:after="0" w:line="19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as of February 19, 2006, we had outstanding employee and directors options to purchase up to approximately 13 million shares at a weighted average exercise price of $4.16.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February 14, 2006, we had issued 1,504,866 of our ordinary shares to SanDisk Corporation and 2,557,953 ordinary shares to Alliance Semiconductor upon conversion of $6.6 million of wafer credits. Following such conversions, an aggregate of $31.9 million of credits issued to our three major wafer partners were outstanding as of February 19, 2006.</w:t>
      </w:r>
    </w:p>
    <w:p>
      <w:pPr>
        <w:spacing w:after="0" w:line="192"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In addition, we need to raise significant additional funds from other sources to finance our short-term activities and liabilities, including payments on the long-term loans from our banks,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sales of large amounts of our shares eligible for future sale may lower the price of our ordinary shares.</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Of our 74,846,449 outstanding ordinary shares as of February 19, 2006, 31,224,743 are freely tradable and held by non-affiliates. In addition, certain of our affiliates (Israel Corp., SanDisk Corporation, Alliance Semiconductor, and Macronix International) hold 43,621,706 of our shares, of which 4,086,037 are registered for resale and are therefore freely tradable and 35,590,013 are currently eligible for sale subject to the time, volume and manner of sale limitations of Rule 144. An additional 2,557,953 shares held by Alliance Semiconductor will become eligible for sale subject to the time, volume and manner of sale limitations of Rule 144 during 2006 and 2007. An additional 1,387,703 shares held by SanDisk Corporation will become eligible for sale subject to the time, volume and manner of sale limitations of Rule 144 during 2006 and 2007. Shares held by these affiliates are subject to the share transfer restrictions set forth in the shareholders agreement to which they are a party and which remain in effect through January 2008. Up to 38,589,275 additional shares, including the 28,356,005 covered by this prospectus, issuable upon the conversion of our convertible debentures due 2012, would be freely tradable.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ectPr>
          <w:pgSz w:w="11900" w:h="16838" w:orient="portrait"/>
          <w:cols w:equalWidth="0" w:num="1">
            <w:col w:w="11420"/>
          </w:cols>
          <w:pgMar w:left="240" w:top="125" w:right="239" w:bottom="0" w:gutter="0" w:footer="0" w:header="0"/>
        </w:sectPr>
      </w:pPr>
    </w:p>
    <w:bookmarkStart w:id="8" w:name="page9"/>
    <w:bookmarkEnd w:id="8"/>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Our principal shareholders collectively own a controlling interest in us and will be able to exercise their interest in ways which may be adverse to your interests.</w:t>
      </w:r>
    </w:p>
    <w:p>
      <w:pPr>
        <w:spacing w:after="0" w:line="172" w:lineRule="exact"/>
        <w:rPr>
          <w:sz w:val="20"/>
          <w:szCs w:val="20"/>
          <w:color w:val="auto"/>
        </w:rPr>
      </w:pPr>
    </w:p>
    <w:p>
      <w:pPr>
        <w:ind w:right="80" w:firstLine="341"/>
        <w:spacing w:after="0" w:line="254" w:lineRule="auto"/>
        <w:rPr>
          <w:sz w:val="20"/>
          <w:szCs w:val="20"/>
          <w:color w:val="auto"/>
        </w:rPr>
      </w:pPr>
      <w:r>
        <w:rPr>
          <w:rFonts w:ascii="Times New Roman" w:cs="Times New Roman" w:eastAsia="Times New Roman" w:hAnsi="Times New Roman"/>
          <w:sz w:val="18"/>
          <w:szCs w:val="18"/>
          <w:color w:val="auto"/>
        </w:rPr>
        <w:t>As of February 19, 2006, our wafer partners and Israel Corp. collectively own approximately 60%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payment of principal of and interest on the debentures is subordinated to our indebtedness to our banks and obligations to secured creditors.</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$158.1 million in grants received through December 31,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covering the debentures permit the Co-Trustees to initiate legal proceedings against us only in a limited number of cases, and always provided that an advance notice is given to us and to the banks (see “Description of the Debentures – Subordination of Debentures”).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additional indebtedness, including indebtedness that would be senior to our debentures.</w:t>
      </w:r>
    </w:p>
    <w:p>
      <w:pPr>
        <w:spacing w:after="0" w:line="227" w:lineRule="exact"/>
        <w:rPr>
          <w:sz w:val="20"/>
          <w:szCs w:val="20"/>
          <w:color w:val="auto"/>
        </w:rPr>
      </w:pPr>
    </w:p>
    <w:p>
      <w:pPr>
        <w:ind w:right="200" w:firstLine="341"/>
        <w:spacing w:after="0" w:line="262" w:lineRule="auto"/>
        <w:rPr>
          <w:sz w:val="20"/>
          <w:szCs w:val="20"/>
          <w:color w:val="auto"/>
        </w:rPr>
      </w:pPr>
      <w:r>
        <w:rPr>
          <w:rFonts w:ascii="Times New Roman" w:cs="Times New Roman" w:eastAsia="Times New Roman" w:hAnsi="Times New Roman"/>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ordinary shares may decline after debentures are converted into our ordinary shares.</w:t>
      </w:r>
    </w:p>
    <w:p>
      <w:pPr>
        <w:spacing w:after="0" w:line="22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We cannot assure you that the public trading market price of our ordinary shares will not decline after conversion of the debentures. If the prevailing market price were to decline below the conversion price of our debentures then you may not be able to sell your ordinary shares at a price equal to or greater than the conversion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conversion price of the debentures is not an indication of our present or future value.</w:t>
      </w:r>
    </w:p>
    <w:p>
      <w:pPr>
        <w:spacing w:after="0" w:line="227" w:lineRule="exact"/>
        <w:rPr>
          <w:sz w:val="20"/>
          <w:szCs w:val="20"/>
          <w:color w:val="auto"/>
        </w:rPr>
      </w:pPr>
    </w:p>
    <w:p>
      <w:pPr>
        <w:ind w:right="240" w:firstLine="351"/>
        <w:spacing w:after="0" w:line="291" w:lineRule="auto"/>
        <w:rPr>
          <w:sz w:val="20"/>
          <w:szCs w:val="20"/>
          <w:color w:val="auto"/>
        </w:rPr>
      </w:pPr>
      <w:r>
        <w:rPr>
          <w:rFonts w:ascii="Times New Roman" w:cs="Times New Roman" w:eastAsia="Times New Roman" w:hAnsi="Times New Roman"/>
          <w:sz w:val="16"/>
          <w:szCs w:val="16"/>
          <w:color w:val="auto"/>
        </w:rPr>
        <w:t>Our board of directors set all of the terms and conditions of the debentures, including the conversion price. Our company’s objective in establishing the conversion price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conversion price,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conversion price, however, does not necessarily bear any relationship to our past or expected future results of operations, cash flows, current financial condition, or any other established criteria for value.</w:t>
      </w:r>
    </w:p>
    <w:p>
      <w:pPr>
        <w:spacing w:after="0" w:line="16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conversion price does not necessarily bear any relationship to the book value of our assets, past operations, cash flow, losses or financial condition. You should not consider the conversion price of the debentures an indication of our present or future value.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Instability in Israel may harm our business.</w:t>
      </w:r>
    </w:p>
    <w:p>
      <w:pPr>
        <w:spacing w:after="0" w:line="308"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w:t>
      </w:r>
    </w:p>
    <w:p>
      <w:pPr>
        <w:sectPr>
          <w:pgSz w:w="11900" w:h="16838" w:orient="portrait"/>
          <w:cols w:equalWidth="0" w:num="1">
            <w:col w:w="11420"/>
          </w:cols>
          <w:pgMar w:left="240" w:top="123" w:right="239" w:bottom="0" w:gutter="0" w:footer="0" w:header="0"/>
        </w:sectPr>
      </w:pPr>
    </w:p>
    <w:bookmarkStart w:id="9" w:name="page10"/>
    <w:bookmarkEnd w:id="9"/>
    <w:p>
      <w:pPr>
        <w:spacing w:after="0" w:line="275" w:lineRule="auto"/>
        <w:rPr>
          <w:sz w:val="20"/>
          <w:szCs w:val="20"/>
          <w:color w:val="auto"/>
        </w:rPr>
      </w:pPr>
      <w:r>
        <w:rPr>
          <w:rFonts w:ascii="Times New Roman" w:cs="Times New Roman" w:eastAsia="Times New Roman" w:hAnsi="Times New Roman"/>
          <w:sz w:val="18"/>
          <w:szCs w:val="18"/>
          <w:color w:val="auto"/>
        </w:rPr>
        <w:t>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negatively affected by the obligations of our personnel to perform military service.</w:t>
      </w:r>
    </w:p>
    <w:p>
      <w:pPr>
        <w:spacing w:after="0" w:line="227" w:lineRule="exact"/>
        <w:rPr>
          <w:sz w:val="20"/>
          <w:szCs w:val="20"/>
          <w:color w:val="auto"/>
        </w:rPr>
      </w:pPr>
    </w:p>
    <w:p>
      <w:pPr>
        <w:jc w:val="both"/>
        <w:ind w:right="100" w:firstLine="351"/>
        <w:spacing w:after="0" w:line="256" w:lineRule="auto"/>
        <w:rPr>
          <w:sz w:val="20"/>
          <w:szCs w:val="20"/>
          <w:color w:val="auto"/>
        </w:rPr>
      </w:pPr>
      <w:r>
        <w:rPr>
          <w:rFonts w:ascii="Times New Roman" w:cs="Times New Roman" w:eastAsia="Times New Roman" w:hAnsi="Times New Roman"/>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negative economic conditions in Israel.</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exemption allowing us to operate our manufacturing facilities seven days a week is not renewed, our business will be adversely affected.</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color w:val="auto"/>
        </w:rPr>
        <w:t>If we are considered to be a passive foreign investment company, either presently or in the future, U.S. Holders will be subject to adverse U.S. tax consequences.</w:t>
      </w:r>
    </w:p>
    <w:p>
      <w:pPr>
        <w:spacing w:after="0" w:line="172" w:lineRule="exact"/>
        <w:rPr>
          <w:sz w:val="20"/>
          <w:szCs w:val="20"/>
          <w:color w:val="auto"/>
        </w:rPr>
      </w:pPr>
    </w:p>
    <w:p>
      <w:pPr>
        <w:ind w:right="60" w:firstLine="348"/>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may be difficult to enforce a U.S. judgment against us, our officers and directors and some of the experts named in this prospectus or to assert U.S.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claims in Israel.</w:t>
      </w:r>
    </w:p>
    <w:p>
      <w:pPr>
        <w:spacing w:after="0" w:line="21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308" w:lineRule="exact"/>
        <w:rPr>
          <w:sz w:val="20"/>
          <w:szCs w:val="20"/>
          <w:color w:val="auto"/>
        </w:rPr>
      </w:pPr>
    </w:p>
    <w:p>
      <w:pPr>
        <w:ind w:right="180" w:firstLine="348"/>
        <w:spacing w:after="0" w:line="254"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45"/>
        <w:spacing w:after="0" w:line="310" w:lineRule="auto"/>
        <w:rPr>
          <w:sz w:val="20"/>
          <w:szCs w:val="20"/>
          <w:color w:val="auto"/>
        </w:rPr>
      </w:pPr>
      <w:r>
        <w:rPr>
          <w:rFonts w:ascii="Times New Roman" w:cs="Times New Roman" w:eastAsia="Times New Roman" w:hAnsi="Times New Roman"/>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ectPr>
          <w:pgSz w:w="11900" w:h="16838" w:orient="portrait"/>
          <w:cols w:equalWidth="0" w:num="1">
            <w:col w:w="11400"/>
          </w:cols>
          <w:pgMar w:left="240" w:top="125" w:right="259" w:bottom="0" w:gutter="0" w:footer="0" w:header="0"/>
        </w:sectPr>
      </w:pPr>
    </w:p>
    <w:bookmarkStart w:id="10" w:name="page11"/>
    <w:bookmarkEnd w:id="10"/>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ratio of earnings to fixed charges in accordance with Israeli GAAP for the periods presented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gridSpan w:val="5"/>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2005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22"/>
                <w:szCs w:val="22"/>
                <w:color w:val="auto"/>
              </w:rPr>
            </w:pPr>
          </w:p>
        </w:tc>
      </w:tr>
      <w:tr>
        <w:trPr>
          <w:trHeight w:val="95"/>
        </w:trPr>
        <w:tc>
          <w:tcPr>
            <w:tcW w:w="5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0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earnings to fixed</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w:t>
            </w: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4"/>
                <w:szCs w:val="14"/>
                <w:color w:val="auto"/>
              </w:rPr>
              <w:t>(1)</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4"/>
                <w:szCs w:val="14"/>
                <w:color w:val="auto"/>
              </w:rPr>
              <w:t>(2)</w:t>
            </w: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4"/>
                <w:szCs w:val="14"/>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4"/>
                <w:szCs w:val="14"/>
                <w:color w:val="auto"/>
              </w:rPr>
              <w:t>(4)</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4"/>
                <w:szCs w:val="14"/>
                <w:color w:val="auto"/>
              </w:rPr>
              <w:t>(5)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Earnings as adjusted were inadequate to cover fixed charges by $201.7 million in 2005.</w:t>
      </w:r>
    </w:p>
    <w:p>
      <w:pPr>
        <w:spacing w:after="0" w:line="7" w:lineRule="exact"/>
        <w:rPr>
          <w:rFonts w:ascii="Times New Roman" w:cs="Times New Roman" w:eastAsia="Times New Roman" w:hAnsi="Times New Roman"/>
          <w:sz w:val="29"/>
          <w:szCs w:val="29"/>
          <w:color w:val="auto"/>
          <w:vertAlign w:val="superscript"/>
        </w:rPr>
      </w:pPr>
    </w:p>
    <w:p>
      <w:pPr>
        <w:ind w:left="580" w:hanging="572"/>
        <w:spacing w:after="0" w:line="181" w:lineRule="auto"/>
        <w:tabs>
          <w:tab w:leader="none" w:pos="5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Earnings as adjusted were inadequate to cover fixed charges by $134.2 million in 2004.</w:t>
      </w:r>
    </w:p>
    <w:p>
      <w:pPr>
        <w:spacing w:after="0" w:line="7" w:lineRule="exact"/>
        <w:rPr>
          <w:rFonts w:ascii="Times New Roman" w:cs="Times New Roman" w:eastAsia="Times New Roman" w:hAnsi="Times New Roman"/>
          <w:sz w:val="24"/>
          <w:szCs w:val="24"/>
          <w:color w:val="auto"/>
          <w:vertAlign w:val="superscript"/>
        </w:rPr>
      </w:pPr>
    </w:p>
    <w:p>
      <w:pPr>
        <w:ind w:left="580" w:hanging="572"/>
        <w:spacing w:after="0" w:line="181" w:lineRule="auto"/>
        <w:tabs>
          <w:tab w:leader="none" w:pos="5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Earnings as adjusted were inadequate to cover fixed charges by $127.3 million in 2003.</w:t>
      </w:r>
    </w:p>
    <w:p>
      <w:pPr>
        <w:spacing w:after="0" w:line="7" w:lineRule="exact"/>
        <w:rPr>
          <w:rFonts w:ascii="Times New Roman" w:cs="Times New Roman" w:eastAsia="Times New Roman" w:hAnsi="Times New Roman"/>
          <w:sz w:val="24"/>
          <w:szCs w:val="24"/>
          <w:color w:val="auto"/>
          <w:vertAlign w:val="superscript"/>
        </w:rPr>
      </w:pPr>
    </w:p>
    <w:p>
      <w:pPr>
        <w:ind w:left="580" w:hanging="572"/>
        <w:spacing w:after="0" w:line="181" w:lineRule="auto"/>
        <w:tabs>
          <w:tab w:leader="none" w:pos="5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Earnings as adjusted were inadequate to cover fixed charges by $63.7 million in 2002.</w:t>
      </w:r>
    </w:p>
    <w:p>
      <w:pPr>
        <w:spacing w:after="0" w:line="7" w:lineRule="exact"/>
        <w:rPr>
          <w:rFonts w:ascii="Times New Roman" w:cs="Times New Roman" w:eastAsia="Times New Roman" w:hAnsi="Times New Roman"/>
          <w:sz w:val="24"/>
          <w:szCs w:val="24"/>
          <w:color w:val="auto"/>
          <w:vertAlign w:val="superscript"/>
        </w:rPr>
      </w:pPr>
    </w:p>
    <w:p>
      <w:pPr>
        <w:ind w:left="580" w:hanging="572"/>
        <w:spacing w:after="0" w:line="181" w:lineRule="auto"/>
        <w:tabs>
          <w:tab w:leader="none" w:pos="5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Earnings as adjusted were inadequate to cover fixed charges by $49.5 million in 2001.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00" w:type="dxa"/>
            <w:vAlign w:val="bottom"/>
          </w:tcPr>
          <w:p>
            <w:pPr>
              <w:jc w:val="right"/>
              <w:ind w:right="3952"/>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5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380" w:type="dxa"/>
            <w:vAlign w:val="bottom"/>
            <w:gridSpan w:val="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5"/>
              </w:rPr>
              <w:t>CAPITALIZATION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0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8"/>
              </w:rPr>
              <w:t>The following table sets forth our long-term debt, convertible debentures and capitalization as of December 31, 2005 on an actual basis.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convertibles debentures</w:t>
            </w:r>
          </w:p>
        </w:tc>
        <w:tc>
          <w:tcPr>
            <w:tcW w:w="5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9"/>
                <w:szCs w:val="29"/>
                <w:color w:val="auto"/>
                <w:vertAlign w:val="superscript"/>
              </w:rPr>
              <w:t>(1)</w:t>
            </w:r>
          </w:p>
        </w:tc>
        <w:tc>
          <w:tcPr>
            <w:tcW w:w="5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liability in respect of customer advances</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Convertible debentures due 2012 </w:t>
            </w:r>
            <w:r>
              <w:rPr>
                <w:rFonts w:ascii="Times New Roman" w:cs="Times New Roman" w:eastAsia="Times New Roman" w:hAnsi="Times New Roman"/>
                <w:sz w:val="29"/>
                <w:szCs w:val="29"/>
                <w:color w:val="auto"/>
                <w:vertAlign w:val="superscript"/>
              </w:rPr>
              <w:t>(2)</w:t>
            </w: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Ordinary Shares, NIS 1.00 par value per share; 500,000,000</w:t>
            </w:r>
          </w:p>
        </w:tc>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 shares, 68,232,056 issued shares* and 66,932,056</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shares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receivables</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(559,754)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1,300,000 shares</w:t>
            </w:r>
          </w:p>
        </w:tc>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28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5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678,686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2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1,300,000 treasury shares.</w:t>
      </w:r>
    </w:p>
    <w:p>
      <w:pPr>
        <w:ind w:left="580" w:hanging="572"/>
        <w:spacing w:after="0" w:line="183" w:lineRule="auto"/>
        <w:tabs>
          <w:tab w:leader="none" w:pos="5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indebtedness represented by long-term debt is secured by specific and floating liens on all of our assets.</w:t>
      </w:r>
    </w:p>
    <w:p>
      <w:pPr>
        <w:spacing w:after="0" w:line="8" w:lineRule="exact"/>
        <w:rPr>
          <w:rFonts w:ascii="Times New Roman" w:cs="Times New Roman" w:eastAsia="Times New Roman" w:hAnsi="Times New Roman"/>
          <w:sz w:val="27"/>
          <w:szCs w:val="27"/>
          <w:color w:val="auto"/>
          <w:vertAlign w:val="superscript"/>
        </w:rPr>
      </w:pPr>
    </w:p>
    <w:p>
      <w:pPr>
        <w:ind w:left="580" w:right="320" w:hanging="572"/>
        <w:spacing w:after="0" w:line="188" w:lineRule="auto"/>
        <w:tabs>
          <w:tab w:leader="none" w:pos="5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Received in December 2005 on account of convertible debentures issued in January 2006. Excludes the additional $22.68 million received in January 2006. An aggregate of $48.17 million principal amount of these convertible debentures were issued.</w:t>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information set forth on an actual basis in the foregoing table excludes the following securities as of December 31, 2005:</w:t>
      </w:r>
    </w:p>
    <w:p>
      <w:pPr>
        <w:spacing w:after="0" w:line="225" w:lineRule="exact"/>
        <w:rPr>
          <w:sz w:val="20"/>
          <w:szCs w:val="20"/>
          <w:color w:val="auto"/>
        </w:rPr>
      </w:pPr>
    </w:p>
    <w:p>
      <w:pPr>
        <w:ind w:left="560" w:hanging="201"/>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13 million ordinary shares issuable upon exercise of options granted to employees and directors at a weighted average exercise price of</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$4.16;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firstLine="359"/>
        <w:spacing w:after="0" w:line="275" w:lineRule="auto"/>
        <w:tabs>
          <w:tab w:leader="none" w:pos="6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2,697,068 ordinary shares issuable upon conversion of unsecured, subordinated convertible debentures, net that we issued in January 2002 in the amount of NIS 120.0 million (or $26.1 million, as of December 31, 2005), which are convertible through December 31, 2008;</w:t>
      </w:r>
    </w:p>
    <w:p>
      <w:pPr>
        <w:sectPr>
          <w:pgSz w:w="11900" w:h="16838" w:orient="portrait"/>
          <w:cols w:equalWidth="0" w:num="1">
            <w:col w:w="11420"/>
          </w:cols>
          <w:pgMar w:left="240" w:top="125" w:right="239" w:bottom="0" w:gutter="0" w:footer="0" w:header="0"/>
        </w:sectPr>
      </w:pPr>
    </w:p>
    <w:bookmarkStart w:id="11" w:name="page12"/>
    <w:bookmarkEnd w:id="11"/>
    <w:p>
      <w:pPr>
        <w:ind w:right="760" w:firstLine="359"/>
        <w:spacing w:after="0" w:line="275" w:lineRule="auto"/>
        <w:tabs>
          <w:tab w:leader="none" w:pos="6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2,211,596 ordinary shares issuable upon exercise of options (expired on January 20, 2006 at an exercise price of NIS 42.3, linked to the Israeli Consumer Price Index (or $9.2, as of December 31, 2005);</w:t>
      </w:r>
    </w:p>
    <w:p>
      <w:pPr>
        <w:spacing w:after="0" w:line="173"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3,594,070 ordinary shares issuable upon exercise of warrants with an exercise price of $7.50 exercisable until October 2006;</w:t>
      </w:r>
    </w:p>
    <w:p>
      <w:pPr>
        <w:spacing w:after="0" w:line="225" w:lineRule="exact"/>
        <w:rPr>
          <w:rFonts w:ascii="Times New Roman" w:cs="Times New Roman" w:eastAsia="Times New Roman" w:hAnsi="Times New Roman"/>
          <w:sz w:val="18"/>
          <w:szCs w:val="18"/>
          <w:color w:val="auto"/>
        </w:rPr>
      </w:pPr>
    </w:p>
    <w:p>
      <w:pPr>
        <w:ind w:right="140" w:firstLine="359"/>
        <w:spacing w:after="0" w:line="275" w:lineRule="auto"/>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ordinary shares issuable upon the exercise of warrants issued to our banks in connection with our credit facility with an exercise price of $6.20, which expired in January 2006;</w:t>
      </w:r>
    </w:p>
    <w:p>
      <w:pPr>
        <w:spacing w:after="0" w:line="173" w:lineRule="exact"/>
        <w:rPr>
          <w:rFonts w:ascii="Times New Roman" w:cs="Times New Roman" w:eastAsia="Times New Roman" w:hAnsi="Times New Roman"/>
          <w:sz w:val="18"/>
          <w:szCs w:val="18"/>
          <w:color w:val="auto"/>
        </w:rPr>
      </w:pPr>
    </w:p>
    <w:p>
      <w:pPr>
        <w:ind w:right="140" w:firstLine="359"/>
        <w:spacing w:after="0" w:line="275" w:lineRule="auto"/>
        <w:tabs>
          <w:tab w:leader="none" w:pos="6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896,596 ordinary shares issuable upon the exercise of warrants issued to our banks in connection with our credit facility with an exercise price of $6.17 per share exercisable until December 2008;</w:t>
      </w:r>
    </w:p>
    <w:p>
      <w:pPr>
        <w:spacing w:after="0" w:line="173" w:lineRule="exact"/>
        <w:rPr>
          <w:rFonts w:ascii="Times New Roman" w:cs="Times New Roman" w:eastAsia="Times New Roman" w:hAnsi="Times New Roman"/>
          <w:sz w:val="18"/>
          <w:szCs w:val="18"/>
          <w:color w:val="auto"/>
        </w:rPr>
      </w:pPr>
    </w:p>
    <w:p>
      <w:pPr>
        <w:ind w:right="460" w:firstLine="359"/>
        <w:spacing w:after="0" w:line="275" w:lineRule="auto"/>
        <w:tabs>
          <w:tab w:leader="none" w:pos="6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173" w:lineRule="exact"/>
        <w:rPr>
          <w:rFonts w:ascii="Times New Roman" w:cs="Times New Roman" w:eastAsia="Times New Roman" w:hAnsi="Times New Roman"/>
          <w:sz w:val="18"/>
          <w:szCs w:val="18"/>
          <w:color w:val="auto"/>
        </w:rPr>
      </w:pPr>
    </w:p>
    <w:p>
      <w:pPr>
        <w:jc w:val="both"/>
        <w:ind w:right="320" w:firstLine="359"/>
        <w:spacing w:after="0" w:line="262" w:lineRule="auto"/>
        <w:tabs>
          <w:tab w:leader="none" w:pos="7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8,264,464 ordinary shares issuable upon exercise of the warrants we issued to our banks with an exercise price of $1.21 in connection with the July 2005 amendment to our facility agreement one-half of which shall only be exercisable if our banks agree to reschedule the repayment dates of the loans to be made available to us under the July 2005 amendment; and</w:t>
      </w:r>
    </w:p>
    <w:p>
      <w:pPr>
        <w:spacing w:after="0" w:line="186"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addition, the information does not reflect the (i) $8.6 million we borrowed under our credit facility agreement after December 31, 2005, (ii) the repayment in January 2006 of NIS 30.0 million (approximately $6.5 million) principal amount of the debentures in (ii) above), (iii) the 257,491 shares issued in January 2006 and the 2,455,905 issued to certain of our wafer partners in connection with their conversion of wafer credits, and (iv) up to 43,790,272 ordinary shares issuable upon conversion of our convertible debentures due 2012, of which 5,220,997 shares were issued upon conversion of such debentures as of February 19, 2006.</w:t>
      </w:r>
    </w:p>
    <w:p>
      <w:pPr>
        <w:spacing w:after="0" w:line="193" w:lineRule="exact"/>
        <w:rPr>
          <w:sz w:val="20"/>
          <w:szCs w:val="20"/>
          <w:color w:val="auto"/>
        </w:rPr>
      </w:pPr>
    </w:p>
    <w:p>
      <w:pPr>
        <w:ind w:right="20" w:firstLine="348"/>
        <w:spacing w:after="0" w:line="296" w:lineRule="auto"/>
        <w:rPr>
          <w:sz w:val="20"/>
          <w:szCs w:val="20"/>
          <w:color w:val="auto"/>
        </w:rPr>
      </w:pPr>
      <w:r>
        <w:rPr>
          <w:rFonts w:ascii="Times New Roman" w:cs="Times New Roman" w:eastAsia="Times New Roman" w:hAnsi="Times New Roman"/>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$31.9 million in wafer prepayment credits (as of February 2, 2006) which we have issued to our major wafer partners; and (ii) ordinary shares issuable upon conversion of securities we may be required to issue in connection with a rights offering and outside investor provisions agreed to in the November 2003 amendment to our facility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08"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will not receive any of the proceeds from the sale of debentures by our selling securityholders or from the sale of the ordinary shares issuable upon conversion of the debentures or exercise of the warrants; however we will receive the exercise price if any of the warrants are exercised, unless the holders thereof exercise by way of a “cashless” exercise. We will receive approximately $15.5 million if all 9,161,060 warrants held by the selling securityholders are exercised, unless the holders thereof exercise by way of a “cashless” exercise. The net proceeds received from the exercise of the warrants will be used towards the construction and deployment of Fab 2 as well as for general corporate purposes. We have agreed to bear all expenses relating to the registration of the securities registered pursuant to the registration statement, of which this prospectus is a part.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and other information.</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On January 12, 2006, we completed the issuance of debentures in connection with the distribution of rights to our shareholders and certain employee option holders in December 2005, resulting in gross proceeds of $48.17 million. Of the $48.17 million, $31,191,606 were the result of issuances of debentures to the below listed selling securityholders in transactions exempted from the requirements of the Securities Act. These debentures are convertible, at a conversion price of $1.10 of aggregate principal amount, into 28,356,005 ordinary shares.</w:t>
      </w:r>
    </w:p>
    <w:p>
      <w:pPr>
        <w:spacing w:after="0" w:line="190" w:lineRule="exact"/>
        <w:rPr>
          <w:sz w:val="20"/>
          <w:szCs w:val="20"/>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Israel Corporation Ltd., Alliance Semiconductor Corporation, Macronix (BVI) Co Ltd., SanDisk Corporation, Sphera Master Fund LP, Do Tzah Ltd., Ramco 20 Flexible, and Ramco Stocks may use this prospectus to resell up to $31,191,606 principal amount in debentures and up to 28,356,005 ordinary shares issuable upon conversion of the debentures.</w:t>
      </w:r>
    </w:p>
    <w:p>
      <w:pPr>
        <w:spacing w:after="0" w:line="186"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August 2005, we issued warrants for the purchase of 8,264,464 of our ordinary shares to Bank Hapoalim and Bank Leumi Le-Israel (4,132,232 each). These warrants were issued in connection with an amendment to our credit facility agreement. These warrants have an exercise price of $1.21 per share. One-half, or an aggregate of 4,132,232 of the warrants, are exercisable for five years ending in August 2010, and one-half, or an aggregate of 4,132,232 of the warrants, shall be exercisable for a five-year period commencing on the date on which we and our banks will agree, if at all, to a rescheduling of the repayment dates for loans drawn down by us under the July 2005 amendment to our facility agreement. For the purpose of beneficial ownership it is assumed that such condition will be fulfilled within 60 days.</w:t>
      </w:r>
    </w:p>
    <w:p>
      <w:pPr>
        <w:spacing w:after="0" w:line="193"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In December 2003, we issued warrants for the purchase of 896,596 of our ordinary shares to Tarshish Hahzakot Vehashkaot Hapoalim Ltd., a subsidiary of Bank Hapoalim, and Bank Leumi Le-Israel (448,298 each). These warrants were issued in connection with an amendment to our credit facility agreement in November 2003. These warrants have an exercise price of $6.17 per share and expire in December 2008.</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Bank Hapaolim, Tarshish Hahzakot Vehashkaot Hapoalim Ltd., and Bank Leumi may use this prospectus to resell up to 9,161,060 shares issuable upon the exercise of their outstanding warrants.</w:t>
      </w:r>
    </w:p>
    <w:p>
      <w:pPr>
        <w:spacing w:after="0" w:line="174"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Information concerning the material relationships between us and certain of the selling securityholders can be found in our reports incorporated herein by reference into this prospectus, particularly Item 5. “Operating and Financial Review and Prospects – B. Liquidity and Capital Resources – Fab 2 Agreements” and</w:t>
      </w:r>
    </w:p>
    <w:p>
      <w:pPr>
        <w:sectPr>
          <w:pgSz w:w="11900" w:h="16838" w:orient="portrait"/>
          <w:cols w:equalWidth="0" w:num="1">
            <w:col w:w="11420"/>
          </w:cols>
          <w:pgMar w:left="240" w:top="125" w:right="239" w:bottom="0" w:gutter="0" w:footer="0" w:header="0"/>
        </w:sectPr>
      </w:pPr>
    </w:p>
    <w:bookmarkStart w:id="12" w:name="page13"/>
    <w:bookmarkEnd w:id="12"/>
    <w:p>
      <w:pPr>
        <w:ind w:right="280"/>
        <w:spacing w:after="0" w:line="339" w:lineRule="auto"/>
        <w:rPr>
          <w:sz w:val="20"/>
          <w:szCs w:val="20"/>
          <w:color w:val="auto"/>
        </w:rPr>
      </w:pPr>
      <w:r>
        <w:rPr>
          <w:rFonts w:ascii="Times New Roman" w:cs="Times New Roman" w:eastAsia="Times New Roman" w:hAnsi="Times New Roman"/>
          <w:sz w:val="16"/>
          <w:szCs w:val="16"/>
          <w:color w:val="auto"/>
        </w:rPr>
        <w:t>Item 7. “Major Shareholders and Related Party Transactions – Major Shareholders” of our annual report on Form 20-F for the year ended December 31, 2004, filed on June 29, 2005, and in notes 11 (A) (3)-(6) to the financial statements attached as Exhibit 99.2 to our report on Form 6-K filed on February 2, 2006.</w:t>
      </w:r>
    </w:p>
    <w:p>
      <w:pPr>
        <w:spacing w:after="0" w:line="128"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 13(d) of the Exchange Act and the rules promulgated thereunder.</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noted below none of the selling securityholders are broker-dealers or affiliates of broker-dealers.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Securities Beneficially</w:t>
            </w:r>
          </w:p>
        </w:tc>
        <w:tc>
          <w:tcPr>
            <w:tcW w:w="40" w:type="dxa"/>
            <w:vAlign w:val="bottom"/>
          </w:tcPr>
          <w:p>
            <w:pPr>
              <w:spacing w:after="0"/>
              <w:rPr>
                <w:sz w:val="14"/>
                <w:szCs w:val="14"/>
                <w:color w:val="auto"/>
              </w:rPr>
            </w:pPr>
          </w:p>
        </w:tc>
        <w:tc>
          <w:tcPr>
            <w:tcW w:w="3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Securities 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Owned Prior to Offering /</w:t>
            </w:r>
          </w:p>
        </w:tc>
        <w:tc>
          <w:tcPr>
            <w:tcW w:w="40" w:type="dxa"/>
            <w:vAlign w:val="bottom"/>
          </w:tcPr>
          <w:p>
            <w:pPr>
              <w:spacing w:after="0"/>
              <w:rPr>
                <w:sz w:val="12"/>
                <w:szCs w:val="12"/>
                <w:color w:val="auto"/>
              </w:rPr>
            </w:pPr>
          </w:p>
        </w:tc>
        <w:tc>
          <w:tcPr>
            <w:tcW w:w="3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Upon Completion of Offering /</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Securities Being Offered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Percentage of Class</w:t>
            </w:r>
            <w:r>
              <w:rPr>
                <w:rFonts w:ascii="Times New Roman" w:cs="Times New Roman" w:eastAsia="Times New Roman" w:hAnsi="Times New Roman"/>
                <w:sz w:val="22"/>
                <w:szCs w:val="22"/>
                <w:b w:val="1"/>
                <w:bCs w:val="1"/>
                <w:color w:val="auto"/>
                <w:w w:val="95"/>
                <w:vertAlign w:val="superscript"/>
              </w:rPr>
              <w:t>1</w:t>
            </w:r>
          </w:p>
        </w:tc>
        <w:tc>
          <w:tcPr>
            <w:tcW w:w="40" w:type="dxa"/>
            <w:vAlign w:val="bottom"/>
          </w:tcPr>
          <w:p>
            <w:pPr>
              <w:spacing w:after="0"/>
              <w:rPr>
                <w:sz w:val="24"/>
                <w:szCs w:val="24"/>
                <w:color w:val="auto"/>
              </w:rPr>
            </w:pPr>
          </w:p>
        </w:tc>
        <w:tc>
          <w:tcPr>
            <w:tcW w:w="3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Percentage of Class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Israel Corporation Ltd. </w:t>
            </w:r>
            <w:r>
              <w:rPr>
                <w:rFonts w:ascii="Times New Roman" w:cs="Times New Roman" w:eastAsia="Times New Roman" w:hAnsi="Times New Roman"/>
                <w:sz w:val="29"/>
                <w:szCs w:val="29"/>
                <w:color w:val="auto"/>
                <w:vertAlign w:val="superscript"/>
              </w:rPr>
              <w:t>9,11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6"/>
              </w:rPr>
              <w:t>18,181,823</w:t>
            </w:r>
          </w:p>
        </w:tc>
        <w:tc>
          <w:tcPr>
            <w:tcW w:w="12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6"/>
              </w:rPr>
              <w:t>33,324,887</w:t>
            </w:r>
          </w:p>
        </w:tc>
        <w:tc>
          <w:tcPr>
            <w:tcW w:w="190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 35.49%</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15,143,064</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23 Arania Street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6"/>
              </w:rPr>
              <w:t>20,000,006</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6"/>
              </w:rPr>
              <w:t>20,000,006</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/41.52%</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Millenium Tower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Tel-Aviv, Israel 61204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Macronix (BVI) Co Ltd. </w:t>
            </w:r>
            <w:r>
              <w:rPr>
                <w:rFonts w:ascii="Times New Roman" w:cs="Times New Roman" w:eastAsia="Times New Roman" w:hAnsi="Times New Roman"/>
                <w:sz w:val="29"/>
                <w:szCs w:val="29"/>
                <w:color w:val="auto"/>
                <w:vertAlign w:val="superscript"/>
              </w:rPr>
              <w:t>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909,090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9,979,485</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 13.12%</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9,070,395</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 12.07%</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 Box 957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1,000,000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1,000,000</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 / 2.08%</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Offshore Incorporations Centre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Road Town Tortola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Semiconductor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3,009,818</w:t>
            </w:r>
          </w:p>
        </w:tc>
        <w:tc>
          <w:tcPr>
            <w:tcW w:w="12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6"/>
              </w:rPr>
              <w:t>14,171,082</w:t>
            </w:r>
          </w:p>
        </w:tc>
        <w:tc>
          <w:tcPr>
            <w:tcW w:w="190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18.12%</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11,161,264</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14.84%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29"/>
                <w:szCs w:val="29"/>
                <w:color w:val="auto"/>
                <w:vertAlign w:val="superscript"/>
              </w:rPr>
              <w:t>8,9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3,310,800</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3,310,800</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6.87%</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2575 Augustine Drive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Clara, CA 95054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SanDisk Corporation </w:t>
            </w:r>
            <w:r>
              <w:rPr>
                <w:rFonts w:ascii="Times New Roman" w:cs="Times New Roman" w:eastAsia="Times New Roman" w:hAnsi="Times New Roman"/>
                <w:sz w:val="29"/>
                <w:szCs w:val="29"/>
                <w:color w:val="auto"/>
                <w:vertAlign w:val="superscript"/>
              </w:rPr>
              <w:t>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3,181,818</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6"/>
              </w:rPr>
              <w:t>13,989,245</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 17.85%</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10,807,427</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 14.37%</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140 Caspian Court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3,500,000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3,500,000</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 / 7.27%</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2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Sunnyvale, California 94089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Sphera Master Fund LP </w:t>
            </w:r>
            <w:r>
              <w:rPr>
                <w:rFonts w:ascii="Times New Roman" w:cs="Times New Roman" w:eastAsia="Times New Roman" w:hAnsi="Times New Roman"/>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2,179,181</w:t>
            </w:r>
          </w:p>
        </w:tc>
        <w:tc>
          <w:tcPr>
            <w:tcW w:w="12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2,179,181</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2.83%</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21 Haarbaah Street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2,397,100</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2,397,100</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4.98%</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 House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Tel-Aviv, Israel 64739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Do Tzah Ltd. </w:t>
            </w:r>
            <w:r>
              <w:rPr>
                <w:rFonts w:ascii="Times New Roman" w:cs="Times New Roman" w:eastAsia="Times New Roman" w:hAnsi="Times New Roman"/>
                <w:sz w:val="29"/>
                <w:szCs w:val="29"/>
                <w:color w:val="auto"/>
                <w:vertAlign w:val="superscript"/>
              </w:rPr>
              <w:t>13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474,454</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474,454</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 0.63%</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37 Menachem Begin Road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521,900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521,900</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 / 1.08%</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Rubinstein House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Tel-Aviv, Israel 67137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Ramco 20 Flexible </w:t>
            </w:r>
            <w:r>
              <w:rPr>
                <w:rFonts w:ascii="Times New Roman" w:cs="Times New Roman" w:eastAsia="Times New Roman" w:hAnsi="Times New Roman"/>
                <w:sz w:val="29"/>
                <w:szCs w:val="29"/>
                <w:color w:val="auto"/>
                <w:vertAlign w:val="superscript"/>
              </w:rPr>
              <w:t>14</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251,890</w:t>
            </w:r>
          </w:p>
        </w:tc>
        <w:tc>
          <w:tcPr>
            <w:tcW w:w="12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251,890</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0.34%</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41 Rotschild Boulevard</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277,080</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277,080</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0.58%</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Zion House - 14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Tel-Aviv, Israel 86784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Ramco Stocks </w:t>
            </w:r>
            <w:r>
              <w:rPr>
                <w:rFonts w:ascii="Times New Roman" w:cs="Times New Roman" w:eastAsia="Times New Roman" w:hAnsi="Times New Roman"/>
                <w:sz w:val="29"/>
                <w:szCs w:val="29"/>
                <w:color w:val="auto"/>
                <w:vertAlign w:val="superscript"/>
              </w:rPr>
              <w:t>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167,927</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167,927</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 0.22%</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0" w:type="dxa"/>
            <w:vAlign w:val="bottom"/>
          </w:tcPr>
          <w:p>
            <w:pPr>
              <w:spacing w:after="0"/>
              <w:rPr>
                <w:sz w:val="1"/>
                <w:szCs w:val="1"/>
                <w:color w:val="auto"/>
              </w:rPr>
            </w:pPr>
          </w:p>
        </w:tc>
      </w:tr>
      <w:tr>
        <w:trPr>
          <w:trHeight w:val="219"/>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41 Rotschild Boulevard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184,720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184,720</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Debentures / 0.38%</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Debentures / 0%</w:t>
            </w:r>
          </w:p>
        </w:tc>
        <w:tc>
          <w:tcPr>
            <w:tcW w:w="0" w:type="dxa"/>
            <w:vAlign w:val="bottom"/>
          </w:tcPr>
          <w:p>
            <w:pPr>
              <w:spacing w:after="0"/>
              <w:rPr>
                <w:sz w:val="1"/>
                <w:szCs w:val="1"/>
                <w:color w:val="auto"/>
              </w:rPr>
            </w:pPr>
          </w:p>
        </w:tc>
      </w:tr>
      <w:tr>
        <w:trPr>
          <w:trHeight w:val="253"/>
        </w:trPr>
        <w:tc>
          <w:tcPr>
            <w:tcW w:w="2880" w:type="dxa"/>
            <w:vAlign w:val="bottom"/>
            <w:gridSpan w:val="4"/>
          </w:tcPr>
          <w:p>
            <w:pPr>
              <w:spacing w:after="0" w:line="253" w:lineRule="exact"/>
              <w:rPr>
                <w:sz w:val="20"/>
                <w:szCs w:val="20"/>
                <w:color w:val="auto"/>
              </w:rPr>
            </w:pPr>
            <w:r>
              <w:rPr>
                <w:rFonts w:ascii="Times New Roman" w:cs="Times New Roman" w:eastAsia="Times New Roman" w:hAnsi="Times New Roman"/>
                <w:sz w:val="18"/>
                <w:szCs w:val="18"/>
                <w:color w:val="auto"/>
              </w:rPr>
              <w:t>Zion House - 14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Tel-Aviv, Israel 86784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Bank Hapoalim </w:t>
            </w:r>
            <w:r>
              <w:rPr>
                <w:rFonts w:ascii="Times New Roman" w:cs="Times New Roman" w:eastAsia="Times New Roman" w:hAnsi="Times New Roman"/>
                <w:sz w:val="29"/>
                <w:szCs w:val="29"/>
                <w:color w:val="auto"/>
                <w:vertAlign w:val="superscript"/>
              </w:rPr>
              <w:t>10,11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4,580,530</w:t>
            </w:r>
          </w:p>
        </w:tc>
        <w:tc>
          <w:tcPr>
            <w:tcW w:w="126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4,580,530</w:t>
            </w:r>
          </w:p>
        </w:tc>
        <w:tc>
          <w:tcPr>
            <w:tcW w:w="190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5.77%</w:t>
            </w:r>
          </w:p>
        </w:tc>
        <w:tc>
          <w:tcPr>
            <w:tcW w:w="11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Zion Building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45 Rothschild Boulevard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Bank Leumi </w:t>
            </w:r>
            <w:r>
              <w:rPr>
                <w:rFonts w:ascii="Times New Roman" w:cs="Times New Roman" w:eastAsia="Times New Roman" w:hAnsi="Times New Roman"/>
                <w:sz w:val="29"/>
                <w:szCs w:val="29"/>
                <w:color w:val="auto"/>
                <w:vertAlign w:val="superscript"/>
              </w:rPr>
              <w:t>11,15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4,580,530</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4,580,530</w:t>
            </w:r>
          </w:p>
        </w:tc>
        <w:tc>
          <w:tcPr>
            <w:tcW w:w="1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5.77%</w:t>
            </w:r>
          </w:p>
        </w:tc>
        <w:tc>
          <w:tcPr>
            <w:tcW w:w="11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 0%</w:t>
            </w: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34 Yehuda Halevi Street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18</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right="220" w:hanging="571"/>
        <w:spacing w:after="0" w:line="197" w:lineRule="auto"/>
        <w:tabs>
          <w:tab w:leader="none" w:pos="116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Beneficial ownership is calculated as of February 19, 2006 in accordance with General Instruction F. to Form 20-F. and is based on 74,846,449 ordinary shares outstanding.</w:t>
      </w:r>
    </w:p>
    <w:p>
      <w:pPr>
        <w:ind w:left="1160" w:hanging="571"/>
        <w:spacing w:after="0" w:line="181" w:lineRule="auto"/>
        <w:tabs>
          <w:tab w:leader="none" w:pos="11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To be issued upon conversion of debentures at a price of $1.10 aggregate debenture principal amount per share.</w:t>
      </w:r>
    </w:p>
    <w:p>
      <w:pPr>
        <w:ind w:left="1160" w:hanging="571"/>
        <w:spacing w:after="0" w:line="180" w:lineRule="auto"/>
        <w:tabs>
          <w:tab w:leader="none" w:pos="11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823,654 ordinary shares issuable upon exercise of warrants and 58,906 ordinary shares issuable upon exercise of warrants and</w:t>
      </w:r>
    </w:p>
    <w:p>
      <w:pPr>
        <w:sectPr>
          <w:pgSz w:w="11900" w:h="16838" w:orient="portrait"/>
          <w:cols w:equalWidth="0" w:num="1">
            <w:col w:w="11420"/>
          </w:cols>
          <w:pgMar w:left="240" w:top="125" w:right="239" w:bottom="0" w:gutter="0" w:footer="0" w:header="0"/>
        </w:sectPr>
      </w:pPr>
    </w:p>
    <w:bookmarkStart w:id="13" w:name="page14"/>
    <w:bookmarkEnd w:id="13"/>
    <w:p>
      <w:pPr>
        <w:ind w:left="1160"/>
        <w:spacing w:after="0"/>
        <w:rPr>
          <w:sz w:val="20"/>
          <w:szCs w:val="20"/>
          <w:color w:val="auto"/>
        </w:rPr>
      </w:pPr>
      <w:r>
        <w:rPr>
          <w:rFonts w:ascii="Times New Roman" w:cs="Times New Roman" w:eastAsia="Times New Roman" w:hAnsi="Times New Roman"/>
          <w:sz w:val="18"/>
          <w:szCs w:val="18"/>
          <w:color w:val="auto"/>
        </w:rPr>
        <w:t>18,181,823 ordinary shares issuable upon conversion of debentures.</w:t>
      </w:r>
    </w:p>
    <w:p>
      <w:pPr>
        <w:ind w:left="1160" w:hanging="571"/>
        <w:spacing w:after="0" w:line="183" w:lineRule="auto"/>
        <w:tabs>
          <w:tab w:leader="none" w:pos="116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Includes 297,000 ordinary shares issuable upon exercise of warrants and 909,090 ordinary shares issuable upon conversion of debentures.</w:t>
      </w:r>
    </w:p>
    <w:p>
      <w:pPr>
        <w:ind w:left="1160" w:hanging="571"/>
        <w:spacing w:after="0" w:line="181" w:lineRule="auto"/>
        <w:tabs>
          <w:tab w:leader="none" w:pos="11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357,747 ordinary shares issuable upon exercise of warrants and 3,009,818 ordinary shares issuable upon conversion of debentures.</w:t>
      </w:r>
    </w:p>
    <w:p>
      <w:pPr>
        <w:ind w:left="1160" w:hanging="571"/>
        <w:spacing w:after="0" w:line="180" w:lineRule="auto"/>
        <w:tabs>
          <w:tab w:leader="none" w:pos="11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360,312 ordinary shares issuable upon exercise of warrants and 3,181,818 ordinary shares issuable upon conversion of debentures.</w:t>
      </w:r>
    </w:p>
    <w:p>
      <w:pPr>
        <w:spacing w:after="0" w:line="7" w:lineRule="exact"/>
        <w:rPr>
          <w:sz w:val="20"/>
          <w:szCs w:val="20"/>
          <w:color w:val="auto"/>
        </w:rPr>
      </w:pPr>
    </w:p>
    <w:p>
      <w:pPr>
        <w:ind w:left="1160" w:right="280" w:hanging="571"/>
        <w:spacing w:after="0" w:line="215" w:lineRule="auto"/>
        <w:tabs>
          <w:tab w:leader="none" w:pos="116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4,132,232 ordinary shares issuable upon exercise of selling securityholder’s warrants assuming we and our banks will agree, to a rescheduling of the repayment dates for loans drawn down by us under the July 2005 amendment to our facility agreement within 60 days and 448,298 ordinary shares issuable upon exercise of warrants issued to Tarshish Hahzakot Vehashkaot Hapoalim Ltd., a subsidiary of Bank</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Hapoalim and Bank Leumi Le-Israel.</w:t>
      </w:r>
    </w:p>
    <w:p>
      <w:pPr>
        <w:ind w:left="1160" w:hanging="571"/>
        <w:spacing w:after="0" w:line="180" w:lineRule="auto"/>
        <w:tabs>
          <w:tab w:leader="none" w:pos="1160"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selling securityholder is a reporting company under the Securities Exchange Act of 1934.</w:t>
      </w:r>
    </w:p>
    <w:p>
      <w:pPr>
        <w:spacing w:after="0" w:line="8" w:lineRule="exact"/>
        <w:rPr>
          <w:sz w:val="20"/>
          <w:szCs w:val="20"/>
          <w:color w:val="auto"/>
        </w:rPr>
      </w:pPr>
    </w:p>
    <w:p>
      <w:pPr>
        <w:ind w:left="1160" w:right="720" w:hanging="571"/>
        <w:spacing w:after="0" w:line="188" w:lineRule="auto"/>
        <w:tabs>
          <w:tab w:leader="none" w:pos="116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Under a shareholders agreement described below, SanDisk Corporation, Israel Corporation, Alliance Semiconductor Ltd. and Macronix International Co., Ltd. may be deemed to have shared voting and dispositive control over 60% of our outstanding shares.</w:t>
      </w:r>
    </w:p>
    <w:p>
      <w:pPr>
        <w:spacing w:after="0" w:line="2" w:lineRule="exact"/>
        <w:rPr>
          <w:sz w:val="20"/>
          <w:szCs w:val="20"/>
          <w:color w:val="auto"/>
        </w:rPr>
      </w:pPr>
    </w:p>
    <w:p>
      <w:pPr>
        <w:ind w:left="1160" w:right="120" w:hanging="571"/>
        <w:spacing w:after="0" w:line="208" w:lineRule="auto"/>
        <w:tabs>
          <w:tab w:leader="none" w:pos="116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 securities at the time it purchased the securities.</w:t>
      </w:r>
    </w:p>
    <w:p>
      <w:pPr>
        <w:ind w:left="1160" w:hanging="571"/>
        <w:spacing w:after="0" w:line="180" w:lineRule="auto"/>
        <w:tabs>
          <w:tab w:leader="none" w:pos="11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selling securityholder is a public company registered with the Israel Securities Authority.</w:t>
      </w:r>
    </w:p>
    <w:p>
      <w:pPr>
        <w:spacing w:after="0" w:line="8" w:lineRule="exact"/>
        <w:rPr>
          <w:rFonts w:ascii="Times New Roman" w:cs="Times New Roman" w:eastAsia="Times New Roman" w:hAnsi="Times New Roman"/>
          <w:sz w:val="25"/>
          <w:szCs w:val="25"/>
          <w:color w:val="auto"/>
          <w:vertAlign w:val="superscript"/>
        </w:rPr>
      </w:pPr>
    </w:p>
    <w:p>
      <w:pPr>
        <w:ind w:left="1160" w:right="220" w:hanging="571"/>
        <w:spacing w:after="0" w:line="188" w:lineRule="auto"/>
        <w:tabs>
          <w:tab w:leader="none" w:pos="116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selling securityholder is controlled by Sphera G.P.L.P., the general partner of which is controlled by Ron Senator, Doron Breen, and Israel Mor who serve as the directors thereof.</w:t>
      </w:r>
    </w:p>
    <w:p>
      <w:pPr>
        <w:spacing w:after="0" w:line="1" w:lineRule="exact"/>
        <w:rPr>
          <w:rFonts w:ascii="Times New Roman" w:cs="Times New Roman" w:eastAsia="Times New Roman" w:hAnsi="Times New Roman"/>
          <w:sz w:val="29"/>
          <w:szCs w:val="29"/>
          <w:color w:val="auto"/>
          <w:vertAlign w:val="superscript"/>
        </w:rPr>
      </w:pPr>
    </w:p>
    <w:p>
      <w:pPr>
        <w:ind w:left="1160" w:hanging="571"/>
        <w:spacing w:after="0" w:line="180" w:lineRule="auto"/>
        <w:tabs>
          <w:tab w:leader="none" w:pos="11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selling securityholder is controlled by Yizhak Sultan.</w:t>
      </w:r>
    </w:p>
    <w:p>
      <w:pPr>
        <w:spacing w:after="0" w:line="8" w:lineRule="exact"/>
        <w:rPr>
          <w:rFonts w:ascii="Times New Roman" w:cs="Times New Roman" w:eastAsia="Times New Roman" w:hAnsi="Times New Roman"/>
          <w:sz w:val="25"/>
          <w:szCs w:val="25"/>
          <w:color w:val="auto"/>
          <w:vertAlign w:val="superscript"/>
        </w:rPr>
      </w:pPr>
    </w:p>
    <w:p>
      <w:pPr>
        <w:ind w:left="1160" w:right="120" w:hanging="571"/>
        <w:spacing w:after="0" w:line="188" w:lineRule="auto"/>
        <w:tabs>
          <w:tab w:leader="none" w:pos="116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selling securityholder is a foreign open end mutual fund managed by Ramco Funds Management (1989) Ltd., which management company is controlled by Rami Rahimi and Cohava Rahimi.</w:t>
      </w:r>
    </w:p>
    <w:p>
      <w:pPr>
        <w:spacing w:after="0" w:line="1" w:lineRule="exact"/>
        <w:rPr>
          <w:rFonts w:ascii="Times New Roman" w:cs="Times New Roman" w:eastAsia="Times New Roman" w:hAnsi="Times New Roman"/>
          <w:sz w:val="29"/>
          <w:szCs w:val="29"/>
          <w:color w:val="auto"/>
          <w:vertAlign w:val="superscript"/>
        </w:rPr>
      </w:pPr>
    </w:p>
    <w:p>
      <w:pPr>
        <w:ind w:left="1160" w:right="120" w:hanging="571"/>
        <w:spacing w:after="0" w:line="208" w:lineRule="auto"/>
        <w:tabs>
          <w:tab w:leader="none" w:pos="116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24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08"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of debentures and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3"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90"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193" w:lineRule="exact"/>
        <w:rPr>
          <w:sz w:val="20"/>
          <w:szCs w:val="20"/>
          <w:color w:val="auto"/>
        </w:rPr>
      </w:pPr>
    </w:p>
    <w:p>
      <w:pPr>
        <w:ind w:right="780" w:firstLine="351"/>
        <w:spacing w:after="0" w:line="262" w:lineRule="auto"/>
        <w:rPr>
          <w:sz w:val="20"/>
          <w:szCs w:val="20"/>
          <w:color w:val="auto"/>
        </w:rPr>
      </w:pPr>
      <w:r>
        <w:rPr>
          <w:rFonts w:ascii="Times New Roman" w:cs="Times New Roman" w:eastAsia="Times New Roman" w:hAnsi="Times New Roman"/>
          <w:sz w:val="18"/>
          <w:szCs w:val="18"/>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Subject to the limitations on the transfer of their shares (see “Selling Securityholders” above), the selling securityholders also may resell all or a portion of the securities offered hereby in open market transactions in reliance upon Rule 144 under the Securities Act, provided they meet the criteria and conform to the requirements of Rule 144.</w:t>
      </w:r>
    </w:p>
    <w:p>
      <w:pPr>
        <w:sectPr>
          <w:pgSz w:w="11900" w:h="16838" w:orient="portrait"/>
          <w:cols w:equalWidth="0" w:num="1">
            <w:col w:w="11420"/>
          </w:cols>
          <w:pgMar w:left="240" w:top="125"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4763"/>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 w:name="page15"/>
    <w:bookmarkEnd w:id="14"/>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7940"/>
                    </a:xfrm>
                    <a:prstGeom prst="rect">
                      <a:avLst/>
                    </a:prstGeom>
                    <a:noFill/>
                  </pic:spPr>
                </pic:pic>
              </a:graphicData>
            </a:graphic>
          </wp:anchor>
        </w:drawing>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name of the selling securityholder and of the participating broker-dealer(s);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other facts material to the transaction.</w:t>
      </w:r>
    </w:p>
    <w:p>
      <w:pPr>
        <w:spacing w:after="0" w:line="200" w:lineRule="exact"/>
        <w:rPr>
          <w:sz w:val="20"/>
          <w:szCs w:val="20"/>
          <w:color w:val="auto"/>
        </w:rPr>
      </w:pPr>
    </w:p>
    <w:p>
      <w:pPr>
        <w:spacing w:after="0" w:line="256"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incurred, or expect to incur, the following estimated expenses in connection with the sale of the securities covered by this prospectus:</w:t>
      </w:r>
    </w:p>
    <w:p>
      <w:pPr>
        <w:spacing w:after="0" w:line="240"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THE DEBENTURES</w:t>
      </w:r>
    </w:p>
    <w:p>
      <w:pPr>
        <w:spacing w:after="0" w:line="308"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debentures were originally issued under an indenture dated as of December 15,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0"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We have summarized selected provisions of the indenture below. This summary is not complete. The form of the indenture has been filed with the Israel Securities Authority, the Securities and Exchange Commission and the Israeli Registrar of Companies and will be available for review at our registered office. You should read the entire indenture for provisions that may be important to you.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Accrual of Interest</w:t>
      </w:r>
    </w:p>
    <w:p>
      <w:pPr>
        <w:spacing w:after="0" w:line="308"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debentures are general unsecured obligations. The debentures bear interest at the rate per annum of 5%. Principal of the debentures is payable, together with accrued interest, in one installment (in the aggregate maximum amount of approximately $65 million) on January 12, 2012. On January 12, 2012, the cumulative interest rate on the debentures will be 34.0096%. Instruments representing the debentures will be issued in denominations of $1.00 and integral multiples thereof.</w:t>
      </w:r>
    </w:p>
    <w:p>
      <w:pPr>
        <w:spacing w:after="0" w:line="190" w:lineRule="exact"/>
        <w:rPr>
          <w:sz w:val="20"/>
          <w:szCs w:val="20"/>
          <w:color w:val="auto"/>
        </w:rPr>
      </w:pPr>
    </w:p>
    <w:p>
      <w:pPr>
        <w:ind w:right="60" w:firstLine="351"/>
        <w:spacing w:after="0" w:line="339" w:lineRule="auto"/>
        <w:rPr>
          <w:sz w:val="20"/>
          <w:szCs w:val="20"/>
          <w:color w:val="auto"/>
        </w:rPr>
      </w:pPr>
      <w:r>
        <w:rPr>
          <w:rFonts w:ascii="Times New Roman" w:cs="Times New Roman" w:eastAsia="Times New Roman" w:hAnsi="Times New Roman"/>
          <w:sz w:val="16"/>
          <w:szCs w:val="16"/>
          <w:color w:val="auto"/>
        </w:rPr>
        <w:t>Interest is being accrued from January 13, 2006, and is computed on the basis of a 365-day year. Accrued interest will not be payable by us upon conversion of the debentures into our ordinary shares and you will lose your right to any accrued interest upon conversion of the debentures into our ordinary shares.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Debentures</w:t>
      </w:r>
    </w:p>
    <w:p>
      <w:pPr>
        <w:spacing w:after="0" w:line="308"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Until December 27, 2011 (inclusive) (16 days prior to the maturity date of the debentures, but if such date is not a trading day on the Tel Aviv Stock Exchange, then the last date to convert the debentures will be the first trading day on the Tel Aviv Stock Exchange after such date), the debentures are convertible into our ordinary shares at a conversion price of one ordinary share per each $1.10 amount of outstanding principal of the debentures. Debentures may only be converted in integral multiples of $1.00 amounts.</w:t>
      </w:r>
    </w:p>
    <w:p>
      <w:pPr>
        <w:spacing w:after="0" w:line="190"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74"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Accrued interest will not be payable by us upon conversion of the debentures into our ordinary shares and you will lose your right to any accrued interest upon conversion of the debentures into our ordinary shares. Consequently, the effective conversion price applicable to your debentures would be increased to reflect the amount of interest being forfeited upon conversion. For example, if you convert your debentures on December 27, 2011 (the last day on which debentures may be converted), the effective conversion price applicable to your debentures, assuming no adjustments are made to the conversion price, would be approximately $1.34.</w:t>
      </w:r>
    </w:p>
    <w:p>
      <w:pPr>
        <w:sectPr>
          <w:pgSz w:w="11900" w:h="16838" w:orient="portrait"/>
          <w:cols w:equalWidth="0" w:num="1">
            <w:col w:w="11380"/>
          </w:cols>
          <w:pgMar w:left="240" w:top="382" w:right="279" w:bottom="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Adjustment to Conversion Price Following a Future Financing</w:t>
      </w:r>
    </w:p>
    <w:p>
      <w:pPr>
        <w:sectPr>
          <w:pgSz w:w="11900" w:h="16838" w:orient="portrait"/>
          <w:cols w:equalWidth="0" w:num="1">
            <w:col w:w="11380"/>
          </w:cols>
          <w:pgMar w:left="240" w:top="382" w:right="279"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18"/>
          <w:szCs w:val="18"/>
          <w:color w:val="auto"/>
        </w:rPr>
        <w:t>The conversion price will be adjusted if either of the following two scenarios occurs:</w:t>
      </w:r>
    </w:p>
    <w:p>
      <w:pPr>
        <w:spacing w:after="0" w:line="225" w:lineRule="exact"/>
        <w:rPr>
          <w:sz w:val="20"/>
          <w:szCs w:val="20"/>
          <w:color w:val="auto"/>
        </w:rPr>
      </w:pPr>
    </w:p>
    <w:p>
      <w:pPr>
        <w:ind w:left="1720" w:right="100" w:hanging="567"/>
        <w:spacing w:after="0" w:line="254" w:lineRule="auto"/>
        <w:rPr>
          <w:sz w:val="20"/>
          <w:szCs w:val="20"/>
          <w:color w:val="auto"/>
        </w:rPr>
      </w:pPr>
      <w:r>
        <w:rPr>
          <w:rFonts w:ascii="Times New Roman" w:cs="Times New Roman" w:eastAsia="Times New Roman" w:hAnsi="Times New Roman"/>
          <w:sz w:val="18"/>
          <w:szCs w:val="18"/>
          <w:color w:val="auto"/>
        </w:rPr>
        <w:t>—In the event that by December 20, 2006, we consummate one or more financings (excluding the rights offering completed in January 2006) in which we receive gross proceeds from each such financing of at least $5 million, the conversion price of the debentures will be adjusted to 90% of the lowest price per share (as calculated below) at which we sold securities in any one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December 20, 2006 and the adjustment will take effect on the first Tel Aviv Stock Exchange trading day following the twenty first day after the date of the press release.</w:t>
      </w:r>
    </w:p>
    <w:p>
      <w:pPr>
        <w:spacing w:after="0" w:line="222" w:lineRule="exact"/>
        <w:rPr>
          <w:sz w:val="20"/>
          <w:szCs w:val="20"/>
          <w:color w:val="auto"/>
        </w:rPr>
      </w:pPr>
    </w:p>
    <w:p>
      <w:pPr>
        <w:ind w:left="1720" w:hanging="567"/>
        <w:spacing w:after="0" w:line="253" w:lineRule="auto"/>
        <w:rPr>
          <w:sz w:val="20"/>
          <w:szCs w:val="20"/>
          <w:color w:val="auto"/>
        </w:rPr>
      </w:pPr>
      <w:r>
        <w:rPr>
          <w:rFonts w:ascii="Times New Roman" w:cs="Times New Roman" w:eastAsia="Times New Roman" w:hAnsi="Times New Roman"/>
          <w:sz w:val="18"/>
          <w:szCs w:val="18"/>
          <w:color w:val="auto"/>
        </w:rPr>
        <w:t>—In the event that by December 20, 2006, we do not receive in any one financing (excluding the rights offering completed in January 2006) gross proceeds of at least $5 million, but execute prior to December 20, 2006 one or more agreements relating to transactions which have not closed, letters of intent, memorandums of understanding or similar agreements or understandings, for a proposed financing or financings, which have not been abandoned prior to December 20, 2006, and we receive in any one of these financings gross proceeds of at least $5 million by June 20, 2007, then, the conversion price will be adjusted to 90% of the lowest price per share (as calculated below) at which we sold securities in any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June 20,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adjusted conversion price to the debentures shall under no circumstances be lower than $0.01.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financing for purposes of adjustments to the conversion price means:</w:t>
      </w:r>
    </w:p>
    <w:p>
      <w:pPr>
        <w:spacing w:after="0" w:line="225" w:lineRule="exact"/>
        <w:rPr>
          <w:sz w:val="20"/>
          <w:szCs w:val="20"/>
          <w:color w:val="auto"/>
        </w:rPr>
      </w:pPr>
    </w:p>
    <w:p>
      <w:pPr>
        <w:ind w:left="1720" w:right="660" w:hanging="567"/>
        <w:spacing w:after="0" w:line="275" w:lineRule="auto"/>
        <w:rPr>
          <w:sz w:val="20"/>
          <w:szCs w:val="20"/>
          <w:color w:val="auto"/>
        </w:rPr>
      </w:pPr>
      <w:r>
        <w:rPr>
          <w:rFonts w:ascii="Times New Roman" w:cs="Times New Roman" w:eastAsia="Times New Roman" w:hAnsi="Times New Roman"/>
          <w:sz w:val="18"/>
          <w:szCs w:val="18"/>
          <w:color w:val="auto"/>
        </w:rPr>
        <w:t>—the sale of our shares, warrants or additional convertible debentures, other than employee options, existing outstanding warrants, employee options, convertible debentures or other rights; and</w:t>
      </w:r>
    </w:p>
    <w:p>
      <w:pPr>
        <w:spacing w:after="0" w:line="200" w:lineRule="exact"/>
        <w:rPr>
          <w:sz w:val="20"/>
          <w:szCs w:val="20"/>
          <w:color w:val="auto"/>
        </w:rPr>
      </w:pPr>
    </w:p>
    <w:p>
      <w:pPr>
        <w:ind w:left="1720" w:right="520" w:hanging="567"/>
        <w:spacing w:after="0" w:line="275" w:lineRule="auto"/>
        <w:rPr>
          <w:sz w:val="20"/>
          <w:szCs w:val="20"/>
          <w:color w:val="auto"/>
        </w:rPr>
      </w:pPr>
      <w:r>
        <w:rPr>
          <w:rFonts w:ascii="Times New Roman" w:cs="Times New Roman" w:eastAsia="Times New Roman" w:hAnsi="Times New Roman"/>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48"/>
        <w:spacing w:after="0" w:line="339" w:lineRule="auto"/>
        <w:rPr>
          <w:sz w:val="20"/>
          <w:szCs w:val="20"/>
          <w:color w:val="auto"/>
        </w:rPr>
      </w:pPr>
      <w:r>
        <w:rPr>
          <w:rFonts w:ascii="Times New Roman" w:cs="Times New Roman" w:eastAsia="Times New Roman" w:hAnsi="Times New Roman"/>
          <w:sz w:val="16"/>
          <w:szCs w:val="16"/>
          <w:color w:val="auto"/>
        </w:rPr>
        <w:t>We will calculate the price per share for the purposes of the adjustment to the conversion price as set forth below. The examples presented below are for illustration only and are not based on any forecasts, assumptions or actual calculations of economic values and should not be relied upon for any other purpose.</w:t>
      </w:r>
    </w:p>
    <w:p>
      <w:pPr>
        <w:spacing w:after="0" w:line="128" w:lineRule="exact"/>
        <w:rPr>
          <w:sz w:val="20"/>
          <w:szCs w:val="20"/>
          <w:color w:val="auto"/>
        </w:rPr>
      </w:pPr>
    </w:p>
    <w:p>
      <w:pPr>
        <w:ind w:left="1720" w:right="140" w:hanging="567"/>
        <w:spacing w:after="0" w:line="275" w:lineRule="auto"/>
        <w:rPr>
          <w:sz w:val="20"/>
          <w:szCs w:val="20"/>
          <w:color w:val="auto"/>
        </w:rPr>
      </w:pPr>
      <w:r>
        <w:rPr>
          <w:rFonts w:ascii="Times New Roman" w:cs="Times New Roman" w:eastAsia="Times New Roman" w:hAnsi="Times New Roman"/>
          <w:sz w:val="18"/>
          <w:szCs w:val="18"/>
          <w:color w:val="auto"/>
        </w:rPr>
        <w:t>—If, in the financing or financings we issue only shares, the price per share for the purposes of calculating the adjustment will be the price per share in the financing or financings.</w:t>
      </w:r>
    </w:p>
    <w:p>
      <w:pPr>
        <w:spacing w:after="0" w:line="200" w:lineRule="exact"/>
        <w:rPr>
          <w:sz w:val="20"/>
          <w:szCs w:val="20"/>
          <w:color w:val="auto"/>
        </w:rPr>
      </w:pPr>
    </w:p>
    <w:p>
      <w:pPr>
        <w:ind w:left="1720" w:right="160" w:hanging="567"/>
        <w:spacing w:after="0" w:line="258" w:lineRule="auto"/>
        <w:rPr>
          <w:sz w:val="20"/>
          <w:szCs w:val="20"/>
          <w:color w:val="auto"/>
        </w:rPr>
      </w:pPr>
      <w:r>
        <w:rPr>
          <w:rFonts w:ascii="Times New Roman" w:cs="Times New Roman" w:eastAsia="Times New Roman" w:hAnsi="Times New Roman"/>
          <w:sz w:val="18"/>
          <w:szCs w:val="18"/>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217" w:lineRule="exact"/>
        <w:rPr>
          <w:sz w:val="20"/>
          <w:szCs w:val="20"/>
          <w:color w:val="auto"/>
        </w:rPr>
      </w:pPr>
    </w:p>
    <w:p>
      <w:pPr>
        <w:ind w:left="1720" w:right="60"/>
        <w:spacing w:after="0" w:line="262" w:lineRule="auto"/>
        <w:rPr>
          <w:sz w:val="20"/>
          <w:szCs w:val="20"/>
          <w:color w:val="auto"/>
        </w:rPr>
      </w:pPr>
      <w:r>
        <w:rPr>
          <w:rFonts w:ascii="Times New Roman" w:cs="Times New Roman" w:eastAsia="Times New Roman" w:hAnsi="Times New Roman"/>
          <w:sz w:val="18"/>
          <w:szCs w:val="18"/>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213" w:lineRule="exact"/>
        <w:rPr>
          <w:sz w:val="20"/>
          <w:szCs w:val="20"/>
          <w:color w:val="auto"/>
        </w:rPr>
      </w:pPr>
    </w:p>
    <w:p>
      <w:pPr>
        <w:ind w:left="1720" w:right="40" w:hanging="567"/>
        <w:spacing w:after="0" w:line="262" w:lineRule="auto"/>
        <w:rPr>
          <w:sz w:val="20"/>
          <w:szCs w:val="20"/>
          <w:color w:val="auto"/>
        </w:rPr>
      </w:pPr>
      <w:r>
        <w:rPr>
          <w:rFonts w:ascii="Times New Roman" w:cs="Times New Roman" w:eastAsia="Times New Roman" w:hAnsi="Times New Roman"/>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13" w:lineRule="exact"/>
        <w:rPr>
          <w:sz w:val="20"/>
          <w:szCs w:val="20"/>
          <w:color w:val="auto"/>
        </w:rPr>
      </w:pPr>
    </w:p>
    <w:p>
      <w:pPr>
        <w:ind w:left="1720" w:right="280"/>
        <w:spacing w:after="0" w:line="262" w:lineRule="auto"/>
        <w:rPr>
          <w:sz w:val="20"/>
          <w:szCs w:val="20"/>
          <w:color w:val="auto"/>
        </w:rPr>
      </w:pPr>
      <w:r>
        <w:rPr>
          <w:rFonts w:ascii="Times New Roman" w:cs="Times New Roman" w:eastAsia="Times New Roman" w:hAnsi="Times New Roman"/>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13" w:lineRule="exact"/>
        <w:rPr>
          <w:sz w:val="20"/>
          <w:szCs w:val="20"/>
          <w:color w:val="auto"/>
        </w:rPr>
      </w:pPr>
    </w:p>
    <w:p>
      <w:pPr>
        <w:ind w:left="1720" w:right="200" w:hanging="567"/>
        <w:spacing w:after="0" w:line="262" w:lineRule="auto"/>
        <w:rPr>
          <w:sz w:val="20"/>
          <w:szCs w:val="20"/>
          <w:color w:val="auto"/>
        </w:rPr>
      </w:pPr>
      <w:r>
        <w:rPr>
          <w:rFonts w:ascii="Times New Roman" w:cs="Times New Roman" w:eastAsia="Times New Roman" w:hAnsi="Times New Roman"/>
          <w:sz w:val="18"/>
          <w:szCs w:val="18"/>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213" w:lineRule="exact"/>
        <w:rPr>
          <w:sz w:val="20"/>
          <w:szCs w:val="20"/>
          <w:color w:val="auto"/>
        </w:rPr>
      </w:pPr>
    </w:p>
    <w:p>
      <w:pPr>
        <w:ind w:left="1720" w:right="160"/>
        <w:spacing w:after="0" w:line="275" w:lineRule="auto"/>
        <w:rPr>
          <w:sz w:val="20"/>
          <w:szCs w:val="20"/>
          <w:color w:val="auto"/>
        </w:rPr>
      </w:pPr>
      <w:r>
        <w:rPr>
          <w:rFonts w:ascii="Times New Roman" w:cs="Times New Roman" w:eastAsia="Times New Roman" w:hAnsi="Times New Roman"/>
          <w:sz w:val="18"/>
          <w:szCs w:val="18"/>
          <w:color w:val="auto"/>
        </w:rPr>
        <w:t>By way of illustration, if the purchase price of a unit is $2.00, the economic value per warrant is $0.70 and the number of shares in each unit was 1 share, the price per share for the purposes of calculating the adjustment would be ($2.00-$0.70)/1=$1.30.</w:t>
      </w:r>
    </w:p>
    <w:p>
      <w:pPr>
        <w:spacing w:after="0" w:line="200" w:lineRule="exact"/>
        <w:rPr>
          <w:sz w:val="20"/>
          <w:szCs w:val="20"/>
          <w:color w:val="auto"/>
        </w:rPr>
      </w:pPr>
    </w:p>
    <w:p>
      <w:pPr>
        <w:ind w:left="1720" w:right="40" w:hanging="567"/>
        <w:spacing w:after="0" w:line="256" w:lineRule="auto"/>
        <w:rPr>
          <w:sz w:val="20"/>
          <w:szCs w:val="20"/>
          <w:color w:val="auto"/>
        </w:rPr>
      </w:pPr>
      <w:r>
        <w:rPr>
          <w:rFonts w:ascii="Times New Roman" w:cs="Times New Roman" w:eastAsia="Times New Roman" w:hAnsi="Times New Roman"/>
          <w:sz w:val="18"/>
          <w:szCs w:val="18"/>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ectPr>
          <w:pgSz w:w="11900" w:h="16838" w:orient="portrait"/>
          <w:cols w:equalWidth="0" w:num="1">
            <w:col w:w="11420"/>
          </w:cols>
          <w:pgMar w:left="240" w:top="125" w:right="239" w:bottom="46"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46" w:gutter="0" w:footer="0" w:header="0"/>
          <w:type w:val="continuous"/>
        </w:sectPr>
      </w:pPr>
    </w:p>
    <w:bookmarkStart w:id="16" w:name="page17"/>
    <w:bookmarkEnd w:id="16"/>
    <w:p>
      <w:pPr>
        <w:ind w:left="1720" w:right="240"/>
        <w:spacing w:after="0" w:line="310" w:lineRule="auto"/>
        <w:rPr>
          <w:sz w:val="20"/>
          <w:szCs w:val="20"/>
          <w:color w:val="auto"/>
        </w:rPr>
      </w:pPr>
      <w:r>
        <w:rPr>
          <w:rFonts w:ascii="Times New Roman" w:cs="Times New Roman" w:eastAsia="Times New Roman" w:hAnsi="Times New Roman"/>
          <w:sz w:val="16"/>
          <w:szCs w:val="16"/>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178" w:lineRule="exact"/>
        <w:rPr>
          <w:sz w:val="20"/>
          <w:szCs w:val="20"/>
          <w:color w:val="auto"/>
        </w:rPr>
      </w:pPr>
    </w:p>
    <w:p>
      <w:pPr>
        <w:ind w:left="1720" w:hanging="567"/>
        <w:spacing w:after="0" w:line="256" w:lineRule="auto"/>
        <w:rPr>
          <w:sz w:val="20"/>
          <w:szCs w:val="20"/>
          <w:color w:val="auto"/>
        </w:rPr>
      </w:pPr>
      <w:r>
        <w:rPr>
          <w:rFonts w:ascii="Times New Roman" w:cs="Times New Roman" w:eastAsia="Times New Roman" w:hAnsi="Times New Roman"/>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219" w:lineRule="exact"/>
        <w:rPr>
          <w:sz w:val="20"/>
          <w:szCs w:val="20"/>
          <w:color w:val="auto"/>
        </w:rPr>
      </w:pPr>
    </w:p>
    <w:p>
      <w:pPr>
        <w:ind w:left="1720" w:right="240"/>
        <w:spacing w:after="0" w:line="310" w:lineRule="auto"/>
        <w:rPr>
          <w:sz w:val="20"/>
          <w:szCs w:val="20"/>
          <w:color w:val="auto"/>
        </w:rPr>
      </w:pPr>
      <w:r>
        <w:rPr>
          <w:rFonts w:ascii="Times New Roman" w:cs="Times New Roman" w:eastAsia="Times New Roman" w:hAnsi="Times New Roman"/>
          <w:sz w:val="16"/>
          <w:szCs w:val="16"/>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178" w:lineRule="exact"/>
        <w:rPr>
          <w:sz w:val="20"/>
          <w:szCs w:val="20"/>
          <w:color w:val="auto"/>
        </w:rPr>
      </w:pPr>
    </w:p>
    <w:p>
      <w:pPr>
        <w:ind w:left="1720" w:hanging="567"/>
        <w:spacing w:after="0" w:line="255" w:lineRule="auto"/>
        <w:rPr>
          <w:sz w:val="20"/>
          <w:szCs w:val="20"/>
          <w:color w:val="auto"/>
        </w:rPr>
      </w:pPr>
      <w:r>
        <w:rPr>
          <w:rFonts w:ascii="Times New Roman" w:cs="Times New Roman" w:eastAsia="Times New Roman" w:hAnsi="Times New Roman"/>
          <w:sz w:val="18"/>
          <w:szCs w:val="18"/>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220" w:lineRule="exact"/>
        <w:rPr>
          <w:sz w:val="20"/>
          <w:szCs w:val="20"/>
          <w:color w:val="auto"/>
        </w:rPr>
      </w:pPr>
    </w:p>
    <w:p>
      <w:pPr>
        <w:ind w:left="1720"/>
        <w:spacing w:after="0" w:line="258" w:lineRule="auto"/>
        <w:rPr>
          <w:sz w:val="20"/>
          <w:szCs w:val="20"/>
          <w:color w:val="auto"/>
        </w:rPr>
      </w:pPr>
      <w:r>
        <w:rPr>
          <w:rFonts w:ascii="Times New Roman" w:cs="Times New Roman" w:eastAsia="Times New Roman" w:hAnsi="Times New Roman"/>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3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 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adjusted conversion price to the debentures shall under no circumstances be lower than $0.01.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Conversion Price Following Issuance of Bonus Shares, Rights Offerings and Other Events</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conversion price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Redemption of Debentures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Redemption at the Discretion of the Company</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facility agreement, we are not permitted to redeem debentures.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Debentures</w:t>
      </w:r>
    </w:p>
    <w:p>
      <w:pPr>
        <w:sectPr>
          <w:pgSz w:w="11900" w:h="16838" w:orient="portrait"/>
          <w:cols w:equalWidth="0" w:num="1">
            <w:col w:w="11400"/>
          </w:cols>
          <w:pgMar w:left="240" w:top="125" w:right="259" w:bottom="0" w:gutter="0" w:footer="0" w:header="0"/>
        </w:sectPr>
      </w:pPr>
    </w:p>
    <w:bookmarkStart w:id="17" w:name="page18"/>
    <w:bookmarkEnd w:id="17"/>
    <w:p>
      <w:pPr>
        <w:spacing w:after="0" w:line="24"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Postponement of Payments under the Debentures</w:t>
      </w:r>
    </w:p>
    <w:p>
      <w:pPr>
        <w:spacing w:after="0" w:line="22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The 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 grounds that they should have initiated any proceeding or act in any other way in spite of such provisions of the indenture while claiming that such provisions do not comply with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Under the facility agreement, the payment dates of interest and principal to the banks fall on the last business day of each calendar quarter (a “Bank Payment Date”).</w:t>
      </w:r>
    </w:p>
    <w:p>
      <w:pPr>
        <w:spacing w:after="0" w:line="174"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December 31, 2011 is a Bank Payment Date and on such date an Event of Default exists, the Six Month Period applicable to the payment to be made on the debentures on January 12, 2012 will be calculated beginning on December 31, 2011. For a description of additional events of default contained in our facility agreement, see “Events of Default under the Facility Agreement.”</w:t>
      </w:r>
    </w:p>
    <w:p>
      <w:pPr>
        <w:spacing w:after="0" w:line="195" w:lineRule="exact"/>
        <w:rPr>
          <w:sz w:val="20"/>
          <w:szCs w:val="20"/>
          <w:color w:val="auto"/>
        </w:rPr>
      </w:pPr>
    </w:p>
    <w:p>
      <w:pPr>
        <w:ind w:right="420" w:firstLine="348"/>
        <w:spacing w:after="0" w:line="262" w:lineRule="auto"/>
        <w:rPr>
          <w:sz w:val="20"/>
          <w:szCs w:val="20"/>
          <w:color w:val="auto"/>
        </w:rPr>
      </w:pPr>
      <w:r>
        <w:rPr>
          <w:rFonts w:ascii="Times New Roman" w:cs="Times New Roman" w:eastAsia="Times New Roman" w:hAnsi="Times New Roman"/>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01" w:lineRule="auto"/>
        <w:rPr>
          <w:sz w:val="20"/>
          <w:szCs w:val="20"/>
          <w:color w:val="auto"/>
        </w:rPr>
      </w:pPr>
      <w:r>
        <w:rPr>
          <w:rFonts w:ascii="Times New Roman" w:cs="Times New Roman" w:eastAsia="Times New Roman" w:hAnsi="Times New Roman"/>
          <w:sz w:val="16"/>
          <w:szCs w:val="16"/>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7"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as the case may be, in respect of the debentures and the holders of the debentures shall be bound by such rescheduling agreement. According to our facility agreement,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and/or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Subordination to Secured Obligations; Statutory Priorities</w:t>
      </w:r>
    </w:p>
    <w:p>
      <w:pPr>
        <w:spacing w:after="0" w:line="227"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w:t>
      </w:r>
    </w:p>
    <w:p>
      <w:pPr>
        <w:sectPr>
          <w:pgSz w:w="11900" w:h="16863" w:orient="portrait"/>
          <w:cols w:equalWidth="0" w:num="1">
            <w:col w:w="11420"/>
          </w:cols>
          <w:pgMar w:left="240" w:top="125" w:right="239" w:bottom="0" w:gutter="0" w:footer="0" w:header="0"/>
        </w:sectPr>
      </w:pPr>
    </w:p>
    <w:bookmarkStart w:id="18" w:name="page19"/>
    <w:bookmarkEnd w:id="18"/>
    <w:p>
      <w:pPr>
        <w:spacing w:after="0" w:line="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The payment of principal of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 (approximately $263 million received and approximately $7.3 million receivables, as of December 31,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December 31, 2005, there is a balance of approximately $10 million) and over the equipment which has been or which may be subsequently purchased with such funds. The indenture does not limit the amount of additional indebtedness which we can create, incur, assume or guarantee nor our ability to create any security to secure our obligations to any third party.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 under the Facility Agreement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constitute Events of Default under our facility agreement:</w:t>
      </w:r>
    </w:p>
    <w:p>
      <w:pPr>
        <w:spacing w:after="0" w:line="223" w:lineRule="exact"/>
        <w:rPr>
          <w:sz w:val="20"/>
          <w:szCs w:val="20"/>
          <w:color w:val="auto"/>
        </w:rPr>
      </w:pPr>
    </w:p>
    <w:p>
      <w:pPr>
        <w:ind w:right="80" w:firstLine="8"/>
        <w:spacing w:after="0" w:line="277" w:lineRule="auto"/>
        <w:tabs>
          <w:tab w:leader="none" w:pos="5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make a payment: </w:t>
      </w:r>
      <w:r>
        <w:rPr>
          <w:rFonts w:ascii="Times New Roman" w:cs="Times New Roman" w:eastAsia="Times New Roman" w:hAnsi="Times New Roman"/>
          <w:sz w:val="18"/>
          <w:szCs w:val="18"/>
          <w:color w:val="auto"/>
        </w:rPr>
        <w:t>Our failure to pay any amount payable to our banks under the facility agreement within seven business days or ten days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payment. Payments under the facility agreement include payments of principal and interest.</w:t>
      </w:r>
    </w:p>
    <w:p>
      <w:pPr>
        <w:spacing w:after="0" w:line="170"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meet production milestone</w:t>
      </w:r>
      <w:r>
        <w:rPr>
          <w:rFonts w:ascii="Times New Roman" w:cs="Times New Roman" w:eastAsia="Times New Roman" w:hAnsi="Times New Roman"/>
          <w:sz w:val="18"/>
          <w:szCs w:val="18"/>
          <w:color w:val="auto"/>
        </w:rPr>
        <w:t>: Fab 2 must reach production capacity of 33,000 wafers per month by December 31, 2007.</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to raise additional funding within the agreed timetable:</w:t>
      </w:r>
    </w:p>
    <w:p>
      <w:pPr>
        <w:spacing w:after="0" w:line="22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We are obligated to raise $8 million by June 30, 2006 from specified sources. The sources of this $8 million of funding are limited to: (a) investments in our equity; (b) proceeds, net of taxes paid and related expenses, from the sale of securities we own in Azalea Microelectronics Corporation; and (c) wafer prepayments under certain prepayment contracts.</w:t>
      </w:r>
    </w:p>
    <w:p>
      <w:pPr>
        <w:spacing w:after="0" w:line="184" w:lineRule="exact"/>
        <w:rPr>
          <w:sz w:val="20"/>
          <w:szCs w:val="20"/>
          <w:color w:val="auto"/>
        </w:rPr>
      </w:pPr>
    </w:p>
    <w:p>
      <w:pPr>
        <w:ind w:right="120" w:firstLine="8"/>
        <w:spacing w:after="0" w:line="264" w:lineRule="auto"/>
        <w:tabs>
          <w:tab w:leader="none" w:pos="6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Center Grants</w:t>
      </w:r>
      <w:r>
        <w:rPr>
          <w:rFonts w:ascii="Times New Roman" w:cs="Times New Roman" w:eastAsia="Times New Roman" w:hAnsi="Times New Roman"/>
          <w:sz w:val="18"/>
          <w:szCs w:val="18"/>
          <w:color w:val="auto"/>
        </w:rPr>
        <w:t>. We must comply with the terms and conditions of the approval to receive grants for Fab 2 from the Investment Center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81" w:lineRule="exact"/>
        <w:rPr>
          <w:rFonts w:ascii="Times New Roman" w:cs="Times New Roman" w:eastAsia="Times New Roman" w:hAnsi="Times New Roman"/>
          <w:sz w:val="18"/>
          <w:szCs w:val="18"/>
          <w:color w:val="auto"/>
        </w:rPr>
      </w:pPr>
    </w:p>
    <w:p>
      <w:pPr>
        <w:ind w:right="20" w:firstLine="8"/>
        <w:spacing w:after="0" w:line="253"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comply with certain financial ratios and covenants: </w:t>
      </w:r>
      <w:r>
        <w:rPr>
          <w:rFonts w:ascii="Times New Roman" w:cs="Times New Roman" w:eastAsia="Times New Roman" w:hAnsi="Times New Roman"/>
          <w:sz w:val="18"/>
          <w:szCs w:val="18"/>
          <w:color w:val="auto"/>
        </w:rPr>
        <w:t>Under the terms of the amended facility agreement, we must meet certain financial ratios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Under the terms of the July 2005 amendment to our credit facility agreement, our banks agreed to amend our financial ratios and covenants through the third quarter of 2006. As of today, we are in full compliance with our financial ratios and covenants. We anticipate that we will not be in compliance with all of the financial ratios and covenants under the amended facility agreement commencing in the fourth quarter of 2006. See “Risk Factors – If we do not raise the funds required by the amendment to our credit facility agreement or fail to satisfy the covenants set forth in our amended credit facility, our banks will be able to call our loans.”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and compliance with material contracts: </w:t>
      </w:r>
      <w:r>
        <w:rPr>
          <w:rFonts w:ascii="Times New Roman" w:cs="Times New Roman" w:eastAsia="Times New Roman" w:hAnsi="Times New Roman"/>
          <w:sz w:val="18"/>
          <w:szCs w:val="18"/>
          <w:color w:val="auto"/>
        </w:rPr>
        <w:t>We may not amend, cancel, terminate or waive any term of a material contract unless the</w:t>
      </w:r>
    </w:p>
    <w:p>
      <w:pPr>
        <w:spacing w:after="0" w:line="23" w:lineRule="exact"/>
        <w:rPr>
          <w:rFonts w:ascii="Times New Roman" w:cs="Times New Roman" w:eastAsia="Times New Roman" w:hAnsi="Times New Roman"/>
          <w:sz w:val="18"/>
          <w:szCs w:val="18"/>
          <w:color w:val="auto"/>
        </w:rPr>
      </w:pPr>
    </w:p>
    <w:p>
      <w:pPr>
        <w:ind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83"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excess cash flow from Fab 2: </w:t>
      </w:r>
      <w:r>
        <w:rPr>
          <w:rFonts w:ascii="Times New Roman" w:cs="Times New Roman" w:eastAsia="Times New Roman" w:hAnsi="Times New Roman"/>
          <w:sz w:val="18"/>
          <w:szCs w:val="18"/>
          <w:color w:val="auto"/>
        </w:rPr>
        <w:t>We must invest the operating cash flow derived from Fab 2 in the Fab 2 project.</w:t>
      </w:r>
    </w:p>
    <w:p>
      <w:pPr>
        <w:spacing w:after="0" w:line="225" w:lineRule="exact"/>
        <w:rPr>
          <w:rFonts w:ascii="Times New Roman" w:cs="Times New Roman" w:eastAsia="Times New Roman" w:hAnsi="Times New Roman"/>
          <w:sz w:val="18"/>
          <w:szCs w:val="18"/>
          <w:color w:val="auto"/>
        </w:rPr>
      </w:pPr>
    </w:p>
    <w:p>
      <w:pPr>
        <w:ind w:right="40" w:firstLine="8"/>
        <w:spacing w:after="0" w:line="312" w:lineRule="auto"/>
        <w:tabs>
          <w:tab w:leader="none" w:pos="74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Creation of encumbrances: </w:t>
      </w:r>
      <w:r>
        <w:rPr>
          <w:rFonts w:ascii="Times New Roman" w:cs="Times New Roman" w:eastAsia="Times New Roman" w:hAnsi="Times New Roman"/>
          <w:sz w:val="16"/>
          <w:szCs w:val="16"/>
          <w:color w:val="auto"/>
        </w:rPr>
        <w:t>We may not provide security interests in or otherwise encumber our assets, other than in favor of our banks 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 one of our customers.</w:t>
      </w:r>
    </w:p>
    <w:p>
      <w:pPr>
        <w:spacing w:after="0" w:line="146" w:lineRule="exact"/>
        <w:rPr>
          <w:rFonts w:ascii="Times New Roman" w:cs="Times New Roman" w:eastAsia="Times New Roman" w:hAnsi="Times New Roman"/>
          <w:sz w:val="16"/>
          <w:szCs w:val="16"/>
          <w:color w:val="auto"/>
        </w:rPr>
      </w:pPr>
    </w:p>
    <w:p>
      <w:pPr>
        <w:ind w:firstLine="8"/>
        <w:spacing w:after="0" w:line="255" w:lineRule="auto"/>
        <w:tabs>
          <w:tab w:leader="none" w:pos="6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dividends: </w:t>
      </w:r>
      <w:r>
        <w:rPr>
          <w:rFonts w:ascii="Times New Roman" w:cs="Times New Roman" w:eastAsia="Times New Roman" w:hAnsi="Times New Roman"/>
          <w:sz w:val="18"/>
          <w:szCs w:val="18"/>
          <w:color w:val="auto"/>
        </w:rPr>
        <w:t>We are not permitted to undertake to declare or pay a dividend or any other distribution (as defined in the Companies Law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or to redeem any of our shares or convertible securities (including the debentures issued in our 2002 and 2006 rights offerings)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9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dividend is only paid from excess cash flow from Fab 2;</w:t>
      </w:r>
    </w:p>
    <w:p>
      <w:pPr>
        <w:spacing w:after="0" w:line="2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there is no event of default outstanding under the facility agreement; and</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event of default could not reasonably exist after such distribution.</w:t>
      </w: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right="120" w:firstLine="8"/>
        <w:spacing w:after="0" w:line="259" w:lineRule="auto"/>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Incurrence of financial indebtedness: </w:t>
      </w:r>
      <w:r>
        <w:rPr>
          <w:rFonts w:ascii="Times New Roman" w:cs="Times New Roman" w:eastAsia="Times New Roman" w:hAnsi="Times New Roman"/>
          <w:sz w:val="18"/>
          <w:szCs w:val="18"/>
          <w:color w:val="auto"/>
        </w:rPr>
        <w:t>We may not incur any financial indebtedness, unless we are specifically permitted to do so under the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January 2002 and in January 2006.</w:t>
      </w:r>
    </w:p>
    <w:p>
      <w:pPr>
        <w:spacing w:after="0" w:line="186" w:lineRule="exact"/>
        <w:rPr>
          <w:rFonts w:ascii="Times New Roman" w:cs="Times New Roman" w:eastAsia="Times New Roman" w:hAnsi="Times New Roman"/>
          <w:sz w:val="18"/>
          <w:szCs w:val="18"/>
          <w:color w:val="auto"/>
        </w:rPr>
      </w:pPr>
    </w:p>
    <w:p>
      <w:pPr>
        <w:ind w:right="140" w:firstLine="8"/>
        <w:spacing w:after="0" w:line="277" w:lineRule="auto"/>
        <w:tabs>
          <w:tab w:leader="none" w:pos="6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of shares or assets of another company: </w:t>
      </w:r>
      <w:r>
        <w:rPr>
          <w:rFonts w:ascii="Times New Roman" w:cs="Times New Roman" w:eastAsia="Times New Roman" w:hAnsi="Times New Roman"/>
          <w:sz w:val="18"/>
          <w:szCs w:val="18"/>
          <w:color w:val="auto"/>
        </w:rPr>
        <w:t>We may not purchase any interest in the share capital or the business or assets constituting a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another company unless the aggregate amount of all such investments or purchases does not exceed $5 million.</w:t>
      </w:r>
    </w:p>
    <w:p>
      <w:pPr>
        <w:spacing w:after="0" w:line="170" w:lineRule="exact"/>
        <w:rPr>
          <w:rFonts w:ascii="Times New Roman" w:cs="Times New Roman" w:eastAsia="Times New Roman" w:hAnsi="Times New Roman"/>
          <w:sz w:val="18"/>
          <w:szCs w:val="18"/>
          <w:color w:val="auto"/>
        </w:rPr>
      </w:pPr>
    </w:p>
    <w:p>
      <w:pPr>
        <w:ind w:right="100" w:firstLine="8"/>
        <w:spacing w:after="0" w:line="342" w:lineRule="auto"/>
        <w:tabs>
          <w:tab w:leader="none" w:pos="69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Suspension or cancellation of approvals and permits</w:t>
      </w:r>
      <w:r>
        <w:rPr>
          <w:rFonts w:ascii="Times New Roman" w:cs="Times New Roman" w:eastAsia="Times New Roman" w:hAnsi="Times New Roman"/>
          <w:sz w:val="16"/>
          <w:szCs w:val="16"/>
          <w:color w:val="auto"/>
        </w:rPr>
        <w:t>: We must obtain all of the permits, approvals or licenses necessary for the performance of the Fab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 project and must ensure that they are not suspended, cancelled, revoked or lapse without our having obtained adequate replacements. In addition, we must</w:t>
      </w:r>
    </w:p>
    <w:p>
      <w:pPr>
        <w:sectPr>
          <w:pgSz w:w="11900" w:h="16879"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comply with the terms of such permits, approvals or licenses and their terms cannot be modified in a material adverse respect.</w:t>
      </w:r>
    </w:p>
    <w:p>
      <w:pPr>
        <w:spacing w:after="0" w:line="223" w:lineRule="exact"/>
        <w:rPr>
          <w:sz w:val="20"/>
          <w:szCs w:val="20"/>
          <w:color w:val="auto"/>
        </w:rPr>
      </w:pPr>
    </w:p>
    <w:p>
      <w:pPr>
        <w:ind w:right="200" w:firstLine="8"/>
        <w:spacing w:after="0" w:line="312" w:lineRule="auto"/>
        <w:tabs>
          <w:tab w:leader="none" w:pos="74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 “change of ownership”: </w:t>
      </w:r>
      <w:r>
        <w:rPr>
          <w:rFonts w:ascii="Times New Roman" w:cs="Times New Roman" w:eastAsia="Times New Roman" w:hAnsi="Times New Roman"/>
          <w:sz w:val="16"/>
          <w:szCs w:val="16"/>
          <w:color w:val="auto"/>
        </w:rPr>
        <w:t>The facility agreement provides that certain events would be considered to be a change of ownership of our company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48" w:lineRule="exact"/>
        <w:rPr>
          <w:rFonts w:ascii="Times New Roman" w:cs="Times New Roman" w:eastAsia="Times New Roman" w:hAnsi="Times New Roman"/>
          <w:sz w:val="16"/>
          <w:szCs w:val="16"/>
          <w:color w:val="auto"/>
        </w:rPr>
      </w:pPr>
    </w:p>
    <w:p>
      <w:pPr>
        <w:ind w:left="1720" w:right="160" w:hanging="567"/>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00" w:lineRule="exact"/>
        <w:rPr>
          <w:rFonts w:ascii="Times New Roman" w:cs="Times New Roman" w:eastAsia="Times New Roman" w:hAnsi="Times New Roman"/>
          <w:sz w:val="16"/>
          <w:szCs w:val="16"/>
          <w:color w:val="auto"/>
        </w:rPr>
      </w:pPr>
    </w:p>
    <w:p>
      <w:pPr>
        <w:ind w:left="1720" w:right="160" w:hanging="567"/>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00" w:lineRule="exact"/>
        <w:rPr>
          <w:rFonts w:ascii="Times New Roman" w:cs="Times New Roman" w:eastAsia="Times New Roman" w:hAnsi="Times New Roman"/>
          <w:sz w:val="16"/>
          <w:szCs w:val="16"/>
          <w:color w:val="auto"/>
        </w:rPr>
      </w:pPr>
    </w:p>
    <w:p>
      <w:pPr>
        <w:ind w:left="1720" w:right="40" w:hanging="567"/>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—Until January 29, 2006, SanDisk Corporation, Alliance Semiconductor Corporation and Macronix Co. Ltd. cannot sell more than 30% of the number of our shares held by them on January 29, 2004 which were purchased pursuant to the year 2000 investment agreements with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100" w:hanging="567"/>
        <w:spacing w:after="0" w:line="258" w:lineRule="auto"/>
        <w:rPr>
          <w:sz w:val="20"/>
          <w:szCs w:val="20"/>
          <w:color w:val="auto"/>
        </w:rPr>
      </w:pPr>
      <w:r>
        <w:rPr>
          <w:rFonts w:ascii="Times New Roman" w:cs="Times New Roman" w:eastAsia="Times New Roman" w:hAnsi="Times New Roman"/>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17" w:lineRule="exact"/>
        <w:rPr>
          <w:sz w:val="20"/>
          <w:szCs w:val="20"/>
          <w:color w:val="auto"/>
        </w:rPr>
      </w:pPr>
    </w:p>
    <w:p>
      <w:pPr>
        <w:ind w:left="1720" w:right="200" w:hanging="567"/>
        <w:spacing w:after="0" w:line="262" w:lineRule="auto"/>
        <w:rPr>
          <w:sz w:val="20"/>
          <w:szCs w:val="20"/>
          <w:color w:val="auto"/>
        </w:rPr>
      </w:pPr>
      <w:r>
        <w:rPr>
          <w:rFonts w:ascii="Times New Roman" w:cs="Times New Roman" w:eastAsia="Times New Roman" w:hAnsi="Times New Roman"/>
          <w:sz w:val="18"/>
          <w:szCs w:val="18"/>
          <w:color w:val="auto"/>
        </w:rPr>
        <w:t>—The maximum number of directors that Israel Corp. may nominate may not exceed the number of directors nominated by SanDisk Corporation, Alliance Semiconductor Corporation and Macronix Co. Ltd. For the purpose of this calculation external directors and our office holders that are also directors are not taken into account as members of our board of directors.</w:t>
      </w:r>
    </w:p>
    <w:p>
      <w:pPr>
        <w:spacing w:after="0" w:line="213" w:lineRule="exact"/>
        <w:rPr>
          <w:sz w:val="20"/>
          <w:szCs w:val="20"/>
          <w:color w:val="auto"/>
        </w:rPr>
      </w:pPr>
    </w:p>
    <w:p>
      <w:pPr>
        <w:ind w:left="1720" w:right="220" w:hanging="567"/>
        <w:spacing w:after="0" w:line="258" w:lineRule="auto"/>
        <w:rPr>
          <w:sz w:val="20"/>
          <w:szCs w:val="20"/>
          <w:color w:val="auto"/>
        </w:rPr>
      </w:pPr>
      <w:r>
        <w:rPr>
          <w:rFonts w:ascii="Times New Roman" w:cs="Times New Roman" w:eastAsia="Times New Roman" w:hAnsi="Times New Roman"/>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17" w:lineRule="exact"/>
        <w:rPr>
          <w:sz w:val="20"/>
          <w:szCs w:val="20"/>
          <w:color w:val="auto"/>
        </w:rPr>
      </w:pPr>
    </w:p>
    <w:p>
      <w:pPr>
        <w:ind w:left="1720" w:right="40" w:hanging="567"/>
        <w:spacing w:after="0" w:line="262" w:lineRule="auto"/>
        <w:rPr>
          <w:sz w:val="20"/>
          <w:szCs w:val="20"/>
          <w:color w:val="auto"/>
        </w:rPr>
      </w:pPr>
      <w:r>
        <w:rPr>
          <w:rFonts w:ascii="Times New Roman" w:cs="Times New Roman" w:eastAsia="Times New Roman" w:hAnsi="Times New Roman"/>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27" w:lineRule="exact"/>
        <w:rPr>
          <w:sz w:val="20"/>
          <w:szCs w:val="20"/>
          <w:color w:val="auto"/>
        </w:rPr>
      </w:pPr>
    </w:p>
    <w:p>
      <w:pPr>
        <w:ind w:right="80" w:firstLine="8"/>
        <w:spacing w:after="0" w:line="277" w:lineRule="auto"/>
        <w:tabs>
          <w:tab w:leader="none" w:pos="7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of Credits: </w:t>
      </w:r>
      <w:r>
        <w:rPr>
          <w:rFonts w:ascii="Times New Roman" w:cs="Times New Roman" w:eastAsia="Times New Roman" w:hAnsi="Times New Roman"/>
          <w:sz w:val="18"/>
          <w:szCs w:val="18"/>
          <w:color w:val="auto"/>
        </w:rPr>
        <w:t>We may not use the different forms of credits available under the facility agreement other than for the purposes permitted therefor,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generally relate to costs and expenses associated with the Fab 2 project.</w:t>
      </w:r>
    </w:p>
    <w:p>
      <w:pPr>
        <w:spacing w:after="0" w:line="170" w:lineRule="exact"/>
        <w:rPr>
          <w:rFonts w:ascii="Times New Roman" w:cs="Times New Roman" w:eastAsia="Times New Roman" w:hAnsi="Times New Roman"/>
          <w:sz w:val="18"/>
          <w:szCs w:val="18"/>
          <w:color w:val="auto"/>
        </w:rPr>
      </w:pPr>
    </w:p>
    <w:p>
      <w:pPr>
        <w:ind w:right="120" w:firstLine="8"/>
        <w:spacing w:after="0" w:line="277" w:lineRule="auto"/>
        <w:tabs>
          <w:tab w:leader="none" w:pos="6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We may not create any obligations to any third party that rank senior in right and priority of payment to the banks or in priority of security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banks, other than obligations which are mandatorily preferred by law applying to companies generally.</w:t>
      </w:r>
    </w:p>
    <w:p>
      <w:pPr>
        <w:spacing w:after="0" w:line="170" w:lineRule="exact"/>
        <w:rPr>
          <w:rFonts w:ascii="Times New Roman" w:cs="Times New Roman" w:eastAsia="Times New Roman" w:hAnsi="Times New Roman"/>
          <w:sz w:val="18"/>
          <w:szCs w:val="18"/>
          <w:color w:val="auto"/>
        </w:rPr>
      </w:pPr>
    </w:p>
    <w:p>
      <w:pPr>
        <w:ind w:firstLine="8"/>
        <w:spacing w:after="0" w:line="302" w:lineRule="auto"/>
        <w:tabs>
          <w:tab w:leader="none" w:pos="73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Insurance: </w:t>
      </w:r>
      <w:r>
        <w:rPr>
          <w:rFonts w:ascii="Times New Roman" w:cs="Times New Roman" w:eastAsia="Times New Roman" w:hAnsi="Times New Roman"/>
          <w:sz w:val="16"/>
          <w:szCs w:val="16"/>
          <w:color w:val="auto"/>
        </w:rPr>
        <w:t>All of our properties and assets must be insured with reputable insurance companies or underwriters approved by the banks. We must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maintain insurance which is generally and customarily maintained by companies carrying on a business similar to ours. The proceeds payable under the insurance polices in the event of loss of Fab 2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54" w:lineRule="exact"/>
        <w:rPr>
          <w:rFonts w:ascii="Times New Roman" w:cs="Times New Roman" w:eastAsia="Times New Roman" w:hAnsi="Times New Roman"/>
          <w:sz w:val="16"/>
          <w:szCs w:val="16"/>
          <w:color w:val="auto"/>
        </w:rPr>
      </w:pPr>
    </w:p>
    <w:p>
      <w:pPr>
        <w:ind w:right="340" w:firstLine="8"/>
        <w:spacing w:after="0" w:line="264" w:lineRule="auto"/>
        <w:tabs>
          <w:tab w:leader="none" w:pos="7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Contract: </w:t>
      </w:r>
      <w:r>
        <w:rPr>
          <w:rFonts w:ascii="Times New Roman" w:cs="Times New Roman" w:eastAsia="Times New Roman" w:hAnsi="Times New Roman"/>
          <w:sz w:val="18"/>
          <w:szCs w:val="18"/>
          <w:color w:val="auto"/>
        </w:rPr>
        <w:t>We may not terminate or exercise any right or suspension under our agreement with our Fab 2 contractor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81" w:lineRule="exact"/>
        <w:rPr>
          <w:rFonts w:ascii="Times New Roman" w:cs="Times New Roman" w:eastAsia="Times New Roman" w:hAnsi="Times New Roman"/>
          <w:sz w:val="18"/>
          <w:szCs w:val="18"/>
          <w:color w:val="auto"/>
        </w:rPr>
      </w:pPr>
    </w:p>
    <w:p>
      <w:pPr>
        <w:ind w:right="20" w:firstLine="8"/>
        <w:spacing w:after="0" w:line="264" w:lineRule="auto"/>
        <w:tabs>
          <w:tab w:leader="none" w:pos="8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providing for wafer order rights</w:t>
      </w:r>
      <w:r>
        <w:rPr>
          <w:rFonts w:ascii="Times New Roman" w:cs="Times New Roman" w:eastAsia="Times New Roman" w:hAnsi="Times New Roman"/>
          <w:sz w:val="18"/>
          <w:szCs w:val="18"/>
          <w:color w:val="auto"/>
        </w:rPr>
        <w:t>: We must have binding agreements providing for a wafer order right providing for the sale of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81" w:lineRule="exact"/>
        <w:rPr>
          <w:rFonts w:ascii="Times New Roman" w:cs="Times New Roman" w:eastAsia="Times New Roman" w:hAnsi="Times New Roman"/>
          <w:sz w:val="18"/>
          <w:szCs w:val="18"/>
          <w:color w:val="auto"/>
        </w:rPr>
      </w:pPr>
    </w:p>
    <w:p>
      <w:pPr>
        <w:ind w:right="100" w:firstLine="8"/>
        <w:spacing w:after="0" w:line="302" w:lineRule="auto"/>
        <w:tabs>
          <w:tab w:leader="none" w:pos="73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 and warranties</w:t>
      </w:r>
      <w:r>
        <w:rPr>
          <w:rFonts w:ascii="Times New Roman" w:cs="Times New Roman" w:eastAsia="Times New Roman" w:hAnsi="Times New Roman"/>
          <w:sz w:val="16"/>
          <w:szCs w:val="16"/>
          <w:color w:val="auto"/>
        </w:rPr>
        <w:t>: Prior to the closing of the facility agreement with the banks, we made certain representations and warranties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the last of which is dated December 2005. When made, the representations and warranties must have been correct and not misleading in a material manner.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0" w:firstLine="8"/>
        <w:spacing w:after="0" w:line="277" w:lineRule="auto"/>
        <w:tabs>
          <w:tab w:leader="none" w:pos="6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legal validity of the facility agreement</w:t>
      </w:r>
      <w:r>
        <w:rPr>
          <w:rFonts w:ascii="Times New Roman" w:cs="Times New Roman" w:eastAsia="Times New Roman" w:hAnsi="Times New Roman"/>
          <w:sz w:val="18"/>
          <w:szCs w:val="18"/>
          <w:color w:val="auto"/>
        </w:rPr>
        <w:t>: The facility agreement or any of its ancillary agreements shall not cease to be in full force and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respect or fail to provide the intended perfected security over our assets in favor of our banks.</w:t>
      </w:r>
    </w:p>
    <w:p>
      <w:pPr>
        <w:spacing w:after="0" w:line="170" w:lineRule="exact"/>
        <w:rPr>
          <w:rFonts w:ascii="Times New Roman" w:cs="Times New Roman" w:eastAsia="Times New Roman" w:hAnsi="Times New Roman"/>
          <w:sz w:val="18"/>
          <w:szCs w:val="18"/>
          <w:color w:val="auto"/>
        </w:rPr>
      </w:pPr>
    </w:p>
    <w:p>
      <w:pPr>
        <w:ind w:right="60" w:firstLine="8"/>
        <w:spacing w:after="0" w:line="312" w:lineRule="auto"/>
        <w:tabs>
          <w:tab w:leader="none" w:pos="73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Liquidation; Insolvency</w:t>
      </w:r>
      <w:r>
        <w:rPr>
          <w:rFonts w:ascii="Times New Roman" w:cs="Times New Roman" w:eastAsia="Times New Roman" w:hAnsi="Times New Roman"/>
          <w:sz w:val="16"/>
          <w:szCs w:val="16"/>
          <w:color w:val="auto"/>
        </w:rPr>
        <w:t>: Our becoming insolvent or admitting to being insolvent or our commencement of negotiations with any one or more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46" w:lineRule="exact"/>
        <w:rPr>
          <w:rFonts w:ascii="Times New Roman" w:cs="Times New Roman" w:eastAsia="Times New Roman" w:hAnsi="Times New Roman"/>
          <w:sz w:val="16"/>
          <w:szCs w:val="16"/>
          <w:color w:val="auto"/>
        </w:rPr>
      </w:pPr>
    </w:p>
    <w:p>
      <w:pPr>
        <w:ind w:right="140" w:firstLine="8"/>
        <w:spacing w:after="0" w:line="342" w:lineRule="auto"/>
        <w:tabs>
          <w:tab w:leader="none" w:pos="7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Cross acceleration of other indebtedness</w:t>
      </w:r>
      <w:r>
        <w:rPr>
          <w:rFonts w:ascii="Times New Roman" w:cs="Times New Roman" w:eastAsia="Times New Roman" w:hAnsi="Times New Roman"/>
          <w:sz w:val="16"/>
          <w:szCs w:val="16"/>
          <w:color w:val="auto"/>
        </w:rPr>
        <w:t>: We may not fail to make payments regarding any of our other financial indebtedness which aggregates $20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or more. In addition, $20 million or more of our other financial indebtedness cannot become prematurely due and payable or be placed on demand.</w:t>
      </w:r>
    </w:p>
    <w:p>
      <w:pPr>
        <w:sectPr>
          <w:pgSz w:w="11900" w:h="16838" w:orient="portrait"/>
          <w:cols w:equalWidth="0" w:num="1">
            <w:col w:w="11400"/>
          </w:cols>
          <w:pgMar w:left="240" w:top="125" w:right="259" w:bottom="0" w:gutter="0" w:footer="0" w:header="0"/>
        </w:sectPr>
      </w:pPr>
    </w:p>
    <w:bookmarkStart w:id="20" w:name="page21"/>
    <w:bookmarkEnd w:id="20"/>
    <w:p>
      <w:pPr>
        <w:ind w:right="80" w:firstLine="8"/>
        <w:spacing w:after="0" w:line="264" w:lineRule="auto"/>
        <w:tabs>
          <w:tab w:leader="none" w:pos="8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Breach of Convertible Debentures</w:t>
      </w:r>
      <w:r>
        <w:rPr>
          <w:rFonts w:ascii="Times New Roman" w:cs="Times New Roman" w:eastAsia="Times New Roman" w:hAnsi="Times New Roman"/>
          <w:sz w:val="18"/>
          <w:szCs w:val="18"/>
          <w:color w:val="auto"/>
        </w:rPr>
        <w:t>. Our default under or breach of any of the terms and conditions of the convertible debentures we issued in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or the convertible debentures issued in January 2006 or our making any payment in relation thereto which is not permitted under the facility agreement or the institution by the holders of the debentures (or anyone acting on their behalf, including a trustee) of proceedings against us.</w:t>
      </w:r>
    </w:p>
    <w:p>
      <w:pPr>
        <w:spacing w:after="0" w:line="181" w:lineRule="exact"/>
        <w:rPr>
          <w:rFonts w:ascii="Times New Roman" w:cs="Times New Roman" w:eastAsia="Times New Roman" w:hAnsi="Times New Roman"/>
          <w:sz w:val="18"/>
          <w:szCs w:val="18"/>
          <w:color w:val="auto"/>
        </w:rPr>
      </w:pPr>
    </w:p>
    <w:p>
      <w:pPr>
        <w:ind w:right="20" w:firstLine="8"/>
        <w:spacing w:after="0" w:line="277" w:lineRule="auto"/>
        <w:tabs>
          <w:tab w:leader="none" w:pos="8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Attachment, Sequestration: </w:t>
      </w:r>
      <w:r>
        <w:rPr>
          <w:rFonts w:ascii="Times New Roman" w:cs="Times New Roman" w:eastAsia="Times New Roman" w:hAnsi="Times New Roman"/>
          <w:sz w:val="18"/>
          <w:szCs w:val="18"/>
          <w:color w:val="auto"/>
        </w:rPr>
        <w:t>We may not permit any execution, attachment, sequestration or other similar process taken against us to subsist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than 45 days.</w:t>
      </w:r>
    </w:p>
    <w:p>
      <w:pPr>
        <w:spacing w:after="0" w:line="170" w:lineRule="exact"/>
        <w:rPr>
          <w:rFonts w:ascii="Times New Roman" w:cs="Times New Roman" w:eastAsia="Times New Roman" w:hAnsi="Times New Roman"/>
          <w:sz w:val="18"/>
          <w:szCs w:val="18"/>
          <w:color w:val="auto"/>
        </w:rPr>
      </w:pPr>
    </w:p>
    <w:p>
      <w:pPr>
        <w:ind w:right="280" w:firstLine="8"/>
        <w:spacing w:after="0" w:line="277" w:lineRule="auto"/>
        <w:tabs>
          <w:tab w:leader="none" w:pos="7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The existence of any litigation or other proceedings involving us, or any event or series of events, which is likely to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on our company.</w:t>
      </w:r>
    </w:p>
    <w:p>
      <w:pPr>
        <w:spacing w:after="0" w:line="170" w:lineRule="exact"/>
        <w:rPr>
          <w:rFonts w:ascii="Times New Roman" w:cs="Times New Roman" w:eastAsia="Times New Roman" w:hAnsi="Times New Roman"/>
          <w:sz w:val="18"/>
          <w:szCs w:val="18"/>
          <w:color w:val="auto"/>
        </w:rPr>
      </w:pPr>
    </w:p>
    <w:p>
      <w:pPr>
        <w:ind w:right="540" w:firstLine="8"/>
        <w:spacing w:after="0" w:line="277" w:lineRule="auto"/>
        <w:tabs>
          <w:tab w:leader="none" w:pos="8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Fab 2 being declared a total loss: </w:t>
      </w:r>
      <w:r>
        <w:rPr>
          <w:rFonts w:ascii="Times New Roman" w:cs="Times New Roman" w:eastAsia="Times New Roman" w:hAnsi="Times New Roman"/>
          <w:sz w:val="18"/>
          <w:szCs w:val="18"/>
          <w:color w:val="auto"/>
        </w:rPr>
        <w:t>Fab 2 or a substantial portion thereof is rendered inoperable or declared by our insurers to be a total loss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total loss.</w:t>
      </w:r>
    </w:p>
    <w:p>
      <w:pPr>
        <w:spacing w:after="0" w:line="170" w:lineRule="exact"/>
        <w:rPr>
          <w:rFonts w:ascii="Times New Roman" w:cs="Times New Roman" w:eastAsia="Times New Roman" w:hAnsi="Times New Roman"/>
          <w:sz w:val="18"/>
          <w:szCs w:val="18"/>
          <w:color w:val="auto"/>
        </w:rPr>
      </w:pPr>
    </w:p>
    <w:p>
      <w:pPr>
        <w:ind w:right="400" w:firstLine="8"/>
        <w:spacing w:after="0" w:line="277"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 action against us</w:t>
      </w:r>
      <w:r>
        <w:rPr>
          <w:rFonts w:ascii="Times New Roman" w:cs="Times New Roman" w:eastAsia="Times New Roman" w:hAnsi="Times New Roman"/>
          <w:sz w:val="18"/>
          <w:szCs w:val="18"/>
          <w:color w:val="auto"/>
        </w:rPr>
        <w:t>: Any nationalization, seizure or expropriation of all or any substantial or material part of our assets,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 by any governmental authority.</w:t>
      </w:r>
    </w:p>
    <w:p>
      <w:pPr>
        <w:spacing w:after="0" w:line="170" w:lineRule="exact"/>
        <w:rPr>
          <w:rFonts w:ascii="Times New Roman" w:cs="Times New Roman" w:eastAsia="Times New Roman" w:hAnsi="Times New Roman"/>
          <w:sz w:val="18"/>
          <w:szCs w:val="18"/>
          <w:color w:val="auto"/>
        </w:rPr>
      </w:pPr>
    </w:p>
    <w:p>
      <w:pPr>
        <w:ind w:right="300" w:firstLine="8"/>
        <w:spacing w:after="0" w:line="277" w:lineRule="auto"/>
        <w:tabs>
          <w:tab w:leader="none" w:pos="9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the free exchange of NIS for United States dollars</w:t>
      </w:r>
      <w:r>
        <w:rPr>
          <w:rFonts w:ascii="Times New Roman" w:cs="Times New Roman" w:eastAsia="Times New Roman" w:hAnsi="Times New Roman"/>
          <w:sz w:val="18"/>
          <w:szCs w:val="18"/>
          <w:color w:val="auto"/>
        </w:rPr>
        <w:t>: The imposition of restrictions by an Israeli governmental authority on the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NIS for United States dollars or United States dollars for NIS.</w:t>
      </w:r>
    </w:p>
    <w:p>
      <w:pPr>
        <w:spacing w:after="0" w:line="170"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Claim that we defaulted under certain prepayment contracts: </w:t>
      </w:r>
      <w:r>
        <w:rPr>
          <w:rFonts w:ascii="Times New Roman" w:cs="Times New Roman" w:eastAsia="Times New Roman" w:hAnsi="Times New Roman"/>
          <w:sz w:val="18"/>
          <w:szCs w:val="18"/>
          <w:color w:val="auto"/>
        </w:rPr>
        <w:t>The counter party to certain prepayment contracts makes a claim that we defaulted</w:t>
      </w:r>
    </w:p>
    <w:p>
      <w:pPr>
        <w:spacing w:after="0" w:line="2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11" w:lineRule="exact"/>
        <w:rPr>
          <w:sz w:val="20"/>
          <w:szCs w:val="20"/>
          <w:color w:val="auto"/>
        </w:rPr>
      </w:pPr>
    </w:p>
    <w:p>
      <w:pPr>
        <w:ind w:left="880" w:hanging="872"/>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Restrictions: </w:t>
      </w:r>
      <w:r>
        <w:rPr>
          <w:rFonts w:ascii="Times New Roman" w:cs="Times New Roman" w:eastAsia="Times New Roman" w:hAnsi="Times New Roman"/>
          <w:sz w:val="18"/>
          <w:szCs w:val="18"/>
          <w:color w:val="auto"/>
        </w:rPr>
        <w:t>Without the prior written consent of our banks or as permitted under the facility agreement, we are restricted from:</w:t>
      </w:r>
    </w:p>
    <w:p>
      <w:pPr>
        <w:spacing w:after="0" w:line="2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altering the Fab 2 business plan;</w:t>
      </w:r>
    </w:p>
    <w:p>
      <w:pPr>
        <w:spacing w:after="0" w:line="252"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entering into or resolving to approve any merger, reorganization or transfer of any part our business;</w:t>
      </w:r>
    </w:p>
    <w:p>
      <w:pPr>
        <w:spacing w:after="0" w:line="252"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amending our articles of association in a manner which is materially adverse to the interests of our banks;</w:t>
      </w:r>
    </w:p>
    <w:p>
      <w:pPr>
        <w:spacing w:after="0" w:line="252"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making any payment or transferring our assets to our shareholders or their affiliates;</w:t>
      </w:r>
    </w:p>
    <w:p>
      <w:pPr>
        <w:spacing w:after="0" w:line="252" w:lineRule="exact"/>
        <w:rPr>
          <w:rFonts w:ascii="Times New Roman" w:cs="Times New Roman" w:eastAsia="Times New Roman" w:hAnsi="Times New Roman"/>
          <w:sz w:val="18"/>
          <w:szCs w:val="18"/>
          <w:color w:val="auto"/>
        </w:rPr>
      </w:pPr>
    </w:p>
    <w:p>
      <w:pPr>
        <w:ind w:left="1720" w:right="40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our assets other than in the ordinary course of business or other than to replace such assets with comparable or superior assets;</w:t>
      </w:r>
    </w:p>
    <w:p>
      <w:pPr>
        <w:spacing w:after="0" w:line="200" w:lineRule="exact"/>
        <w:rPr>
          <w:rFonts w:ascii="Times New Roman" w:cs="Times New Roman" w:eastAsia="Times New Roman" w:hAnsi="Times New Roman"/>
          <w:sz w:val="18"/>
          <w:szCs w:val="18"/>
          <w:color w:val="auto"/>
        </w:rPr>
      </w:pPr>
    </w:p>
    <w:p>
      <w:pPr>
        <w:ind w:left="1720" w:right="60" w:hanging="56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incurring any capital expenditures other than for the Fab 2 project or for Fab 1;</w:t>
      </w:r>
    </w:p>
    <w:p>
      <w:pPr>
        <w:spacing w:after="0" w:line="252"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delegating the management of the Fab 2 project to any other person;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abandoning all or any part of the Fab 2 project; and</w:t>
      </w:r>
    </w:p>
    <w:p>
      <w:pPr>
        <w:spacing w:after="0" w:line="252" w:lineRule="exact"/>
        <w:rPr>
          <w:sz w:val="20"/>
          <w:szCs w:val="20"/>
          <w:color w:val="auto"/>
        </w:rPr>
      </w:pPr>
    </w:p>
    <w:p>
      <w:pPr>
        <w:ind w:left="1720" w:hanging="567"/>
        <w:spacing w:after="0" w:line="275" w:lineRule="auto"/>
        <w:rPr>
          <w:sz w:val="20"/>
          <w:szCs w:val="20"/>
          <w:color w:val="auto"/>
        </w:rPr>
      </w:pPr>
      <w:r>
        <w:rPr>
          <w:rFonts w:ascii="Times New Roman" w:cs="Times New Roman" w:eastAsia="Times New Roman" w:hAnsi="Times New Roman"/>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17" w:lineRule="exact"/>
        <w:rPr>
          <w:sz w:val="20"/>
          <w:szCs w:val="20"/>
          <w:color w:val="auto"/>
        </w:rPr>
      </w:pPr>
    </w:p>
    <w:p>
      <w:pPr>
        <w:jc w:val="both"/>
        <w:ind w:right="200" w:firstLine="348"/>
        <w:spacing w:after="0" w:line="301" w:lineRule="auto"/>
        <w:rPr>
          <w:sz w:val="20"/>
          <w:szCs w:val="20"/>
          <w:color w:val="auto"/>
        </w:rPr>
      </w:pPr>
      <w:r>
        <w:rPr>
          <w:rFonts w:ascii="Times New Roman" w:cs="Times New Roman" w:eastAsia="Times New Roman" w:hAnsi="Times New Roman"/>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 Under the Debentures Due 2012</w:t>
      </w:r>
    </w:p>
    <w:p>
      <w:pPr>
        <w:spacing w:after="0" w:line="3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Event of Default under the debentures is:</w:t>
      </w:r>
    </w:p>
    <w:p>
      <w:pPr>
        <w:spacing w:after="0" w:line="225" w:lineRule="exact"/>
        <w:rPr>
          <w:sz w:val="20"/>
          <w:szCs w:val="20"/>
          <w:color w:val="auto"/>
        </w:rPr>
      </w:pPr>
    </w:p>
    <w:p>
      <w:pPr>
        <w:ind w:left="1720" w:right="140" w:hanging="567"/>
        <w:spacing w:after="0" w:line="256" w:lineRule="auto"/>
        <w:rPr>
          <w:sz w:val="20"/>
          <w:szCs w:val="20"/>
          <w:color w:val="auto"/>
        </w:rPr>
      </w:pPr>
      <w:r>
        <w:rPr>
          <w:rFonts w:ascii="Times New Roman" w:cs="Times New Roman" w:eastAsia="Times New Roman" w:hAnsi="Times New Roman"/>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19" w:lineRule="exact"/>
        <w:rPr>
          <w:sz w:val="20"/>
          <w:szCs w:val="20"/>
          <w:color w:val="auto"/>
        </w:rPr>
      </w:pPr>
    </w:p>
    <w:p>
      <w:pPr>
        <w:ind w:left="1720" w:hanging="567"/>
        <w:spacing w:after="0" w:line="3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ectPr>
          <w:pgSz w:w="11900" w:h="16838" w:orient="portrait"/>
          <w:cols w:equalWidth="0" w:num="1">
            <w:col w:w="11400"/>
          </w:cols>
          <w:pgMar w:left="240" w:top="123" w:right="259" w:bottom="368" w:gutter="0" w:footer="0" w:header="0"/>
        </w:sectPr>
      </w:pPr>
    </w:p>
    <w:bookmarkStart w:id="21" w:name="page22"/>
    <w:bookmarkEnd w:id="21"/>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90" w:lineRule="exact"/>
        <w:rPr>
          <w:sz w:val="20"/>
          <w:szCs w:val="20"/>
          <w:color w:val="auto"/>
        </w:rPr>
      </w:pPr>
    </w:p>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74" w:lineRule="exact"/>
        <w:rPr>
          <w:sz w:val="20"/>
          <w:szCs w:val="20"/>
          <w:color w:val="auto"/>
        </w:rPr>
      </w:pPr>
    </w:p>
    <w:p>
      <w:pPr>
        <w:ind w:right="20" w:firstLine="351"/>
        <w:spacing w:after="0" w:line="296" w:lineRule="auto"/>
        <w:rPr>
          <w:sz w:val="20"/>
          <w:szCs w:val="20"/>
          <w:color w:val="auto"/>
        </w:rPr>
      </w:pPr>
      <w:r>
        <w:rPr>
          <w:rFonts w:ascii="Times New Roman" w:cs="Times New Roman" w:eastAsia="Times New Roman" w:hAnsi="Times New Roman"/>
          <w:sz w:val="16"/>
          <w:szCs w:val="16"/>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 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Indenture; Supplemental Indentures; Waiver of Defaults</w:t>
      </w:r>
    </w:p>
    <w:p>
      <w:pPr>
        <w:spacing w:after="0" w:line="308"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Subject to certain exceptions, the indenture or the debentures may be amended or supplemented at a duly convened meeting of the debenture holders with the approval of (a) the holders of a majority of the aggregate principal amount of the debentures and (b) at least 75% of the debenture holders participating in such meeting. Subject to certain exceptions, an Event of Default under the indenture may be waived, by a duly convened meeting of the debenture holders, if (a) the holders of a majority of the aggregate principal amount of the debentures, and (b) at least 75% of the debenture holders participating in such meeting vote in favor of such waiver. We may not amend or modify any term, covenant or provisions of the Indenture which under the provisions of the Trust Indenture Act cannot be modified or amended without the consent of the holders of each or all debentures then outstanding or affected thereby, without the consent of the holder of each debenture so affected.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08"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08"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certain tax consequences in Israel and the United States to individual and corporate residents of Israel and the United States resulting from the sale of debentures that are convertible into our ordinary shares or of ordinary shares issued by us.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92" w:lineRule="exact"/>
        <w:rPr>
          <w:sz w:val="20"/>
          <w:szCs w:val="20"/>
          <w:color w:val="auto"/>
        </w:rPr>
      </w:pPr>
    </w:p>
    <w:p>
      <w:pPr>
        <w:ind w:right="840" w:firstLine="351"/>
        <w:spacing w:after="0" w:line="339" w:lineRule="auto"/>
        <w:rPr>
          <w:sz w:val="20"/>
          <w:szCs w:val="20"/>
          <w:color w:val="auto"/>
        </w:rPr>
      </w:pPr>
      <w:r>
        <w:rPr>
          <w:rFonts w:ascii="Times New Roman" w:cs="Times New Roman" w:eastAsia="Times New Roman" w:hAnsi="Times New Roman"/>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28"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In August 2005, the Israeli parliament approved an amendment to the Israeli tax regime, which became effective on January 1, 2006 (“the 2006 Tax Reform”). The 2006 Tax Reform significantly changed the tax rates applicable to income derived from our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308"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Israeli law imposes a capital gains tax on the sale of capital assets, including securities and debentures. In general, the conversion of the debentures into ordinary shares will not be subject to Israeli tax.</w:t>
      </w:r>
    </w:p>
    <w:p>
      <w:pPr>
        <w:spacing w:after="0" w:line="174" w:lineRule="exact"/>
        <w:rPr>
          <w:sz w:val="20"/>
          <w:szCs w:val="20"/>
          <w:color w:val="auto"/>
        </w:rPr>
      </w:pPr>
    </w:p>
    <w:p>
      <w:pPr>
        <w:ind w:left="1160" w:hanging="571"/>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Capital Gains Tax</w:t>
      </w:r>
    </w:p>
    <w:p>
      <w:pPr>
        <w:sectPr>
          <w:pgSz w:w="11900" w:h="16838" w:orient="portrait"/>
          <w:cols w:equalWidth="0" w:num="1">
            <w:col w:w="11420"/>
          </w:cols>
          <w:pgMar w:left="240" w:top="125" w:right="239" w:bottom="343" w:gutter="0" w:footer="0" w:header="0"/>
        </w:sectPr>
      </w:pPr>
    </w:p>
    <w:bookmarkStart w:id="22" w:name="page23"/>
    <w:bookmarkEnd w:id="22"/>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According to the 2006 Tax Reform, an individual will be subject to a 20% tax on real capital gains on the sale of securities, including debentures, warrants and shares, so long the individual is not a controlling shareholder (generally a shareholder with 10% or more in the right to profits, right to nominate a director and voting rights) in the company issuing the securities. This implies an increase in the tax rate on the gains from publicly traded securities from 15%, which was applicable to sales before January 1, 2006, to 20%.</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20" w:firstLine="341"/>
        <w:spacing w:after="0" w:line="310" w:lineRule="auto"/>
        <w:rPr>
          <w:sz w:val="20"/>
          <w:szCs w:val="20"/>
          <w:color w:val="auto"/>
        </w:rPr>
      </w:pPr>
      <w:r>
        <w:rPr>
          <w:rFonts w:ascii="Times New Roman" w:cs="Times New Roman" w:eastAsia="Times New Roman" w:hAnsi="Times New Roman"/>
          <w:sz w:val="16"/>
          <w:szCs w:val="16"/>
          <w:color w:val="auto"/>
        </w:rPr>
        <w:t>A controlling shareholder will be subject to tax at a rate of 25% in respect of real capital gains derived from the sale of securities issued by the controlled company. The determination of whether the individual is a controlling shareholder will be made on the date the securities are sold. Nevertheless, the individual will be viewed as a controlling shareholder even if at any time during the 12 months preceding this date he had been a controlling shareholder.</w:t>
      </w:r>
    </w:p>
    <w:p>
      <w:pPr>
        <w:spacing w:after="0" w:line="15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Corporations will be subject to corporate tax rates in respect of total income, including capital gains, with the corporate tax rate reduced gradually from 31% in 2006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(“Dollar Regulations”) will generally be taxed at a rate of 25% on their capital gains from the sale of their securities.</w:t>
      </w:r>
    </w:p>
    <w:p>
      <w:pPr>
        <w:spacing w:after="0" w:line="193"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Non-residents of Israel will be exempt from any capital gains tax from the sale of our securities, so long as the gains are not derived through a permanent establishment that the non-resident maintains in Israel. A non-resident corporation will generally not enjoy this exemption if Israeli residents are: (1) its controlling shareholders, as defined for the purpose of section 68 of the Israeli Income Tax Ordinance, or (2) directly or indirectly eligible to receive or are beneficial owners of 25% or more of the income or the profits of the non-resident corporation.</w:t>
      </w:r>
    </w:p>
    <w:p>
      <w:pPr>
        <w:spacing w:after="0" w:line="190"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any event, under the US-Israel Tax Treaty, a person who qualifies as a resident of the United States within the meaning of the Tax Treaty and who is entitled to claim benefits under the Treaty, will in general not be taxable in Israel on capital gains from the sale of securities, unless that US treaty resident is both selling shares and holds 10% or more of the voting power in our company (subject to the provisions of Israeli domestic law as described above).</w:t>
      </w:r>
    </w:p>
    <w:p>
      <w:pPr>
        <w:spacing w:after="0" w:line="18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74"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These provisions dealing with capital gains are not applicable to an Israeli resident whose gains from selling or otherwise disposing of our securities are deemed to be business income.</w:t>
      </w:r>
    </w:p>
    <w:p>
      <w:pPr>
        <w:spacing w:after="0" w:line="174" w:lineRule="exact"/>
        <w:rPr>
          <w:sz w:val="20"/>
          <w:szCs w:val="20"/>
          <w:color w:val="auto"/>
        </w:rPr>
      </w:pPr>
    </w:p>
    <w:p>
      <w:pPr>
        <w:ind w:left="1160" w:hanging="571"/>
        <w:spacing w:after="0"/>
        <w:tabs>
          <w:tab w:leader="none" w:pos="1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on Income Paid on our Debentures</w:t>
      </w:r>
    </w:p>
    <w:p>
      <w:pPr>
        <w:spacing w:after="0" w:line="200" w:lineRule="exact"/>
        <w:rPr>
          <w:sz w:val="20"/>
          <w:szCs w:val="20"/>
          <w:color w:val="auto"/>
        </w:rPr>
      </w:pPr>
    </w:p>
    <w:p>
      <w:pPr>
        <w:spacing w:after="0" w:line="268"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Interest and Original Issuance Discount (OID) on our convertible debentures purchased after January 1, 2006, will, in general, be subject to Israeli tax of up to 20% if received by an individual who is not a “controlling shareholder” in the company from which the income is derived. Interest received by an individual from a company of which he is a controlling shareholder will be taxed based on the recipient’s marginal tax rates which will be reduced gradually from the current 49% rate to 44% in 2010. The 2006 Tax Reform does not specify the date in which a controlling shareholder should be determined as such if that controlling shareholder receives interest.</w:t>
      </w:r>
    </w:p>
    <w:p>
      <w:pPr>
        <w:spacing w:after="0" w:line="193"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Corporations will be subject to corporate tax rates in respect of total income, including interest income.</w:t>
      </w:r>
    </w:p>
    <w:p>
      <w:pPr>
        <w:spacing w:after="0" w:line="22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Withholding tax at source from debenture interest and OID paid to resident individuals will, in general, be at a rate of 20%, however the payment of interest to an individual who is a controlling shareholder, an employee, contractor or supplier of the company will be subject to withholding tax at the individual’s maximum marginal tax rate according to section 121 of the Israeli Income Tax Ordinance (which will decline from 49% in 2006 to 44% in 2010). Interest paid to holders of convertible debentures which are corporations will be subject to withholding tax at the current corporate tax rate (which will decline from 31% in 2006 to 25% in 2010). Withholding tax at source from debenture interest and OID paid to non-resident individuals or corporations will be at a rate of 25% or less, subject to any relevant tax treaty relating to their domicile country.</w:t>
      </w:r>
    </w:p>
    <w:p>
      <w:pPr>
        <w:spacing w:after="0" w:line="193"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In any event, under the US-Israel Tax Treaty, the maximum Israeli tax withheld on interest and OID paid on our convertible debentures to a US treaty resident (other than a US bank, savings institution or company) is 17.5%.</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United States Tax Considerations</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Subject to the limitations described in the next paragraph, the following describes the United States federal income tax consequences resulting from the purchase, ownership, conversion or disposition of debentures and the ownership or disposition of ordinary shares by a “U.S. Holder.” For purposes of this discussion, a U.S. Holder means any U.S. person who acquires debentures or ordinary shares issued upon the conversion of such debentures from a prior holder. For purposes of our discussion, a U.S. person is: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citizen or resident of the United States;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corporation created or organized in the United States or under the laws of the United States or any State;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an estate, the income of which is includable in gross income for U.S. federal income tax purposes regardless of its source; or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trust, if a court within the United States is able to exercise primary supervision over the administration of the trust and one or more U.S. persons</w:t>
      </w:r>
    </w:p>
    <w:p>
      <w:pPr>
        <w:sectPr>
          <w:pgSz w:w="11900" w:h="16838" w:orient="portrait"/>
          <w:cols w:equalWidth="0" w:num="1">
            <w:col w:w="11400"/>
          </w:cols>
          <w:pgMar w:left="240" w:top="125" w:right="259" w:bottom="0" w:gutter="0" w:footer="0" w:header="0"/>
        </w:sectPr>
      </w:pPr>
    </w:p>
    <w:bookmarkStart w:id="23" w:name="page24"/>
    <w:bookmarkEnd w:id="23"/>
    <w:p>
      <w:pPr>
        <w:ind w:left="1160" w:right="140"/>
        <w:spacing w:after="0" w:line="275" w:lineRule="auto"/>
        <w:rPr>
          <w:sz w:val="20"/>
          <w:szCs w:val="20"/>
          <w:color w:val="auto"/>
        </w:rPr>
      </w:pPr>
      <w:r>
        <w:rPr>
          <w:rFonts w:ascii="Times New Roman" w:cs="Times New Roman" w:eastAsia="Times New Roman" w:hAnsi="Times New Roman"/>
          <w:sz w:val="18"/>
          <w:szCs w:val="18"/>
          <w:color w:val="auto"/>
        </w:rPr>
        <w:t>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17"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the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are broker-dealers or insurance companies;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have elected mark-to-market accounting;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are financial institutions or financial services entities;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hold rights, debentures, or ordinary shares as part of a straddle, hedge or conversion transaction with other investments;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own directly, indirectly or by attribution at least 10% of our voting power; or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have a functional currency that is not the U.S. dollar.</w:t>
      </w:r>
    </w:p>
    <w:p>
      <w:pPr>
        <w:spacing w:after="0" w:line="200" w:lineRule="exact"/>
        <w:rPr>
          <w:sz w:val="20"/>
          <w:szCs w:val="20"/>
          <w:color w:val="auto"/>
        </w:rPr>
      </w:pPr>
    </w:p>
    <w:p>
      <w:pPr>
        <w:spacing w:after="0" w:line="256" w:lineRule="exact"/>
        <w:rPr>
          <w:sz w:val="20"/>
          <w:szCs w:val="20"/>
          <w:color w:val="auto"/>
        </w:rPr>
      </w:pPr>
    </w:p>
    <w:p>
      <w:pPr>
        <w:ind w:right="460" w:firstLine="341"/>
        <w:spacing w:after="0" w:line="275" w:lineRule="auto"/>
        <w:rPr>
          <w:sz w:val="20"/>
          <w:szCs w:val="20"/>
          <w:color w:val="auto"/>
        </w:rPr>
      </w:pPr>
      <w:r>
        <w:rPr>
          <w:rFonts w:ascii="Times New Roman" w:cs="Times New Roman" w:eastAsia="Times New Roman" w:hAnsi="Times New Roman"/>
          <w:sz w:val="18"/>
          <w:szCs w:val="18"/>
          <w:color w:val="auto"/>
        </w:rPr>
        <w:t>Additionally, the discussion does not consider the tax treatment of persons who hold debentures or ordinary shares through a partnership or other pass-through entity or the possible application of U.S. federal gift or estate tax.</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Finally, this discussion does not address any aspect of state, local or non-U.S. tax laws.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Characterization of the Debentures</w:t>
      </w:r>
    </w:p>
    <w:p>
      <w:pPr>
        <w:spacing w:after="0" w:line="227" w:lineRule="exact"/>
        <w:rPr>
          <w:sz w:val="20"/>
          <w:szCs w:val="20"/>
          <w:color w:val="auto"/>
        </w:rPr>
      </w:pPr>
    </w:p>
    <w:p>
      <w:pPr>
        <w:ind w:right="280" w:firstLine="351"/>
        <w:spacing w:after="0" w:line="256" w:lineRule="auto"/>
        <w:rPr>
          <w:sz w:val="20"/>
          <w:szCs w:val="20"/>
          <w:color w:val="auto"/>
        </w:rPr>
      </w:pPr>
      <w:r>
        <w:rPr>
          <w:rFonts w:ascii="Times New Roman" w:cs="Times New Roman" w:eastAsia="Times New Roman" w:hAnsi="Times New Roman"/>
          <w:sz w:val="18"/>
          <w:szCs w:val="18"/>
          <w:color w:val="auto"/>
        </w:rPr>
        <w:t>Certain characteristics of the debentures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this conclusion is not free of doubt. Due to the fact-intensive nature of the issue, and in particular to the characteristics described in the second preceding sentence, it is unclear whether the debentures should be characterized as debt for U.S. income tax purposes.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86"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Conversion of Debentures</w:t>
      </w:r>
    </w:p>
    <w:p>
      <w:pPr>
        <w:spacing w:after="0" w:line="227" w:lineRule="exact"/>
        <w:rPr>
          <w:sz w:val="20"/>
          <w:szCs w:val="20"/>
          <w:color w:val="auto"/>
        </w:rPr>
      </w:pPr>
    </w:p>
    <w:p>
      <w:pPr>
        <w:jc w:val="both"/>
        <w:ind w:right="20" w:firstLine="341"/>
        <w:spacing w:after="0" w:line="262" w:lineRule="auto"/>
        <w:rPr>
          <w:sz w:val="20"/>
          <w:szCs w:val="20"/>
          <w:color w:val="auto"/>
        </w:rPr>
      </w:pPr>
      <w:r>
        <w:rPr>
          <w:rFonts w:ascii="Times New Roman" w:cs="Times New Roman" w:eastAsia="Times New Roman" w:hAnsi="Times New Roman"/>
          <w:sz w:val="18"/>
          <w:szCs w:val="18"/>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Disposition of Debentures, or Ordinary Shares Issued Upon the Conversion of Debentures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discussion is qualified by the discussions below under the subheading “Tax Consequences if We Are a Passive Foreign Investment Company.”</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Upon the sale, exchange or other disposition of debentures or ordinary shares issued upon the conversion of debentures, a U.S. Holder generally will recognize capital gain or loss in an amount equal to the difference between the amount realized and such U.S. Holder’s basis in the debentures or ordinary shares. In the case of a U.S. Holder who purchases a debenture at a market discount, however, any gain attributable to accrued market discount will be treated as ordinary income. See the discussion below under the subheading “Original Issue Discount, Acquisition Premium and Market Discount.”</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Capital gain from the sale, exchange or other disposition of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90"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Gains and losses recognized by a U.S. Holder on a sale, exchange or other disposition debentures, or ordinary shares generally will have a U.S. source for foreign tax credit purposes.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Original Issue Discount, Acquisition Premium and Market Discount</w:t>
      </w:r>
    </w:p>
    <w:p>
      <w:pPr>
        <w:spacing w:after="0" w:line="227" w:lineRule="exact"/>
        <w:rPr>
          <w:sz w:val="20"/>
          <w:szCs w:val="20"/>
          <w:color w:val="auto"/>
        </w:rPr>
      </w:pPr>
    </w:p>
    <w:p>
      <w:pPr>
        <w:ind w:right="40" w:firstLine="341"/>
        <w:spacing w:after="0" w:line="254" w:lineRule="auto"/>
        <w:rPr>
          <w:sz w:val="20"/>
          <w:szCs w:val="20"/>
          <w:color w:val="auto"/>
        </w:rPr>
      </w:pPr>
      <w:r>
        <w:rPr>
          <w:rFonts w:ascii="Times New Roman" w:cs="Times New Roman" w:eastAsia="Times New Roman" w:hAnsi="Times New Roman"/>
          <w:sz w:val="18"/>
          <w:szCs w:val="18"/>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ectPr>
          <w:pgSz w:w="11900" w:h="16838" w:orient="portrait"/>
          <w:cols w:equalWidth="0" w:num="1">
            <w:col w:w="11400"/>
          </w:cols>
          <w:pgMar w:left="240" w:top="125" w:right="259" w:bottom="70" w:gutter="0" w:footer="0" w:header="0"/>
        </w:sectPr>
      </w:pPr>
    </w:p>
    <w:bookmarkStart w:id="24" w:name="page25"/>
    <w:bookmarkEnd w:id="24"/>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Special rules will apply to a U.S. Holder who purchases a debenture for an amount other than its adjusted issue price. If the purchase price paid by the U.S. Holder exceeds the adjusted issue price of the debenture, the debenture is considered to have “acquisition premium,” and the amount of OID otherwise allocable to an accrual period is reduced by a portion of such acquisition premium. If the purchase price paid by the U.S. Holder is less than the adjusted issue price of the debenture, the debenture is considered to have “market discount.” Any gain recognized by a U.S. Holder upon the disposition of a debenture purchased at a market discount will be treated as ordinary income to the extent of the market discount accrued through the date of the disposition. Market discount generally accrues ratably,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 the same amount of discount allocable to each day during the holding period of the U.S. Holder. Alternatively, a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Constructive Dividends</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As noted above, the conversion price of the debentures is subject to adjustment under certain circumstances. Under Section 305 of the Code and applicable Treasury regulations, an adjustment to the conversion price, or a failure to adjust the conversion price, may in certain circumstances result in a constructive distribution to a U.S. Holder if, and to the extent that, such adjustment to the conversion price, or failure to adjust the conversion price, increases the proportionate interest of a U.S. Holder in our earnings and profits or assets, whether or not such U.S. Holder ever converts his, her or its debentures into ordinary shares. Any 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95"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Tax Consequences if We Are a Passive Foreign Investment Company</w:t>
      </w:r>
    </w:p>
    <w:p>
      <w:pPr>
        <w:spacing w:after="0" w:line="227"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95" w:lineRule="exact"/>
        <w:rPr>
          <w:sz w:val="20"/>
          <w:szCs w:val="20"/>
          <w:color w:val="auto"/>
        </w:rPr>
      </w:pPr>
    </w:p>
    <w:p>
      <w:pPr>
        <w:ind w:left="1160" w:right="100" w:hanging="567"/>
        <w:spacing w:after="0" w:line="252" w:lineRule="auto"/>
        <w:rPr>
          <w:sz w:val="20"/>
          <w:szCs w:val="20"/>
          <w:color w:val="auto"/>
        </w:rPr>
      </w:pPr>
      <w:r>
        <w:rPr>
          <w:rFonts w:ascii="Times New Roman" w:cs="Times New Roman" w:eastAsia="Times New Roman" w:hAnsi="Times New Roman"/>
          <w:sz w:val="18"/>
          <w:szCs w:val="18"/>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2" w:lineRule="exact"/>
        <w:rPr>
          <w:sz w:val="20"/>
          <w:szCs w:val="20"/>
          <w:color w:val="auto"/>
        </w:rPr>
      </w:pPr>
    </w:p>
    <w:p>
      <w:pPr>
        <w:ind w:left="1160" w:right="640" w:hanging="567"/>
        <w:spacing w:after="0" w:line="250" w:lineRule="auto"/>
        <w:rPr>
          <w:sz w:val="20"/>
          <w:szCs w:val="20"/>
          <w:color w:val="auto"/>
        </w:rPr>
      </w:pPr>
      <w:r>
        <w:rPr>
          <w:rFonts w:ascii="Times New Roman" w:cs="Times New Roman" w:eastAsia="Times New Roman" w:hAnsi="Times New Roman"/>
          <w:sz w:val="18"/>
          <w:szCs w:val="18"/>
          <w:color w:val="auto"/>
        </w:rPr>
        <w:t>—The entire amount of gain realized by a U.S. Holder upon the sale or other disposition of ordinary shares will also be treated as an excess distribution and will be subject to tax as described above.</w:t>
      </w:r>
    </w:p>
    <w:p>
      <w:pPr>
        <w:ind w:left="1160" w:right="240" w:hanging="567"/>
        <w:spacing w:after="0" w:line="250" w:lineRule="auto"/>
        <w:rPr>
          <w:sz w:val="20"/>
          <w:szCs w:val="20"/>
          <w:color w:val="auto"/>
        </w:rPr>
      </w:pPr>
      <w:r>
        <w:rPr>
          <w:rFonts w:ascii="Times New Roman" w:cs="Times New Roman" w:eastAsia="Times New Roman" w:hAnsi="Times New Roman"/>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160" w:right="200" w:hanging="567"/>
        <w:spacing w:after="0" w:line="254" w:lineRule="auto"/>
        <w:rPr>
          <w:sz w:val="20"/>
          <w:szCs w:val="20"/>
          <w:color w:val="auto"/>
        </w:rPr>
      </w:pPr>
      <w:r>
        <w:rPr>
          <w:rFonts w:ascii="Times New Roman" w:cs="Times New Roman" w:eastAsia="Times New Roman" w:hAnsi="Times New Roman"/>
          <w:sz w:val="18"/>
          <w:szCs w:val="18"/>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60" w:hanging="567"/>
        <w:spacing w:after="0" w:line="275" w:lineRule="auto"/>
        <w:rPr>
          <w:sz w:val="20"/>
          <w:szCs w:val="20"/>
          <w:color w:val="auto"/>
        </w:rPr>
      </w:pPr>
      <w:r>
        <w:rPr>
          <w:rFonts w:ascii="Times New Roman" w:cs="Times New Roman" w:eastAsia="Times New Roman" w:hAnsi="Times New Roman"/>
          <w:sz w:val="18"/>
          <w:szCs w:val="18"/>
          <w:color w:val="auto"/>
        </w:rPr>
        <w:t>—Under proposed Treasury regulations, a U.S. Holder of a convertible debenture would be treated as owning ordinary shares for purposes of the PFIC rules above.</w:t>
      </w:r>
    </w:p>
    <w:p>
      <w:pPr>
        <w:spacing w:after="0" w:line="200" w:lineRule="exact"/>
        <w:rPr>
          <w:sz w:val="20"/>
          <w:szCs w:val="20"/>
          <w:color w:val="auto"/>
        </w:rPr>
      </w:pPr>
    </w:p>
    <w:p>
      <w:pPr>
        <w:spacing w:after="0" w:line="217" w:lineRule="exact"/>
        <w:rPr>
          <w:sz w:val="20"/>
          <w:szCs w:val="20"/>
          <w:color w:val="auto"/>
        </w:rPr>
      </w:pPr>
    </w:p>
    <w:p>
      <w:pPr>
        <w:ind w:right="40" w:firstLine="348"/>
        <w:spacing w:after="0" w:line="288" w:lineRule="auto"/>
        <w:rPr>
          <w:sz w:val="20"/>
          <w:szCs w:val="20"/>
          <w:color w:val="auto"/>
        </w:rPr>
      </w:pPr>
      <w:r>
        <w:rPr>
          <w:rFonts w:ascii="Times New Roman" w:cs="Times New Roman" w:eastAsia="Times New Roman" w:hAnsi="Times New Roman"/>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390" w:lineRule="exact"/>
        <w:rPr>
          <w:sz w:val="20"/>
          <w:szCs w:val="20"/>
          <w:color w:val="auto"/>
        </w:rPr>
      </w:pPr>
    </w:p>
    <w:p>
      <w:pPr>
        <w:ind w:right="40" w:firstLine="341"/>
        <w:spacing w:after="0" w:line="339" w:lineRule="auto"/>
        <w:rPr>
          <w:sz w:val="20"/>
          <w:szCs w:val="20"/>
          <w:color w:val="auto"/>
        </w:rPr>
      </w:pPr>
      <w:r>
        <w:rPr>
          <w:rFonts w:ascii="Times New Roman" w:cs="Times New Roman" w:eastAsia="Times New Roman" w:hAnsi="Times New Roman"/>
          <w:sz w:val="16"/>
          <w:szCs w:val="16"/>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w:t>
      </w:r>
    </w:p>
    <w:p>
      <w:pPr>
        <w:sectPr>
          <w:pgSz w:w="11900" w:h="16838" w:orient="portrait"/>
          <w:cols w:equalWidth="0" w:num="1">
            <w:col w:w="11420"/>
          </w:cols>
          <w:pgMar w:left="240" w:top="125" w:right="239" w:bottom="0" w:gutter="0" w:footer="0" w:header="0"/>
        </w:sectPr>
      </w:pPr>
    </w:p>
    <w:bookmarkStart w:id="25" w:name="page26"/>
    <w:bookmarkEnd w:id="25"/>
    <w:p>
      <w:pPr>
        <w:ind w:right="460"/>
        <w:spacing w:after="0" w:line="275" w:lineRule="auto"/>
        <w:rPr>
          <w:sz w:val="20"/>
          <w:szCs w:val="20"/>
          <w:color w:val="auto"/>
        </w:rPr>
      </w:pPr>
      <w:r>
        <w:rPr>
          <w:rFonts w:ascii="Times New Roman" w:cs="Times New Roman" w:eastAsia="Times New Roman" w:hAnsi="Times New Roman"/>
          <w:sz w:val="18"/>
          <w:szCs w:val="18"/>
          <w:color w:val="auto"/>
        </w:rPr>
        <w:t>the lower-tier PFIC provides the IRS with information regarding its earnings. A QEF election with respect to our shares does not constitute an election with respect to any lower-tier PFIC.</w:t>
      </w:r>
    </w:p>
    <w:p>
      <w:pPr>
        <w:spacing w:after="0" w:line="174" w:lineRule="exact"/>
        <w:rPr>
          <w:sz w:val="20"/>
          <w:szCs w:val="20"/>
          <w:color w:val="auto"/>
        </w:rPr>
      </w:pPr>
    </w:p>
    <w:p>
      <w:pPr>
        <w:ind w:right="80" w:firstLine="341"/>
        <w:spacing w:after="0" w:line="262" w:lineRule="auto"/>
        <w:rPr>
          <w:sz w:val="20"/>
          <w:szCs w:val="20"/>
          <w:color w:val="auto"/>
        </w:rPr>
      </w:pPr>
      <w:r>
        <w:rPr>
          <w:rFonts w:ascii="Times New Roman" w:cs="Times New Roman" w:eastAsia="Times New Roman" w:hAnsi="Times New Roman"/>
          <w:sz w:val="18"/>
          <w:szCs w:val="18"/>
          <w:color w:val="auto"/>
        </w:rPr>
        <w:t>As noted above, the proposed regulations would treat a U.S. Holder of a convertible debenture as if the holder held ordinary shares for purposes of the PFIC rules. A convertible debenture holder, however, may not make a QEF election. If we are considered a PFIC (presently or in the future), a U.S. Holder of a convertible debenture might be unable to make a timely QEF election for our shares or for shares of any lower-tier PFIC.</w:t>
      </w:r>
    </w:p>
    <w:p>
      <w:pPr>
        <w:spacing w:after="0" w:line="186"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90"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are a PFIC.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Tax Consequences if the Debentures Are Characterized as Equity</w:t>
      </w:r>
    </w:p>
    <w:p>
      <w:pPr>
        <w:spacing w:after="0" w:line="227"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Conversion of Debentures</w:t>
      </w:r>
    </w:p>
    <w:p>
      <w:pPr>
        <w:spacing w:after="0" w:line="227"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If the debentures were characterized as equity for U.S. tax purposes, this would not affect the consequences to a U.S. Holder upon a conversion of debentures into our ordinary shares.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Disposition of Debentures or Ordinary Shares Issued Upon the Conversion of Debentures</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If the debentures were characterized as equity for U.S. tax purposes, this would not affect the consequences, as described above, to a U.S. Holder who disposes of debentures or ordinary shares issued upon conversion of debentures, except that the special rules described above regarding market discount would not apply.</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Original Issue Discount, Acquisition Premium and Market Discount; Constructive Dividends</w:t>
      </w:r>
    </w:p>
    <w:p>
      <w:pPr>
        <w:spacing w:after="0" w:line="227"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 Section 305 of the Code and the applicable Treasury regulations, an adjustment to the conversion price, or a failure to adjust the conversion price, results in a constructive distribution to a U.S. Holder.</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Tax Consequences if We Are a Passive Foreign Investment Company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debentures were characterized as equity for U.S. tax purposes, this generally would not affect the application of the PFIC rules, except that a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debentures would be able to make a QEF or mark-to-market election.</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EXCHANGE CONTROLS AND OTHER LIMITATIONS</w:t>
      </w:r>
    </w:p>
    <w:p>
      <w:pPr>
        <w:spacing w:after="0" w:line="308"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9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ectPr>
          <w:pgSz w:w="11900" w:h="16838" w:orient="portrait"/>
          <w:cols w:equalWidth="0" w:num="1">
            <w:col w:w="11400"/>
          </w:cols>
          <w:pgMar w:left="240" w:top="125" w:right="259" w:bottom="75" w:gutter="0" w:footer="0" w:header="0"/>
        </w:sectPr>
      </w:pPr>
    </w:p>
    <w:bookmarkStart w:id="26" w:name="page27"/>
    <w:bookmarkEnd w:id="26"/>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3" w:lineRule="exact"/>
        <w:rPr>
          <w:sz w:val="20"/>
          <w:szCs w:val="20"/>
          <w:color w:val="auto"/>
        </w:rPr>
      </w:pPr>
    </w:p>
    <w:p>
      <w:pPr>
        <w:jc w:val="both"/>
        <w:ind w:right="80" w:firstLine="351"/>
        <w:spacing w:after="0" w:line="287" w:lineRule="auto"/>
        <w:rPr>
          <w:sz w:val="20"/>
          <w:szCs w:val="20"/>
          <w:color w:val="auto"/>
        </w:rPr>
      </w:pPr>
      <w:r>
        <w:rPr>
          <w:rFonts w:ascii="Times New Roman" w:cs="Times New Roman" w:eastAsia="Times New Roman" w:hAnsi="Times New Roman"/>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86"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62" w:lineRule="exact"/>
        <w:rPr>
          <w:sz w:val="20"/>
          <w:szCs w:val="20"/>
          <w:color w:val="auto"/>
        </w:rPr>
      </w:pPr>
    </w:p>
    <w:p>
      <w:pPr>
        <w:ind w:right="80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2004, 65,699,796 of our ordinary shares were outstanding. As of December 31, 2005, 66,932,056 of our ordinary shares were outstanding. The above numbers of outstanding ordinary shares do not include 1.3 million treasury shares held by us through a trustee.</w:t>
      </w:r>
    </w:p>
    <w:p>
      <w:pPr>
        <w:spacing w:after="0" w:line="17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American Stock Transfer &amp; Trust Company, 59 Maiden Lane, New York, New York 10007.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08"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Yigal Arnon &amp; Co., our Israeli counsel, and by Eilenberg &amp; Krause LLP, New York, New York, our United States counsel.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08"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the company’s Annual Report on Form 20-F for the year ended December 31, 2004, and the company’s report on Form 6-K filed on February 2, 2006,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FOR SERVICE OF PROCESS IN THE UNITED STATES</w:t>
      </w:r>
    </w:p>
    <w:p>
      <w:pPr>
        <w:spacing w:after="0" w:line="294"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ectPr>
          <w:pgSz w:w="11900" w:h="16838" w:orient="portrait"/>
          <w:cols w:equalWidth="0" w:num="1">
            <w:col w:w="11420"/>
          </w:cols>
          <w:pgMar w:left="240" w:top="125" w:right="239" w:bottom="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BY REFERENCE</w:t>
      </w:r>
    </w:p>
    <w:p>
      <w:pPr>
        <w:spacing w:after="0" w:line="280" w:lineRule="exact"/>
        <w:rPr>
          <w:sz w:val="20"/>
          <w:szCs w:val="20"/>
          <w:color w:val="auto"/>
        </w:rPr>
      </w:pPr>
    </w:p>
    <w:p>
      <w:pPr>
        <w:ind w:right="340" w:firstLine="348"/>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F-3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86"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registration on Form 8-A filed on November 22, 2005, as amended on December 29, 2005;</w:t>
      </w:r>
    </w:p>
    <w:p>
      <w:pPr>
        <w:spacing w:after="0" w:line="252" w:lineRule="exact"/>
        <w:rPr>
          <w:sz w:val="20"/>
          <w:szCs w:val="20"/>
          <w:color w:val="auto"/>
        </w:rPr>
      </w:pPr>
    </w:p>
    <w:p>
      <w:pPr>
        <w:ind w:left="1160" w:right="60" w:hanging="567"/>
        <w:spacing w:after="0" w:line="275" w:lineRule="auto"/>
        <w:rPr>
          <w:sz w:val="20"/>
          <w:szCs w:val="20"/>
          <w:color w:val="auto"/>
        </w:rPr>
      </w:pPr>
      <w:r>
        <w:rPr>
          <w:rFonts w:ascii="Times New Roman" w:cs="Times New Roman" w:eastAsia="Times New Roman" w:hAnsi="Times New Roman"/>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75" w:lineRule="auto"/>
        <w:rPr>
          <w:sz w:val="20"/>
          <w:szCs w:val="20"/>
          <w:color w:val="auto"/>
        </w:rPr>
      </w:pPr>
      <w:r>
        <w:rPr>
          <w:rFonts w:ascii="Times New Roman" w:cs="Times New Roman" w:eastAsia="Times New Roman" w:hAnsi="Times New Roman"/>
          <w:sz w:val="18"/>
          <w:szCs w:val="18"/>
          <w:color w:val="auto"/>
        </w:rPr>
        <w:t>—our report on Form 6-K filed on August 3, 2005, as amended on Form 6-K/A filed on September 22, 2005 and on Form 6-K/A filed on November 7, 2005;</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November 8, 2005, as amended on Form 6-K/A filed on November 22, 2005;</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December 19, 2005;</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January 3, 2006;</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January 9, 2006;</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January 17, 2006;</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report on Form 6-K filed on February 2, 2006; and</w:t>
      </w:r>
    </w:p>
    <w:p>
      <w:pPr>
        <w:spacing w:after="0" w:line="252" w:lineRule="exact"/>
        <w:rPr>
          <w:sz w:val="20"/>
          <w:szCs w:val="20"/>
          <w:color w:val="auto"/>
        </w:rPr>
      </w:pPr>
    </w:p>
    <w:p>
      <w:pPr>
        <w:ind w:left="1160" w:hanging="567"/>
        <w:spacing w:after="0" w:line="275" w:lineRule="auto"/>
        <w:rPr>
          <w:sz w:val="20"/>
          <w:szCs w:val="20"/>
          <w:color w:val="auto"/>
        </w:rPr>
      </w:pPr>
      <w:r>
        <w:rPr>
          <w:rFonts w:ascii="Times New Roman" w:cs="Times New Roman" w:eastAsia="Times New Roman" w:hAnsi="Times New Roman"/>
          <w:sz w:val="18"/>
          <w:szCs w:val="18"/>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200" w:lineRule="exact"/>
        <w:rPr>
          <w:sz w:val="20"/>
          <w:szCs w:val="20"/>
          <w:color w:val="auto"/>
        </w:rPr>
      </w:pPr>
    </w:p>
    <w:p>
      <w:pPr>
        <w:spacing w:after="0" w:line="217"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this prospectus meeting the requirements of this Form. Any such Form 6-K which we intend to so incorporate shall state in such form that it is being incorporated by reference into this Form.</w:t>
      </w:r>
    </w:p>
    <w:p>
      <w:pPr>
        <w:spacing w:after="0" w:line="193"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Click on “Investor Relations” and then “Filings.”</w:t>
      </w:r>
    </w:p>
    <w:p>
      <w:pPr>
        <w:spacing w:after="0" w:line="186"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 copy of this prospectus, our memorandum of association, our articles of association and the documents filed as exhibits, are available for inspection at our offices at Hamada Avenue, Ramat Gavriel Industrial Park, Migdal Haemek, Israel.</w:t>
      </w:r>
    </w:p>
    <w:p>
      <w:pPr>
        <w:spacing w:after="0" w:line="174" w:lineRule="exact"/>
        <w:rPr>
          <w:sz w:val="20"/>
          <w:szCs w:val="20"/>
          <w:color w:val="auto"/>
        </w:rPr>
      </w:pPr>
    </w:p>
    <w:p>
      <w:pPr>
        <w:ind w:right="240" w:firstLine="341"/>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ectPr>
          <w:pgSz w:w="11900" w:h="16838" w:orient="portrait"/>
          <w:cols w:equalWidth="0" w:num="1">
            <w:col w:w="11420"/>
          </w:cols>
          <w:pgMar w:left="240" w:top="123"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297815</wp:posOffset>
            </wp:positionV>
            <wp:extent cx="1715135" cy="565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8" w:name="page29"/>
    <w:bookmarkEnd w:id="28"/>
    <w:p>
      <w:pPr>
        <w:jc w:val="center"/>
        <w:ind w:right="1100"/>
        <w:spacing w:after="0"/>
        <w:rPr>
          <w:sz w:val="20"/>
          <w:szCs w:val="20"/>
          <w:color w:val="auto"/>
        </w:rPr>
      </w:pPr>
      <w:r>
        <w:rPr>
          <w:rFonts w:ascii="Times New Roman" w:cs="Times New Roman" w:eastAsia="Times New Roman" w:hAnsi="Times New Roman"/>
          <w:sz w:val="22"/>
          <w:szCs w:val="22"/>
          <w:color w:val="auto"/>
        </w:rPr>
        <w:t>$31,191,606 of Convertible Debentures due 2012</w:t>
      </w:r>
    </w:p>
    <w:p>
      <w:pPr>
        <w:spacing w:after="0" w:line="1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2"/>
          <w:szCs w:val="22"/>
          <w:color w:val="auto"/>
        </w:rPr>
        <w:t>37,517,065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133350</wp:posOffset>
            </wp:positionV>
            <wp:extent cx="1106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213995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March 15, 2006</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160"/>
      </w:cols>
      <w:pgMar w:left="1400" w:top="5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emdash "/>
      <w:numFmt w:val="bullet"/>
      <w:start w:val="1"/>
    </w:lvl>
  </w:abstractNum>
  <w:abstractNum w:abstractNumId="1">
    <w:nsid w:val="189A769B"/>
    <w:multiLevelType w:val="hybridMultilevel"/>
    <w:lvl w:ilvl="0">
      <w:lvlJc w:val="left"/>
      <w:lvlText w:val="\emdash "/>
      <w:numFmt w:val="bullet"/>
      <w:start w:val="1"/>
    </w:lvl>
  </w:abstractNum>
  <w:abstractNum w:abstractNumId="2">
    <w:nsid w:val="54E49EB4"/>
    <w:multiLevelType w:val="hybridMultilevel"/>
    <w:lvl w:ilvl="0">
      <w:lvlJc w:val="left"/>
      <w:lvlText w:val="\emdash "/>
      <w:numFmt w:val="bullet"/>
      <w:start w:val="1"/>
    </w:lvl>
  </w:abstractNum>
  <w:abstractNum w:abstractNumId="3">
    <w:nsid w:val="71F32454"/>
    <w:multiLevelType w:val="hybridMultilevel"/>
    <w:lvl w:ilvl="0">
      <w:lvlJc w:val="left"/>
      <w:lvlText w:val="\emdash "/>
      <w:numFmt w:val="bullet"/>
      <w:start w:val="1"/>
    </w:lvl>
  </w:abstractNum>
  <w:abstractNum w:abstractNumId="4">
    <w:nsid w:val="2CA88611"/>
    <w:multiLevelType w:val="hybridMultilevel"/>
    <w:lvl w:ilvl="0">
      <w:lvlJc w:val="left"/>
      <w:lvlText w:val="\emdash "/>
      <w:numFmt w:val="bullet"/>
      <w:start w:val="1"/>
    </w:lvl>
  </w:abstractNum>
  <w:abstractNum w:abstractNumId="5">
    <w:nsid w:val="836C40E"/>
    <w:multiLevelType w:val="hybridMultilevel"/>
    <w:lvl w:ilvl="0">
      <w:lvlJc w:val="left"/>
      <w:lvlText w:val="\emdash "/>
      <w:numFmt w:val="bullet"/>
      <w:start w:val="1"/>
    </w:lvl>
  </w:abstractNum>
  <w:abstractNum w:abstractNumId="6">
    <w:nsid w:val="2901D82"/>
    <w:multiLevelType w:val="hybridMultilevel"/>
    <w:lvl w:ilvl="0">
      <w:lvlJc w:val="left"/>
      <w:lvlText w:val="\emdash "/>
      <w:numFmt w:val="bullet"/>
      <w:start w:val="1"/>
    </w:lvl>
  </w:abstractNum>
  <w:abstractNum w:abstractNumId="7">
    <w:nsid w:val="3A95F874"/>
    <w:multiLevelType w:val="hybridMultilevel"/>
    <w:lvl w:ilvl="0">
      <w:lvlJc w:val="left"/>
      <w:lvlText w:val="\emdash "/>
      <w:numFmt w:val="bullet"/>
      <w:start w:val="1"/>
    </w:lvl>
  </w:abstractNum>
  <w:abstractNum w:abstractNumId="8">
    <w:nsid w:val="8138641"/>
    <w:multiLevelType w:val="hybridMultilevel"/>
    <w:lvl w:ilvl="0">
      <w:lvlJc w:val="left"/>
      <w:lvlText w:val="\emdash "/>
      <w:numFmt w:val="bullet"/>
      <w:start w:val="1"/>
    </w:lvl>
  </w:abstractNum>
  <w:abstractNum w:abstractNumId="9">
    <w:nsid w:val="1E7FF521"/>
    <w:multiLevelType w:val="hybridMultilevel"/>
    <w:lvl w:ilvl="0">
      <w:lvlJc w:val="left"/>
      <w:lvlText w:val="\emdash "/>
      <w:numFmt w:val="bullet"/>
      <w:start w:val="1"/>
    </w:lvl>
  </w:abstractNum>
  <w:abstractNum w:abstractNumId="10">
    <w:nsid w:val="7C3DBD3D"/>
    <w:multiLevelType w:val="hybridMultilevel"/>
    <w:lvl w:ilvl="0">
      <w:lvlJc w:val="left"/>
      <w:lvlText w:val="\emdash "/>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1)"/>
      <w:numFmt w:val="lowerRoman"/>
      <w:start w:val="3"/>
    </w:lvl>
  </w:abstractNum>
  <w:abstractNum w:abstractNumId="17">
    <w:nsid w:val="419AC241"/>
    <w:multiLevelType w:val="hybridMultilevel"/>
    <w:lvl w:ilvl="0">
      <w:lvlJc w:val="left"/>
      <w:lvlText w:val="1"/>
      <w:numFmt w:val="bullet"/>
      <w:start w:val="1"/>
    </w:lvl>
  </w:abstractNum>
  <w:abstractNum w:abstractNumId="18">
    <w:nsid w:val="5577F8E1"/>
    <w:multiLevelType w:val="hybridMultilevel"/>
    <w:lvl w:ilvl="0">
      <w:lvlJc w:val="left"/>
      <w:lvlText w:val="2"/>
      <w:numFmt w:val="bullet"/>
      <w:start w:val="1"/>
    </w:lvl>
  </w:abstractNum>
  <w:abstractNum w:abstractNumId="19">
    <w:nsid w:val="440BADFC"/>
    <w:multiLevelType w:val="hybridMultilevel"/>
    <w:lvl w:ilvl="0">
      <w:lvlJc w:val="left"/>
      <w:lvlText w:val="3"/>
      <w:numFmt w:val="bullet"/>
      <w:start w:val="1"/>
    </w:lvl>
  </w:abstractNum>
  <w:abstractNum w:abstractNumId="20">
    <w:nsid w:val="5072367"/>
    <w:multiLevelType w:val="hybridMultilevel"/>
    <w:lvl w:ilvl="0">
      <w:lvlJc w:val="left"/>
      <w:lvlText w:val="4"/>
      <w:numFmt w:val="bullet"/>
      <w:start w:val="1"/>
    </w:lvl>
  </w:abstractNum>
  <w:abstractNum w:abstractNumId="21">
    <w:nsid w:val="3804823E"/>
    <w:multiLevelType w:val="hybridMultilevel"/>
    <w:lvl w:ilvl="0">
      <w:lvlJc w:val="left"/>
      <w:lvlText w:val="5"/>
      <w:numFmt w:val="bullet"/>
      <w:start w:val="1"/>
    </w:lvl>
  </w:abstractNum>
  <w:abstractNum w:abstractNumId="22">
    <w:nsid w:val="77465F01"/>
    <w:multiLevelType w:val="hybridMultilevel"/>
    <w:lvl w:ilvl="0">
      <w:lvlJc w:val="left"/>
      <w:lvlText w:val="6"/>
      <w:numFmt w:val="bullet"/>
      <w:start w:val="1"/>
    </w:lvl>
  </w:abstractNum>
  <w:abstractNum w:abstractNumId="23">
    <w:nsid w:val="7724C67E"/>
    <w:multiLevelType w:val="hybridMultilevel"/>
    <w:lvl w:ilvl="0">
      <w:lvlJc w:val="left"/>
      <w:lvlText w:val="7"/>
      <w:numFmt w:val="bullet"/>
      <w:start w:val="1"/>
    </w:lvl>
  </w:abstractNum>
  <w:abstractNum w:abstractNumId="24">
    <w:nsid w:val="5C482A97"/>
    <w:multiLevelType w:val="hybridMultilevel"/>
    <w:lvl w:ilvl="0">
      <w:lvlJc w:val="left"/>
      <w:lvlText w:val="8"/>
      <w:numFmt w:val="bullet"/>
      <w:start w:val="1"/>
    </w:lvl>
  </w:abstractNum>
  <w:abstractNum w:abstractNumId="25">
    <w:nsid w:val="2463B9EA"/>
    <w:multiLevelType w:val="hybridMultilevel"/>
    <w:lvl w:ilvl="0">
      <w:lvlJc w:val="left"/>
      <w:lvlText w:val="9"/>
      <w:numFmt w:val="bullet"/>
      <w:start w:val="1"/>
    </w:lvl>
  </w:abstractNum>
  <w:abstractNum w:abstractNumId="26">
    <w:nsid w:val="5E884ADC"/>
    <w:multiLevelType w:val="hybridMultilevel"/>
    <w:lvl w:ilvl="0">
      <w:lvlJc w:val="left"/>
      <w:lvlText w:val="%1"/>
      <w:numFmt w:val="decimal"/>
      <w:start w:val="10"/>
    </w:lvl>
  </w:abstractNum>
  <w:abstractNum w:abstractNumId="27">
    <w:nsid w:val="51EAD36B"/>
    <w:multiLevelType w:val="hybridMultilevel"/>
    <w:lvl w:ilvl="0">
      <w:lvlJc w:val="left"/>
      <w:lvlText w:val="\emdash "/>
      <w:numFmt w:val="bullet"/>
      <w:start w:val="1"/>
    </w:lvl>
  </w:abstractNum>
  <w:abstractNum w:abstractNumId="28">
    <w:nsid w:val="2D517796"/>
    <w:multiLevelType w:val="hybridMultilevel"/>
    <w:lvl w:ilvl="0">
      <w:lvlJc w:val="left"/>
      <w:lvlText w:val="\emdash "/>
      <w:numFmt w:val="bullet"/>
      <w:start w:val="1"/>
    </w:lvl>
  </w:abstractNum>
  <w:abstractNum w:abstractNumId="29">
    <w:nsid w:val="580BD78F"/>
    <w:multiLevelType w:val="hybridMultilevel"/>
    <w:lvl w:ilvl="0">
      <w:lvlJc w:val="left"/>
      <w:lvlText w:val="\emdash "/>
      <w:numFmt w:val="bullet"/>
      <w:start w:val="1"/>
    </w:lvl>
  </w:abstractNum>
  <w:abstractNum w:abstractNumId="30">
    <w:nsid w:val="153EA438"/>
    <w:multiLevelType w:val="hybridMultilevel"/>
    <w:lvl w:ilvl="0">
      <w:lvlJc w:val="left"/>
      <w:lvlText w:val="\emdash "/>
      <w:numFmt w:val="bullet"/>
      <w:start w:val="1"/>
    </w:lvl>
  </w:abstractNum>
  <w:abstractNum w:abstractNumId="31">
    <w:nsid w:val="3855585C"/>
    <w:multiLevelType w:val="hybridMultilevel"/>
    <w:lvl w:ilvl="0">
      <w:lvlJc w:val="left"/>
      <w:lvlText w:val="\emdash "/>
      <w:numFmt w:val="bullet"/>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1)"/>
      <w:numFmt w:val="lowerRoman"/>
      <w:start w:val="4"/>
    </w:lvl>
  </w:abstractNum>
  <w:abstractNum w:abstractNumId="34">
    <w:nsid w:val="2A487CB0"/>
    <w:multiLevelType w:val="hybridMultilevel"/>
    <w:lvl w:ilvl="0">
      <w:lvlJc w:val="left"/>
      <w:lvlText w:val="(%1)"/>
      <w:numFmt w:val="lowerRoman"/>
      <w:start w:val="6"/>
    </w:lvl>
    <w:lvl w:ilvl="1">
      <w:lvlJc w:val="left"/>
      <w:lvlText w:val="\emdash "/>
      <w:numFmt w:val="bullet"/>
      <w:start w:val="1"/>
    </w:lvl>
  </w:abstractNum>
  <w:abstractNum w:abstractNumId="35">
    <w:nsid w:val="1D4ED43B"/>
    <w:multiLevelType w:val="hybridMultilevel"/>
    <w:lvl w:ilvl="0">
      <w:lvlJc w:val="left"/>
      <w:lvlText w:val="(%1)"/>
      <w:numFmt w:val="lowerRoman"/>
      <w:start w:val="13"/>
    </w:lvl>
    <w:lvl w:ilvl="1">
      <w:lvlJc w:val="left"/>
      <w:lvlText w:val="\emdash "/>
      <w:numFmt w:val="bullet"/>
      <w:start w:val="1"/>
    </w:lvl>
  </w:abstractNum>
  <w:abstractNum w:abstractNumId="36">
    <w:nsid w:val="725A06FB"/>
    <w:multiLevelType w:val="hybridMultilevel"/>
    <w:lvl w:ilvl="0">
      <w:lvlJc w:val="left"/>
      <w:lvlText w:val="(%1)"/>
      <w:numFmt w:val="lowerRoman"/>
      <w:start w:val="14"/>
    </w:lvl>
    <w:lvl w:ilvl="1">
      <w:lvlJc w:val="left"/>
      <w:lvlText w:val="\emdash "/>
      <w:numFmt w:val="bullet"/>
      <w:start w:val="1"/>
    </w:lvl>
  </w:abstractNum>
  <w:abstractNum w:abstractNumId="37">
    <w:nsid w:val="2CD89A32"/>
    <w:multiLevelType w:val="hybridMultilevel"/>
    <w:lvl w:ilvl="0">
      <w:lvlJc w:val="left"/>
      <w:lvlText w:val="(%1)"/>
      <w:numFmt w:val="lowerRoman"/>
      <w:start w:val="20"/>
    </w:lvl>
  </w:abstractNum>
  <w:abstractNum w:abstractNumId="38">
    <w:nsid w:val="57E4CCAF"/>
    <w:multiLevelType w:val="hybridMultilevel"/>
    <w:lvl w:ilvl="0">
      <w:lvlJc w:val="left"/>
      <w:lvlText w:val="(%1)"/>
      <w:numFmt w:val="lowerRoman"/>
      <w:start w:val="23"/>
    </w:lvl>
  </w:abstractNum>
  <w:abstractNum w:abstractNumId="39">
    <w:nsid w:val="7A6D8D3C"/>
    <w:multiLevelType w:val="hybridMultilevel"/>
    <w:lvl w:ilvl="0">
      <w:lvlJc w:val="left"/>
      <w:lvlText w:val="(%1)"/>
      <w:numFmt w:val="lowerRoman"/>
      <w:start w:val="32"/>
    </w:lvl>
    <w:lvl w:ilvl="1">
      <w:lvlJc w:val="left"/>
      <w:lvlText w:val="\emdash "/>
      <w:numFmt w:val="bullet"/>
      <w:start w:val="1"/>
    </w:lvl>
  </w:abstractNum>
  <w:abstractNum w:abstractNumId="40">
    <w:nsid w:val="4B588F54"/>
    <w:multiLevelType w:val="hybridMultilevel"/>
    <w:lvl w:ilvl="0">
      <w:lvlJc w:val="left"/>
      <w:lvlText w:val="\emdash "/>
      <w:numFmt w:val="bullet"/>
      <w:start w:val="1"/>
    </w:lvl>
  </w:abstractNum>
  <w:abstractNum w:abstractNumId="41">
    <w:nsid w:val="542289EC"/>
    <w:multiLevelType w:val="hybridMultilevel"/>
    <w:lvl w:ilvl="0">
      <w:lvlJc w:val="left"/>
      <w:lvlText w:val="\emdash "/>
      <w:numFmt w:val="bullet"/>
      <w:start w:val="1"/>
    </w:lvl>
  </w:abstractNum>
  <w:abstractNum w:abstractNumId="42">
    <w:nsid w:val="6DE91B18"/>
    <w:multiLevelType w:val="hybridMultilevel"/>
    <w:lvl w:ilvl="0">
      <w:lvlJc w:val="left"/>
      <w:lvlText w:val="\emdash "/>
      <w:numFmt w:val="bullet"/>
      <w:start w:val="1"/>
    </w:lvl>
  </w:abstractNum>
  <w:abstractNum w:abstractNumId="43">
    <w:nsid w:val="38437FDB"/>
    <w:multiLevelType w:val="hybridMultilevel"/>
    <w:lvl w:ilvl="0">
      <w:lvlJc w:val="left"/>
      <w:lvlText w:val="%1."/>
      <w:numFmt w:val="upperLetter"/>
      <w:start w:val="1"/>
    </w:lvl>
  </w:abstractNum>
  <w:abstractNum w:abstractNumId="44">
    <w:nsid w:val="7644A45C"/>
    <w:multiLevelType w:val="hybridMultilevel"/>
    <w:lvl w:ilvl="0">
      <w:lvlJc w:val="left"/>
      <w:lvlText w:val="%1."/>
      <w:numFmt w:val="upperLetter"/>
      <w:start w:val="2"/>
    </w:lvl>
  </w:abstractNum>
  <w:abstractNum w:abstractNumId="45">
    <w:nsid w:val="32FFF902"/>
    <w:multiLevelType w:val="hybridMultilevel"/>
    <w:lvl w:ilvl="0">
      <w:lvlJc w:val="left"/>
      <w:lvlText w:val="\emdash "/>
      <w:numFmt w:val="bullet"/>
      <w:start w:val="1"/>
    </w:lvl>
  </w:abstractNum>
  <w:abstractNum w:abstractNumId="46">
    <w:nsid w:val="684A481A"/>
    <w:multiLevelType w:val="hybridMultilevel"/>
    <w:lvl w:ilvl="0">
      <w:lvlJc w:val="left"/>
      <w:lvlText w:val="\emdash "/>
      <w:numFmt w:val="bullet"/>
      <w:start w:val="1"/>
    </w:lvl>
  </w:abstractNum>
  <w:abstractNum w:abstractNumId="47">
    <w:nsid w:val="579478FE"/>
    <w:multiLevelType w:val="hybridMultilevel"/>
    <w:lvl w:ilvl="0">
      <w:lvlJc w:val="left"/>
      <w:lvlText w:val="\emdash "/>
      <w:numFmt w:val="bullet"/>
      <w:start w:val="1"/>
    </w:lvl>
  </w:abstractNum>
  <w:abstractNum w:abstractNumId="48">
    <w:nsid w:val="749ABB43"/>
    <w:multiLevelType w:val="hybridMultilevel"/>
    <w:lvl w:ilvl="0">
      <w:lvlJc w:val="left"/>
      <w:lvlText w:val="\emdash "/>
      <w:numFmt w:val="bullet"/>
      <w:start w:val="1"/>
    </w:lvl>
  </w:abstractNum>
  <w:abstractNum w:abstractNumId="49">
    <w:nsid w:val="3DC240FB"/>
    <w:multiLevelType w:val="hybridMultilevel"/>
    <w:lvl w:ilvl="0">
      <w:lvlJc w:val="left"/>
      <w:lvlText w:val="\emdash "/>
      <w:numFmt w:val="bullet"/>
      <w:start w:val="1"/>
    </w:lvl>
  </w:abstractNum>
  <w:abstractNum w:abstractNumId="50">
    <w:nsid w:val="1BA026FA"/>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2019-12-14T04:22:54Z</dcterms:created>
  <dcterms:modified xsi:type="dcterms:W3CDTF">2019-12-14T04:22:54Z</dcterms:modified>
</cp:coreProperties>
</file>