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188595</wp:posOffset>
            </wp:positionH>
            <wp:positionV relativeFrom="page">
              <wp:posOffset>137795</wp:posOffset>
            </wp:positionV>
            <wp:extent cx="717232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188595</wp:posOffset>
            </wp:positionH>
            <wp:positionV relativeFrom="page">
              <wp:posOffset>222885</wp:posOffset>
            </wp:positionV>
            <wp:extent cx="71723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325" cy="6350"/>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Washington, D.C. 20549</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13a-16 OR 15d-16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For the month of February 2024 No.5</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Commission File Number 0-24790</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TOWER SEMICONDUCTOR LTD.</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(Translation of registrant's name into English)</w:t>
      </w:r>
    </w:p>
    <w:p>
      <w:pPr>
        <w:spacing w:after="0" w:line="15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3"/>
          <w:szCs w:val="13"/>
          <w:b w:val="1"/>
          <w:bCs w:val="1"/>
          <w:color w:val="auto"/>
        </w:rPr>
        <w:t>Ramat Gavriel Industrial Park</w:t>
      </w:r>
    </w:p>
    <w:p>
      <w:pPr>
        <w:spacing w:after="0" w:line="18"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3"/>
          <w:szCs w:val="13"/>
          <w:b w:val="1"/>
          <w:bCs w:val="1"/>
          <w:color w:val="auto"/>
        </w:rPr>
        <w:t>P.O. Box 619, Migdal Haemek, Israel 2310502</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49" w:lineRule="exact"/>
        <w:rPr>
          <w:sz w:val="24"/>
          <w:szCs w:val="24"/>
          <w:color w:val="auto"/>
        </w:rPr>
      </w:pPr>
    </w:p>
    <w:p>
      <w:pPr>
        <w:jc w:val="center"/>
        <w:ind w:right="19"/>
        <w:spacing w:after="0" w:line="150" w:lineRule="exact"/>
        <w:tabs>
          <w:tab w:leader="none" w:pos="300" w:val="left"/>
        </w:tabs>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217170</wp:posOffset>
            </wp:positionV>
            <wp:extent cx="7172325"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3"/>
          <w:szCs w:val="13"/>
          <w:color w:val="auto"/>
        </w:rPr>
        <w:t>On February 29, 2024, the Registrant announced its financial results for the year ended December 31, 2023. Attached hereto are the following exhibits: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3"/>
              </w:rPr>
              <w:t>Exhibit 99.1</w:t>
            </w:r>
          </w:p>
        </w:tc>
        <w:tc>
          <w:tcPr>
            <w:tcW w:w="500" w:type="dxa"/>
            <w:vAlign w:val="bottom"/>
          </w:tcPr>
          <w:p>
            <w:pPr>
              <w:spacing w:after="0"/>
              <w:rPr>
                <w:sz w:val="12"/>
                <w:szCs w:val="12"/>
                <w:color w:val="auto"/>
              </w:rPr>
            </w:pPr>
          </w:p>
        </w:tc>
        <w:tc>
          <w:tcPr>
            <w:tcW w:w="7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8"/>
              </w:rPr>
              <w:t>Registrant’s consolidated financial statements as of December 31, 2023 and the report thereon dated February 29, 2024 of Brightman Almagor Zohar &amp; Co.</w:t>
            </w:r>
          </w:p>
        </w:tc>
        <w:tc>
          <w:tcPr>
            <w:tcW w:w="2200" w:type="dxa"/>
            <w:vAlign w:val="bottom"/>
          </w:tcPr>
          <w:p>
            <w:pPr>
              <w:spacing w:after="0"/>
              <w:rPr>
                <w:sz w:val="12"/>
                <w:szCs w:val="12"/>
                <w:color w:val="auto"/>
              </w:rPr>
            </w:pPr>
          </w:p>
        </w:tc>
      </w:tr>
      <w:tr>
        <w:trPr>
          <w:trHeight w:val="143"/>
        </w:trPr>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EE"/>
                <w:w w:val="93"/>
              </w:rPr>
              <w:t>Exhibit 99.2</w:t>
            </w:r>
          </w:p>
        </w:tc>
        <w:tc>
          <w:tcPr>
            <w:tcW w:w="500" w:type="dxa"/>
            <w:vAlign w:val="bottom"/>
          </w:tcPr>
          <w:p>
            <w:pPr>
              <w:spacing w:after="0"/>
              <w:rPr>
                <w:sz w:val="12"/>
                <w:szCs w:val="12"/>
                <w:color w:val="auto"/>
              </w:rPr>
            </w:pPr>
          </w:p>
        </w:tc>
        <w:tc>
          <w:tcPr>
            <w:tcW w:w="10180" w:type="dxa"/>
            <w:vAlign w:val="bottom"/>
            <w:gridSpan w:val="4"/>
          </w:tcPr>
          <w:p>
            <w:pPr>
              <w:spacing w:after="0" w:line="143" w:lineRule="exact"/>
              <w:rPr>
                <w:sz w:val="20"/>
                <w:szCs w:val="20"/>
                <w:color w:val="auto"/>
              </w:rPr>
            </w:pPr>
            <w:r>
              <w:rPr>
                <w:rFonts w:ascii="Times New Roman" w:cs="Times New Roman" w:eastAsia="Times New Roman" w:hAnsi="Times New Roman"/>
                <w:sz w:val="13"/>
                <w:szCs w:val="13"/>
                <w:color w:val="0000EE"/>
              </w:rPr>
              <w:t>Management’s Discussion and Analysis of Financial Condition and Results of Operations</w:t>
            </w:r>
          </w:p>
        </w:tc>
      </w:tr>
      <w:tr>
        <w:trPr>
          <w:trHeight w:val="143"/>
        </w:trPr>
        <w:tc>
          <w:tcPr>
            <w:tcW w:w="620" w:type="dxa"/>
            <w:vAlign w:val="bottom"/>
            <w:tcBorders>
              <w:top w:val="single" w:sz="8" w:color="0000EE"/>
              <w:bottom w:val="single" w:sz="8" w:color="0000EE"/>
            </w:tcBorders>
          </w:tcPr>
          <w:p>
            <w:pPr>
              <w:spacing w:after="0" w:line="143" w:lineRule="exact"/>
              <w:rPr>
                <w:sz w:val="20"/>
                <w:szCs w:val="20"/>
                <w:color w:val="auto"/>
              </w:rPr>
            </w:pPr>
            <w:r>
              <w:rPr>
                <w:rFonts w:ascii="Times New Roman" w:cs="Times New Roman" w:eastAsia="Times New Roman" w:hAnsi="Times New Roman"/>
                <w:sz w:val="13"/>
                <w:szCs w:val="13"/>
                <w:color w:val="0000EE"/>
                <w:w w:val="93"/>
              </w:rPr>
              <w:t>Exhibit 99.3</w:t>
            </w:r>
          </w:p>
        </w:tc>
        <w:tc>
          <w:tcPr>
            <w:tcW w:w="500" w:type="dxa"/>
            <w:vAlign w:val="bottom"/>
          </w:tcPr>
          <w:p>
            <w:pPr>
              <w:spacing w:after="0"/>
              <w:rPr>
                <w:sz w:val="12"/>
                <w:szCs w:val="12"/>
                <w:color w:val="auto"/>
              </w:rPr>
            </w:pPr>
          </w:p>
        </w:tc>
        <w:tc>
          <w:tcPr>
            <w:tcW w:w="2720" w:type="dxa"/>
            <w:vAlign w:val="bottom"/>
            <w:tcBorders>
              <w:top w:val="single" w:sz="8" w:color="0000EE"/>
              <w:bottom w:val="single" w:sz="8" w:color="0000EE"/>
            </w:tcBorders>
          </w:tcPr>
          <w:p>
            <w:pPr>
              <w:spacing w:after="0" w:line="143" w:lineRule="exact"/>
              <w:rPr>
                <w:sz w:val="20"/>
                <w:szCs w:val="20"/>
                <w:color w:val="auto"/>
              </w:rPr>
            </w:pPr>
            <w:r>
              <w:rPr>
                <w:rFonts w:ascii="Times New Roman" w:cs="Times New Roman" w:eastAsia="Times New Roman" w:hAnsi="Times New Roman"/>
                <w:sz w:val="13"/>
                <w:szCs w:val="13"/>
                <w:color w:val="0000EE"/>
                <w:w w:val="97"/>
              </w:rPr>
              <w:t>Consent of Independent Registered Accounting Firm</w:t>
            </w:r>
          </w:p>
        </w:tc>
        <w:tc>
          <w:tcPr>
            <w:tcW w:w="1860" w:type="dxa"/>
            <w:vAlign w:val="bottom"/>
            <w:tcBorders>
              <w:top w:val="single" w:sz="8" w:color="0000EE"/>
            </w:tcBorders>
          </w:tcPr>
          <w:p>
            <w:pPr>
              <w:spacing w:after="0"/>
              <w:rPr>
                <w:sz w:val="12"/>
                <w:szCs w:val="12"/>
                <w:color w:val="auto"/>
              </w:rPr>
            </w:pPr>
          </w:p>
        </w:tc>
        <w:tc>
          <w:tcPr>
            <w:tcW w:w="5600" w:type="dxa"/>
            <w:vAlign w:val="bottom"/>
            <w:gridSpan w:val="2"/>
          </w:tcPr>
          <w:p>
            <w:pPr>
              <w:spacing w:after="0"/>
              <w:rPr>
                <w:sz w:val="12"/>
                <w:szCs w:val="12"/>
                <w:color w:val="auto"/>
              </w:rPr>
            </w:pPr>
          </w:p>
        </w:tc>
      </w:tr>
      <w:tr>
        <w:trPr>
          <w:trHeight w:val="334"/>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180" w:type="dxa"/>
            <w:vAlign w:val="bottom"/>
            <w:gridSpan w:val="4"/>
          </w:tcPr>
          <w:p>
            <w:pPr>
              <w:ind w:left="280"/>
              <w:spacing w:after="0"/>
              <w:rPr>
                <w:sz w:val="20"/>
                <w:szCs w:val="20"/>
                <w:color w:val="auto"/>
              </w:rPr>
            </w:pPr>
            <w:r>
              <w:rPr>
                <w:rFonts w:ascii="Times New Roman" w:cs="Times New Roman" w:eastAsia="Times New Roman" w:hAnsi="Times New Roman"/>
                <w:sz w:val="13"/>
                <w:szCs w:val="13"/>
                <w:color w:val="auto"/>
              </w:rPr>
              <w:t>This Form 6-K, including all exhibits hereto, is hereby incorporated by reference into all effective registration statements filed by us under the Securities Act of 1933.</w:t>
            </w:r>
          </w:p>
        </w:tc>
      </w:tr>
      <w:tr>
        <w:trPr>
          <w:trHeight w:val="297"/>
        </w:trPr>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40" w:type="dxa"/>
            <w:vAlign w:val="bottom"/>
          </w:tcPr>
          <w:p>
            <w:pPr>
              <w:spacing w:after="0"/>
              <w:rPr>
                <w:sz w:val="14"/>
                <w:szCs w:val="14"/>
                <w:color w:val="auto"/>
              </w:rPr>
            </w:pPr>
          </w:p>
        </w:tc>
        <w:tc>
          <w:tcPr>
            <w:tcW w:w="6620" w:type="dxa"/>
            <w:vAlign w:val="bottom"/>
            <w:gridSpan w:val="2"/>
          </w:tcPr>
          <w:p>
            <w:pPr>
              <w:ind w:left="2200"/>
              <w:spacing w:after="0"/>
              <w:rPr>
                <w:sz w:val="20"/>
                <w:szCs w:val="20"/>
                <w:color w:val="auto"/>
              </w:rPr>
            </w:pPr>
            <w:r>
              <w:rPr>
                <w:rFonts w:ascii="Times New Roman" w:cs="Times New Roman" w:eastAsia="Times New Roman" w:hAnsi="Times New Roman"/>
                <w:sz w:val="13"/>
                <w:szCs w:val="13"/>
                <w:b w:val="1"/>
                <w:bCs w:val="1"/>
                <w:color w:val="auto"/>
              </w:rPr>
              <w:t>TOWER SEMICONDUCTOR LTD.</w:t>
            </w:r>
          </w:p>
        </w:tc>
        <w:tc>
          <w:tcPr>
            <w:tcW w:w="1240" w:type="dxa"/>
            <w:vAlign w:val="bottom"/>
          </w:tcPr>
          <w:p>
            <w:pPr>
              <w:spacing w:after="0"/>
              <w:rPr>
                <w:sz w:val="14"/>
                <w:szCs w:val="14"/>
                <w:color w:val="auto"/>
              </w:rPr>
            </w:pPr>
          </w:p>
        </w:tc>
      </w:tr>
      <w:tr>
        <w:trPr>
          <w:trHeight w:val="307"/>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Date: February 29, 2024</w:t>
            </w:r>
          </w:p>
        </w:tc>
        <w:tc>
          <w:tcPr>
            <w:tcW w:w="2660" w:type="dxa"/>
            <w:vAlign w:val="bottom"/>
          </w:tcPr>
          <w:p>
            <w:pPr>
              <w:ind w:left="2200"/>
              <w:spacing w:after="0"/>
              <w:rPr>
                <w:sz w:val="20"/>
                <w:szCs w:val="20"/>
                <w:color w:val="auto"/>
              </w:rPr>
            </w:pPr>
            <w:r>
              <w:rPr>
                <w:rFonts w:ascii="Times New Roman" w:cs="Times New Roman" w:eastAsia="Times New Roman" w:hAnsi="Times New Roman"/>
                <w:sz w:val="13"/>
                <w:szCs w:val="13"/>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Nati Somekh</w:t>
            </w:r>
          </w:p>
        </w:tc>
        <w:tc>
          <w:tcPr>
            <w:tcW w:w="1240" w:type="dxa"/>
            <w:vAlign w:val="bottom"/>
          </w:tcPr>
          <w:p>
            <w:pPr>
              <w:spacing w:after="0"/>
              <w:rPr>
                <w:sz w:val="24"/>
                <w:szCs w:val="24"/>
                <w:color w:val="auto"/>
              </w:rPr>
            </w:pPr>
          </w:p>
        </w:tc>
      </w:tr>
      <w:tr>
        <w:trPr>
          <w:trHeight w:val="140"/>
        </w:trPr>
        <w:tc>
          <w:tcPr>
            <w:tcW w:w="3440" w:type="dxa"/>
            <w:vAlign w:val="bottom"/>
          </w:tcPr>
          <w:p>
            <w:pPr>
              <w:spacing w:after="0"/>
              <w:rPr>
                <w:sz w:val="12"/>
                <w:szCs w:val="12"/>
                <w:color w:val="auto"/>
              </w:rPr>
            </w:pPr>
          </w:p>
        </w:tc>
        <w:tc>
          <w:tcPr>
            <w:tcW w:w="2660" w:type="dxa"/>
            <w:vAlign w:val="bottom"/>
          </w:tcPr>
          <w:p>
            <w:pPr>
              <w:ind w:left="2200"/>
              <w:spacing w:after="0" w:line="140" w:lineRule="exact"/>
              <w:rPr>
                <w:sz w:val="20"/>
                <w:szCs w:val="20"/>
                <w:color w:val="auto"/>
              </w:rPr>
            </w:pPr>
            <w:r>
              <w:rPr>
                <w:rFonts w:ascii="Times New Roman" w:cs="Times New Roman" w:eastAsia="Times New Roman" w:hAnsi="Times New Roman"/>
                <w:sz w:val="13"/>
                <w:szCs w:val="13"/>
                <w:color w:val="auto"/>
              </w:rPr>
              <w:t>Name:</w:t>
            </w:r>
          </w:p>
        </w:tc>
        <w:tc>
          <w:tcPr>
            <w:tcW w:w="39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Nati Somekh</w:t>
            </w:r>
          </w:p>
        </w:tc>
        <w:tc>
          <w:tcPr>
            <w:tcW w:w="1240" w:type="dxa"/>
            <w:vAlign w:val="bottom"/>
          </w:tcPr>
          <w:p>
            <w:pPr>
              <w:spacing w:after="0"/>
              <w:rPr>
                <w:sz w:val="12"/>
                <w:szCs w:val="12"/>
                <w:color w:val="auto"/>
              </w:rPr>
            </w:pPr>
          </w:p>
        </w:tc>
      </w:tr>
      <w:tr>
        <w:trPr>
          <w:trHeight w:val="166"/>
        </w:trPr>
        <w:tc>
          <w:tcPr>
            <w:tcW w:w="3440" w:type="dxa"/>
            <w:vAlign w:val="bottom"/>
          </w:tcPr>
          <w:p>
            <w:pPr>
              <w:spacing w:after="0"/>
              <w:rPr>
                <w:sz w:val="14"/>
                <w:szCs w:val="14"/>
                <w:color w:val="auto"/>
              </w:rPr>
            </w:pPr>
          </w:p>
        </w:tc>
        <w:tc>
          <w:tcPr>
            <w:tcW w:w="2660" w:type="dxa"/>
            <w:vAlign w:val="bottom"/>
          </w:tcPr>
          <w:p>
            <w:pPr>
              <w:ind w:left="2200"/>
              <w:spacing w:after="0"/>
              <w:rPr>
                <w:sz w:val="20"/>
                <w:szCs w:val="20"/>
                <w:color w:val="auto"/>
              </w:rPr>
            </w:pPr>
            <w:r>
              <w:rPr>
                <w:rFonts w:ascii="Times New Roman" w:cs="Times New Roman" w:eastAsia="Times New Roman" w:hAnsi="Times New Roman"/>
                <w:sz w:val="13"/>
                <w:szCs w:val="13"/>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Corporate Secretary</w:t>
            </w:r>
          </w:p>
        </w:tc>
        <w:tc>
          <w:tcPr>
            <w:tcW w:w="1240" w:type="dxa"/>
            <w:vAlign w:val="bottom"/>
          </w:tcPr>
          <w:p>
            <w:pPr>
              <w:spacing w:after="0"/>
              <w:rPr>
                <w:sz w:val="14"/>
                <w:szCs w:val="14"/>
                <w:color w:val="auto"/>
              </w:rPr>
            </w:pPr>
          </w:p>
        </w:tc>
      </w:tr>
      <w:tr>
        <w:trPr>
          <w:trHeight w:val="221"/>
        </w:trPr>
        <w:tc>
          <w:tcPr>
            <w:tcW w:w="34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04"/>
        </w:trPr>
        <w:tc>
          <w:tcPr>
            <w:tcW w:w="344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r>
    </w:tbl>
    <w:p>
      <w:pPr>
        <w:sectPr>
          <w:pgSz w:w="11900" w:h="16838" w:orient="portrait"/>
          <w:cols w:equalWidth="0" w:num="1">
            <w:col w:w="11300"/>
          </w:cols>
          <w:pgMar w:left="300" w:top="125"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7172325"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188595</wp:posOffset>
            </wp:positionH>
            <wp:positionV relativeFrom="page">
              <wp:posOffset>173990</wp:posOffset>
            </wp:positionV>
            <wp:extent cx="71723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325" cy="6350"/>
                    </a:xfrm>
                    <a:prstGeom prst="rect">
                      <a:avLst/>
                    </a:prstGeom>
                    <a:noFill/>
                  </pic:spPr>
                </pic:pic>
              </a:graphicData>
            </a:graphic>
          </wp:anchor>
        </w:drawing>
        <w:t>Exhibit 99.1</w:t>
      </w:r>
    </w:p>
    <w:p>
      <w:pPr>
        <w:spacing w:after="0" w:line="37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TOWER SEMICONDUCTOR LIMITED</w:t>
      </w:r>
    </w:p>
    <w:p>
      <w:pPr>
        <w:spacing w:after="0" w:line="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AND SUBSIDIARIES</w:t>
      </w:r>
    </w:p>
    <w:p>
      <w:pPr>
        <w:spacing w:after="0" w:line="1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CONSOLIDATED FINANCIAL STATEMENTS</w:t>
      </w:r>
    </w:p>
    <w:p>
      <w:pPr>
        <w:spacing w:after="0" w:line="3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215265</wp:posOffset>
            </wp:positionV>
            <wp:extent cx="717232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0160"/>
          </w:cols>
          <w:pgMar w:left="1440" w:top="345"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8"/>
        </w:trPr>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80" w:type="dxa"/>
            <w:vAlign w:val="bottom"/>
            <w:gridSpan w:val="2"/>
          </w:tcPr>
          <w:p>
            <w:pPr>
              <w:jc w:val="center"/>
              <w:ind w:right="1160"/>
              <w:spacing w:after="0"/>
              <w:rPr>
                <w:sz w:val="20"/>
                <w:szCs w:val="20"/>
                <w:color w:val="auto"/>
              </w:rPr>
            </w:pPr>
            <w:r>
              <w:rPr>
                <w:rFonts w:ascii="Times New Roman" w:cs="Times New Roman" w:eastAsia="Times New Roman" w:hAnsi="Times New Roman"/>
                <w:sz w:val="13"/>
                <w:szCs w:val="13"/>
                <w:b w:val="1"/>
                <w:bCs w:val="1"/>
                <w:color w:val="auto"/>
                <w:w w:val="98"/>
              </w:rPr>
              <w:t>TOWER SEMICONDUCTOR LIMITED AND SUBSIDIARIES</w:t>
            </w:r>
          </w:p>
        </w:tc>
        <w:tc>
          <w:tcPr>
            <w:tcW w:w="2240" w:type="dxa"/>
            <w:vAlign w:val="bottom"/>
          </w:tcPr>
          <w:p>
            <w:pPr>
              <w:spacing w:after="0"/>
              <w:rPr>
                <w:sz w:val="14"/>
                <w:szCs w:val="14"/>
                <w:color w:val="auto"/>
              </w:rPr>
            </w:pPr>
          </w:p>
        </w:tc>
      </w:tr>
      <w:tr>
        <w:trPr>
          <w:trHeight w:val="345"/>
        </w:trPr>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80" w:type="dxa"/>
            <w:vAlign w:val="bottom"/>
            <w:gridSpan w:val="2"/>
          </w:tcPr>
          <w:p>
            <w:pPr>
              <w:jc w:val="center"/>
              <w:ind w:right="1160"/>
              <w:spacing w:after="0"/>
              <w:rPr>
                <w:sz w:val="20"/>
                <w:szCs w:val="20"/>
                <w:color w:val="auto"/>
              </w:rPr>
            </w:pPr>
            <w:r>
              <w:rPr>
                <w:rFonts w:ascii="Times New Roman" w:cs="Times New Roman" w:eastAsia="Times New Roman" w:hAnsi="Times New Roman"/>
                <w:sz w:val="13"/>
                <w:szCs w:val="13"/>
                <w:color w:val="auto"/>
                <w:w w:val="97"/>
              </w:rPr>
              <w:t>INDEX TO CONSOLIDATED FINANCIAL STATEMENTS</w:t>
            </w:r>
          </w:p>
        </w:tc>
        <w:tc>
          <w:tcPr>
            <w:tcW w:w="2240" w:type="dxa"/>
            <w:vAlign w:val="bottom"/>
          </w:tcPr>
          <w:p>
            <w:pPr>
              <w:spacing w:after="0"/>
              <w:rPr>
                <w:sz w:val="24"/>
                <w:szCs w:val="24"/>
                <w:color w:val="auto"/>
              </w:rPr>
            </w:pPr>
          </w:p>
        </w:tc>
      </w:tr>
      <w:tr>
        <w:trPr>
          <w:trHeight w:val="354"/>
        </w:trPr>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88"/>
        </w:trPr>
        <w:tc>
          <w:tcPr>
            <w:tcW w:w="906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 xml:space="preserve">REPORT OF INDEPENDENT REGISTERED PUBLIC ACCOUNTING FIRM </w:t>
            </w:r>
            <w:r>
              <w:rPr>
                <w:rFonts w:ascii="Times New Roman" w:cs="Times New Roman" w:eastAsia="Times New Roman" w:hAnsi="Times New Roman"/>
                <w:sz w:val="13"/>
                <w:szCs w:val="13"/>
                <w:color w:val="000000"/>
              </w:rPr>
              <w:t>(PCAOB ID 1197)</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F-2 - F-3</w:t>
            </w:r>
          </w:p>
        </w:tc>
      </w:tr>
      <w:tr>
        <w:trPr>
          <w:trHeight w:val="296"/>
        </w:trPr>
        <w:tc>
          <w:tcPr>
            <w:tcW w:w="11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BALANCE SHEETS</w:t>
            </w:r>
          </w:p>
        </w:tc>
        <w:tc>
          <w:tcPr>
            <w:tcW w:w="3020" w:type="dxa"/>
            <w:vAlign w:val="bottom"/>
            <w:tcBorders>
              <w:top w:val="single" w:sz="8" w:color="0000EE"/>
            </w:tcBorders>
            <w:gridSpan w:val="6"/>
          </w:tcPr>
          <w:p>
            <w:pPr>
              <w:spacing w:after="0"/>
              <w:rPr>
                <w:sz w:val="24"/>
                <w:szCs w:val="24"/>
                <w:color w:val="auto"/>
              </w:rPr>
            </w:pPr>
          </w:p>
        </w:tc>
        <w:tc>
          <w:tcPr>
            <w:tcW w:w="49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F-4</w:t>
            </w:r>
          </w:p>
        </w:tc>
      </w:tr>
      <w:tr>
        <w:trPr>
          <w:trHeight w:val="296"/>
        </w:trPr>
        <w:tc>
          <w:tcPr>
            <w:tcW w:w="906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STATEMENTS OF OPERATIONS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F-5</w:t>
            </w:r>
          </w:p>
        </w:tc>
      </w:tr>
      <w:tr>
        <w:trPr>
          <w:trHeight w:val="20"/>
        </w:trPr>
        <w:tc>
          <w:tcPr>
            <w:tcW w:w="18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96"/>
        </w:trPr>
        <w:tc>
          <w:tcPr>
            <w:tcW w:w="2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w w:val="96"/>
              </w:rPr>
              <w:t>STATEMENTS OF COMPREHENSIVE INCOME</w:t>
            </w:r>
          </w:p>
        </w:tc>
        <w:tc>
          <w:tcPr>
            <w:tcW w:w="6420" w:type="dxa"/>
            <w:vAlign w:val="bottom"/>
            <w:gridSpan w:val="3"/>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F-6</w:t>
            </w:r>
          </w:p>
        </w:tc>
      </w:tr>
      <w:tr>
        <w:trPr>
          <w:trHeight w:val="296"/>
        </w:trPr>
        <w:tc>
          <w:tcPr>
            <w:tcW w:w="906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STATEMENTS OF CHANGES IN SHAREHOLDERS’ EQUITY</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F-7</w:t>
            </w:r>
          </w:p>
        </w:tc>
      </w:tr>
      <w:tr>
        <w:trPr>
          <w:trHeight w:val="296"/>
        </w:trPr>
        <w:tc>
          <w:tcPr>
            <w:tcW w:w="18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5"/>
              </w:rPr>
              <w:t>STATEMENTS OF CASH FLOWS</w:t>
            </w:r>
          </w:p>
        </w:tc>
        <w:tc>
          <w:tcPr>
            <w:tcW w:w="1540" w:type="dxa"/>
            <w:vAlign w:val="bottom"/>
            <w:tcBorders>
              <w:top w:val="single" w:sz="8" w:color="0000EE"/>
            </w:tcBorders>
            <w:gridSpan w:val="3"/>
          </w:tcPr>
          <w:p>
            <w:pPr>
              <w:spacing w:after="0"/>
              <w:rPr>
                <w:sz w:val="24"/>
                <w:szCs w:val="24"/>
                <w:color w:val="auto"/>
              </w:rPr>
            </w:pPr>
          </w:p>
        </w:tc>
        <w:tc>
          <w:tcPr>
            <w:tcW w:w="5680" w:type="dxa"/>
            <w:vAlign w:val="bottom"/>
            <w:gridSpan w:val="2"/>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F-8 - F-9</w:t>
            </w:r>
          </w:p>
        </w:tc>
      </w:tr>
      <w:tr>
        <w:trPr>
          <w:trHeight w:val="296"/>
        </w:trPr>
        <w:tc>
          <w:tcPr>
            <w:tcW w:w="906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NOTES TO FINANCIAL STATEMENTS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F-10 - F-52</w:t>
            </w:r>
          </w:p>
        </w:tc>
      </w:tr>
      <w:tr>
        <w:trPr>
          <w:trHeight w:val="306"/>
        </w:trPr>
        <w:tc>
          <w:tcPr>
            <w:tcW w:w="110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97"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1459865" cy="316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59865" cy="316230"/>
                    </a:xfrm>
                    <a:prstGeom prst="rect">
                      <a:avLst/>
                    </a:prstGeom>
                    <a:noFill/>
                  </pic:spPr>
                </pic:pic>
              </a:graphicData>
            </a:graphic>
          </wp:anchor>
        </w:drawing>
        <w:t>REPORT OF INDEPENDENT REGISTERED PUBLIC ACCOUNTING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shareholders and the Board of Directors of Tower Semiconductor Ltd.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20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sheets of Tower Semiconductor Ltd. and subsidiaries (the "Company") as of December 31, 2023 and 2022, the related consolidated statements of operations, comprehensive income, changes in shareholders'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97" w:lineRule="exact"/>
        <w:rPr>
          <w:sz w:val="20"/>
          <w:szCs w:val="20"/>
          <w:color w:val="auto"/>
        </w:rPr>
      </w:pPr>
    </w:p>
    <w:p>
      <w:pPr>
        <w:jc w:val="both"/>
        <w:ind w:right="240"/>
        <w:spacing w:after="0" w:line="274"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Audit Matter</w:t>
      </w:r>
    </w:p>
    <w:p>
      <w:pPr>
        <w:spacing w:after="0" w:line="20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Income Taxes — Income Tax Provision — Refer to Note 19 to the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Audit Matter Description</w:t>
      </w:r>
    </w:p>
    <w:p>
      <w:pPr>
        <w:spacing w:after="0" w:line="19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3"/>
          <w:szCs w:val="13"/>
          <w:color w:val="auto"/>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 For the year-ended December 31, 2023, the consolidated provision for income taxes was $65.3 million comprised of amounts related to Israel, Japan, U.S. and Italy operations, as detailed in Note 19.</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172325" cy="12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6" w:name="page7"/>
    <w:bookmarkEnd w:id="6"/>
    <w:p>
      <w:pPr>
        <w:spacing w:after="0" w:line="266" w:lineRule="auto"/>
        <w:rPr>
          <w:sz w:val="20"/>
          <w:szCs w:val="20"/>
          <w:color w:val="auto"/>
        </w:rPr>
      </w:pPr>
      <w:r>
        <w:rPr>
          <w:rFonts w:ascii="Times New Roman" w:cs="Times New Roman" w:eastAsia="Times New Roman" w:hAnsi="Times New Roman"/>
          <w:sz w:val="13"/>
          <w:szCs w:val="13"/>
          <w:color w:val="auto"/>
        </w:rPr>
        <w:t>We identified management’s determination of the taxable income and its related income tax provision as a critical audit matter because of the significant judgements and estimates management makes related to the charges between the sites located in different tax jurisdictions,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How the Critical Audit Matter Was Addressed in the Audit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audit procedures related to the determination of the taxable income allocation and income tax provision included the following, among others:</w:t>
      </w:r>
    </w:p>
    <w:p>
      <w:pPr>
        <w:spacing w:after="0" w:line="195" w:lineRule="exact"/>
        <w:rPr>
          <w:sz w:val="20"/>
          <w:szCs w:val="20"/>
          <w:color w:val="auto"/>
        </w:rPr>
      </w:pPr>
    </w:p>
    <w:p>
      <w:pPr>
        <w:ind w:left="260" w:hanging="225"/>
        <w:spacing w:after="0" w:line="272" w:lineRule="auto"/>
        <w:tabs>
          <w:tab w:leader="none" w:pos="2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p>
      <w:pPr>
        <w:spacing w:after="0" w:line="159" w:lineRule="exact"/>
        <w:rPr>
          <w:rFonts w:ascii="Times New Roman" w:cs="Times New Roman" w:eastAsia="Times New Roman" w:hAnsi="Times New Roman"/>
          <w:sz w:val="13"/>
          <w:szCs w:val="13"/>
          <w:color w:val="auto"/>
        </w:rPr>
      </w:pPr>
    </w:p>
    <w:p>
      <w:pPr>
        <w:ind w:left="260" w:hanging="225"/>
        <w:spacing w:after="0"/>
        <w:tabs>
          <w:tab w:leader="none" w:pos="2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tested the effectiveness of controls over the Company’s process to allocate its taxable income between the different subsidiaries based on the Company's transfer pricing studies.</w:t>
      </w:r>
    </w:p>
    <w:p>
      <w:pPr>
        <w:spacing w:after="0" w:line="195" w:lineRule="exact"/>
        <w:rPr>
          <w:rFonts w:ascii="Times New Roman" w:cs="Times New Roman" w:eastAsia="Times New Roman" w:hAnsi="Times New Roman"/>
          <w:sz w:val="13"/>
          <w:szCs w:val="13"/>
          <w:color w:val="auto"/>
        </w:rPr>
      </w:pPr>
    </w:p>
    <w:p>
      <w:pPr>
        <w:ind w:left="260" w:hanging="225"/>
        <w:spacing w:after="0"/>
        <w:tabs>
          <w:tab w:leader="none" w:pos="2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read and evaluated management’s documentation, including information obtained by management from external tax specialists that detailed the basis of the uncertain tax positions.</w:t>
      </w:r>
    </w:p>
    <w:p>
      <w:pPr>
        <w:spacing w:after="0" w:line="195" w:lineRule="exact"/>
        <w:rPr>
          <w:rFonts w:ascii="Times New Roman" w:cs="Times New Roman" w:eastAsia="Times New Roman" w:hAnsi="Times New Roman"/>
          <w:sz w:val="13"/>
          <w:szCs w:val="13"/>
          <w:color w:val="auto"/>
        </w:rPr>
      </w:pPr>
    </w:p>
    <w:p>
      <w:pPr>
        <w:ind w:left="260" w:hanging="225"/>
        <w:spacing w:after="0"/>
        <w:tabs>
          <w:tab w:leader="none" w:pos="2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the assistance of our income tax specialists, we evaluated:</w:t>
      </w:r>
    </w:p>
    <w:p>
      <w:pPr>
        <w:spacing w:after="0" w:line="195" w:lineRule="exact"/>
        <w:rPr>
          <w:rFonts w:ascii="Times New Roman" w:cs="Times New Roman" w:eastAsia="Times New Roman" w:hAnsi="Times New Roman"/>
          <w:sz w:val="13"/>
          <w:szCs w:val="13"/>
          <w:color w:val="auto"/>
        </w:rPr>
      </w:pPr>
    </w:p>
    <w:p>
      <w:pPr>
        <w:ind w:left="440" w:hanging="213"/>
        <w:spacing w:after="0" w:line="272" w:lineRule="auto"/>
        <w:tabs>
          <w:tab w:leader="none" w:pos="44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appropriateness of the transfer pricing analysis, including the transfer pricing methods and profit level indicators and ranges provided within the transfer pricing studies conducted by the Company’s external tax specialists.</w:t>
      </w:r>
    </w:p>
    <w:p>
      <w:pPr>
        <w:spacing w:after="0" w:line="159" w:lineRule="exact"/>
        <w:rPr>
          <w:rFonts w:ascii="Times New Roman" w:cs="Times New Roman" w:eastAsia="Times New Roman" w:hAnsi="Times New Roman"/>
          <w:sz w:val="13"/>
          <w:szCs w:val="13"/>
          <w:color w:val="auto"/>
        </w:rPr>
      </w:pPr>
    </w:p>
    <w:p>
      <w:pPr>
        <w:ind w:left="440" w:hanging="213"/>
        <w:spacing w:after="0"/>
        <w:tabs>
          <w:tab w:leader="none" w:pos="44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appropriateness of the transfer pricing methodology implemented by management as provided in the transfer pricing studies.</w:t>
      </w:r>
    </w:p>
    <w:p>
      <w:pPr>
        <w:spacing w:after="0" w:line="195" w:lineRule="exact"/>
        <w:rPr>
          <w:rFonts w:ascii="Times New Roman" w:cs="Times New Roman" w:eastAsia="Times New Roman" w:hAnsi="Times New Roman"/>
          <w:sz w:val="13"/>
          <w:szCs w:val="13"/>
          <w:color w:val="auto"/>
        </w:rPr>
      </w:pPr>
    </w:p>
    <w:p>
      <w:pPr>
        <w:ind w:left="440" w:hanging="213"/>
        <w:spacing w:after="0"/>
        <w:tabs>
          <w:tab w:leader="none" w:pos="44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relevant facts by reading the Company’s correspondence with the relevant tax authorities and any third-party advice obtained by the Company.</w:t>
      </w:r>
    </w:p>
    <w:p>
      <w:pPr>
        <w:spacing w:after="0" w:line="157" w:lineRule="exact"/>
        <w:rPr>
          <w:rFonts w:ascii="Times New Roman" w:cs="Times New Roman" w:eastAsia="Times New Roman" w:hAnsi="Times New Roman"/>
          <w:sz w:val="13"/>
          <w:szCs w:val="13"/>
          <w:color w:val="auto"/>
        </w:rPr>
      </w:pPr>
    </w:p>
    <w:p>
      <w:pPr>
        <w:ind w:left="440" w:hanging="213"/>
        <w:spacing w:after="0" w:line="272" w:lineRule="auto"/>
        <w:tabs>
          <w:tab w:leader="none" w:pos="44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measurement of uncertain tax positions related to transfer pricing based on our knowledge of international and local income tax laws, as well as historical settlement activity from income tax authorities.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Brightman Almagor Zohar &amp; Co.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Brightman Almagor Zohar &amp; Co.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Certified Public Accountants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Firm in The Deloitte Global Network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Tel Aviv, Israel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29,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138430</wp:posOffset>
            </wp:positionV>
            <wp:extent cx="4197350" cy="1210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97350"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7" w:name="page8"/>
    <w:bookmarkEnd w:id="7"/>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1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(dollars and shares in thousands)</w:t>
      </w:r>
    </w:p>
    <w:p>
      <w:pPr>
        <w:spacing w:after="0" w:line="200" w:lineRule="exact"/>
        <w:rPr>
          <w:sz w:val="20"/>
          <w:szCs w:val="20"/>
          <w:color w:val="auto"/>
        </w:rPr>
      </w:pPr>
    </w:p>
    <w:tbl>
      <w:tblPr>
        <w:tblLayout w:type="fixed"/>
        <w:tblInd w:w="3"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ind w:right="267"/>
              <w:spacing w:after="0"/>
              <w:rPr>
                <w:sz w:val="20"/>
                <w:szCs w:val="20"/>
                <w:color w:val="auto"/>
              </w:rPr>
            </w:pPr>
            <w:r>
              <w:rPr>
                <w:rFonts w:ascii="Times New Roman" w:cs="Times New Roman" w:eastAsia="Times New Roman" w:hAnsi="Times New Roman"/>
                <w:sz w:val="13"/>
                <w:szCs w:val="13"/>
                <w:b w:val="1"/>
                <w:bCs w:val="1"/>
                <w:color w:val="auto"/>
              </w:rPr>
              <w:t>As of</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260,664</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340,759</w:t>
            </w:r>
          </w:p>
        </w:tc>
      </w:tr>
      <w:tr>
        <w:trPr>
          <w:trHeight w:val="163"/>
        </w:trPr>
        <w:tc>
          <w:tcPr>
            <w:tcW w:w="20" w:type="dxa"/>
            <w:vAlign w:val="bottom"/>
          </w:tcPr>
          <w:p>
            <w:pPr>
              <w:spacing w:after="0"/>
              <w:rPr>
                <w:sz w:val="14"/>
                <w:szCs w:val="14"/>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Short-term deposits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790,823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495,359</w:t>
            </w:r>
          </w:p>
        </w:tc>
      </w:tr>
      <w:tr>
        <w:trPr>
          <w:trHeight w:val="163"/>
        </w:trPr>
        <w:tc>
          <w:tcPr>
            <w:tcW w:w="20" w:type="dxa"/>
            <w:vAlign w:val="bottom"/>
          </w:tcPr>
          <w:p>
            <w:pPr>
              <w:spacing w:after="0"/>
              <w:rPr>
                <w:sz w:val="14"/>
                <w:szCs w:val="14"/>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Marketable securities (*)</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184,960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169,694</w:t>
            </w:r>
          </w:p>
        </w:tc>
      </w:tr>
      <w:tr>
        <w:trPr>
          <w:trHeight w:val="163"/>
        </w:trPr>
        <w:tc>
          <w:tcPr>
            <w:tcW w:w="20" w:type="dxa"/>
            <w:vAlign w:val="bottom"/>
          </w:tcPr>
          <w:p>
            <w:pPr>
              <w:spacing w:after="0"/>
              <w:rPr>
                <w:sz w:val="14"/>
                <w:szCs w:val="14"/>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Trade accounts receivable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154,067</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152,935</w:t>
            </w:r>
          </w:p>
        </w:tc>
      </w:tr>
      <w:tr>
        <w:trPr>
          <w:trHeight w:val="163"/>
        </w:trPr>
        <w:tc>
          <w:tcPr>
            <w:tcW w:w="20" w:type="dxa"/>
            <w:vAlign w:val="bottom"/>
          </w:tcPr>
          <w:p>
            <w:pPr>
              <w:spacing w:after="0"/>
              <w:rPr>
                <w:sz w:val="14"/>
                <w:szCs w:val="14"/>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Inventories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282,688</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302,108</w:t>
            </w:r>
          </w:p>
        </w:tc>
      </w:tr>
      <w:tr>
        <w:trPr>
          <w:trHeight w:val="163"/>
        </w:trPr>
        <w:tc>
          <w:tcPr>
            <w:tcW w:w="20" w:type="dxa"/>
            <w:vAlign w:val="bottom"/>
          </w:tcPr>
          <w:p>
            <w:pPr>
              <w:spacing w:after="0"/>
              <w:rPr>
                <w:sz w:val="14"/>
                <w:szCs w:val="14"/>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Other current assets</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35,956</w:t>
            </w: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34,319</w:t>
            </w: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1,709,158</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1,495,174</w:t>
            </w:r>
          </w:p>
        </w:tc>
        <w:tc>
          <w:tcPr>
            <w:tcW w:w="12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LONG-TERM INVESTMENTS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8,452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8,796</w:t>
            </w:r>
          </w:p>
        </w:tc>
      </w:tr>
      <w:tr>
        <w:trPr>
          <w:trHeight w:val="163"/>
        </w:trPr>
        <w:tc>
          <w:tcPr>
            <w:tcW w:w="20" w:type="dxa"/>
            <w:vAlign w:val="bottom"/>
          </w:tcPr>
          <w:p>
            <w:pPr>
              <w:spacing w:after="0"/>
              <w:rPr>
                <w:sz w:val="14"/>
                <w:szCs w:val="14"/>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1,155,929</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962,258</w:t>
            </w:r>
          </w:p>
        </w:tc>
      </w:tr>
      <w:tr>
        <w:trPr>
          <w:trHeight w:val="163"/>
        </w:trPr>
        <w:tc>
          <w:tcPr>
            <w:tcW w:w="20" w:type="dxa"/>
            <w:vAlign w:val="bottom"/>
          </w:tcPr>
          <w:p>
            <w:pPr>
              <w:spacing w:after="0"/>
              <w:rPr>
                <w:sz w:val="14"/>
                <w:szCs w:val="14"/>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INTANGIBLE ASSETS, NET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5,115</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7,031</w:t>
            </w:r>
          </w:p>
        </w:tc>
      </w:tr>
      <w:tr>
        <w:trPr>
          <w:trHeight w:val="163"/>
        </w:trPr>
        <w:tc>
          <w:tcPr>
            <w:tcW w:w="20" w:type="dxa"/>
            <w:vAlign w:val="bottom"/>
          </w:tcPr>
          <w:p>
            <w:pPr>
              <w:spacing w:after="0"/>
              <w:rPr>
                <w:sz w:val="14"/>
                <w:szCs w:val="14"/>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7,000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7,000</w:t>
            </w:r>
          </w:p>
        </w:tc>
      </w:tr>
      <w:tr>
        <w:trPr>
          <w:trHeight w:val="163"/>
        </w:trPr>
        <w:tc>
          <w:tcPr>
            <w:tcW w:w="20" w:type="dxa"/>
            <w:vAlign w:val="bottom"/>
          </w:tcPr>
          <w:p>
            <w:pPr>
              <w:spacing w:after="0"/>
              <w:rPr>
                <w:sz w:val="14"/>
                <w:szCs w:val="14"/>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DEFERRED TAX AND OTHER LONG-TERM ASSETS, NET</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32,863</w:t>
            </w: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67,349</w:t>
            </w:r>
          </w:p>
        </w:tc>
      </w:tr>
      <w:tr>
        <w:trPr>
          <w:trHeight w:val="202"/>
        </w:trPr>
        <w:tc>
          <w:tcPr>
            <w:tcW w:w="20" w:type="dxa"/>
            <w:vAlign w:val="bottom"/>
          </w:tcPr>
          <w:p>
            <w:pPr>
              <w:spacing w:after="0"/>
              <w:rPr>
                <w:sz w:val="17"/>
                <w:szCs w:val="17"/>
                <w:color w:val="auto"/>
              </w:rPr>
            </w:pPr>
          </w:p>
        </w:tc>
        <w:tc>
          <w:tcPr>
            <w:tcW w:w="8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2,918,517</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2,547,608</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41"/>
        </w:trPr>
        <w:tc>
          <w:tcPr>
            <w:tcW w:w="20" w:type="dxa"/>
            <w:vAlign w:val="bottom"/>
          </w:tcPr>
          <w:p>
            <w:pPr>
              <w:spacing w:after="0"/>
              <w:rPr>
                <w:sz w:val="12"/>
                <w:szCs w:val="12"/>
                <w:color w:val="auto"/>
              </w:rPr>
            </w:pPr>
          </w:p>
        </w:tc>
        <w:tc>
          <w:tcPr>
            <w:tcW w:w="8680" w:type="dxa"/>
            <w:vAlign w:val="bottom"/>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Current maturities of long-term debt</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58,952</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62,275</w:t>
            </w:r>
          </w:p>
        </w:tc>
      </w:tr>
      <w:tr>
        <w:trPr>
          <w:trHeight w:val="163"/>
        </w:trPr>
        <w:tc>
          <w:tcPr>
            <w:tcW w:w="20" w:type="dxa"/>
            <w:vAlign w:val="bottom"/>
          </w:tcPr>
          <w:p>
            <w:pPr>
              <w:spacing w:after="0"/>
              <w:rPr>
                <w:sz w:val="14"/>
                <w:szCs w:val="14"/>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Trade accounts payable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139,128</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150,930</w:t>
            </w:r>
          </w:p>
        </w:tc>
      </w:tr>
      <w:tr>
        <w:trPr>
          <w:trHeight w:val="163"/>
        </w:trPr>
        <w:tc>
          <w:tcPr>
            <w:tcW w:w="20" w:type="dxa"/>
            <w:vAlign w:val="bottom"/>
          </w:tcPr>
          <w:p>
            <w:pPr>
              <w:spacing w:after="0"/>
              <w:rPr>
                <w:sz w:val="14"/>
                <w:szCs w:val="14"/>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Deferred revenue and customers' advances</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18,418</w:t>
            </w: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38,911</w:t>
            </w:r>
          </w:p>
        </w:tc>
      </w:tr>
      <w:tr>
        <w:trPr>
          <w:trHeight w:val="163"/>
        </w:trPr>
        <w:tc>
          <w:tcPr>
            <w:tcW w:w="20" w:type="dxa"/>
            <w:vAlign w:val="bottom"/>
          </w:tcPr>
          <w:p>
            <w:pPr>
              <w:spacing w:after="0"/>
              <w:rPr>
                <w:sz w:val="14"/>
                <w:szCs w:val="14"/>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Employee related liabilities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51,054</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58,920</w:t>
            </w:r>
          </w:p>
        </w:tc>
      </w:tr>
      <w:tr>
        <w:trPr>
          <w:trHeight w:val="163"/>
        </w:trPr>
        <w:tc>
          <w:tcPr>
            <w:tcW w:w="20" w:type="dxa"/>
            <w:vAlign w:val="bottom"/>
          </w:tcPr>
          <w:p>
            <w:pPr>
              <w:spacing w:after="0"/>
              <w:rPr>
                <w:sz w:val="14"/>
                <w:szCs w:val="14"/>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Other current liabilities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9,286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76,352</w:t>
            </w: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276,838</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387,388</w:t>
            </w:r>
          </w:p>
        </w:tc>
        <w:tc>
          <w:tcPr>
            <w:tcW w:w="12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LONG-TERM DEBT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172,611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210,069</w:t>
            </w:r>
          </w:p>
        </w:tc>
      </w:tr>
      <w:tr>
        <w:trPr>
          <w:trHeight w:val="163"/>
        </w:trPr>
        <w:tc>
          <w:tcPr>
            <w:tcW w:w="20" w:type="dxa"/>
            <w:vAlign w:val="bottom"/>
          </w:tcPr>
          <w:p>
            <w:pPr>
              <w:spacing w:after="0"/>
              <w:rPr>
                <w:sz w:val="14"/>
                <w:szCs w:val="14"/>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LONG-TERM CUSTOMERS' ADVANCES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25,710</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40,893</w:t>
            </w:r>
          </w:p>
        </w:tc>
      </w:tr>
      <w:tr>
        <w:trPr>
          <w:trHeight w:val="163"/>
        </w:trPr>
        <w:tc>
          <w:tcPr>
            <w:tcW w:w="20" w:type="dxa"/>
            <w:vAlign w:val="bottom"/>
          </w:tcPr>
          <w:p>
            <w:pPr>
              <w:spacing w:after="0"/>
              <w:rPr>
                <w:sz w:val="14"/>
                <w:szCs w:val="14"/>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EMPLOYEE RELATED LIABILITIES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6,098</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7,711</w:t>
            </w:r>
          </w:p>
        </w:tc>
      </w:tr>
      <w:tr>
        <w:trPr>
          <w:trHeight w:val="163"/>
        </w:trPr>
        <w:tc>
          <w:tcPr>
            <w:tcW w:w="20" w:type="dxa"/>
            <w:vAlign w:val="bottom"/>
          </w:tcPr>
          <w:p>
            <w:pPr>
              <w:spacing w:after="0"/>
              <w:rPr>
                <w:sz w:val="14"/>
                <w:szCs w:val="14"/>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DEFERRED TAX AND OTHER LONG-TERM LIABILITIES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10,221</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13,006</w:t>
            </w:r>
          </w:p>
        </w:tc>
      </w:tr>
      <w:tr>
        <w:trPr>
          <w:trHeight w:val="20"/>
        </w:trPr>
        <w:tc>
          <w:tcPr>
            <w:tcW w:w="20" w:type="dxa"/>
            <w:vAlign w:val="bottom"/>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491,478</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659,067</w:t>
            </w: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Ordinary shares of NIS 15 par value:</w:t>
            </w: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443,631</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440,150</w:t>
            </w:r>
          </w:p>
        </w:tc>
        <w:tc>
          <w:tcPr>
            <w:tcW w:w="12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8680" w:type="dxa"/>
            <w:vAlign w:val="bottom"/>
          </w:tcPr>
          <w:p>
            <w:pPr>
              <w:ind w:left="340"/>
              <w:spacing w:after="0" w:line="148" w:lineRule="exact"/>
              <w:rPr>
                <w:sz w:val="20"/>
                <w:szCs w:val="20"/>
                <w:color w:val="auto"/>
              </w:rPr>
            </w:pPr>
            <w:r>
              <w:rPr>
                <w:rFonts w:ascii="Times New Roman" w:cs="Times New Roman" w:eastAsia="Times New Roman" w:hAnsi="Times New Roman"/>
                <w:sz w:val="13"/>
                <w:szCs w:val="13"/>
                <w:b w:val="1"/>
                <w:bCs w:val="1"/>
                <w:color w:val="auto"/>
              </w:rPr>
              <w:t>150,000 authorized as of December 31, 2023 and 2022</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110,912 and 110,825 issued and outstanding, respectively, as of December 31, 2023</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110,041 and 109,954 issued and outstanding, respectively, as of December 31, 2022</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Additional paid-in capital</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1,380,917</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1,384,398</w:t>
            </w:r>
          </w:p>
        </w:tc>
      </w:tr>
      <w:tr>
        <w:trPr>
          <w:trHeight w:val="163"/>
        </w:trPr>
        <w:tc>
          <w:tcPr>
            <w:tcW w:w="20" w:type="dxa"/>
            <w:vAlign w:val="bottom"/>
          </w:tcPr>
          <w:p>
            <w:pPr>
              <w:spacing w:after="0"/>
              <w:rPr>
                <w:sz w:val="14"/>
                <w:szCs w:val="14"/>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Cumulative stock based compensation</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202,343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174,121</w:t>
            </w:r>
          </w:p>
        </w:tc>
      </w:tr>
      <w:tr>
        <w:trPr>
          <w:trHeight w:val="163"/>
        </w:trPr>
        <w:tc>
          <w:tcPr>
            <w:tcW w:w="20" w:type="dxa"/>
            <w:vAlign w:val="bottom"/>
          </w:tcPr>
          <w:p>
            <w:pPr>
              <w:spacing w:after="0"/>
              <w:rPr>
                <w:sz w:val="14"/>
                <w:szCs w:val="14"/>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(52,935)</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(47,537)</w:t>
            </w:r>
          </w:p>
        </w:tc>
      </w:tr>
      <w:tr>
        <w:trPr>
          <w:trHeight w:val="163"/>
        </w:trPr>
        <w:tc>
          <w:tcPr>
            <w:tcW w:w="20" w:type="dxa"/>
            <w:vAlign w:val="bottom"/>
          </w:tcPr>
          <w:p>
            <w:pPr>
              <w:spacing w:after="0"/>
              <w:rPr>
                <w:sz w:val="14"/>
                <w:szCs w:val="14"/>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Retained earnings (accumulated deficit)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467,615</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(50,879)</w:t>
            </w: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2,441,571</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1,900,253</w:t>
            </w:r>
          </w:p>
        </w:tc>
        <w:tc>
          <w:tcPr>
            <w:tcW w:w="12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Treasury stock, at cost - 87 shares</w:t>
            </w:r>
          </w:p>
        </w:tc>
        <w:tc>
          <w:tcPr>
            <w:tcW w:w="2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(9,072)</w:t>
            </w:r>
          </w:p>
        </w:tc>
        <w:tc>
          <w:tcPr>
            <w:tcW w:w="3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(9,072)</w:t>
            </w: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THE COMPANY'S SHAREHOLDERS' EQUITY</w:t>
            </w: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2,432,499</w:t>
            </w:r>
          </w:p>
        </w:tc>
        <w:tc>
          <w:tcPr>
            <w:tcW w:w="22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1,891,181</w:t>
            </w:r>
          </w:p>
        </w:tc>
        <w:tc>
          <w:tcPr>
            <w:tcW w:w="12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Non-controlling interest</w:t>
            </w:r>
          </w:p>
        </w:tc>
        <w:tc>
          <w:tcPr>
            <w:tcW w:w="2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(5,460)</w:t>
            </w:r>
          </w:p>
        </w:tc>
        <w:tc>
          <w:tcPr>
            <w:tcW w:w="3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(2,640)</w:t>
            </w:r>
          </w:p>
        </w:tc>
      </w:tr>
      <w:tr>
        <w:trPr>
          <w:trHeight w:val="202"/>
        </w:trPr>
        <w:tc>
          <w:tcPr>
            <w:tcW w:w="20" w:type="dxa"/>
            <w:vAlign w:val="bottom"/>
          </w:tcPr>
          <w:p>
            <w:pPr>
              <w:spacing w:after="0"/>
              <w:rPr>
                <w:sz w:val="17"/>
                <w:szCs w:val="17"/>
                <w:color w:val="auto"/>
              </w:rPr>
            </w:pPr>
          </w:p>
        </w:tc>
        <w:tc>
          <w:tcPr>
            <w:tcW w:w="8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2,427,039</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1,888,541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32"/>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r>
      <w:tr>
        <w:trPr>
          <w:trHeight w:val="183"/>
        </w:trPr>
        <w:tc>
          <w:tcPr>
            <w:tcW w:w="20" w:type="dxa"/>
            <w:vAlign w:val="bottom"/>
          </w:tcPr>
          <w:p>
            <w:pPr>
              <w:spacing w:after="0"/>
              <w:rPr>
                <w:sz w:val="15"/>
                <w:szCs w:val="15"/>
                <w:color w:val="auto"/>
              </w:rPr>
            </w:pPr>
          </w:p>
        </w:tc>
        <w:tc>
          <w:tcPr>
            <w:tcW w:w="8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2,918,517</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2,547,608</w:t>
            </w: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ind w:left="3" w:right="80" w:hanging="3"/>
        <w:spacing w:after="0" w:line="275" w:lineRule="auto"/>
        <w:tabs>
          <w:tab w:leader="none" w:pos="184" w:val="left"/>
        </w:tabs>
        <w:numPr>
          <w:ilvl w:val="0"/>
          <w:numId w:val="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Marketable securities are available-for-sale securities; the amortized cost of such marketable securities of $188,826 and $181,247 as of December 31, 2023 and December 31, 2022, respectively, is presented net of an immaterial allowance for credit losses.</w:t>
      </w:r>
    </w:p>
    <w:p>
      <w:pPr>
        <w:spacing w:after="0" w:line="16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See notes to consolidated financial statements.</w:t>
      </w:r>
    </w:p>
    <w:p>
      <w:pPr>
        <w:spacing w:after="0" w:line="33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72325" cy="12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3"/>
          </w:cols>
          <w:pgMar w:left="297" w:top="316" w:right="299" w:bottom="1440" w:gutter="0" w:footer="0" w:header="0"/>
        </w:sectPr>
      </w:pPr>
    </w:p>
    <w:bookmarkStart w:id="8" w:name="page9"/>
    <w:bookmarkEnd w:id="8"/>
    <w:p>
      <w:pPr>
        <w:ind w:left="40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(dollars and shares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1,422,680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1,677,614</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1,508,166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COST OF REVENUES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1,069,161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1,211,306</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1,179,048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7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353,519</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466,308</w:t>
            </w: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329,118</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Research and development</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79,808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83,911</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85,386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Marketing, general and administrative</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72,454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80,282</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77,221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Restructuring gain from sale of machinery and equipment, net</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(52,168)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(20,243)</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Restructuring expense</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19,662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10,684</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Merger-contract termination fee, net</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(313,501)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(193,745)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154,634</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162,607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OPERATING PROFIT</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547,264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311,674</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166,511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FINANCING INCOME (EXPENSE), NET</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30,531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(12,767)</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(12,873)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INCOME (EXPENSE), NET</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7,047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(6,934)</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1,461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PROFIT BEFORE INCOME TAX</w:t>
            </w:r>
          </w:p>
        </w:tc>
        <w:tc>
          <w:tcPr>
            <w:tcW w:w="17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584,842</w:t>
            </w:r>
          </w:p>
        </w:tc>
        <w:tc>
          <w:tcPr>
            <w:tcW w:w="1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291,973</w:t>
            </w:r>
          </w:p>
        </w:tc>
        <w:tc>
          <w:tcPr>
            <w:tcW w:w="2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155,099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INCOME TAX EXPENSE, NET</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(65,312)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(25,502)</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NET PROFIT</w:t>
            </w:r>
          </w:p>
        </w:tc>
        <w:tc>
          <w:tcPr>
            <w:tcW w:w="17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519,530</w:t>
            </w:r>
          </w:p>
        </w:tc>
        <w:tc>
          <w:tcPr>
            <w:tcW w:w="1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266,471</w:t>
            </w:r>
          </w:p>
        </w:tc>
        <w:tc>
          <w:tcPr>
            <w:tcW w:w="2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154,075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attributable to non-controlling interest</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(1,036)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(1,902)</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(4,063)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NET PROFIT ATTRIBUTABLE TO THE COMPANY</w:t>
            </w:r>
          </w:p>
        </w:tc>
        <w:tc>
          <w:tcPr>
            <w:tcW w:w="1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518,494</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264,569</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150,012</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40" w:type="dxa"/>
            <w:vAlign w:val="bottom"/>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BASIC EARNINGS PER SHARE</w:t>
            </w: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Earnings per share</w:t>
            </w:r>
          </w:p>
        </w:tc>
        <w:tc>
          <w:tcPr>
            <w:tcW w:w="17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4.70</w:t>
            </w:r>
          </w:p>
        </w:tc>
        <w:tc>
          <w:tcPr>
            <w:tcW w:w="42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2.42</w:t>
            </w: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5540" w:type="dxa"/>
            <w:vAlign w:val="bottom"/>
          </w:tcPr>
          <w:p>
            <w:pPr>
              <w:ind w:left="520"/>
              <w:spacing w:after="0" w:line="141" w:lineRule="exact"/>
              <w:rPr>
                <w:sz w:val="20"/>
                <w:szCs w:val="20"/>
                <w:color w:val="auto"/>
              </w:rPr>
            </w:pPr>
            <w:r>
              <w:rPr>
                <w:rFonts w:ascii="Times New Roman" w:cs="Times New Roman" w:eastAsia="Times New Roman" w:hAnsi="Times New Roman"/>
                <w:sz w:val="13"/>
                <w:szCs w:val="13"/>
                <w:b w:val="1"/>
                <w:bCs w:val="1"/>
                <w:color w:val="auto"/>
              </w:rPr>
              <w:t>Weighted average number of shares</w:t>
            </w: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110,289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109,349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3"/>
                <w:szCs w:val="13"/>
                <w:b w:val="1"/>
                <w:bCs w:val="1"/>
                <w:color w:val="auto"/>
              </w:rPr>
              <w:t>108,279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55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DILUTED EARNINGS PER ORDINARY SHARE:</w:t>
            </w:r>
          </w:p>
        </w:tc>
        <w:tc>
          <w:tcPr>
            <w:tcW w:w="1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Earnings per share</w:t>
            </w:r>
          </w:p>
        </w:tc>
        <w:tc>
          <w:tcPr>
            <w:tcW w:w="2040" w:type="dxa"/>
            <w:vAlign w:val="bottom"/>
            <w:gridSpan w:val="2"/>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4.66</w:t>
            </w:r>
          </w:p>
        </w:tc>
        <w:tc>
          <w:tcPr>
            <w:tcW w:w="42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2.39</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540" w:type="dxa"/>
            <w:vAlign w:val="bottom"/>
            <w:tcBorders>
              <w:bottom w:val="single" w:sz="8" w:color="CCEEFF"/>
            </w:tcBorders>
            <w:shd w:val="clear" w:color="auto" w:fill="CCEEFF"/>
          </w:tcPr>
          <w:p>
            <w:pPr>
              <w:ind w:left="520"/>
              <w:spacing w:after="0" w:line="141" w:lineRule="exact"/>
              <w:rPr>
                <w:sz w:val="20"/>
                <w:szCs w:val="20"/>
                <w:color w:val="auto"/>
              </w:rPr>
            </w:pPr>
            <w:r>
              <w:rPr>
                <w:rFonts w:ascii="Times New Roman" w:cs="Times New Roman" w:eastAsia="Times New Roman" w:hAnsi="Times New Roman"/>
                <w:sz w:val="13"/>
                <w:szCs w:val="13"/>
                <w:b w:val="1"/>
                <w:bCs w:val="1"/>
                <w:color w:val="auto"/>
              </w:rPr>
              <w:t>Net profit used for diluted earnings per share</w:t>
            </w:r>
          </w:p>
        </w:tc>
        <w:tc>
          <w:tcPr>
            <w:tcW w:w="17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right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518,494</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264,569</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150,012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540" w:type="dxa"/>
            <w:vAlign w:val="bottom"/>
          </w:tcPr>
          <w:p>
            <w:pPr>
              <w:ind w:left="520"/>
              <w:spacing w:after="0" w:line="126" w:lineRule="exact"/>
              <w:rPr>
                <w:sz w:val="20"/>
                <w:szCs w:val="20"/>
                <w:color w:val="auto"/>
              </w:rPr>
            </w:pPr>
            <w:r>
              <w:rPr>
                <w:rFonts w:ascii="Times New Roman" w:cs="Times New Roman" w:eastAsia="Times New Roman" w:hAnsi="Times New Roman"/>
                <w:sz w:val="13"/>
                <w:szCs w:val="13"/>
                <w:b w:val="1"/>
                <w:bCs w:val="1"/>
                <w:color w:val="auto"/>
              </w:rPr>
              <w:t>Weighted average number of ordinary shares outstanding</w:t>
            </w:r>
          </w:p>
        </w:tc>
        <w:tc>
          <w:tcPr>
            <w:tcW w:w="1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4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used for diluted earnings per share</w:t>
            </w: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111,216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110,754</w:t>
            </w:r>
          </w:p>
        </w:tc>
        <w:tc>
          <w:tcPr>
            <w:tcW w:w="2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109,798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See notes to consolidated financial statements.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422" w:right="2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3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3"/>
        </w:trPr>
        <w:tc>
          <w:tcPr>
            <w:tcW w:w="73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r>
      <w:tr>
        <w:trPr>
          <w:trHeight w:val="162"/>
        </w:trPr>
        <w:tc>
          <w:tcPr>
            <w:tcW w:w="7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profit</w:t>
            </w:r>
          </w:p>
        </w:tc>
        <w:tc>
          <w:tcPr>
            <w:tcW w:w="7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519,530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266,471</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154,075</w:t>
            </w:r>
          </w:p>
        </w:tc>
        <w:tc>
          <w:tcPr>
            <w:tcW w:w="120" w:type="dxa"/>
            <w:vAlign w:val="bottom"/>
            <w:shd w:val="clear" w:color="auto" w:fill="CCEEFF"/>
          </w:tcPr>
          <w:p>
            <w:pPr>
              <w:spacing w:after="0"/>
              <w:rPr>
                <w:sz w:val="14"/>
                <w:szCs w:val="14"/>
                <w:color w:val="auto"/>
              </w:rPr>
            </w:pPr>
          </w:p>
        </w:tc>
      </w:tr>
      <w:tr>
        <w:trPr>
          <w:trHeight w:val="163"/>
        </w:trPr>
        <w:tc>
          <w:tcPr>
            <w:tcW w:w="7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 net of tax:</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73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Foreign currency translation adjustment</w:t>
            </w:r>
          </w:p>
        </w:tc>
        <w:tc>
          <w:tcPr>
            <w:tcW w:w="70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(15,761)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(27,595)</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(18,995)</w:t>
            </w:r>
          </w:p>
        </w:tc>
      </w:tr>
      <w:tr>
        <w:trPr>
          <w:trHeight w:val="163"/>
        </w:trPr>
        <w:tc>
          <w:tcPr>
            <w:tcW w:w="73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Change in employees plan assets and benefit obligations, net of taxes</w:t>
            </w:r>
          </w:p>
        </w:tc>
        <w:tc>
          <w:tcPr>
            <w:tcW w:w="7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(938)</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709</w:t>
            </w:r>
          </w:p>
        </w:tc>
      </w:tr>
      <w:tr>
        <w:trPr>
          <w:trHeight w:val="163"/>
        </w:trPr>
        <w:tc>
          <w:tcPr>
            <w:tcW w:w="73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Unrealized gain (loss) on derivatives and marketable securities</w:t>
            </w:r>
          </w:p>
        </w:tc>
        <w:tc>
          <w:tcPr>
            <w:tcW w:w="70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4,769</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(690)</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(859)</w:t>
            </w:r>
          </w:p>
        </w:tc>
      </w:tr>
      <w:tr>
        <w:trPr>
          <w:trHeight w:val="20"/>
        </w:trPr>
        <w:tc>
          <w:tcPr>
            <w:tcW w:w="73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73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7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508,316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237,248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134,930</w:t>
            </w:r>
          </w:p>
        </w:tc>
      </w:tr>
      <w:tr>
        <w:trPr>
          <w:trHeight w:val="163"/>
        </w:trPr>
        <w:tc>
          <w:tcPr>
            <w:tcW w:w="73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Comprehensive loss attributable to non-controlling interest</w:t>
            </w:r>
          </w:p>
        </w:tc>
        <w:tc>
          <w:tcPr>
            <w:tcW w:w="70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7,667</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3,708</w:t>
            </w:r>
          </w:p>
        </w:tc>
      </w:tr>
      <w:tr>
        <w:trPr>
          <w:trHeight w:val="20"/>
        </w:trPr>
        <w:tc>
          <w:tcPr>
            <w:tcW w:w="73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736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Comprehensive income attributable to the Company</w:t>
            </w:r>
          </w:p>
        </w:tc>
        <w:tc>
          <w:tcPr>
            <w:tcW w:w="700" w:type="dxa"/>
            <w:vAlign w:val="bottom"/>
          </w:tcPr>
          <w:p>
            <w:pPr>
              <w:jc w:val="right"/>
              <w:ind w:right="621"/>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513,096</w:t>
            </w:r>
          </w:p>
        </w:tc>
        <w:tc>
          <w:tcPr>
            <w:tcW w:w="42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244,915</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138,638</w:t>
            </w:r>
          </w:p>
        </w:tc>
      </w:tr>
      <w:tr>
        <w:trPr>
          <w:trHeight w:val="20"/>
        </w:trPr>
        <w:tc>
          <w:tcPr>
            <w:tcW w:w="7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See notes to consolidated financial statements.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441" w:right="299" w:bottom="1440" w:gutter="0" w:footer="0" w:header="0"/>
        </w:sectPr>
      </w:pPr>
    </w:p>
    <w:bookmarkStart w:id="10" w:name="page11"/>
    <w:bookmarkEnd w:id="10"/>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CONSOLIDATED STATEMENT OF CHANGES IN SHAREHOLDERS' EQUITY</w:t>
      </w:r>
    </w:p>
    <w:p>
      <w:pPr>
        <w:spacing w:after="0" w:line="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(dollars and share data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1"/>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THE COMPANY'S SHAREHOLDERS' EQUITY</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Foreign</w:t>
            </w: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Ordinary</w:t>
            </w:r>
          </w:p>
        </w:tc>
        <w:tc>
          <w:tcPr>
            <w:tcW w:w="4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Ordinary</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8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currency</w:t>
            </w: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earnings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Non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4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translation</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(accumulated</w:t>
            </w:r>
          </w:p>
        </w:tc>
        <w:tc>
          <w:tcPr>
            <w:tcW w:w="152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Treasury Comprehensive</w:t>
            </w: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issued</w:t>
            </w:r>
          </w:p>
        </w:tc>
        <w:tc>
          <w:tcPr>
            <w:tcW w:w="40" w:type="dxa"/>
            <w:vAlign w:val="bottom"/>
          </w:tcPr>
          <w:p>
            <w:pPr>
              <w:spacing w:after="0"/>
              <w:rPr>
                <w:sz w:val="15"/>
                <w:szCs w:val="15"/>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adjustments</w:t>
            </w:r>
          </w:p>
        </w:tc>
        <w:tc>
          <w:tcPr>
            <w:tcW w:w="10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BALANCE AS OF JANUARY 1,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108,010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$ 430,996</w:t>
            </w:r>
          </w:p>
        </w:tc>
        <w:tc>
          <w:tcPr>
            <w:tcW w:w="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$1,393,095</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124,762</w:t>
            </w:r>
          </w:p>
        </w:tc>
        <w:tc>
          <w:tcPr>
            <w:tcW w:w="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(262)</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(16,247)</w:t>
            </w: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(465,460)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(9,072)</w:t>
            </w: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(2,910)</w:t>
            </w:r>
          </w:p>
        </w:tc>
        <w:tc>
          <w:tcPr>
            <w:tcW w:w="1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$1,454,902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Changes during the year ended December 31, 2021:</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Exercise of options and RSUs</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960</w:t>
            </w: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4,457</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(4,044)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Employee stock-based compensation</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25,144</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25,144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w:t>
            </w: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Profit</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150,012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150,012</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4,063</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154,075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Foreign currency translation adjustments</w:t>
            </w: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(11,224)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(11,224)</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(7,771)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(18,995)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Change in employees plan assets and benefit obligations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709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709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w w:val="99"/>
              </w:rPr>
              <w:t>Unrealized loss on derivatives and marketable securities</w:t>
            </w: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(859)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(859)</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138,638</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108,970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435,453</w:t>
            </w:r>
          </w:p>
        </w:tc>
        <w:tc>
          <w:tcPr>
            <w:tcW w:w="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1,389,051</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149,906</w:t>
            </w:r>
          </w:p>
        </w:tc>
        <w:tc>
          <w:tcPr>
            <w:tcW w:w="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(412)</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(27,471)</w:t>
            </w: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(315,448)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(9,072)</w:t>
            </w: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(6,618)</w:t>
            </w:r>
          </w:p>
        </w:tc>
        <w:tc>
          <w:tcPr>
            <w:tcW w:w="1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1,615,389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Changes during the year ended December 31, 2022:</w:t>
            </w: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Proceeds from an investment in a subsidiary</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11,645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11,645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Exercise of options and RSUs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1,071</w:t>
            </w:r>
          </w:p>
        </w:tc>
        <w:tc>
          <w:tcPr>
            <w:tcW w:w="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4,697</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(4,653)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Employee stock-based compensation</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24,215</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24,215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w:t>
            </w: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Profit</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264,569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264,569</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1,902</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266,471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Foreign currency translation adjustments</w:t>
            </w: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(18,026)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(18,026)</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(9,569)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(27,595)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Change in employees plan assets and benefit obligations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(938)</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(938)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w w:val="99"/>
              </w:rPr>
              <w:t>Unrealized loss on derivatives and marketable securities</w:t>
            </w: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(690)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(690)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244,915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110,041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440,150</w:t>
            </w:r>
          </w:p>
        </w:tc>
        <w:tc>
          <w:tcPr>
            <w:tcW w:w="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1,384,398</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174,121</w:t>
            </w:r>
          </w:p>
        </w:tc>
        <w:tc>
          <w:tcPr>
            <w:tcW w:w="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(2,040)</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(45,497)</w:t>
            </w: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(50,879)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(9,072)</w:t>
            </w: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(2,640)</w:t>
            </w:r>
          </w:p>
        </w:tc>
        <w:tc>
          <w:tcPr>
            <w:tcW w:w="1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1,888,541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Changes during the year ended December 31, 2023:</w:t>
            </w: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Proceeds from an investment in a subsidiary</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1,960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1,960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Exercise of options and RSUs</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871</w:t>
            </w: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3,481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(3,481)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Employee stock-based compensation</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28,222</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28,222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w:t>
            </w: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Profit</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518,494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518,494</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1,036</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519,530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Foreign currency translation adjustments</w:t>
            </w: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(9,945)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(9,945)</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(5,816)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(15,761)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Change in employees plan assets and benefit obligations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(222)</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(222)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Unrealized gain on derivatives and marketable securities</w:t>
            </w: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4,769</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4,769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4,769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513,096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110,912</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$ 443,631</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$1,380,917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202,343</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2,507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(55,442)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467,615</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(9,072)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(5,460)</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$2,427,039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3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OUTSTANDING SHARES, NET OF TREASURY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110,825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See notes to consolidated financial statements.</w:t>
      </w:r>
    </w:p>
    <w:p>
      <w:pPr>
        <w:spacing w:after="0" w:line="3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60"/>
          </w:cols>
          <w:pgMar w:left="300" w:top="422"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 OPERATING ACTIVITIES</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Net profit for the period</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519,530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266,471</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154,075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Adjustments to reconcile net profit for the period</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to net cash provided by operating activities: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b w:val="1"/>
                <w:bCs w:val="1"/>
                <w:color w:val="auto"/>
              </w:rPr>
              <w:t>Income and expense items not involving cash flows:</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Depreciation and amortization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258,021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292,638</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270,710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Effect of exchange rate differences and fair value adjustment</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10,362</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1,138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Other expense (income),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(7,047)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6,934</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(1,461)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Changes in assets and liabilities:</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Trade accounts receivable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(3,160)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(15,232)</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14,335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Other current assets</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(9,541)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20,427</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(26,731)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Inventories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8,682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(77,891)</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(44,192)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Trade accounts payable</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(8,254)</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(20,893)</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(25,004)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Deferred revenue and customers' advances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(35,676)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(30,069)</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74,524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Employee related liabilities and other current liabilities</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(70,163)</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61,033</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16,850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Long-term employee related liabilities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(1,210)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2,956</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(2,681)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Deferred tax, net and other long-term liabilities</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27,011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13,084</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676,561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529,820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421,293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 INVESTING ACTIVITIES</w:t>
            </w: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Investments in property and equipment,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(444,502)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(366,403)</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(313,808)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Proceeds related to sale and disposal of property and equipment</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12,318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152,866</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34,548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Proceeds from investment realization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12,458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2,574</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Investments in other assets</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(1,037)</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(1,792)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Deposits and marketable securities,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(300,516)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(117,448)</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(57,892)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(720,847)</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(329,448)</w:t>
            </w: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(338,944)</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 FINANCING ACTIVITIES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Proceeds from an investment in a subsidiary</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1,932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11,685</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Exercise of options,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44</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458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Proceeds from loans</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24,180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96,143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Loans repayment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(97,174)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Principal payments on account of capital lease obligation</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(38,033)</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(38,536)</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(35,391)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Debentures repayment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(18,493)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(39,843)</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(40,893)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(30,414)</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(66,650)</w:t>
            </w: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(76,857)</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EFFECT OF FOREIGN CURRENCY EXCHANGE RATE CHANGE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(5,395)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(3,893)</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(6,245)</w:t>
            </w:r>
          </w:p>
        </w:tc>
        <w:tc>
          <w:tcPr>
            <w:tcW w:w="0" w:type="dxa"/>
            <w:vAlign w:val="bottom"/>
          </w:tcPr>
          <w:p>
            <w:pPr>
              <w:spacing w:after="0"/>
              <w:rPr>
                <w:sz w:val="1"/>
                <w:szCs w:val="1"/>
                <w:color w:val="auto"/>
              </w:rPr>
            </w:pPr>
          </w:p>
        </w:tc>
      </w:tr>
      <w:tr>
        <w:trPr>
          <w:trHeight w:val="20"/>
        </w:trPr>
        <w:tc>
          <w:tcPr>
            <w:tcW w:w="73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7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INCREASE (DECREASE) IN CASH AND CASH EQUIVALENTS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(80,095)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129,829</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(753)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CASH AND CASH EQUIVALENTS - BEGINNING OF PERIOD</w:t>
            </w: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340,759</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210,930</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211,683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CASH AND CASH EQUIVALENTS - END OF PERIOD</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260,664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340,759</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210,930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See notes to consolidated financial statements.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422" w:right="2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NON-CASH ACTIVITIES:</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Investments in property and equipment</w:t>
            </w:r>
          </w:p>
        </w:tc>
        <w:tc>
          <w:tcPr>
            <w:tcW w:w="720" w:type="dxa"/>
            <w:vAlign w:val="bottom"/>
            <w:gridSpan w:val="2"/>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164,667</w:t>
            </w:r>
          </w:p>
        </w:tc>
        <w:tc>
          <w:tcPr>
            <w:tcW w:w="48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169,376</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$ 65,634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Cash received during the period from interest</w:t>
            </w:r>
          </w:p>
        </w:tc>
        <w:tc>
          <w:tcPr>
            <w:tcW w:w="720" w:type="dxa"/>
            <w:vAlign w:val="bottom"/>
            <w:gridSpan w:val="2"/>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30,475</w:t>
            </w:r>
          </w:p>
        </w:tc>
        <w:tc>
          <w:tcPr>
            <w:tcW w:w="48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12,358</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$ 5,590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bottom w:val="single" w:sz="8" w:color="CCEEFF"/>
            </w:tcBorders>
            <w:shd w:val="clear" w:color="auto" w:fill="CCEEFF"/>
          </w:tcPr>
          <w:p>
            <w:pPr>
              <w:ind w:left="200"/>
              <w:spacing w:after="0" w:line="141" w:lineRule="exact"/>
              <w:rPr>
                <w:sz w:val="20"/>
                <w:szCs w:val="20"/>
                <w:color w:val="auto"/>
              </w:rPr>
            </w:pPr>
            <w:r>
              <w:rPr>
                <w:rFonts w:ascii="Times New Roman" w:cs="Times New Roman" w:eastAsia="Times New Roman" w:hAnsi="Times New Roman"/>
                <w:sz w:val="13"/>
                <w:szCs w:val="13"/>
                <w:b w:val="1"/>
                <w:bCs w:val="1"/>
                <w:color w:val="auto"/>
              </w:rPr>
              <w:t>Cash paid during the period for interest</w:t>
            </w:r>
          </w:p>
        </w:tc>
        <w:tc>
          <w:tcPr>
            <w:tcW w:w="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4,519</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4,458</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$ 4,561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32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b w:val="1"/>
                <w:bCs w:val="1"/>
                <w:color w:val="auto"/>
              </w:rPr>
              <w:t>Cash paid for income taxes, net during the period</w:t>
            </w:r>
          </w:p>
        </w:tc>
        <w:tc>
          <w:tcPr>
            <w:tcW w:w="720" w:type="dxa"/>
            <w:vAlign w:val="bottom"/>
            <w:gridSpan w:val="2"/>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12,739</w:t>
            </w:r>
          </w:p>
        </w:tc>
        <w:tc>
          <w:tcPr>
            <w:tcW w:w="480" w:type="dxa"/>
            <w:vAlign w:val="bottom"/>
            <w:gridSpan w:val="2"/>
          </w:tcPr>
          <w:p>
            <w:pPr>
              <w:jc w:val="right"/>
              <w:ind w:right="127"/>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3"/>
                <w:szCs w:val="13"/>
                <w:b w:val="1"/>
                <w:bCs w:val="1"/>
                <w:color w:val="auto"/>
              </w:rPr>
              <w:t>12,802</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3"/>
                <w:szCs w:val="13"/>
                <w:b w:val="1"/>
                <w:bCs w:val="1"/>
                <w:color w:val="auto"/>
              </w:rPr>
              <w:t>$ 8,288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See notes to consolidated financial statements.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13" w:name="page14"/>
    <w:bookmarkEnd w:id="13"/>
    <w:p>
      <w:pPr>
        <w:ind w:left="40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1:</w:t>
      </w:r>
      <w:r>
        <w:rPr>
          <w:sz w:val="20"/>
          <w:szCs w:val="20"/>
          <w:color w:val="auto"/>
        </w:rPr>
        <w:tab/>
      </w:r>
      <w:r>
        <w:rPr>
          <w:rFonts w:ascii="Times New Roman" w:cs="Times New Roman" w:eastAsia="Times New Roman" w:hAnsi="Times New Roman"/>
          <w:sz w:val="12"/>
          <w:szCs w:val="12"/>
          <w:b w:val="1"/>
          <w:bCs w:val="1"/>
          <w:color w:val="auto"/>
        </w:rPr>
        <w:t>DESCRIPTION OF BUSINESS AND GENERAL</w:t>
      </w:r>
    </w:p>
    <w:p>
      <w:pPr>
        <w:spacing w:after="0" w:line="207" w:lineRule="exact"/>
        <w:rPr>
          <w:sz w:val="20"/>
          <w:szCs w:val="20"/>
          <w:color w:val="auto"/>
        </w:rPr>
      </w:pPr>
    </w:p>
    <w:p>
      <w:pPr>
        <w:jc w:val="both"/>
        <w:ind w:left="580" w:right="20"/>
        <w:spacing w:after="0" w:line="258" w:lineRule="auto"/>
        <w:rPr>
          <w:sz w:val="20"/>
          <w:szCs w:val="20"/>
          <w:color w:val="auto"/>
        </w:rPr>
      </w:pPr>
      <w:r>
        <w:rPr>
          <w:rFonts w:ascii="Times New Roman" w:cs="Times New Roman" w:eastAsia="Times New Roman" w:hAnsi="Times New Roman"/>
          <w:sz w:val="13"/>
          <w:szCs w:val="13"/>
          <w:color w:val="auto"/>
        </w:rPr>
        <w:t>The consolidated financial statements of Tower Semiconductor Ltd. (“Tower”) include the financial statements of Tower, and (i) its wholly-owned subsidiary Tower US Holdings Inc., the sole owner of: (1) Tower Semiconductor NPB Holdings, Inc. and its wholly-owned subsidiary, Tower Semiconductor Newport Beach, Inc., an independent semiconductor foundry (Tower Semiconductor NPB Holdings, Inc. and Tower Semiconductor Newport Beach, Inc. collectively referred to herein as “TSNB”); and (2) Tower Semiconductor San Antonio, Inc. ( (“TSSA”); (ii) its 51% owned subsidiary, Tower Partners Semiconductor Co., Ltd. (“TPSCo”), an independent semiconductor foundry which operated three semiconductor facilities located in Tonami, Uozu and Arai (one of which, the Arai facility, ceased its operations in June 2022, (see Note 14B2), in Hokuriku Japan. The other 49% of TPSCo’s shares are held by Nuvoton Technology Corporation Japan (“NTCJ”), formerly named “Panasonic Semiconductor Systems Co., Ltd.” (“PSCS”); and (iii) its wholly-owned subsidiary Tower Semiconductor Italy S.r.l. (“TSIT”), incorporated during 2021 following the collaborative arrangement signed in June 2021 with ST Microelectronics S.r.l (“ST”) according to which TSIT will share a new 300 mm facility with ST in Agrate, Italy. TSIT is currently installing certain tools in the Agrate facility and developing certain processes and technologies that it expects to qualify and ramp-up at said facility (see Note 14E).</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Tower and its subsidiaries are collectively referred to as the “Company”.</w:t>
      </w:r>
    </w:p>
    <w:p>
      <w:pPr>
        <w:spacing w:after="0" w:line="205" w:lineRule="exact"/>
        <w:rPr>
          <w:sz w:val="20"/>
          <w:szCs w:val="20"/>
          <w:color w:val="auto"/>
        </w:rPr>
      </w:pPr>
    </w:p>
    <w:p>
      <w:pPr>
        <w:jc w:val="both"/>
        <w:ind w:left="580"/>
        <w:spacing w:after="0" w:line="260" w:lineRule="auto"/>
        <w:rPr>
          <w:sz w:val="20"/>
          <w:szCs w:val="20"/>
          <w:color w:val="auto"/>
        </w:rPr>
      </w:pPr>
      <w:r>
        <w:rPr>
          <w:rFonts w:ascii="Times New Roman" w:cs="Times New Roman" w:eastAsia="Times New Roman" w:hAnsi="Times New Roman"/>
          <w:sz w:val="13"/>
          <w:szCs w:val="13"/>
          <w:color w:val="auto"/>
        </w:rPr>
        <w:t>The Company is a leading global analog foundry of high value semiconductor solutions, providing technology, development and process platforms for integrated circuits (ICs) in growing markets offering a broad range of customizable process technologies including: SiGe, SiPho, mixed signal CMOS, RF CMOS, CMOS image sensor, non-imaging sensors and integrated power management.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capabilities for its customers, as of December 31, 2023, the Company owns two facilities in Israel (150mm and 200mm), two in the U.S. (200mm), two in Japan through TPSCo (one 200mm and one 300mm), is sharing clean room and capacity in a 300mm facility in Italy with ST, and has signed a contract to establish a capacity corridor in Intel Corporation’s (“Intel”) 300mm facility in New Mexico, USA (see Note 14F).</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Tower’s ordinary shares are traded on the NASDAQ Global Select Market and on the Tel-Aviv Stock Exchange (“TASE”) under the symbol TSEM.</w:t>
      </w:r>
    </w:p>
    <w:p>
      <w:pPr>
        <w:spacing w:after="0" w:line="205" w:lineRule="exact"/>
        <w:rPr>
          <w:sz w:val="20"/>
          <w:szCs w:val="20"/>
          <w:color w:val="auto"/>
        </w:rPr>
      </w:pPr>
    </w:p>
    <w:p>
      <w:pPr>
        <w:jc w:val="both"/>
        <w:ind w:left="580" w:right="20"/>
        <w:spacing w:after="0" w:line="265" w:lineRule="auto"/>
        <w:rPr>
          <w:sz w:val="20"/>
          <w:szCs w:val="20"/>
          <w:color w:val="auto"/>
        </w:rPr>
      </w:pPr>
      <w:r>
        <w:rPr>
          <w:rFonts w:ascii="Times New Roman" w:cs="Times New Roman" w:eastAsia="Times New Roman" w:hAnsi="Times New Roman"/>
          <w:sz w:val="13"/>
          <w:szCs w:val="13"/>
          <w:color w:val="auto"/>
        </w:rPr>
        <w:t>On February 15, 2022, Intel and Tower announced the signing of a definitive agreement under which Intel was to acquire all of Tower’s outstanding ordinary shares for cash consideration of $53 per share, however, the closing conditions for this transaction were not met since certain regulatory approvals were not received, hence, on August 16, 2023, Intel and Tower announced the termination of this agreement. Pursuant to the terms of the agreement, and in connection with the termination, Intel paid Tower a termination fee of $353,000, which is presented, net of associated fees, in a separate line within the statement of operations for the year ended December 31, 2023 in the amount of $313,501.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316" w:right="2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w:t>
      </w:r>
    </w:p>
    <w:p>
      <w:pPr>
        <w:spacing w:after="0" w:line="234" w:lineRule="exact"/>
        <w:rPr>
          <w:sz w:val="20"/>
          <w:szCs w:val="20"/>
          <w:color w:val="auto"/>
        </w:rPr>
      </w:pPr>
    </w:p>
    <w:p>
      <w:pPr>
        <w:ind w:left="980" w:hanging="409"/>
        <w:spacing w:after="0"/>
        <w:tabs>
          <w:tab w:leader="none" w:pos="9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Basis of Presentation</w:t>
      </w:r>
    </w:p>
    <w:p>
      <w:pPr>
        <w:spacing w:after="0" w:line="206"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Company’s consolidated financial statements are presented in accordance with U.S. generally accepted accounting principles (“US GAAP”).</w:t>
      </w:r>
    </w:p>
    <w:p>
      <w:pPr>
        <w:spacing w:after="0" w:line="231" w:lineRule="exact"/>
        <w:rPr>
          <w:rFonts w:ascii="Times New Roman" w:cs="Times New Roman" w:eastAsia="Times New Roman" w:hAnsi="Times New Roman"/>
          <w:sz w:val="13"/>
          <w:szCs w:val="13"/>
          <w:b w:val="1"/>
          <w:bCs w:val="1"/>
          <w:color w:val="auto"/>
        </w:rPr>
      </w:pPr>
    </w:p>
    <w:p>
      <w:pPr>
        <w:ind w:left="980" w:hanging="409"/>
        <w:spacing w:after="0"/>
        <w:tabs>
          <w:tab w:leader="none" w:pos="9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Use of Estimates in Preparation of Financial Statements</w:t>
      </w:r>
    </w:p>
    <w:p>
      <w:pPr>
        <w:spacing w:after="0" w:line="207" w:lineRule="exact"/>
        <w:rPr>
          <w:sz w:val="20"/>
          <w:szCs w:val="20"/>
          <w:color w:val="auto"/>
        </w:rPr>
      </w:pPr>
    </w:p>
    <w:p>
      <w:pPr>
        <w:jc w:val="both"/>
        <w:ind w:left="1000" w:right="20" w:firstLine="4"/>
        <w:spacing w:after="0" w:line="266"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US GAAP requires the Company to make estimates and assumptions that affect the reported amounts of assets and liabilities, the disclosure of contingent assets and liabilities as of the date of the financial statements, and the reported amounts of revenues and expenses during the reporting periods. Actual results could differ from those estimates.</w:t>
      </w:r>
    </w:p>
    <w:p>
      <w:pPr>
        <w:spacing w:after="0" w:line="200" w:lineRule="exact"/>
        <w:rPr>
          <w:sz w:val="20"/>
          <w:szCs w:val="20"/>
          <w:color w:val="auto"/>
        </w:rPr>
      </w:pPr>
    </w:p>
    <w:p>
      <w:pPr>
        <w:ind w:left="980" w:hanging="409"/>
        <w:spacing w:after="0"/>
        <w:tabs>
          <w:tab w:leader="none" w:pos="98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Principals of Consolidation</w:t>
      </w:r>
    </w:p>
    <w:p>
      <w:pPr>
        <w:spacing w:after="0" w:line="206" w:lineRule="exact"/>
        <w:rPr>
          <w:rFonts w:ascii="Times New Roman" w:cs="Times New Roman" w:eastAsia="Times New Roman" w:hAnsi="Times New Roman"/>
          <w:sz w:val="13"/>
          <w:szCs w:val="13"/>
          <w:b w:val="1"/>
          <w:bCs w:val="1"/>
          <w:color w:val="auto"/>
        </w:rPr>
      </w:pPr>
    </w:p>
    <w:p>
      <w:pPr>
        <w:ind w:left="1000" w:right="20" w:firstLine="4"/>
        <w:spacing w:after="0" w:line="27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Company’s consolidated financial statements include the financial statements of Tower and its subsidiaries. The Company’s consolidated financial statements are presented after elimination of inter-company transactions and balances.</w:t>
      </w:r>
    </w:p>
    <w:p>
      <w:pPr>
        <w:spacing w:after="0" w:line="195" w:lineRule="exact"/>
        <w:rPr>
          <w:rFonts w:ascii="Times New Roman" w:cs="Times New Roman" w:eastAsia="Times New Roman" w:hAnsi="Times New Roman"/>
          <w:sz w:val="13"/>
          <w:szCs w:val="13"/>
          <w:b w:val="1"/>
          <w:bCs w:val="1"/>
          <w:color w:val="auto"/>
        </w:rPr>
      </w:pPr>
    </w:p>
    <w:p>
      <w:pPr>
        <w:ind w:left="980" w:hanging="409"/>
        <w:spacing w:after="0"/>
        <w:tabs>
          <w:tab w:leader="none" w:pos="98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Reclassifications</w:t>
      </w:r>
    </w:p>
    <w:p>
      <w:pPr>
        <w:spacing w:after="0" w:line="206"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Certain prior year amounts have been reclassified to conform to the current financial statement presentation.</w:t>
      </w:r>
    </w:p>
    <w:p>
      <w:pPr>
        <w:spacing w:after="0" w:line="231" w:lineRule="exact"/>
        <w:rPr>
          <w:rFonts w:ascii="Times New Roman" w:cs="Times New Roman" w:eastAsia="Times New Roman" w:hAnsi="Times New Roman"/>
          <w:sz w:val="13"/>
          <w:szCs w:val="13"/>
          <w:b w:val="1"/>
          <w:bCs w:val="1"/>
          <w:color w:val="auto"/>
        </w:rPr>
      </w:pPr>
    </w:p>
    <w:p>
      <w:pPr>
        <w:ind w:left="980" w:hanging="409"/>
        <w:spacing w:after="0"/>
        <w:tabs>
          <w:tab w:leader="none" w:pos="98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Cash and Cash Equivalents</w:t>
      </w:r>
    </w:p>
    <w:p>
      <w:pPr>
        <w:spacing w:after="0" w:line="207" w:lineRule="exact"/>
        <w:rPr>
          <w:sz w:val="20"/>
          <w:szCs w:val="20"/>
          <w:color w:val="auto"/>
        </w:rPr>
      </w:pPr>
    </w:p>
    <w:p>
      <w:pPr>
        <w:ind w:left="1000" w:firstLine="4"/>
        <w:spacing w:after="0" w:line="272" w:lineRule="auto"/>
        <w:rPr>
          <w:sz w:val="20"/>
          <w:szCs w:val="20"/>
          <w:color w:val="auto"/>
        </w:rPr>
      </w:pPr>
      <w:r>
        <w:rPr>
          <w:rFonts w:ascii="Times New Roman" w:cs="Times New Roman" w:eastAsia="Times New Roman" w:hAnsi="Times New Roman"/>
          <w:sz w:val="13"/>
          <w:szCs w:val="13"/>
          <w:color w:val="auto"/>
        </w:rPr>
        <w:t>Cash and cash equivalents consist of cash, highly liquid bank deposits and money market funds readily convertible to known amounts of cash with original maturities of three months or less as of the date of its purchase.</w:t>
      </w:r>
    </w:p>
    <w:p>
      <w:pPr>
        <w:spacing w:after="0" w:line="196" w:lineRule="exact"/>
        <w:rPr>
          <w:sz w:val="20"/>
          <w:szCs w:val="20"/>
          <w:color w:val="auto"/>
        </w:rPr>
      </w:pPr>
    </w:p>
    <w:p>
      <w:pPr>
        <w:ind w:left="1000" w:hanging="429"/>
        <w:spacing w:after="0"/>
        <w:tabs>
          <w:tab w:leader="none" w:pos="100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Short Term Interest-Bearing Deposits</w:t>
      </w:r>
    </w:p>
    <w:p>
      <w:pPr>
        <w:spacing w:after="0" w:line="206" w:lineRule="exact"/>
        <w:rPr>
          <w:rFonts w:ascii="Times New Roman" w:cs="Times New Roman" w:eastAsia="Times New Roman" w:hAnsi="Times New Roman"/>
          <w:sz w:val="13"/>
          <w:szCs w:val="13"/>
          <w:b w:val="1"/>
          <w:bCs w:val="1"/>
          <w:color w:val="auto"/>
        </w:rPr>
      </w:pPr>
    </w:p>
    <w:p>
      <w:pPr>
        <w:ind w:left="1000" w:right="2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Short-term deposits include bank deposits with original maturities greater than three months and with remaining maturities of less than one year. Such deposits are presented at cost, including accrued interest, which approximates their fair value.</w:t>
      </w:r>
    </w:p>
    <w:p>
      <w:pPr>
        <w:spacing w:after="0" w:line="176" w:lineRule="exact"/>
        <w:rPr>
          <w:rFonts w:ascii="Times New Roman" w:cs="Times New Roman" w:eastAsia="Times New Roman" w:hAnsi="Times New Roman"/>
          <w:sz w:val="13"/>
          <w:szCs w:val="13"/>
          <w:b w:val="1"/>
          <w:bCs w:val="1"/>
          <w:color w:val="auto"/>
        </w:rPr>
      </w:pPr>
    </w:p>
    <w:p>
      <w:pPr>
        <w:ind w:left="1000" w:hanging="429"/>
        <w:spacing w:after="0"/>
        <w:tabs>
          <w:tab w:leader="none" w:pos="100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Marketable Securities</w:t>
      </w:r>
    </w:p>
    <w:p>
      <w:pPr>
        <w:spacing w:after="0" w:line="204" w:lineRule="exact"/>
        <w:rPr>
          <w:rFonts w:ascii="Times New Roman" w:cs="Times New Roman" w:eastAsia="Times New Roman" w:hAnsi="Times New Roman"/>
          <w:sz w:val="13"/>
          <w:szCs w:val="13"/>
          <w:b w:val="1"/>
          <w:bCs w:val="1"/>
          <w:color w:val="auto"/>
        </w:rPr>
      </w:pPr>
    </w:p>
    <w:p>
      <w:pPr>
        <w:ind w:left="1000" w:right="20" w:firstLine="4"/>
        <w:spacing w:after="0" w:line="290"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accounts for its investments in grade debt securities in accordance with ASC 320 "</w:t>
      </w:r>
      <w:r>
        <w:rPr>
          <w:rFonts w:ascii="Times New Roman" w:cs="Times New Roman" w:eastAsia="Times New Roman" w:hAnsi="Times New Roman"/>
          <w:sz w:val="13"/>
          <w:szCs w:val="13"/>
          <w:i w:val="1"/>
          <w:iCs w:val="1"/>
          <w:color w:val="auto"/>
        </w:rPr>
        <w:t>Investments - Debt Securities"</w:t>
      </w:r>
      <w:r>
        <w:rPr>
          <w:rFonts w:ascii="Times New Roman" w:cs="Times New Roman" w:eastAsia="Times New Roman" w:hAnsi="Times New Roman"/>
          <w:sz w:val="13"/>
          <w:szCs w:val="13"/>
          <w:color w:val="auto"/>
        </w:rPr>
        <w:t>. Management determines the appropriate classification of its investments in debt securities at the time of purchase and re-evaluates such determinations at each balance sheet date.</w:t>
      </w:r>
    </w:p>
    <w:p>
      <w:pPr>
        <w:spacing w:after="0" w:line="158" w:lineRule="exact"/>
        <w:rPr>
          <w:rFonts w:ascii="Times New Roman" w:cs="Times New Roman" w:eastAsia="Times New Roman" w:hAnsi="Times New Roman"/>
          <w:sz w:val="13"/>
          <w:szCs w:val="13"/>
          <w:b w:val="1"/>
          <w:bCs w:val="1"/>
          <w:color w:val="auto"/>
        </w:rPr>
      </w:pPr>
    </w:p>
    <w:p>
      <w:pPr>
        <w:jc w:val="both"/>
        <w:ind w:left="980"/>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classifies its marketable securities as "available-for-sale", as the Company intends to hold them for an indefinite period of time, but not necessarily to maturity. Any decision to sell a security classified as available for sale would be based on various factors, including significant movements in interest rates, changes in the maturity, mix of the Company’s assets and liabilities, liquidity needs and other similar factors. Securities classified as available for sale are measured at fair value, based on quoted market prices or independent pricing services valuation. Gains and losses are recognized on a specific identification basis, in the Company's consolidated statements of operations.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234" w:lineRule="exact"/>
        <w:rPr>
          <w:sz w:val="20"/>
          <w:szCs w:val="20"/>
          <w:color w:val="auto"/>
        </w:rPr>
      </w:pPr>
    </w:p>
    <w:p>
      <w:pPr>
        <w:ind w:left="1000" w:hanging="429"/>
        <w:spacing w:after="0"/>
        <w:tabs>
          <w:tab w:leader="none" w:pos="1000"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Marketable Securities (continued)</w:t>
      </w:r>
    </w:p>
    <w:p>
      <w:pPr>
        <w:spacing w:after="0" w:line="206" w:lineRule="exact"/>
        <w:rPr>
          <w:rFonts w:ascii="Times New Roman" w:cs="Times New Roman" w:eastAsia="Times New Roman" w:hAnsi="Times New Roman"/>
          <w:sz w:val="13"/>
          <w:szCs w:val="13"/>
          <w:b w:val="1"/>
          <w:bCs w:val="1"/>
          <w:color w:val="auto"/>
        </w:rPr>
      </w:pPr>
    </w:p>
    <w:p>
      <w:pPr>
        <w:ind w:left="980" w:right="20"/>
        <w:spacing w:after="0" w:line="27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Unrealized gains and losses are recorded in (i) the statement of other comprehensive income in periods the Company has no specific need and/or plan to use cash by selling such securities, or (ii) in the statement of operations as financing expense (income) in periods the Company has a specific need and/or intends to sell such securities.</w:t>
      </w:r>
    </w:p>
    <w:p>
      <w:pPr>
        <w:spacing w:after="0" w:line="168" w:lineRule="exact"/>
        <w:rPr>
          <w:rFonts w:ascii="Times New Roman" w:cs="Times New Roman" w:eastAsia="Times New Roman" w:hAnsi="Times New Roman"/>
          <w:sz w:val="13"/>
          <w:szCs w:val="13"/>
          <w:b w:val="1"/>
          <w:bCs w:val="1"/>
          <w:color w:val="auto"/>
        </w:rPr>
      </w:pPr>
    </w:p>
    <w:p>
      <w:pPr>
        <w:ind w:left="1000" w:right="2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The Company assessed the available-for-sales debt securities with an amortized cost basis in excess of estimated fair value to determine what amount of that difference, if any, is caused by expected credit losses in accordance with ASC 326, </w:t>
      </w:r>
      <w:r>
        <w:rPr>
          <w:rFonts w:ascii="Times New Roman" w:cs="Times New Roman" w:eastAsia="Times New Roman" w:hAnsi="Times New Roman"/>
          <w:sz w:val="13"/>
          <w:szCs w:val="13"/>
          <w:i w:val="1"/>
          <w:iCs w:val="1"/>
          <w:color w:val="auto"/>
        </w:rPr>
        <w:t>"Financial Instruments - Credit Losses"</w:t>
      </w:r>
      <w:r>
        <w:rPr>
          <w:rFonts w:ascii="Times New Roman" w:cs="Times New Roman" w:eastAsia="Times New Roman" w:hAnsi="Times New Roman"/>
          <w:sz w:val="13"/>
          <w:szCs w:val="13"/>
          <w:color w:val="auto"/>
        </w:rPr>
        <w:t>.</w:t>
      </w:r>
    </w:p>
    <w:p>
      <w:pPr>
        <w:spacing w:after="0" w:line="150" w:lineRule="exact"/>
        <w:rPr>
          <w:rFonts w:ascii="Times New Roman" w:cs="Times New Roman" w:eastAsia="Times New Roman" w:hAnsi="Times New Roman"/>
          <w:sz w:val="13"/>
          <w:szCs w:val="13"/>
          <w:b w:val="1"/>
          <w:bCs w:val="1"/>
          <w:color w:val="auto"/>
        </w:rPr>
      </w:pPr>
    </w:p>
    <w:p>
      <w:pPr>
        <w:ind w:left="100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Allowance for credit losses is recognized as a charge in financing income (expense), net, on the consolidated statements of operation, and any remaining unrealized losses, net of taxes, are included in accumulated other comprehensive income in shareholders' equity.</w:t>
      </w:r>
    </w:p>
    <w:p>
      <w:pPr>
        <w:spacing w:after="0" w:line="159"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concluded that the current expected credit losses on its available-for-sale investment portfolio were immaterial.</w:t>
      </w:r>
    </w:p>
    <w:p>
      <w:pPr>
        <w:spacing w:after="0" w:line="222" w:lineRule="exact"/>
        <w:rPr>
          <w:rFonts w:ascii="Times New Roman" w:cs="Times New Roman" w:eastAsia="Times New Roman" w:hAnsi="Times New Roman"/>
          <w:sz w:val="13"/>
          <w:szCs w:val="13"/>
          <w:b w:val="1"/>
          <w:bCs w:val="1"/>
          <w:color w:val="auto"/>
        </w:rPr>
      </w:pPr>
    </w:p>
    <w:p>
      <w:pPr>
        <w:ind w:left="1000" w:hanging="429"/>
        <w:spacing w:after="0"/>
        <w:tabs>
          <w:tab w:leader="none" w:pos="1000"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Trade Accounts Receivable - Allowance for Expected Credit Loss</w:t>
      </w:r>
    </w:p>
    <w:p>
      <w:pPr>
        <w:spacing w:after="0" w:line="206" w:lineRule="exact"/>
        <w:rPr>
          <w:rFonts w:ascii="Times New Roman" w:cs="Times New Roman" w:eastAsia="Times New Roman" w:hAnsi="Times New Roman"/>
          <w:sz w:val="13"/>
          <w:szCs w:val="13"/>
          <w:b w:val="1"/>
          <w:bCs w:val="1"/>
          <w:color w:val="auto"/>
        </w:rPr>
      </w:pPr>
    </w:p>
    <w:p>
      <w:pPr>
        <w:jc w:val="both"/>
        <w:ind w:left="100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The Company maintains an allowance based on specific analysis of each customer account receivable’s aging, assessment of its related risk and ability of the customer to make the required payment. In addition, in accordance with ASC 326, </w:t>
      </w:r>
      <w:r>
        <w:rPr>
          <w:rFonts w:ascii="Times New Roman" w:cs="Times New Roman" w:eastAsia="Times New Roman" w:hAnsi="Times New Roman"/>
          <w:sz w:val="13"/>
          <w:szCs w:val="13"/>
          <w:i w:val="1"/>
          <w:iCs w:val="1"/>
          <w:color w:val="auto"/>
        </w:rPr>
        <w:t>"Financial Instruments - Credit Losses"</w:t>
      </w:r>
      <w:r>
        <w:rPr>
          <w:rFonts w:ascii="Times New Roman" w:cs="Times New Roman" w:eastAsia="Times New Roman" w:hAnsi="Times New Roman"/>
          <w:sz w:val="13"/>
          <w:szCs w:val="13"/>
          <w:color w:val="auto"/>
        </w:rPr>
        <w:t>, an allowance is maintained for such estimated expected losses. The amount of the allowance is determined principally on the basis of past collection experience and known financial factors regarding specific customers. Trade accounts receivables are written off using this allowance when it is probable that collection will not occur. Credit is extended to customers satisfying pre-defined credit criteria.</w:t>
      </w:r>
    </w:p>
    <w:p>
      <w:pPr>
        <w:spacing w:after="0" w:line="173"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total allowance for expected credit losses was $4,790 and $3,460 as of December 31, 2023 and 2022, respectively.</w:t>
      </w:r>
    </w:p>
    <w:p>
      <w:pPr>
        <w:spacing w:after="0" w:line="231" w:lineRule="exact"/>
        <w:rPr>
          <w:rFonts w:ascii="Times New Roman" w:cs="Times New Roman" w:eastAsia="Times New Roman" w:hAnsi="Times New Roman"/>
          <w:sz w:val="13"/>
          <w:szCs w:val="13"/>
          <w:b w:val="1"/>
          <w:bCs w:val="1"/>
          <w:color w:val="auto"/>
        </w:rPr>
      </w:pPr>
    </w:p>
    <w:p>
      <w:pPr>
        <w:ind w:left="980" w:hanging="409"/>
        <w:spacing w:after="0"/>
        <w:tabs>
          <w:tab w:leader="none" w:pos="980"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Inventories</w:t>
      </w:r>
    </w:p>
    <w:p>
      <w:pPr>
        <w:spacing w:after="0" w:line="206" w:lineRule="exact"/>
        <w:rPr>
          <w:rFonts w:ascii="Times New Roman" w:cs="Times New Roman" w:eastAsia="Times New Roman" w:hAnsi="Times New Roman"/>
          <w:sz w:val="13"/>
          <w:szCs w:val="13"/>
          <w:b w:val="1"/>
          <w:bCs w:val="1"/>
          <w:color w:val="auto"/>
        </w:rPr>
      </w:pPr>
    </w:p>
    <w:p>
      <w:pPr>
        <w:jc w:val="both"/>
        <w:ind w:left="1000" w:right="20" w:firstLine="4"/>
        <w:spacing w:after="0" w:line="26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Inventories are stated at the lower of aggregate cost or net realizable value. If inventory costs exceed expected net realizable value, the Company writes-down the difference between the cost and the expected net realizable value. Cost of raw materials is determined mainly on the basis of the weighted average moving price per unit. Work in progress is measured at cost including acquisition costs, processing costs and other costs incurred in bringing the inventories to their present stage.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234" w:lineRule="exact"/>
        <w:rPr>
          <w:sz w:val="20"/>
          <w:szCs w:val="20"/>
          <w:color w:val="auto"/>
        </w:rPr>
      </w:pPr>
    </w:p>
    <w:p>
      <w:pPr>
        <w:ind w:left="1000" w:hanging="429"/>
        <w:spacing w:after="0"/>
        <w:tabs>
          <w:tab w:leader="none" w:pos="100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Investments in Privately Held Companies</w:t>
      </w:r>
    </w:p>
    <w:p>
      <w:pPr>
        <w:spacing w:after="0" w:line="204" w:lineRule="exact"/>
        <w:rPr>
          <w:rFonts w:ascii="Times New Roman" w:cs="Times New Roman" w:eastAsia="Times New Roman" w:hAnsi="Times New Roman"/>
          <w:sz w:val="13"/>
          <w:szCs w:val="13"/>
          <w:b w:val="1"/>
          <w:bCs w:val="1"/>
          <w:color w:val="auto"/>
        </w:rPr>
      </w:pPr>
    </w:p>
    <w:p>
      <w:pPr>
        <w:jc w:val="both"/>
        <w:ind w:left="1000" w:firstLine="4"/>
        <w:spacing w:after="0" w:line="26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Long-term investments include equity investments in privately-held companies without readily determinable fair values. In accordance with ASC 321 - </w:t>
      </w:r>
      <w:r>
        <w:rPr>
          <w:rFonts w:ascii="Times New Roman" w:cs="Times New Roman" w:eastAsia="Times New Roman" w:hAnsi="Times New Roman"/>
          <w:sz w:val="13"/>
          <w:szCs w:val="13"/>
          <w:i w:val="1"/>
          <w:iCs w:val="1"/>
          <w:color w:val="auto"/>
        </w:rPr>
        <w:t>“Investments - Equity Securities”,</w:t>
      </w:r>
      <w:r>
        <w:rPr>
          <w:rFonts w:ascii="Times New Roman" w:cs="Times New Roman" w:eastAsia="Times New Roman" w:hAnsi="Times New Roman"/>
          <w:sz w:val="13"/>
          <w:szCs w:val="13"/>
          <w:color w:val="auto"/>
        </w:rPr>
        <w:t xml:space="preserve"> the Company may elect to measure those investments at fair value or at cost, less any impairment, plus or minus changes resulting from observable price changes in orderly transactions for the identical or similar investment of the same issuer (“Measurement Alternative”). The Company elected to use the Measurement Alternative for each of its investments. Any adjustments resulting from impairments and/or observable price changes are recorded under “other income (expense), net” in the consolidated statements of operations. See also Note 2M below.</w:t>
      </w:r>
    </w:p>
    <w:p>
      <w:pPr>
        <w:spacing w:after="0" w:line="199" w:lineRule="exact"/>
        <w:rPr>
          <w:rFonts w:ascii="Times New Roman" w:cs="Times New Roman" w:eastAsia="Times New Roman" w:hAnsi="Times New Roman"/>
          <w:sz w:val="13"/>
          <w:szCs w:val="13"/>
          <w:b w:val="1"/>
          <w:bCs w:val="1"/>
          <w:color w:val="auto"/>
        </w:rPr>
      </w:pPr>
    </w:p>
    <w:p>
      <w:pPr>
        <w:ind w:left="1000" w:hanging="429"/>
        <w:spacing w:after="0"/>
        <w:tabs>
          <w:tab w:leader="none" w:pos="100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Property and Equipment</w:t>
      </w:r>
    </w:p>
    <w:p>
      <w:pPr>
        <w:spacing w:after="0" w:line="204" w:lineRule="exact"/>
        <w:rPr>
          <w:rFonts w:ascii="Times New Roman" w:cs="Times New Roman" w:eastAsia="Times New Roman" w:hAnsi="Times New Roman"/>
          <w:sz w:val="13"/>
          <w:szCs w:val="13"/>
          <w:b w:val="1"/>
          <w:bCs w:val="1"/>
          <w:color w:val="auto"/>
        </w:rPr>
      </w:pPr>
    </w:p>
    <w:p>
      <w:pPr>
        <w:jc w:val="both"/>
        <w:ind w:left="1000" w:right="20" w:firstLine="4"/>
        <w:spacing w:after="0" w:line="268"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accounts for property and equipment in accordance with Accounting Standards Codification ASC 360 “</w:t>
      </w:r>
      <w:r>
        <w:rPr>
          <w:rFonts w:ascii="Times New Roman" w:cs="Times New Roman" w:eastAsia="Times New Roman" w:hAnsi="Times New Roman"/>
          <w:sz w:val="13"/>
          <w:szCs w:val="13"/>
          <w:i w:val="1"/>
          <w:iCs w:val="1"/>
          <w:color w:val="auto"/>
        </w:rPr>
        <w:t>Accounting for the Property, Plant and Equipment</w:t>
      </w:r>
      <w:r>
        <w:rPr>
          <w:rFonts w:ascii="Times New Roman" w:cs="Times New Roman" w:eastAsia="Times New Roman" w:hAnsi="Times New Roman"/>
          <w:sz w:val="13"/>
          <w:szCs w:val="13"/>
          <w:color w:val="auto"/>
        </w:rPr>
        <w:t>”. Property and equipment are presented at cost, including capitalizable costs. Capitalizable costs include only costs that are identifiable with, and related to, the property and equipment, and are incurred prior to their initial operation. Identifiable incremental direct costs include costs associated with constructing, establishing, and installing facilities and equipment, as well as technology transfer.</w:t>
      </w:r>
    </w:p>
    <w:p>
      <w:pPr>
        <w:spacing w:after="0" w:line="171"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Maintenance and repairs are charged to expenses as incurred.</w:t>
      </w:r>
    </w:p>
    <w:p>
      <w:pPr>
        <w:spacing w:after="0" w:line="195"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Property and equipment are presented net of investment grants received and less accumulated depreciation.</w:t>
      </w:r>
    </w:p>
    <w:p>
      <w:pPr>
        <w:spacing w:after="0" w:line="204"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Depreciation is calculated based on the straight-line method over the Company’s estimated useful lives of the assets, as follows:</w:t>
      </w:r>
    </w:p>
    <w:p>
      <w:pPr>
        <w:spacing w:after="0" w:line="204" w:lineRule="exact"/>
        <w:rPr>
          <w:rFonts w:ascii="Times New Roman" w:cs="Times New Roman" w:eastAsia="Times New Roman" w:hAnsi="Times New Roman"/>
          <w:sz w:val="13"/>
          <w:szCs w:val="13"/>
          <w:b w:val="1"/>
          <w:bCs w:val="1"/>
          <w:color w:val="auto"/>
        </w:rPr>
      </w:pPr>
    </w:p>
    <w:p>
      <w:pPr>
        <w:ind w:left="1680" w:hanging="227"/>
        <w:spacing w:after="0"/>
        <w:tabs>
          <w:tab w:leader="none" w:pos="1680" w:val="left"/>
        </w:tabs>
        <w:numPr>
          <w:ilvl w:val="1"/>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Buildings and building improvements, including facility infrastructure: 10-25 years</w:t>
      </w:r>
    </w:p>
    <w:p>
      <w:pPr>
        <w:spacing w:after="0" w:line="16" w:lineRule="exact"/>
        <w:rPr>
          <w:rFonts w:ascii="Times New Roman" w:cs="Times New Roman" w:eastAsia="Times New Roman" w:hAnsi="Times New Roman"/>
          <w:sz w:val="13"/>
          <w:szCs w:val="13"/>
          <w:color w:val="auto"/>
        </w:rPr>
      </w:pPr>
    </w:p>
    <w:p>
      <w:pPr>
        <w:ind w:left="1680" w:hanging="227"/>
        <w:spacing w:after="0"/>
        <w:tabs>
          <w:tab w:leader="none" w:pos="1680" w:val="left"/>
        </w:tabs>
        <w:numPr>
          <w:ilvl w:val="1"/>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Machinery and equipment, software and hardware: 3-15 years.</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Impairment charges, if needed, are determined based on the policy outlined in Note 2M below.</w:t>
      </w:r>
    </w:p>
    <w:p>
      <w:pPr>
        <w:spacing w:after="0" w:line="19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Property and equipment also include assets under capital leases, which are depreciated according to their applicable useful life.</w:t>
      </w:r>
    </w:p>
    <w:p>
      <w:pPr>
        <w:spacing w:after="0" w:line="232" w:lineRule="exact"/>
        <w:rPr>
          <w:sz w:val="20"/>
          <w:szCs w:val="20"/>
          <w:color w:val="auto"/>
        </w:rPr>
      </w:pPr>
    </w:p>
    <w:p>
      <w:pPr>
        <w:ind w:left="980" w:hanging="409"/>
        <w:spacing w:after="0"/>
        <w:tabs>
          <w:tab w:leader="none" w:pos="980"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Intangible Assets and Goodwill</w:t>
      </w:r>
    </w:p>
    <w:p>
      <w:pPr>
        <w:spacing w:after="0" w:line="205" w:lineRule="exact"/>
        <w:rPr>
          <w:sz w:val="20"/>
          <w:szCs w:val="20"/>
          <w:color w:val="auto"/>
        </w:rPr>
      </w:pPr>
    </w:p>
    <w:p>
      <w:pPr>
        <w:jc w:val="both"/>
        <w:ind w:left="1000" w:right="20" w:firstLine="4"/>
        <w:spacing w:after="0" w:line="268" w:lineRule="auto"/>
        <w:rPr>
          <w:sz w:val="20"/>
          <w:szCs w:val="20"/>
          <w:color w:val="auto"/>
        </w:rPr>
      </w:pPr>
      <w:r>
        <w:rPr>
          <w:rFonts w:ascii="Times New Roman" w:cs="Times New Roman" w:eastAsia="Times New Roman" w:hAnsi="Times New Roman"/>
          <w:sz w:val="13"/>
          <w:szCs w:val="13"/>
          <w:color w:val="auto"/>
        </w:rPr>
        <w:t>The Company accounts for intangible assets and goodwill in accordance with ASC 350 “</w:t>
      </w:r>
      <w:r>
        <w:rPr>
          <w:rFonts w:ascii="Times New Roman" w:cs="Times New Roman" w:eastAsia="Times New Roman" w:hAnsi="Times New Roman"/>
          <w:sz w:val="13"/>
          <w:szCs w:val="13"/>
          <w:i w:val="1"/>
          <w:iCs w:val="1"/>
          <w:color w:val="auto"/>
        </w:rPr>
        <w:t>Intangibles-Goodwill and Other</w:t>
      </w:r>
      <w:r>
        <w:rPr>
          <w:rFonts w:ascii="Times New Roman" w:cs="Times New Roman" w:eastAsia="Times New Roman" w:hAnsi="Times New Roman"/>
          <w:sz w:val="13"/>
          <w:szCs w:val="13"/>
          <w:color w:val="auto"/>
        </w:rPr>
        <w:t>”. Intangible assets include the values assigned to the intangible assets as part of the purchase price allocation made at the time of acquisition. Intangible assets are amortized over the expected estimated economic life commonly used in the industry. Goodwill is not amortized and subject to impairment testing. Impairment charges on intangibles or goodwill, if needed, are determined based on the policy outlined in Note 2M below.</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234" w:lineRule="exact"/>
        <w:rPr>
          <w:sz w:val="20"/>
          <w:szCs w:val="20"/>
          <w:color w:val="auto"/>
        </w:rPr>
      </w:pPr>
    </w:p>
    <w:p>
      <w:pPr>
        <w:ind w:left="1000" w:hanging="429"/>
        <w:spacing w:after="0"/>
        <w:tabs>
          <w:tab w:leader="none" w:pos="1000" w:val="left"/>
        </w:tabs>
        <w:numPr>
          <w:ilvl w:val="0"/>
          <w:numId w:val="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Impairment of Assets</w:t>
      </w:r>
    </w:p>
    <w:p>
      <w:pPr>
        <w:spacing w:after="0" w:line="202"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Impairment of Property, Equipment and Intangible Assets</w:t>
      </w:r>
    </w:p>
    <w:p>
      <w:pPr>
        <w:spacing w:after="0" w:line="208" w:lineRule="exact"/>
        <w:rPr>
          <w:rFonts w:ascii="Times New Roman" w:cs="Times New Roman" w:eastAsia="Times New Roman" w:hAnsi="Times New Roman"/>
          <w:sz w:val="13"/>
          <w:szCs w:val="13"/>
          <w:b w:val="1"/>
          <w:bCs w:val="1"/>
          <w:color w:val="auto"/>
        </w:rPr>
      </w:pPr>
    </w:p>
    <w:p>
      <w:pPr>
        <w:jc w:val="both"/>
        <w:ind w:left="1000" w:right="2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them. If applicable, the Company recognizes an impairment loss based upon the difference between the carrying amount and the fair value of such assets, in accordance with ASC 360-10 “</w:t>
      </w:r>
      <w:r>
        <w:rPr>
          <w:rFonts w:ascii="Times New Roman" w:cs="Times New Roman" w:eastAsia="Times New Roman" w:hAnsi="Times New Roman"/>
          <w:sz w:val="13"/>
          <w:szCs w:val="13"/>
          <w:i w:val="1"/>
          <w:iCs w:val="1"/>
          <w:color w:val="auto"/>
        </w:rPr>
        <w:t>Property, Plant and Equipment</w:t>
      </w:r>
      <w:r>
        <w:rPr>
          <w:rFonts w:ascii="Times New Roman" w:cs="Times New Roman" w:eastAsia="Times New Roman" w:hAnsi="Times New Roman"/>
          <w:sz w:val="13"/>
          <w:szCs w:val="13"/>
          <w:color w:val="auto"/>
        </w:rPr>
        <w:t>”. As of December 31, 2023, the Company concluded there was no impairment to its long-lived assets and intangible assets.</w:t>
      </w:r>
    </w:p>
    <w:p>
      <w:pPr>
        <w:spacing w:after="0" w:line="159"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Impairment of Goodwill</w:t>
      </w:r>
    </w:p>
    <w:p>
      <w:pPr>
        <w:spacing w:after="0" w:line="208" w:lineRule="exact"/>
        <w:rPr>
          <w:rFonts w:ascii="Times New Roman" w:cs="Times New Roman" w:eastAsia="Times New Roman" w:hAnsi="Times New Roman"/>
          <w:sz w:val="13"/>
          <w:szCs w:val="13"/>
          <w:b w:val="1"/>
          <w:bCs w:val="1"/>
          <w:color w:val="auto"/>
        </w:rPr>
      </w:pPr>
    </w:p>
    <w:p>
      <w:pPr>
        <w:jc w:val="both"/>
        <w:ind w:left="1000" w:firstLine="4"/>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performs a qualitative analysis when testing goodwill for impairment. A qualitative goodwill impairment test is performed when the fair value of a reporting unit historically has significantly exceeded the carrying value of its net assets and based on current operations is expected to continue to exceed it. Otherwise, the Company is required to conduct a quantitative impairment test and estimate the fair value of the reporting unit using a combination of an income approach based on discounted cash flow analysis and a market approach based on market multiples. If the fair value of a reporting unit is less than its carrying value, a goodwill impairment charge is recorded for the difference. As of December 31, 2023, the Company performed a qualitative impairment test for its reporting unit and concluded there was no impairment of goodwill.</w:t>
      </w:r>
    </w:p>
    <w:p>
      <w:pPr>
        <w:spacing w:after="0" w:line="160"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Impairment of Investment in Privately Held Companies</w:t>
      </w:r>
    </w:p>
    <w:p>
      <w:pPr>
        <w:spacing w:after="0" w:line="208" w:lineRule="exact"/>
        <w:rPr>
          <w:rFonts w:ascii="Times New Roman" w:cs="Times New Roman" w:eastAsia="Times New Roman" w:hAnsi="Times New Roman"/>
          <w:sz w:val="13"/>
          <w:szCs w:val="13"/>
          <w:b w:val="1"/>
          <w:bCs w:val="1"/>
          <w:color w:val="auto"/>
        </w:rPr>
      </w:pPr>
    </w:p>
    <w:p>
      <w:pPr>
        <w:ind w:left="1000" w:right="2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Investments in privately held companies accounted for using the Measurement Alternative are subject to periodic impairment reviews. Based on ASC 321-10-35-3, the Company’s impairment analysis considers qualitative factors to evaluate whether the investment is impaired. As of December 31, 2023, no impairments were recorded.</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205" w:lineRule="exact"/>
        <w:rPr>
          <w:sz w:val="20"/>
          <w:szCs w:val="20"/>
          <w:color w:val="auto"/>
        </w:rPr>
      </w:pPr>
    </w:p>
    <w:p>
      <w:pPr>
        <w:ind w:left="980" w:hanging="409"/>
        <w:spacing w:after="0"/>
        <w:tabs>
          <w:tab w:leader="none" w:pos="980" w:val="left"/>
        </w:tabs>
        <w:numPr>
          <w:ilvl w:val="0"/>
          <w:numId w:val="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Leases</w:t>
      </w:r>
    </w:p>
    <w:p>
      <w:pPr>
        <w:spacing w:after="0" w:line="206"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recognize a right-of-use asset (“ROU”) and lease liability for all operating and capital leases with a term greater than twelve months upon lease arrangement inception.</w:t>
      </w:r>
    </w:p>
    <w:p>
      <w:pPr>
        <w:spacing w:after="0" w:line="204" w:lineRule="exact"/>
        <w:rPr>
          <w:rFonts w:ascii="Times New Roman" w:cs="Times New Roman" w:eastAsia="Times New Roman" w:hAnsi="Times New Roman"/>
          <w:sz w:val="13"/>
          <w:szCs w:val="13"/>
          <w:b w:val="1"/>
          <w:bCs w:val="1"/>
          <w:color w:val="auto"/>
        </w:rPr>
      </w:pPr>
    </w:p>
    <w:p>
      <w:pPr>
        <w:jc w:val="both"/>
        <w:ind w:left="1000" w:firstLine="4"/>
        <w:spacing w:after="0" w:line="260"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ROU assets represent the Company’s right to use an underlying asset for the lease term and lease liabilities represent the Company’s obligation to make lease payments arising from the terms of lease contracts. ROU assets and lease liabilities are recognized at the lease commencement date based on the present value of lease payments over the lease term. Since most of the Company’s leases do not provide an implicit rate, the Company's incremental borrowing rate is used based on the information available at the commencement date in determining the present value of lease payments. The lease terms used to calculate the ROU asset and related lease liability include options to extend or terminate the lease when it is reasonably certain that the Company will exercise that option. Lease expense for operating leases is recognized on a straight-line basis over the lease term as an operating expense. For additional information, see Notes 11D and 11E.</w:t>
      </w:r>
    </w:p>
    <w:p>
      <w:pPr>
        <w:spacing w:after="0" w:line="203" w:lineRule="exact"/>
        <w:rPr>
          <w:rFonts w:ascii="Times New Roman" w:cs="Times New Roman" w:eastAsia="Times New Roman" w:hAnsi="Times New Roman"/>
          <w:sz w:val="13"/>
          <w:szCs w:val="13"/>
          <w:b w:val="1"/>
          <w:bCs w:val="1"/>
          <w:color w:val="auto"/>
        </w:rPr>
      </w:pPr>
    </w:p>
    <w:p>
      <w:pPr>
        <w:ind w:left="1000" w:hanging="429"/>
        <w:spacing w:after="0"/>
        <w:tabs>
          <w:tab w:leader="none" w:pos="1000" w:val="left"/>
        </w:tabs>
        <w:numPr>
          <w:ilvl w:val="0"/>
          <w:numId w:val="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Revenue Recognition</w:t>
      </w:r>
    </w:p>
    <w:p>
      <w:pPr>
        <w:spacing w:after="0" w:line="204" w:lineRule="exact"/>
        <w:rPr>
          <w:rFonts w:ascii="Times New Roman" w:cs="Times New Roman" w:eastAsia="Times New Roman" w:hAnsi="Times New Roman"/>
          <w:sz w:val="13"/>
          <w:szCs w:val="13"/>
          <w:b w:val="1"/>
          <w:bCs w:val="1"/>
          <w:color w:val="auto"/>
        </w:rPr>
      </w:pPr>
    </w:p>
    <w:p>
      <w:pPr>
        <w:ind w:left="1000" w:firstLine="4"/>
        <w:spacing w:after="0" w:line="290"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recognizes revenue in accordance with ASC 606 “</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when it transfers the control of promised goods or services to customers in an amount that reflects the consideration the Company expects to be entitled to in exchange for those goods or services.</w:t>
      </w:r>
    </w:p>
    <w:p>
      <w:pPr>
        <w:spacing w:after="0" w:line="148" w:lineRule="exact"/>
        <w:rPr>
          <w:rFonts w:ascii="Times New Roman" w:cs="Times New Roman" w:eastAsia="Times New Roman" w:hAnsi="Times New Roman"/>
          <w:sz w:val="13"/>
          <w:szCs w:val="13"/>
          <w:b w:val="1"/>
          <w:bCs w:val="1"/>
          <w:color w:val="auto"/>
        </w:rPr>
      </w:pPr>
    </w:p>
    <w:p>
      <w:pPr>
        <w:ind w:left="1000" w:right="2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Company’s revenues are generated principally from sales of semiconductor wafers. The Company, to a much lesser extent, also derives revenues from design support and other technical and support services incidental to the sale of semiconductor wafers. Most of the Company’s sales are achieved through the effort of its direct sales and business development force.</w:t>
      </w:r>
    </w:p>
    <w:p>
      <w:pPr>
        <w:spacing w:after="0" w:line="159" w:lineRule="exact"/>
        <w:rPr>
          <w:rFonts w:ascii="Times New Roman" w:cs="Times New Roman" w:eastAsia="Times New Roman" w:hAnsi="Times New Roman"/>
          <w:sz w:val="13"/>
          <w:szCs w:val="13"/>
          <w:b w:val="1"/>
          <w:bCs w:val="1"/>
          <w:color w:val="auto"/>
        </w:rPr>
      </w:pPr>
    </w:p>
    <w:p>
      <w:pPr>
        <w:jc w:val="both"/>
        <w:ind w:left="1000" w:right="20" w:firstLine="4"/>
        <w:spacing w:after="0" w:line="26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Wafer sales typically contain a single performance obligation that is fulfilled on the date of delivery and recognized at a point in time, which is upon shipment of the Company’s products to unaffiliated customers, depending on shipping terms stipulated in the contract. Accordingly, control of the products transfers to the customer in accordance with the transaction's shipping terms. Taxes imposed by governmental authorities, such as sales taxes or value-added taxes, are excluded from net sales.</w:t>
      </w:r>
    </w:p>
    <w:p>
      <w:pPr>
        <w:spacing w:after="0" w:line="173" w:lineRule="exact"/>
        <w:rPr>
          <w:rFonts w:ascii="Times New Roman" w:cs="Times New Roman" w:eastAsia="Times New Roman" w:hAnsi="Times New Roman"/>
          <w:sz w:val="13"/>
          <w:szCs w:val="13"/>
          <w:b w:val="1"/>
          <w:bCs w:val="1"/>
          <w:color w:val="auto"/>
        </w:rPr>
      </w:pPr>
    </w:p>
    <w:p>
      <w:pPr>
        <w:ind w:left="1000" w:right="20" w:firstLine="4"/>
        <w:spacing w:after="0" w:line="27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provides for sales returns allowance relating to specified yield or quality commitments as a reduction of revenues, based on past experience and specific identification of relevant events, which has been in immaterial amounts.</w:t>
      </w:r>
    </w:p>
    <w:p>
      <w:pPr>
        <w:spacing w:after="0" w:line="168"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provides its customers with other services that are less significant in scope and amount and for which recognition occurs over time when customers receive the services.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234" w:lineRule="exact"/>
        <w:rPr>
          <w:sz w:val="20"/>
          <w:szCs w:val="20"/>
          <w:color w:val="auto"/>
        </w:rPr>
      </w:pPr>
    </w:p>
    <w:p>
      <w:pPr>
        <w:ind w:left="1000" w:hanging="429"/>
        <w:spacing w:after="0"/>
        <w:tabs>
          <w:tab w:leader="none" w:pos="1000"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Research and Development</w:t>
      </w:r>
    </w:p>
    <w:p>
      <w:pPr>
        <w:spacing w:after="0" w:line="206" w:lineRule="exact"/>
        <w:rPr>
          <w:rFonts w:ascii="Times New Roman" w:cs="Times New Roman" w:eastAsia="Times New Roman" w:hAnsi="Times New Roman"/>
          <w:sz w:val="13"/>
          <w:szCs w:val="13"/>
          <w:b w:val="1"/>
          <w:bCs w:val="1"/>
          <w:color w:val="auto"/>
        </w:rPr>
      </w:pPr>
    </w:p>
    <w:p>
      <w:pPr>
        <w:jc w:val="both"/>
        <w:ind w:left="1000" w:right="20" w:firstLine="4"/>
        <w:spacing w:after="0" w:line="26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Research and development costs are charged to operations as incurred. Amounts received or receivable from the government of Israel and others, such as participation in research and development programs, are offset from research and development costs. The accrual for grants receivable is determined based on the terms of the programs, provided that the criteria for entitlement have been met. As of December 31, 2023, the grants receivable amount was immaterial.</w:t>
      </w:r>
    </w:p>
    <w:p>
      <w:pPr>
        <w:spacing w:after="0" w:line="200" w:lineRule="exact"/>
        <w:rPr>
          <w:rFonts w:ascii="Times New Roman" w:cs="Times New Roman" w:eastAsia="Times New Roman" w:hAnsi="Times New Roman"/>
          <w:sz w:val="13"/>
          <w:szCs w:val="13"/>
          <w:b w:val="1"/>
          <w:bCs w:val="1"/>
          <w:color w:val="auto"/>
        </w:rPr>
      </w:pPr>
    </w:p>
    <w:p>
      <w:pPr>
        <w:ind w:left="1000" w:hanging="429"/>
        <w:spacing w:after="0"/>
        <w:tabs>
          <w:tab w:leader="none" w:pos="1000"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Income Taxes</w:t>
      </w:r>
    </w:p>
    <w:p>
      <w:pPr>
        <w:spacing w:after="0" w:line="204" w:lineRule="exact"/>
        <w:rPr>
          <w:rFonts w:ascii="Times New Roman" w:cs="Times New Roman" w:eastAsia="Times New Roman" w:hAnsi="Times New Roman"/>
          <w:sz w:val="13"/>
          <w:szCs w:val="13"/>
          <w:b w:val="1"/>
          <w:bCs w:val="1"/>
          <w:color w:val="auto"/>
        </w:rPr>
      </w:pPr>
    </w:p>
    <w:p>
      <w:pPr>
        <w:jc w:val="both"/>
        <w:ind w:left="1000" w:right="20" w:firstLine="4"/>
        <w:spacing w:after="0" w:line="26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The Company accounts for income taxes using an asset and liability approach as prescribed in ASC 740-10 </w:t>
      </w:r>
      <w:r>
        <w:rPr>
          <w:rFonts w:ascii="Times New Roman" w:cs="Times New Roman" w:eastAsia="Times New Roman" w:hAnsi="Times New Roman"/>
          <w:sz w:val="13"/>
          <w:szCs w:val="13"/>
          <w:i w:val="1"/>
          <w:iCs w:val="1"/>
          <w:color w:val="auto"/>
        </w:rPr>
        <w:t>“Income Taxes”.</w:t>
      </w:r>
      <w:r>
        <w:rPr>
          <w:rFonts w:ascii="Times New Roman" w:cs="Times New Roman" w:eastAsia="Times New Roman" w:hAnsi="Times New Roman"/>
          <w:sz w:val="13"/>
          <w:szCs w:val="13"/>
          <w:color w:val="auto"/>
        </w:rPr>
        <w:t xml:space="preserve"> This topic prescribes the use of the liability method whereby deferred tax asset and liability account balances are determined based on differences between financial reporting and tax bases of assets and liabilities. Deferred taxes are measured using the enacted tax rates under applicable law effective for the year in which the differences are expected to reverse as of the balance sheet date. Deferred tax assets and liabilities, as well as any related valuation allowance, are classified as noncurrent items on the balance sheets.</w:t>
      </w:r>
    </w:p>
    <w:p>
      <w:pPr>
        <w:spacing w:after="0" w:line="172" w:lineRule="exact"/>
        <w:rPr>
          <w:rFonts w:ascii="Times New Roman" w:cs="Times New Roman" w:eastAsia="Times New Roman" w:hAnsi="Times New Roman"/>
          <w:sz w:val="13"/>
          <w:szCs w:val="13"/>
          <w:b w:val="1"/>
          <w:bCs w:val="1"/>
          <w:color w:val="auto"/>
        </w:rPr>
      </w:pPr>
    </w:p>
    <w:p>
      <w:pPr>
        <w:jc w:val="both"/>
        <w:ind w:left="100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evaluates the potential realization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deferred tax assets and projected future taxable income.</w:t>
      </w:r>
    </w:p>
    <w:p>
      <w:pPr>
        <w:spacing w:after="0" w:line="163"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 valuation allowance is established, when necessary, to reduce deferred tax assets to the amount that is more likely than not to be realized based on all available evidence.</w:t>
      </w:r>
    </w:p>
    <w:p>
      <w:pPr>
        <w:spacing w:after="0" w:line="204" w:lineRule="exact"/>
        <w:rPr>
          <w:rFonts w:ascii="Times New Roman" w:cs="Times New Roman" w:eastAsia="Times New Roman" w:hAnsi="Times New Roman"/>
          <w:sz w:val="13"/>
          <w:szCs w:val="13"/>
          <w:b w:val="1"/>
          <w:bCs w:val="1"/>
          <w:color w:val="auto"/>
        </w:rPr>
      </w:pPr>
    </w:p>
    <w:p>
      <w:pPr>
        <w:jc w:val="both"/>
        <w:ind w:left="1000" w:right="20" w:firstLine="4"/>
        <w:spacing w:after="0" w:line="2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234" w:lineRule="exact"/>
        <w:rPr>
          <w:sz w:val="20"/>
          <w:szCs w:val="20"/>
          <w:color w:val="auto"/>
        </w:rPr>
      </w:pPr>
    </w:p>
    <w:p>
      <w:pPr>
        <w:ind w:left="1000" w:hanging="429"/>
        <w:spacing w:after="0"/>
        <w:tabs>
          <w:tab w:leader="none" w:pos="1000"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Income Taxes (continued)</w:t>
      </w:r>
    </w:p>
    <w:p>
      <w:pPr>
        <w:spacing w:after="0" w:line="206" w:lineRule="exact"/>
        <w:rPr>
          <w:rFonts w:ascii="Times New Roman" w:cs="Times New Roman" w:eastAsia="Times New Roman" w:hAnsi="Times New Roman"/>
          <w:sz w:val="13"/>
          <w:szCs w:val="13"/>
          <w:b w:val="1"/>
          <w:bCs w:val="1"/>
          <w:color w:val="auto"/>
        </w:rPr>
      </w:pPr>
    </w:p>
    <w:p>
      <w:pPr>
        <w:jc w:val="both"/>
        <w:ind w:left="1000" w:right="20"/>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December 2021, the OECD released Pillar Two model rules imposing on large multinational corporations, with revenue above €750 million, a minimum effective corporate income tax rate of 15% in every jurisdiction in which they operate. As of January 1, 2024, the rules have been enacted or partially enacted in certain jurisdictions in which the Company operates. The Company is studying the rules and its potential impact on its future consolidated financial statements and tax payments, including the rules’ transitional safe harbors, which may enable to postpone the application of the rules to the Company until after January 1, 2026.</w:t>
      </w:r>
    </w:p>
    <w:p>
      <w:pPr>
        <w:spacing w:after="0" w:line="199" w:lineRule="exact"/>
        <w:rPr>
          <w:rFonts w:ascii="Times New Roman" w:cs="Times New Roman" w:eastAsia="Times New Roman" w:hAnsi="Times New Roman"/>
          <w:sz w:val="13"/>
          <w:szCs w:val="13"/>
          <w:b w:val="1"/>
          <w:bCs w:val="1"/>
          <w:color w:val="auto"/>
        </w:rPr>
      </w:pPr>
    </w:p>
    <w:p>
      <w:pPr>
        <w:ind w:left="980" w:hanging="409"/>
        <w:spacing w:after="0"/>
        <w:tabs>
          <w:tab w:leader="none" w:pos="980"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Earnings per Ordinary Share</w:t>
      </w:r>
    </w:p>
    <w:p>
      <w:pPr>
        <w:spacing w:after="0" w:line="206" w:lineRule="exact"/>
        <w:rPr>
          <w:rFonts w:ascii="Times New Roman" w:cs="Times New Roman" w:eastAsia="Times New Roman" w:hAnsi="Times New Roman"/>
          <w:sz w:val="13"/>
          <w:szCs w:val="13"/>
          <w:b w:val="1"/>
          <w:bCs w:val="1"/>
          <w:color w:val="auto"/>
        </w:rPr>
      </w:pPr>
    </w:p>
    <w:p>
      <w:pPr>
        <w:jc w:val="both"/>
        <w:ind w:left="1000" w:right="20" w:firstLine="4"/>
        <w:spacing w:after="0" w:line="26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Basic earnings per share are calculated in accordance with ASC 260, “Earnings Per Share” by dividing net profit or loss attributable to ordinary equity holders of Tower (the numerator) by the weighted average number of ordinary shares outstanding during the reported period (the denominator). Diluted earnings per share are calculated, if applicable, by adjusting net profit attributable to ordinary equity holders of Tower, and the weighted average number of ordinary shares, taking into effect all potential dilutive ordinary shares.</w:t>
      </w:r>
    </w:p>
    <w:p>
      <w:pPr>
        <w:spacing w:after="0" w:line="200" w:lineRule="exact"/>
        <w:rPr>
          <w:rFonts w:ascii="Times New Roman" w:cs="Times New Roman" w:eastAsia="Times New Roman" w:hAnsi="Times New Roman"/>
          <w:sz w:val="13"/>
          <w:szCs w:val="13"/>
          <w:b w:val="1"/>
          <w:bCs w:val="1"/>
          <w:color w:val="auto"/>
        </w:rPr>
      </w:pPr>
    </w:p>
    <w:p>
      <w:pPr>
        <w:ind w:left="960" w:hanging="389"/>
        <w:spacing w:after="0"/>
        <w:tabs>
          <w:tab w:leader="none" w:pos="960"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Comprehensive Income</w:t>
      </w:r>
    </w:p>
    <w:p>
      <w:pPr>
        <w:spacing w:after="0" w:line="205" w:lineRule="exact"/>
        <w:rPr>
          <w:sz w:val="20"/>
          <w:szCs w:val="20"/>
          <w:color w:val="auto"/>
        </w:rPr>
      </w:pPr>
    </w:p>
    <w:p>
      <w:pPr>
        <w:jc w:val="both"/>
        <w:ind w:left="1000" w:right="20" w:firstLine="4"/>
        <w:spacing w:after="0" w:line="268" w:lineRule="auto"/>
        <w:rPr>
          <w:sz w:val="20"/>
          <w:szCs w:val="20"/>
          <w:color w:val="auto"/>
        </w:rPr>
      </w:pPr>
      <w:r>
        <w:rPr>
          <w:rFonts w:ascii="Times New Roman" w:cs="Times New Roman" w:eastAsia="Times New Roman" w:hAnsi="Times New Roman"/>
          <w:sz w:val="13"/>
          <w:szCs w:val="13"/>
          <w:color w:val="auto"/>
        </w:rPr>
        <w:t>In accordance with ASC 220 “</w:t>
      </w:r>
      <w:r>
        <w:rPr>
          <w:rFonts w:ascii="Times New Roman" w:cs="Times New Roman" w:eastAsia="Times New Roman" w:hAnsi="Times New Roman"/>
          <w:sz w:val="13"/>
          <w:szCs w:val="13"/>
          <w:i w:val="1"/>
          <w:iCs w:val="1"/>
          <w:color w:val="auto"/>
        </w:rPr>
        <w:t>Comprehensive Income</w:t>
      </w:r>
      <w:r>
        <w:rPr>
          <w:rFonts w:ascii="Times New Roman" w:cs="Times New Roman" w:eastAsia="Times New Roman" w:hAnsi="Times New Roman"/>
          <w:sz w:val="13"/>
          <w:szCs w:val="13"/>
          <w:color w:val="auto"/>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spacing w:after="0" w:line="199" w:lineRule="exact"/>
        <w:rPr>
          <w:sz w:val="20"/>
          <w:szCs w:val="20"/>
          <w:color w:val="auto"/>
        </w:rPr>
      </w:pPr>
    </w:p>
    <w:p>
      <w:pPr>
        <w:ind w:left="1000" w:hanging="429"/>
        <w:spacing w:after="0"/>
        <w:tabs>
          <w:tab w:leader="none" w:pos="1000"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Functional Currency and Exchange Rate Results</w:t>
      </w:r>
    </w:p>
    <w:p>
      <w:pPr>
        <w:spacing w:after="0" w:line="206" w:lineRule="exact"/>
        <w:rPr>
          <w:rFonts w:ascii="Times New Roman" w:cs="Times New Roman" w:eastAsia="Times New Roman" w:hAnsi="Times New Roman"/>
          <w:sz w:val="13"/>
          <w:szCs w:val="13"/>
          <w:b w:val="1"/>
          <w:bCs w:val="1"/>
          <w:color w:val="auto"/>
        </w:rPr>
      </w:pPr>
    </w:p>
    <w:p>
      <w:pPr>
        <w:jc w:val="both"/>
        <w:ind w:left="1000" w:firstLine="4"/>
        <w:spacing w:after="0" w:line="260"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currency of the primary economic environment in which Tower, TSSA, TSNB and TSIT conduct their operations is the U.S. Dollar (“dollar”). Thus, the dollar is their functional and reporting currency. Accordingly, monetary accounts maintained in currencies other than the dollar are re-measured into dollars in accordance with ASC 830-10 “Foreign Currency Matters”.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statements of operations of TPSCo have been translated using the average exchange rate for the reported period. The resulting translation adjustments are charged or credited to OCI.</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234" w:lineRule="exact"/>
        <w:rPr>
          <w:sz w:val="20"/>
          <w:szCs w:val="20"/>
          <w:color w:val="auto"/>
        </w:rPr>
      </w:pPr>
    </w:p>
    <w:p>
      <w:pPr>
        <w:ind w:left="980" w:hanging="409"/>
        <w:spacing w:after="0"/>
        <w:tabs>
          <w:tab w:leader="none" w:pos="980"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Stock-based Compensation</w:t>
      </w:r>
    </w:p>
    <w:p>
      <w:pPr>
        <w:spacing w:after="0" w:line="204" w:lineRule="exact"/>
        <w:rPr>
          <w:rFonts w:ascii="Times New Roman" w:cs="Times New Roman" w:eastAsia="Times New Roman" w:hAnsi="Times New Roman"/>
          <w:sz w:val="13"/>
          <w:szCs w:val="13"/>
          <w:b w:val="1"/>
          <w:bCs w:val="1"/>
          <w:color w:val="auto"/>
        </w:rPr>
      </w:pPr>
    </w:p>
    <w:p>
      <w:pPr>
        <w:ind w:left="1000" w:right="20" w:firstLine="4"/>
        <w:spacing w:after="0" w:line="290"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applies the provisions of ASC Topic 718 “</w:t>
      </w:r>
      <w:r>
        <w:rPr>
          <w:rFonts w:ascii="Times New Roman" w:cs="Times New Roman" w:eastAsia="Times New Roman" w:hAnsi="Times New Roman"/>
          <w:sz w:val="13"/>
          <w:szCs w:val="13"/>
          <w:i w:val="1"/>
          <w:iCs w:val="1"/>
          <w:color w:val="auto"/>
        </w:rPr>
        <w:t>Compensation - Stock Compensation</w:t>
      </w:r>
      <w:r>
        <w:rPr>
          <w:rFonts w:ascii="Times New Roman" w:cs="Times New Roman" w:eastAsia="Times New Roman" w:hAnsi="Times New Roman"/>
          <w:sz w:val="13"/>
          <w:szCs w:val="13"/>
          <w:color w:val="auto"/>
        </w:rPr>
        <w:t>”, under which employees’ share-based equity awards (mostly restricted stock units and performance unit shares) are recognized based on the grant-date fair values.</w:t>
      </w:r>
    </w:p>
    <w:p>
      <w:pPr>
        <w:spacing w:after="0" w:line="148" w:lineRule="exact"/>
        <w:rPr>
          <w:rFonts w:ascii="Times New Roman" w:cs="Times New Roman" w:eastAsia="Times New Roman" w:hAnsi="Times New Roman"/>
          <w:sz w:val="13"/>
          <w:szCs w:val="13"/>
          <w:b w:val="1"/>
          <w:bCs w:val="1"/>
          <w:color w:val="auto"/>
        </w:rPr>
      </w:pPr>
    </w:p>
    <w:p>
      <w:pPr>
        <w:ind w:left="1000" w:right="2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compensation costs are recognized using the graded vesting attribution method based on the vesting terms of each unit included in the award resulting in an accelerated recognition of compensation costs.</w:t>
      </w:r>
    </w:p>
    <w:p>
      <w:pPr>
        <w:spacing w:after="0" w:line="186" w:lineRule="exact"/>
        <w:rPr>
          <w:rFonts w:ascii="Times New Roman" w:cs="Times New Roman" w:eastAsia="Times New Roman" w:hAnsi="Times New Roman"/>
          <w:sz w:val="13"/>
          <w:szCs w:val="13"/>
          <w:b w:val="1"/>
          <w:bCs w:val="1"/>
          <w:color w:val="auto"/>
        </w:rPr>
      </w:pPr>
    </w:p>
    <w:p>
      <w:pPr>
        <w:ind w:left="960" w:hanging="389"/>
        <w:spacing w:after="0"/>
        <w:tabs>
          <w:tab w:leader="none" w:pos="960"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Fair Value Measurements of Financial Instruments</w:t>
      </w:r>
    </w:p>
    <w:p>
      <w:pPr>
        <w:spacing w:after="0" w:line="205" w:lineRule="exact"/>
        <w:rPr>
          <w:sz w:val="20"/>
          <w:szCs w:val="20"/>
          <w:color w:val="auto"/>
        </w:rPr>
      </w:pPr>
    </w:p>
    <w:p>
      <w:pPr>
        <w:jc w:val="both"/>
        <w:ind w:left="1000" w:firstLine="4"/>
        <w:spacing w:after="0" w:line="268" w:lineRule="auto"/>
        <w:rPr>
          <w:sz w:val="20"/>
          <w:szCs w:val="20"/>
          <w:color w:val="auto"/>
        </w:rPr>
      </w:pPr>
      <w:r>
        <w:rPr>
          <w:rFonts w:ascii="Times New Roman" w:cs="Times New Roman" w:eastAsia="Times New Roman" w:hAnsi="Times New Roman"/>
          <w:sz w:val="13"/>
          <w:szCs w:val="13"/>
          <w:color w:val="auto"/>
        </w:rPr>
        <w:t>ASC 820, "</w:t>
      </w:r>
      <w:r>
        <w:rPr>
          <w:rFonts w:ascii="Times New Roman" w:cs="Times New Roman" w:eastAsia="Times New Roman" w:hAnsi="Times New Roman"/>
          <w:sz w:val="13"/>
          <w:szCs w:val="13"/>
          <w:i w:val="1"/>
          <w:iCs w:val="1"/>
          <w:color w:val="auto"/>
        </w:rPr>
        <w:t>Fair Value Measurements and Disclosures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(“ASC 820”)</w:t>
      </w:r>
      <w:r>
        <w:rPr>
          <w:rFonts w:ascii="Times New Roman" w:cs="Times New Roman" w:eastAsia="Times New Roman" w:hAnsi="Times New Roman"/>
          <w:sz w:val="13"/>
          <w:szCs w:val="13"/>
          <w:color w:val="auto"/>
        </w:rPr>
        <w:t>,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17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ASC 820 prioritizes the inputs into three levels that may be used to measure fair value:</w:t>
      </w:r>
    </w:p>
    <w:p>
      <w:pPr>
        <w:spacing w:after="0" w:line="1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Level 1</w:t>
      </w:r>
    </w:p>
    <w:p>
      <w:pPr>
        <w:spacing w:after="0" w:line="2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Level 1 applies to assets or liabilities for which there are quoted prices in active markets for identical assets or liabilities.</w:t>
      </w:r>
    </w:p>
    <w:p>
      <w:pPr>
        <w:spacing w:after="0" w:line="2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Level 2</w:t>
      </w:r>
    </w:p>
    <w:p>
      <w:pPr>
        <w:spacing w:after="0" w:line="199" w:lineRule="exact"/>
        <w:rPr>
          <w:sz w:val="20"/>
          <w:szCs w:val="20"/>
          <w:color w:val="auto"/>
        </w:rPr>
      </w:pPr>
    </w:p>
    <w:p>
      <w:pPr>
        <w:jc w:val="both"/>
        <w:ind w:left="1000" w:right="20" w:firstLine="4"/>
        <w:spacing w:after="0" w:line="274" w:lineRule="auto"/>
        <w:rPr>
          <w:sz w:val="20"/>
          <w:szCs w:val="20"/>
          <w:color w:val="auto"/>
        </w:rPr>
      </w:pPr>
      <w:r>
        <w:rPr>
          <w:rFonts w:ascii="Times New Roman" w:cs="Times New Roman" w:eastAsia="Times New Roman" w:hAnsi="Times New Roman"/>
          <w:sz w:val="13"/>
          <w:szCs w:val="13"/>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Level 3</w:t>
      </w:r>
    </w:p>
    <w:p>
      <w:pPr>
        <w:spacing w:after="0" w:line="2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Level 3 applies to assets or liabilities for which there are unobservable inputs to the valuation methodology that are significant to the measurement of the fair value of the assets or liabilities.</w:t>
      </w:r>
    </w:p>
    <w:p>
      <w:pPr>
        <w:spacing w:after="0" w:line="205" w:lineRule="exact"/>
        <w:rPr>
          <w:sz w:val="20"/>
          <w:szCs w:val="20"/>
          <w:color w:val="auto"/>
        </w:rPr>
      </w:pPr>
    </w:p>
    <w:p>
      <w:pPr>
        <w:jc w:val="both"/>
        <w:ind w:left="1000" w:right="20" w:firstLine="4"/>
        <w:spacing w:after="0" w:line="266" w:lineRule="auto"/>
        <w:rPr>
          <w:sz w:val="20"/>
          <w:szCs w:val="20"/>
          <w:color w:val="auto"/>
        </w:rPr>
      </w:pPr>
      <w:r>
        <w:rPr>
          <w:rFonts w:ascii="Times New Roman" w:cs="Times New Roman" w:eastAsia="Times New Roman" w:hAnsi="Times New Roman"/>
          <w:sz w:val="13"/>
          <w:szCs w:val="13"/>
          <w:color w:val="auto"/>
        </w:rPr>
        <w:t>The carrying value of the Company’s bank deposits, account receivables, payables and accrued liabilities, approximate their current fair values in accordance with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 such as marketable securities and investments in privately-held companies.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205" w:lineRule="exact"/>
        <w:rPr>
          <w:sz w:val="20"/>
          <w:szCs w:val="20"/>
          <w:color w:val="auto"/>
        </w:rPr>
      </w:pPr>
    </w:p>
    <w:p>
      <w:pPr>
        <w:ind w:left="1000" w:hanging="429"/>
        <w:spacing w:after="0"/>
        <w:tabs>
          <w:tab w:leader="none" w:pos="1000" w:val="left"/>
        </w:tabs>
        <w:numPr>
          <w:ilvl w:val="0"/>
          <w:numId w:val="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Derivatives and Hedging</w:t>
      </w:r>
    </w:p>
    <w:p>
      <w:pPr>
        <w:spacing w:after="0" w:line="206"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accordance with ASC Topic 815, Derivative and Hedging ("ASC 815"), the Company recognizes all its derivative instruments as either assets or liabilities and carries them at fair value.</w:t>
      </w:r>
    </w:p>
    <w:p>
      <w:pPr>
        <w:spacing w:after="0" w:line="204" w:lineRule="exact"/>
        <w:rPr>
          <w:rFonts w:ascii="Times New Roman" w:cs="Times New Roman" w:eastAsia="Times New Roman" w:hAnsi="Times New Roman"/>
          <w:sz w:val="13"/>
          <w:szCs w:val="13"/>
          <w:b w:val="1"/>
          <w:bCs w:val="1"/>
          <w:color w:val="auto"/>
        </w:rPr>
      </w:pPr>
    </w:p>
    <w:p>
      <w:pPr>
        <w:ind w:left="1000" w:right="20" w:firstLine="4"/>
        <w:spacing w:after="0" w:line="27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derivative instruments that are designated and qualify as cash flow hedges, the derivative's gain or loss is initially reported as a component of OCI and is subsequently reclassified into earnings when the hedged exposure affects earnings, in the same line item as the underlying hedged item on the consolidated statements of earnings.</w:t>
      </w:r>
    </w:p>
    <w:p>
      <w:pPr>
        <w:spacing w:after="0" w:line="168" w:lineRule="exact"/>
        <w:rPr>
          <w:rFonts w:ascii="Times New Roman" w:cs="Times New Roman" w:eastAsia="Times New Roman" w:hAnsi="Times New Roman"/>
          <w:sz w:val="13"/>
          <w:szCs w:val="13"/>
          <w:b w:val="1"/>
          <w:bCs w:val="1"/>
          <w:color w:val="auto"/>
        </w:rPr>
      </w:pPr>
    </w:p>
    <w:p>
      <w:pPr>
        <w:ind w:left="1000" w:right="2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Cash flow hedges related to anticipated transactions are designated and documented at the inception of each hedge. Cash flows from hedging transactions are classified in the same categories as the cash flows from the respective hedged items.</w:t>
      </w:r>
    </w:p>
    <w:p>
      <w:pPr>
        <w:spacing w:after="0" w:line="176" w:lineRule="exact"/>
        <w:rPr>
          <w:rFonts w:ascii="Times New Roman" w:cs="Times New Roman" w:eastAsia="Times New Roman" w:hAnsi="Times New Roman"/>
          <w:sz w:val="13"/>
          <w:szCs w:val="13"/>
          <w:b w:val="1"/>
          <w:bCs w:val="1"/>
          <w:color w:val="auto"/>
        </w:rPr>
      </w:pPr>
    </w:p>
    <w:p>
      <w:pPr>
        <w:ind w:left="980" w:hanging="409"/>
        <w:spacing w:after="0"/>
        <w:tabs>
          <w:tab w:leader="none" w:pos="980" w:val="left"/>
        </w:tabs>
        <w:numPr>
          <w:ilvl w:val="0"/>
          <w:numId w:val="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Recently Adopted Accounting Pronouncements</w:t>
      </w:r>
    </w:p>
    <w:p>
      <w:pPr>
        <w:spacing w:after="0" w:line="206" w:lineRule="exact"/>
        <w:rPr>
          <w:rFonts w:ascii="Times New Roman" w:cs="Times New Roman" w:eastAsia="Times New Roman" w:hAnsi="Times New Roman"/>
          <w:sz w:val="13"/>
          <w:szCs w:val="13"/>
          <w:b w:val="1"/>
          <w:bCs w:val="1"/>
          <w:color w:val="auto"/>
        </w:rPr>
      </w:pPr>
    </w:p>
    <w:p>
      <w:pPr>
        <w:ind w:left="1000" w:right="20"/>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did not adopt any new standards or updates issued by the Financial Accounting Standards Board (“FASB”) during the fiscal year of 2023 that had a material impact on the Company’s financial position, results of operations, cash flows or financial statement disclosures.</w:t>
      </w:r>
    </w:p>
    <w:p>
      <w:pPr>
        <w:spacing w:after="0" w:line="186" w:lineRule="exact"/>
        <w:rPr>
          <w:rFonts w:ascii="Times New Roman" w:cs="Times New Roman" w:eastAsia="Times New Roman" w:hAnsi="Times New Roman"/>
          <w:sz w:val="13"/>
          <w:szCs w:val="13"/>
          <w:b w:val="1"/>
          <w:bCs w:val="1"/>
          <w:color w:val="auto"/>
        </w:rPr>
      </w:pPr>
    </w:p>
    <w:p>
      <w:pPr>
        <w:ind w:left="980" w:hanging="409"/>
        <w:spacing w:after="0"/>
        <w:tabs>
          <w:tab w:leader="none" w:pos="980" w:val="left"/>
        </w:tabs>
        <w:numPr>
          <w:ilvl w:val="0"/>
          <w:numId w:val="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Recently Issued Accounting Pronouncements Not Yet Adopted</w:t>
      </w:r>
    </w:p>
    <w:p>
      <w:pPr>
        <w:spacing w:after="0" w:line="207" w:lineRule="exact"/>
        <w:rPr>
          <w:sz w:val="20"/>
          <w:szCs w:val="20"/>
          <w:color w:val="auto"/>
        </w:rPr>
      </w:pPr>
    </w:p>
    <w:p>
      <w:pPr>
        <w:jc w:val="both"/>
        <w:ind w:left="1000"/>
        <w:spacing w:after="0" w:line="272" w:lineRule="auto"/>
        <w:rPr>
          <w:sz w:val="20"/>
          <w:szCs w:val="20"/>
          <w:color w:val="auto"/>
        </w:rPr>
      </w:pPr>
      <w:r>
        <w:rPr>
          <w:rFonts w:ascii="Times New Roman" w:cs="Times New Roman" w:eastAsia="Times New Roman" w:hAnsi="Times New Roman"/>
          <w:sz w:val="13"/>
          <w:szCs w:val="13"/>
          <w:color w:val="auto"/>
        </w:rPr>
        <w:t>On December 23, 2023, the Financial Accounting Standards Board (“FASB”) issued Accounting Standards Update (“ASU”) No. 2023-09— Income taxes (topic 740): improvements to income tax disclosures.</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Rate reconciliation:</w:t>
      </w:r>
    </w:p>
    <w:p>
      <w:pPr>
        <w:spacing w:after="0" w:line="205" w:lineRule="exact"/>
        <w:rPr>
          <w:sz w:val="20"/>
          <w:szCs w:val="20"/>
          <w:color w:val="auto"/>
        </w:rPr>
      </w:pPr>
    </w:p>
    <w:p>
      <w:pPr>
        <w:jc w:val="both"/>
        <w:ind w:left="1000" w:right="20"/>
        <w:spacing w:after="0" w:line="266" w:lineRule="auto"/>
        <w:rPr>
          <w:sz w:val="20"/>
          <w:szCs w:val="20"/>
          <w:color w:val="auto"/>
        </w:rPr>
      </w:pPr>
      <w:r>
        <w:rPr>
          <w:rFonts w:ascii="Times New Roman" w:cs="Times New Roman" w:eastAsia="Times New Roman" w:hAnsi="Times New Roman"/>
          <w:sz w:val="13"/>
          <w:szCs w:val="13"/>
          <w:color w:val="auto"/>
        </w:rPr>
        <w:t>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Specifically, public business entities are required to disclose a tabular reconciliation, using both percentages and reporting currency amounts.</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Income Taxes Paid:</w:t>
      </w:r>
    </w:p>
    <w:p>
      <w:pPr>
        <w:spacing w:after="0" w:line="195" w:lineRule="exact"/>
        <w:rPr>
          <w:sz w:val="20"/>
          <w:szCs w:val="20"/>
          <w:color w:val="auto"/>
        </w:rPr>
      </w:pPr>
    </w:p>
    <w:p>
      <w:pPr>
        <w:jc w:val="both"/>
        <w:ind w:left="1000"/>
        <w:spacing w:after="0" w:line="274" w:lineRule="auto"/>
        <w:rPr>
          <w:sz w:val="20"/>
          <w:szCs w:val="20"/>
          <w:color w:val="auto"/>
        </w:rPr>
      </w:pPr>
      <w:r>
        <w:rPr>
          <w:rFonts w:ascii="Times New Roman" w:cs="Times New Roman" w:eastAsia="Times New Roman" w:hAnsi="Times New Roman"/>
          <w:sz w:val="13"/>
          <w:szCs w:val="13"/>
          <w:color w:val="auto"/>
        </w:rPr>
        <w:t>The amendments in this Update require that all entities disclose on an annual basis the following information about income taxes paid: (1) The amount of income taxes paid (net of refunds received) disaggregated by federal (national), state, and foreign taxes and (2) The amount of income taxes paid (net of refunds received) disaggregated by individual jurisdictions in which income taxes paid (net of refunds received) is equal to or greater than 5 percent of total income taxes paid (net of refunds received).</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 (continued)</w:t>
      </w:r>
    </w:p>
    <w:p>
      <w:pPr>
        <w:spacing w:after="0" w:line="234" w:lineRule="exact"/>
        <w:rPr>
          <w:sz w:val="20"/>
          <w:szCs w:val="20"/>
          <w:color w:val="auto"/>
        </w:rPr>
      </w:pPr>
    </w:p>
    <w:p>
      <w:pPr>
        <w:ind w:left="980" w:hanging="409"/>
        <w:spacing w:after="0"/>
        <w:tabs>
          <w:tab w:leader="none" w:pos="980" w:val="left"/>
        </w:tabs>
        <w:numPr>
          <w:ilvl w:val="0"/>
          <w:numId w:val="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Recently Issued Accounting Pronouncements Not Yet Adopted (continued)</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Other Disclosures:</w:t>
      </w:r>
    </w:p>
    <w:p>
      <w:pPr>
        <w:spacing w:after="0" w:line="205" w:lineRule="exact"/>
        <w:rPr>
          <w:sz w:val="20"/>
          <w:szCs w:val="20"/>
          <w:color w:val="auto"/>
        </w:rPr>
      </w:pPr>
    </w:p>
    <w:p>
      <w:pPr>
        <w:jc w:val="both"/>
        <w:ind w:left="1000"/>
        <w:spacing w:after="0" w:line="260" w:lineRule="auto"/>
        <w:rPr>
          <w:sz w:val="20"/>
          <w:szCs w:val="20"/>
          <w:color w:val="auto"/>
        </w:rPr>
      </w:pPr>
      <w:r>
        <w:rPr>
          <w:rFonts w:ascii="Times New Roman" w:cs="Times New Roman" w:eastAsia="Times New Roman" w:hAnsi="Times New Roman"/>
          <w:sz w:val="13"/>
          <w:szCs w:val="13"/>
          <w:color w:val="auto"/>
        </w:rPr>
        <w:t>The amendments in this Update require that all entities disclose the following information: (1) income (or loss) from continuing operations before income tax expense (or benefit) disaggregated between domestic and foreign and (2) income tax expense (or benefit) from continuing operations disaggregated by federal (national), state, and foreign. The amendments in this Update eliminate the requirement for all entities to (A) disclose the nature and estimate of the range of the reasonably possible change in the unrecognized tax benefits balance in the next 12 months or (B) make a statement that an estimate of the range cannot be made. The amendments in this Update remove the requirement to disclose the cumulative amount of each type of temporary difference when a deferred tax liability is not recognized because of the exceptions to comprehensive recognition of deferred taxes related to subsidiaries and corporate joint ventures. The amendments in this Update replace the term public entity as currently used in Topic 740 with the term public business entity as defined in the Master Glossary of the Codification.</w:t>
      </w:r>
    </w:p>
    <w:p>
      <w:pPr>
        <w:spacing w:after="0" w:line="178" w:lineRule="exact"/>
        <w:rPr>
          <w:sz w:val="20"/>
          <w:szCs w:val="20"/>
          <w:color w:val="auto"/>
        </w:rPr>
      </w:pPr>
    </w:p>
    <w:p>
      <w:pPr>
        <w:jc w:val="both"/>
        <w:ind w:left="1000"/>
        <w:spacing w:after="0" w:line="272" w:lineRule="auto"/>
        <w:rPr>
          <w:sz w:val="20"/>
          <w:szCs w:val="20"/>
          <w:color w:val="auto"/>
        </w:rPr>
      </w:pPr>
      <w:r>
        <w:rPr>
          <w:rFonts w:ascii="Times New Roman" w:cs="Times New Roman" w:eastAsia="Times New Roman" w:hAnsi="Times New Roman"/>
          <w:sz w:val="13"/>
          <w:szCs w:val="13"/>
          <w:color w:val="auto"/>
        </w:rPr>
        <w:t>The amendments should be effective for annual periods beginning after December 15, 2024. The Company does not expect the new standard to have a material impact on its consolidated financial statements.</w:t>
      </w:r>
    </w:p>
    <w:p>
      <w:pPr>
        <w:spacing w:after="0" w:line="19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3:</w:t>
      </w:r>
      <w:r>
        <w:rPr>
          <w:sz w:val="20"/>
          <w:szCs w:val="20"/>
          <w:color w:val="auto"/>
        </w:rPr>
        <w:tab/>
      </w:r>
      <w:r>
        <w:rPr>
          <w:rFonts w:ascii="Times New Roman" w:cs="Times New Roman" w:eastAsia="Times New Roman" w:hAnsi="Times New Roman"/>
          <w:sz w:val="12"/>
          <w:szCs w:val="12"/>
          <w:b w:val="1"/>
          <w:bCs w:val="1"/>
          <w:color w:val="auto"/>
        </w:rPr>
        <w:t>INVENTORIES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6"/>
        </w:trPr>
        <w:tc>
          <w:tcPr>
            <w:tcW w:w="6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Inventories consist of the following as of December 31, 2023 and 2022:</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555"/>
        </w:trPr>
        <w:tc>
          <w:tcPr>
            <w:tcW w:w="10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Details</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Raw materials</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145,894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158,763</w:t>
            </w:r>
          </w:p>
        </w:tc>
        <w:tc>
          <w:tcPr>
            <w:tcW w:w="80" w:type="dxa"/>
            <w:vAlign w:val="bottom"/>
            <w:shd w:val="clear" w:color="auto" w:fill="CCEEFF"/>
          </w:tcPr>
          <w:p>
            <w:pPr>
              <w:spacing w:after="0"/>
              <w:rPr>
                <w:sz w:val="14"/>
                <w:szCs w:val="14"/>
                <w:color w:val="auto"/>
              </w:rPr>
            </w:pPr>
          </w:p>
        </w:tc>
      </w:tr>
      <w:tr>
        <w:trPr>
          <w:trHeight w:val="163"/>
        </w:trPr>
        <w:tc>
          <w:tcPr>
            <w:tcW w:w="10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Work in process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116,698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116,553</w:t>
            </w:r>
          </w:p>
        </w:tc>
      </w:tr>
      <w:tr>
        <w:trPr>
          <w:trHeight w:val="163"/>
        </w:trPr>
        <w:tc>
          <w:tcPr>
            <w:tcW w:w="10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Finished goods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26,792</w:t>
            </w:r>
          </w:p>
        </w:tc>
      </w:tr>
      <w:tr>
        <w:trPr>
          <w:trHeight w:val="20"/>
        </w:trPr>
        <w:tc>
          <w:tcPr>
            <w:tcW w:w="100" w:type="dxa"/>
            <w:vAlign w:val="bottom"/>
          </w:tcPr>
          <w:p>
            <w:pPr>
              <w:spacing w:after="0" w:line="20" w:lineRule="exact"/>
              <w:rPr>
                <w:sz w:val="1"/>
                <w:szCs w:val="1"/>
                <w:color w:val="auto"/>
              </w:rPr>
            </w:pPr>
          </w:p>
        </w:tc>
        <w:tc>
          <w:tcPr>
            <w:tcW w:w="65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62"/>
        </w:trPr>
        <w:tc>
          <w:tcPr>
            <w:tcW w:w="1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282,688</w:t>
            </w:r>
          </w:p>
        </w:tc>
        <w:tc>
          <w:tcPr>
            <w:tcW w:w="16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302,108</w:t>
            </w:r>
          </w:p>
        </w:tc>
      </w:tr>
      <w:tr>
        <w:trPr>
          <w:trHeight w:val="20"/>
        </w:trPr>
        <w:tc>
          <w:tcPr>
            <w:tcW w:w="1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Work in process and finished goods are presented net of aggregate write-downs to net realizable value of $8,327 and $8,192 as of December 31, 2023 and 2022, respectively.</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4:</w:t>
      </w:r>
      <w:r>
        <w:rPr>
          <w:sz w:val="20"/>
          <w:szCs w:val="20"/>
          <w:color w:val="auto"/>
        </w:rPr>
        <w:tab/>
      </w:r>
      <w:r>
        <w:rPr>
          <w:rFonts w:ascii="Times New Roman" w:cs="Times New Roman" w:eastAsia="Times New Roman" w:hAnsi="Times New Roman"/>
          <w:sz w:val="12"/>
          <w:szCs w:val="12"/>
          <w:b w:val="1"/>
          <w:bCs w:val="1"/>
          <w:color w:val="auto"/>
        </w:rPr>
        <w:t>OTHER CURRENT ASSETS</w:t>
      </w:r>
    </w:p>
    <w:p>
      <w:pPr>
        <w:sectPr>
          <w:pgSz w:w="11900" w:h="16838" w:orient="portrait"/>
          <w:cols w:equalWidth="0" w:num="1">
            <w:col w:w="11280"/>
          </w:cols>
          <w:pgMar w:left="300" w:top="297" w:right="319" w:bottom="1440" w:gutter="0" w:footer="0" w:header="0"/>
        </w:sectPr>
      </w:pP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Other current assets consist of the following as of December 31, 2023 and 2022:</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Details</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Direct and indirect tax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-86360</wp:posOffset>
            </wp:positionV>
            <wp:extent cx="5395595" cy="115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95595" cy="115570"/>
                    </a:xfrm>
                    <a:prstGeom prst="rect">
                      <a:avLst/>
                    </a:prstGeom>
                    <a:noFill/>
                  </pic:spPr>
                </pic:pic>
              </a:graphicData>
            </a:graphic>
          </wp:anchor>
        </w:drawing>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Prepaid expenses</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Receivables from hedging transactions - see Notes 10, 12A and 12D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-86360</wp:posOffset>
            </wp:positionV>
            <wp:extent cx="5395595" cy="1155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95595" cy="115570"/>
                    </a:xfrm>
                    <a:prstGeom prst="rect">
                      <a:avLst/>
                    </a:prstGeom>
                    <a:noFill/>
                  </pic:spPr>
                </pic:pic>
              </a:graphicData>
            </a:graphic>
          </wp:anchor>
        </w:drawing>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28575</wp:posOffset>
            </wp:positionV>
            <wp:extent cx="5395595" cy="127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95595" cy="12763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5:</w:t>
      </w:r>
      <w:r>
        <w:rPr>
          <w:sz w:val="20"/>
          <w:szCs w:val="20"/>
          <w:color w:val="auto"/>
        </w:rPr>
        <w:tab/>
      </w:r>
      <w:r>
        <w:rPr>
          <w:rFonts w:ascii="Times New Roman" w:cs="Times New Roman" w:eastAsia="Times New Roman" w:hAnsi="Times New Roman"/>
          <w:sz w:val="12"/>
          <w:szCs w:val="12"/>
          <w:b w:val="1"/>
          <w:bCs w:val="1"/>
          <w:color w:val="auto"/>
        </w:rPr>
        <w:t>LONG-TERM INVESTMENTS</w:t>
      </w:r>
    </w:p>
    <w:p>
      <w:pPr>
        <w:spacing w:after="0" w:line="207"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3"/>
          <w:szCs w:val="13"/>
          <w:color w:val="auto"/>
        </w:rPr>
        <w:t>Long-term investments consist of the following as of December 31, 2023 and 2022:</w:t>
      </w:r>
    </w:p>
    <w:p>
      <w:pPr>
        <w:spacing w:after="0" w:line="19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Details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5"/>
                <w:szCs w:val="15"/>
                <w:color w:val="auto"/>
              </w:rPr>
            </w:pPr>
          </w:p>
        </w:tc>
      </w:tr>
      <w:tr>
        <w:trPr>
          <w:trHeight w:val="172"/>
        </w:trPr>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22,892</w:t>
            </w:r>
          </w:p>
        </w:tc>
        <w:tc>
          <w:tcPr>
            <w:tcW w:w="16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21,902</w:t>
            </w:r>
          </w:p>
        </w:tc>
      </w:tr>
      <w:tr>
        <w:trPr>
          <w:trHeight w:val="182"/>
        </w:trPr>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9,783</w:t>
            </w:r>
          </w:p>
        </w:tc>
      </w:tr>
      <w:tr>
        <w:trPr>
          <w:trHeight w:val="179"/>
        </w:trPr>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1,894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1,685</w:t>
            </w:r>
          </w:p>
        </w:tc>
      </w:tr>
      <w:tr>
        <w:trPr>
          <w:trHeight w:val="175"/>
        </w:trPr>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949</w:t>
            </w:r>
          </w:p>
        </w:tc>
      </w:tr>
      <w:tr>
        <w:trPr>
          <w:trHeight w:val="163"/>
        </w:trPr>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35,956</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34,319</w:t>
            </w:r>
          </w:p>
        </w:tc>
        <w:tc>
          <w:tcPr>
            <w:tcW w:w="20" w:type="dxa"/>
            <w:vAlign w:val="bottom"/>
          </w:tcPr>
          <w:p>
            <w:pPr>
              <w:spacing w:after="0"/>
              <w:rPr>
                <w:sz w:val="14"/>
                <w:szCs w:val="14"/>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00"/>
        <w:spacing w:after="0"/>
        <w:tabs>
          <w:tab w:leader="none" w:pos="1300" w:val="left"/>
        </w:tabs>
        <w:rPr>
          <w:sz w:val="20"/>
          <w:szCs w:val="20"/>
          <w:color w:val="auto"/>
        </w:rPr>
      </w:pPr>
      <w:r>
        <w:rPr>
          <w:rFonts w:ascii="Times New Roman" w:cs="Times New Roman" w:eastAsia="Times New Roman" w:hAnsi="Times New Roman"/>
          <w:sz w:val="13"/>
          <w:szCs w:val="13"/>
          <w:color w:val="auto"/>
        </w:rPr>
        <w:t>2023</w:t>
      </w:r>
      <w:r>
        <w:rPr>
          <w:sz w:val="20"/>
          <w:szCs w:val="20"/>
          <w:color w:val="auto"/>
        </w:rPr>
        <w:tab/>
      </w:r>
      <w:r>
        <w:rPr>
          <w:rFonts w:ascii="Times New Roman" w:cs="Times New Roman" w:eastAsia="Times New Roman" w:hAnsi="Times New Roman"/>
          <w:sz w:val="13"/>
          <w:szCs w:val="13"/>
          <w:color w:val="auto"/>
        </w:rPr>
        <w:t>2022</w:t>
      </w:r>
    </w:p>
    <w:p>
      <w:pPr>
        <w:spacing w:after="0" w:line="36" w:lineRule="exact"/>
        <w:rPr>
          <w:sz w:val="20"/>
          <w:szCs w:val="20"/>
          <w:color w:val="auto"/>
        </w:rPr>
      </w:pPr>
    </w:p>
    <w:p>
      <w:pPr>
        <w:sectPr>
          <w:pgSz w:w="11900" w:h="16838" w:orient="portrait"/>
          <w:cols w:equalWidth="0" w:num="2">
            <w:col w:w="6500" w:space="720"/>
            <w:col w:w="4060"/>
          </w:cols>
          <w:pgMar w:left="300" w:top="297" w:right="3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2"/>
        </w:trPr>
        <w:tc>
          <w:tcPr>
            <w:tcW w:w="680" w:type="dxa"/>
            <w:vAlign w:val="bottom"/>
          </w:tcPr>
          <w:p>
            <w:pPr>
              <w:spacing w:after="0"/>
              <w:rPr>
                <w:sz w:val="13"/>
                <w:szCs w:val="13"/>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in privately held companies</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6,780</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6,720</w:t>
            </w:r>
          </w:p>
        </w:tc>
      </w:tr>
      <w:tr>
        <w:trPr>
          <w:trHeight w:val="163"/>
        </w:trPr>
        <w:tc>
          <w:tcPr>
            <w:tcW w:w="68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Severance-pay funds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2,076</w:t>
            </w:r>
          </w:p>
        </w:tc>
      </w:tr>
      <w:tr>
        <w:trPr>
          <w:trHeight w:val="202"/>
        </w:trPr>
        <w:tc>
          <w:tcPr>
            <w:tcW w:w="680" w:type="dxa"/>
            <w:vAlign w:val="bottom"/>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8,452</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8,796</w:t>
            </w:r>
          </w:p>
        </w:tc>
        <w:tc>
          <w:tcPr>
            <w:tcW w:w="80" w:type="dxa"/>
            <w:vAlign w:val="bottom"/>
            <w:tcBorders>
              <w:bottom w:val="single" w:sz="8" w:color="CCEEFF"/>
            </w:tcBorders>
            <w:shd w:val="clear" w:color="auto" w:fill="CCEEFF"/>
          </w:tcPr>
          <w:p>
            <w:pPr>
              <w:spacing w:after="0"/>
              <w:rPr>
                <w:sz w:val="17"/>
                <w:szCs w:val="17"/>
                <w:color w:val="auto"/>
              </w:rPr>
            </w:pPr>
          </w:p>
        </w:tc>
      </w:tr>
      <w:tr>
        <w:trPr>
          <w:trHeight w:val="332"/>
        </w:trPr>
        <w:tc>
          <w:tcPr>
            <w:tcW w:w="7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 6:  PROPERTY AND EQUIPMENT, NET</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4"/>
        </w:trPr>
        <w:tc>
          <w:tcPr>
            <w:tcW w:w="722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Property and equipment consist of the following as of December 31, 2023 and 2022: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4"/>
        </w:trPr>
        <w:tc>
          <w:tcPr>
            <w:tcW w:w="68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Details</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24"/>
                <w:szCs w:val="24"/>
                <w:color w:val="auto"/>
              </w:rPr>
            </w:pPr>
          </w:p>
        </w:tc>
      </w:tr>
      <w:tr>
        <w:trPr>
          <w:trHeight w:val="172"/>
        </w:trPr>
        <w:tc>
          <w:tcPr>
            <w:tcW w:w="68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Original cost: (*)</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7"/>
        </w:trPr>
        <w:tc>
          <w:tcPr>
            <w:tcW w:w="680" w:type="dxa"/>
            <w:vAlign w:val="bottom"/>
          </w:tcPr>
          <w:p>
            <w:pPr>
              <w:spacing w:after="0"/>
              <w:rPr>
                <w:sz w:val="15"/>
                <w:szCs w:val="15"/>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Land and buildings, including facility infrastructure</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429,191</w:t>
            </w:r>
          </w:p>
        </w:tc>
        <w:tc>
          <w:tcPr>
            <w:tcW w:w="160" w:type="dxa"/>
            <w:vAlign w:val="bottom"/>
          </w:tcPr>
          <w:p>
            <w:pPr>
              <w:spacing w:after="0"/>
              <w:rPr>
                <w:sz w:val="15"/>
                <w:szCs w:val="15"/>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429,277</w:t>
            </w:r>
          </w:p>
        </w:tc>
      </w:tr>
      <w:tr>
        <w:trPr>
          <w:trHeight w:val="168"/>
        </w:trPr>
        <w:tc>
          <w:tcPr>
            <w:tcW w:w="68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Machinery and equipment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3,977,381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3,576,824</w:t>
            </w:r>
          </w:p>
        </w:tc>
      </w:tr>
      <w:tr>
        <w:trPr>
          <w:trHeight w:val="20"/>
        </w:trPr>
        <w:tc>
          <w:tcPr>
            <w:tcW w:w="680" w:type="dxa"/>
            <w:vAlign w:val="bottom"/>
          </w:tcPr>
          <w:p>
            <w:pPr>
              <w:spacing w:after="0" w:line="20" w:lineRule="exact"/>
              <w:rPr>
                <w:sz w:val="1"/>
                <w:szCs w:val="1"/>
                <w:color w:val="auto"/>
              </w:rPr>
            </w:pPr>
          </w:p>
        </w:tc>
        <w:tc>
          <w:tcPr>
            <w:tcW w:w="65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4,406,572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4,006,101</w:t>
            </w:r>
          </w:p>
        </w:tc>
      </w:tr>
      <w:tr>
        <w:trPr>
          <w:trHeight w:val="172"/>
        </w:trPr>
        <w:tc>
          <w:tcPr>
            <w:tcW w:w="68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depreciation:</w:t>
            </w: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4"/>
        </w:trPr>
        <w:tc>
          <w:tcPr>
            <w:tcW w:w="680" w:type="dxa"/>
            <w:vAlign w:val="bottom"/>
          </w:tcPr>
          <w:p>
            <w:pPr>
              <w:spacing w:after="0"/>
              <w:rPr>
                <w:sz w:val="15"/>
                <w:szCs w:val="15"/>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Buildings, including facility infrastructure</w:t>
            </w: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(291,684)</w:t>
            </w:r>
          </w:p>
        </w:tc>
        <w:tc>
          <w:tcPr>
            <w:tcW w:w="18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(279,408)</w:t>
            </w:r>
          </w:p>
        </w:tc>
      </w:tr>
      <w:tr>
        <w:trPr>
          <w:trHeight w:val="171"/>
        </w:trPr>
        <w:tc>
          <w:tcPr>
            <w:tcW w:w="68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Machinery and equipment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(2,958,959)</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(2,764,435)</w:t>
            </w:r>
          </w:p>
        </w:tc>
      </w:tr>
      <w:tr>
        <w:trPr>
          <w:trHeight w:val="20"/>
        </w:trPr>
        <w:tc>
          <w:tcPr>
            <w:tcW w:w="680" w:type="dxa"/>
            <w:vAlign w:val="bottom"/>
          </w:tcPr>
          <w:p>
            <w:pPr>
              <w:spacing w:after="0" w:line="20" w:lineRule="exact"/>
              <w:rPr>
                <w:sz w:val="1"/>
                <w:szCs w:val="1"/>
                <w:color w:val="auto"/>
              </w:rPr>
            </w:pPr>
          </w:p>
        </w:tc>
        <w:tc>
          <w:tcPr>
            <w:tcW w:w="65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(3,250,643)</w:t>
            </w:r>
          </w:p>
        </w:tc>
        <w:tc>
          <w:tcPr>
            <w:tcW w:w="1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(3,043,843)</w:t>
            </w:r>
          </w:p>
        </w:tc>
      </w:tr>
      <w:tr>
        <w:trPr>
          <w:trHeight w:val="202"/>
        </w:trPr>
        <w:tc>
          <w:tcPr>
            <w:tcW w:w="680" w:type="dxa"/>
            <w:vAlign w:val="bottom"/>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1,155,929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962,258</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79" w:lineRule="exact"/>
        <w:rPr>
          <w:sz w:val="20"/>
          <w:szCs w:val="20"/>
          <w:color w:val="auto"/>
        </w:rPr>
      </w:pPr>
    </w:p>
    <w:p>
      <w:pPr>
        <w:ind w:left="580" w:hanging="5"/>
        <w:spacing w:after="0" w:line="287" w:lineRule="auto"/>
        <w:tabs>
          <w:tab w:leader="none" w:pos="77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Original cost includes ROU assets under capital lease in the amount of $204,230 and $223,716 as of December 31, 2023 and 2022, respectively. The depreciation expense of such assets amounted to $18,307 and $14,215 for the years ended December 31, 2023 and 2022, respectively.</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As of December 31, 2023 and 2022, the original cost of land, buildings, machinery and equipment was presented net of investment grants, in the aggregate amount of approximately $285,000.</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type w:val="continuous"/>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 7:  INTANGIBLE ASSETS, NET</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51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Intangible assets consist of the following as of December 31, 2023:</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7"/>
              </w:rPr>
              <w:t>Useful life</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23"/>
              <w:spacing w:after="0"/>
              <w:rPr>
                <w:sz w:val="20"/>
                <w:szCs w:val="20"/>
                <w:color w:val="auto"/>
              </w:rPr>
            </w:pPr>
            <w:r>
              <w:rPr>
                <w:rFonts w:ascii="Times New Roman" w:cs="Times New Roman" w:eastAsia="Times New Roman" w:hAnsi="Times New Roman"/>
                <w:sz w:val="13"/>
                <w:szCs w:val="13"/>
                <w:color w:val="auto"/>
                <w:w w:val="95"/>
              </w:rPr>
              <w:t>Accumulated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Details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(years)</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Cost</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5"/>
              </w:rPr>
              <w:t>Amortization</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Net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Facilities’ lease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(29,394</w:t>
            </w:r>
          </w:p>
        </w:tc>
        <w:tc>
          <w:tcPr>
            <w:tcW w:w="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7"/>
                <w:szCs w:val="7"/>
                <w:color w:val="auto"/>
                <w:w w:val="83"/>
              </w:rPr>
              <w:t>)</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4,106</w:t>
            </w: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Technologies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10-20</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83"/>
              <w:spacing w:after="0"/>
              <w:rPr>
                <w:sz w:val="20"/>
                <w:szCs w:val="20"/>
                <w:color w:val="auto"/>
              </w:rPr>
            </w:pPr>
            <w:r>
              <w:rPr>
                <w:rFonts w:ascii="Times New Roman" w:cs="Times New Roman" w:eastAsia="Times New Roman" w:hAnsi="Times New Roman"/>
                <w:sz w:val="13"/>
                <w:szCs w:val="13"/>
                <w:color w:val="auto"/>
              </w:rPr>
              <w:t>(5,691)</w:t>
            </w:r>
          </w:p>
        </w:tc>
        <w:tc>
          <w:tcPr>
            <w:tcW w:w="1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1,009</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3"/>
                <w:szCs w:val="13"/>
                <w:color w:val="auto"/>
              </w:rPr>
              <w:t>(2,600)</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Total identifiable intangible assets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83"/>
              <w:spacing w:after="0"/>
              <w:rPr>
                <w:sz w:val="20"/>
                <w:szCs w:val="20"/>
                <w:color w:val="auto"/>
              </w:rPr>
            </w:pPr>
            <w:r>
              <w:rPr>
                <w:rFonts w:ascii="Times New Roman" w:cs="Times New Roman" w:eastAsia="Times New Roman" w:hAnsi="Times New Roman"/>
                <w:sz w:val="13"/>
                <w:szCs w:val="13"/>
                <w:color w:val="auto"/>
              </w:rPr>
              <w:t>(37,685)</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5,115</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3"/>
                <w:szCs w:val="13"/>
                <w:color w:val="auto"/>
              </w:rPr>
              <w:t>Intangible assets consist of the following as of December 31, 2022:</w:t>
            </w: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1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80" w:type="dxa"/>
            <w:vAlign w:val="bottom"/>
          </w:tcPr>
          <w:p>
            <w:pPr>
              <w:spacing w:after="0"/>
              <w:rPr>
                <w:sz w:val="24"/>
                <w:szCs w:val="24"/>
                <w:color w:val="auto"/>
              </w:rPr>
            </w:pPr>
          </w:p>
        </w:tc>
        <w:tc>
          <w:tcPr>
            <w:tcW w:w="45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Details</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7"/>
              </w:rPr>
              <w:t>Useful life</w:t>
            </w:r>
          </w:p>
        </w:tc>
        <w:tc>
          <w:tcPr>
            <w:tcW w:w="180" w:type="dxa"/>
            <w:vAlign w:val="bottom"/>
          </w:tcPr>
          <w:p>
            <w:pPr>
              <w:spacing w:after="0"/>
              <w:rPr>
                <w:sz w:val="24"/>
                <w:szCs w:val="24"/>
                <w:color w:val="auto"/>
              </w:rPr>
            </w:pPr>
          </w:p>
        </w:tc>
        <w:tc>
          <w:tcPr>
            <w:tcW w:w="66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auto"/>
              </w:rPr>
              <w:t>Cost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23"/>
              <w:spacing w:after="0"/>
              <w:rPr>
                <w:sz w:val="20"/>
                <w:szCs w:val="20"/>
                <w:color w:val="auto"/>
              </w:rPr>
            </w:pPr>
            <w:r>
              <w:rPr>
                <w:rFonts w:ascii="Times New Roman" w:cs="Times New Roman" w:eastAsia="Times New Roman" w:hAnsi="Times New Roman"/>
                <w:sz w:val="13"/>
                <w:szCs w:val="13"/>
                <w:color w:val="auto"/>
                <w:w w:val="95"/>
              </w:rPr>
              <w:t>Accumulated</w:t>
            </w:r>
          </w:p>
        </w:tc>
        <w:tc>
          <w:tcPr>
            <w:tcW w:w="180" w:type="dxa"/>
            <w:vAlign w:val="bottom"/>
          </w:tcPr>
          <w:p>
            <w:pPr>
              <w:spacing w:after="0"/>
              <w:rPr>
                <w:sz w:val="24"/>
                <w:szCs w:val="24"/>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Net</w:t>
            </w:r>
          </w:p>
        </w:tc>
        <w:tc>
          <w:tcPr>
            <w:tcW w:w="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50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(years)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5"/>
              </w:rPr>
              <w:t>Amortization</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Facilities’ lease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(28,105</w:t>
            </w:r>
          </w:p>
        </w:tc>
        <w:tc>
          <w:tcPr>
            <w:tcW w:w="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7"/>
                <w:szCs w:val="7"/>
                <w:color w:val="auto"/>
                <w:w w:val="83"/>
              </w:rPr>
              <w:t>)</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5,395</w:t>
            </w: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Technologies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10-20</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83"/>
              <w:spacing w:after="0"/>
              <w:rPr>
                <w:sz w:val="20"/>
                <w:szCs w:val="20"/>
                <w:color w:val="auto"/>
              </w:rPr>
            </w:pPr>
            <w:r>
              <w:rPr>
                <w:rFonts w:ascii="Times New Roman" w:cs="Times New Roman" w:eastAsia="Times New Roman" w:hAnsi="Times New Roman"/>
                <w:sz w:val="13"/>
                <w:szCs w:val="13"/>
                <w:color w:val="auto"/>
              </w:rPr>
              <w:t>(5,180)</w:t>
            </w:r>
          </w:p>
        </w:tc>
        <w:tc>
          <w:tcPr>
            <w:tcW w:w="1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1,512</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3"/>
                <w:szCs w:val="13"/>
                <w:color w:val="auto"/>
              </w:rPr>
              <w:t>(2,476)</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Total identifiable intangible assets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42,792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83"/>
              <w:spacing w:after="0"/>
              <w:rPr>
                <w:sz w:val="20"/>
                <w:szCs w:val="20"/>
                <w:color w:val="auto"/>
              </w:rPr>
            </w:pPr>
            <w:r>
              <w:rPr>
                <w:rFonts w:ascii="Times New Roman" w:cs="Times New Roman" w:eastAsia="Times New Roman" w:hAnsi="Times New Roman"/>
                <w:sz w:val="13"/>
                <w:szCs w:val="13"/>
                <w:color w:val="auto"/>
              </w:rPr>
              <w:t>(35,761)</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7,031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NOTE 8:</w:t>
      </w:r>
      <w:r>
        <w:rPr>
          <w:sz w:val="20"/>
          <w:szCs w:val="20"/>
          <w:color w:val="auto"/>
        </w:rPr>
        <w:tab/>
      </w:r>
      <w:r>
        <w:rPr>
          <w:rFonts w:ascii="Times New Roman" w:cs="Times New Roman" w:eastAsia="Times New Roman" w:hAnsi="Times New Roman"/>
          <w:sz w:val="12"/>
          <w:szCs w:val="12"/>
          <w:b w:val="1"/>
          <w:bCs w:val="1"/>
          <w:color w:val="auto"/>
        </w:rPr>
        <w:t>DEFERRED TAX AND OTHER LONG-TERM ASSETS, NET</w:t>
      </w:r>
    </w:p>
    <w:p>
      <w:pPr>
        <w:sectPr>
          <w:pgSz w:w="11900" w:h="16838" w:orient="portrait"/>
          <w:cols w:equalWidth="0" w:num="1">
            <w:col w:w="11300"/>
          </w:cols>
          <w:pgMar w:left="300" w:top="297" w:right="299" w:bottom="1440" w:gutter="0" w:footer="0" w:header="0"/>
        </w:sectPr>
      </w:pP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Deferred tax and other long-term assets, net consist of the following as of December 31, 2023 and 2022:</w:t>
      </w:r>
    </w:p>
    <w:p>
      <w:pPr>
        <w:spacing w:after="0" w:line="14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Details</w:t>
      </w:r>
    </w:p>
    <w:p>
      <w:pPr>
        <w:spacing w:after="0" w:line="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Long-term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-86360</wp:posOffset>
            </wp:positionV>
            <wp:extent cx="5383530" cy="1155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83530" cy="115570"/>
                    </a:xfrm>
                    <a:prstGeom prst="rect">
                      <a:avLst/>
                    </a:prstGeom>
                    <a:noFill/>
                  </pic:spPr>
                </pic:pic>
              </a:graphicData>
            </a:graphic>
          </wp:anchor>
        </w:drawing>
      </w:r>
    </w:p>
    <w:p>
      <w:pPr>
        <w:spacing w:after="0" w:line="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ROU - assets under operating leases</w:t>
      </w:r>
    </w:p>
    <w:p>
      <w:pPr>
        <w:spacing w:after="0" w:line="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Prepaid long-term land lease,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-86360</wp:posOffset>
            </wp:positionV>
            <wp:extent cx="5383530" cy="115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83530" cy="115570"/>
                    </a:xfrm>
                    <a:prstGeom prst="rect">
                      <a:avLst/>
                    </a:prstGeom>
                    <a:noFill/>
                  </pic:spPr>
                </pic:pic>
              </a:graphicData>
            </a:graphic>
          </wp:anchor>
        </w:drawing>
      </w:r>
    </w:p>
    <w:p>
      <w:pPr>
        <w:spacing w:after="0" w:line="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Deferred tax asset (see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28575</wp:posOffset>
            </wp:positionV>
            <wp:extent cx="5383530" cy="127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83530" cy="127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5"/>
                <w:szCs w:val="15"/>
                <w:color w:val="auto"/>
              </w:rPr>
            </w:pPr>
          </w:p>
        </w:tc>
      </w:tr>
      <w:tr>
        <w:trPr>
          <w:trHeight w:val="172"/>
        </w:trPr>
        <w:tc>
          <w:tcPr>
            <w:tcW w:w="1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18,598</w:t>
            </w:r>
          </w:p>
        </w:tc>
        <w:tc>
          <w:tcPr>
            <w:tcW w:w="16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21,395</w:t>
            </w:r>
          </w:p>
        </w:tc>
      </w:tr>
      <w:tr>
        <w:trPr>
          <w:trHeight w:val="182"/>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10,355</w:t>
            </w:r>
          </w:p>
        </w:tc>
      </w:tr>
      <w:tr>
        <w:trPr>
          <w:trHeight w:val="179"/>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2,812</w:t>
            </w: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32,787</w:t>
            </w:r>
          </w:p>
        </w:tc>
      </w:tr>
      <w:tr>
        <w:trPr>
          <w:trHeight w:val="163"/>
        </w:trPr>
        <w:tc>
          <w:tcPr>
            <w:tcW w:w="2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32,863</w:t>
            </w: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67,349</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2">
            <w:col w:w="6500" w:space="720"/>
            <w:col w:w="4080"/>
          </w:cols>
          <w:pgMar w:left="300" w:top="297" w:right="29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6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 9:  OTHER CURRENT LIABILITIES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672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Other current liabilities consist of the following as of December 31, 2023 and 2022:</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8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Details</w:t>
            </w:r>
          </w:p>
        </w:tc>
        <w:tc>
          <w:tcPr>
            <w:tcW w:w="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payables</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7,400</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7,953</w:t>
            </w: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Hedging transactions related payables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500</w:t>
            </w:r>
          </w:p>
        </w:tc>
        <w:tc>
          <w:tcPr>
            <w:tcW w:w="1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6,947</w:t>
            </w: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payable on debt</w:t>
            </w: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286</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253</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Proceeds on account of machinery and equipment to be sold in relation to restructuring (see also note 14B2)</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60,121</w:t>
            </w: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w:t>
            </w: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1,078</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9,286</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76,352</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40" w:type="dxa"/>
            <w:vAlign w:val="bottom"/>
            <w:vMerge w:val="restart"/>
          </w:tcPr>
          <w:p>
            <w:pPr>
              <w:ind w:left="4820"/>
              <w:spacing w:after="0"/>
              <w:rPr>
                <w:sz w:val="20"/>
                <w:szCs w:val="20"/>
                <w:color w:val="auto"/>
              </w:rPr>
            </w:pPr>
            <w:r>
              <w:rPr>
                <w:rFonts w:ascii="Times New Roman" w:cs="Times New Roman" w:eastAsia="Times New Roman" w:hAnsi="Times New Roman"/>
                <w:sz w:val="13"/>
                <w:szCs w:val="13"/>
                <w:color w:val="auto"/>
              </w:rPr>
              <w:t>F - 22</w:t>
            </w: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8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97" w:right="29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10: LONG-TERM DEBT - SERIES G DEBENTURES</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In June 2016, Tower raised approximately $115,000 through the issuance of long-term unsecured non-convertible debentures (“Series G Debentures”).</w:t>
      </w:r>
    </w:p>
    <w:p>
      <w:pPr>
        <w:spacing w:after="0" w:line="195" w:lineRule="exact"/>
        <w:rPr>
          <w:sz w:val="20"/>
          <w:szCs w:val="20"/>
          <w:color w:val="auto"/>
        </w:rPr>
      </w:pPr>
    </w:p>
    <w:p>
      <w:pPr>
        <w:jc w:val="both"/>
        <w:ind w:left="580" w:firstLine="4"/>
        <w:spacing w:after="0" w:line="274" w:lineRule="auto"/>
        <w:rPr>
          <w:sz w:val="20"/>
          <w:szCs w:val="20"/>
          <w:color w:val="auto"/>
        </w:rPr>
      </w:pPr>
      <w:r>
        <w:rPr>
          <w:rFonts w:ascii="Times New Roman" w:cs="Times New Roman" w:eastAsia="Times New Roman" w:hAnsi="Times New Roman"/>
          <w:sz w:val="13"/>
          <w:szCs w:val="13"/>
          <w:color w:val="auto"/>
        </w:rPr>
        <w:t>The Series G Debentures were payable in seven semi-annual consecutive equal installments from March 2020 to March 2023 and carried an annual interest rate of 2.79%. The principal and interest amounts were denominated in NIS and were not linked to any index or to any other currency. The Company entered into cash flow hedging transactions to mitigate the foreign exchange rate changes’ impact on the principal and interest using a cross-currency swap.</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As of March 31, 2023, the Series G Debentures were fully redeemed.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11: LONG-TERM DEBT - OTHERS</w:t>
      </w:r>
    </w:p>
    <w:p>
      <w:pPr>
        <w:spacing w:after="0" w:line="234" w:lineRule="exact"/>
        <w:rPr>
          <w:sz w:val="20"/>
          <w:szCs w:val="20"/>
          <w:color w:val="auto"/>
        </w:rPr>
      </w:pPr>
    </w:p>
    <w:p>
      <w:pPr>
        <w:ind w:left="980" w:hanging="409"/>
        <w:spacing w:after="0"/>
        <w:tabs>
          <w:tab w:leader="none" w:pos="980" w:val="left"/>
        </w:tabs>
        <w:numPr>
          <w:ilvl w:val="0"/>
          <w:numId w:val="1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Composition</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6"/>
        </w:trPr>
        <w:tc>
          <w:tcPr>
            <w:tcW w:w="260" w:type="dxa"/>
            <w:vAlign w:val="bottom"/>
          </w:tcPr>
          <w:p>
            <w:pPr>
              <w:spacing w:after="0"/>
              <w:rPr>
                <w:sz w:val="14"/>
                <w:szCs w:val="14"/>
                <w:color w:val="auto"/>
              </w:rPr>
            </w:pPr>
          </w:p>
        </w:tc>
        <w:tc>
          <w:tcPr>
            <w:tcW w:w="274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As of December 31, 2023 and 2022:</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260" w:type="dxa"/>
            <w:vAlign w:val="bottom"/>
          </w:tcPr>
          <w:p>
            <w:pPr>
              <w:spacing w:after="0"/>
              <w:rPr>
                <w:sz w:val="24"/>
                <w:szCs w:val="24"/>
                <w:color w:val="auto"/>
              </w:rPr>
            </w:pPr>
          </w:p>
        </w:tc>
        <w:tc>
          <w:tcPr>
            <w:tcW w:w="274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Details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w w:val="97"/>
              </w:rPr>
              <w:t>Long-term JPY loans - principal amount - see Notes 11B and 11C below</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3"/>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102,491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83,368</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Capital leases and other long-term liabilities - see Note 11D below</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119,310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leases - see Note 11E below</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10,355</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Less - current maturities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(58,952)</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(43,310)</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172,611</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210,069</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w:t>
            </w:r>
          </w:p>
        </w:tc>
        <w:tc>
          <w:tcPr>
            <w:tcW w:w="27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9"/>
              </w:rPr>
              <w:t>Repayment Schedule of Long-term JPY Loans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60" w:type="dxa"/>
            <w:vAlign w:val="bottom"/>
          </w:tcPr>
          <w:p>
            <w:pPr>
              <w:spacing w:after="0"/>
              <w:rPr>
                <w:sz w:val="24"/>
                <w:szCs w:val="24"/>
                <w:color w:val="auto"/>
              </w:rPr>
            </w:pPr>
          </w:p>
        </w:tc>
        <w:tc>
          <w:tcPr>
            <w:tcW w:w="274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As of December 31, 2023:</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60" w:type="dxa"/>
            <w:vAlign w:val="bottom"/>
          </w:tcPr>
          <w:p>
            <w:pPr>
              <w:spacing w:after="0"/>
              <w:rPr>
                <w:sz w:val="24"/>
                <w:szCs w:val="24"/>
                <w:color w:val="auto"/>
              </w:rPr>
            </w:pPr>
          </w:p>
        </w:tc>
        <w:tc>
          <w:tcPr>
            <w:tcW w:w="2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Details</w:t>
            </w:r>
          </w:p>
        </w:tc>
        <w:tc>
          <w:tcPr>
            <w:tcW w:w="160" w:type="dxa"/>
            <w:vAlign w:val="bottom"/>
            <w:vMerge w:val="restart"/>
          </w:tcPr>
          <w:p>
            <w:pPr>
              <w:spacing w:after="0"/>
              <w:rPr>
                <w:sz w:val="24"/>
                <w:szCs w:val="24"/>
                <w:color w:val="auto"/>
              </w:rPr>
            </w:pPr>
          </w:p>
        </w:tc>
        <w:tc>
          <w:tcPr>
            <w:tcW w:w="1160" w:type="dxa"/>
            <w:vAlign w:val="bottom"/>
            <w:gridSpan w:val="3"/>
          </w:tcPr>
          <w:p>
            <w:pPr>
              <w:jc w:val="right"/>
              <w:ind w:right="667"/>
              <w:spacing w:after="0"/>
              <w:rPr>
                <w:sz w:val="20"/>
                <w:szCs w:val="20"/>
                <w:color w:val="auto"/>
              </w:rPr>
            </w:pPr>
            <w:r>
              <w:rPr>
                <w:rFonts w:ascii="Times New Roman" w:cs="Times New Roman" w:eastAsia="Times New Roman" w:hAnsi="Times New Roman"/>
                <w:sz w:val="13"/>
                <w:szCs w:val="13"/>
                <w:color w:val="auto"/>
              </w:rPr>
              <w:t>Interest</w:t>
            </w:r>
          </w:p>
        </w:tc>
        <w:tc>
          <w:tcPr>
            <w:tcW w:w="54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w w:val="92"/>
              </w:rPr>
              <w:t>2024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2025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2026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2027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Rate</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2021 JPY loan</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73"/>
              </w:rPr>
              <w:t>%</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11,108</w:t>
            </w:r>
          </w:p>
        </w:tc>
        <w:tc>
          <w:tcPr>
            <w:tcW w:w="3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22,215</w:t>
            </w:r>
          </w:p>
        </w:tc>
        <w:tc>
          <w:tcPr>
            <w:tcW w:w="26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22,215</w:t>
            </w:r>
          </w:p>
        </w:tc>
        <w:tc>
          <w:tcPr>
            <w:tcW w:w="260" w:type="dxa"/>
            <w:vAlign w:val="bottom"/>
            <w:gridSpan w:val="3"/>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22,215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77,753</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Long-term 2023 JPY loan</w:t>
            </w:r>
          </w:p>
        </w:tc>
        <w:tc>
          <w:tcPr>
            <w:tcW w:w="8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1.95%</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7,068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7,068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24,738</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long-term JPY loans</w:t>
            </w:r>
          </w:p>
        </w:tc>
        <w:tc>
          <w:tcPr>
            <w:tcW w:w="88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14,642</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29,283</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29,283</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29,283</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102,491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980" w:hanging="409"/>
        <w:spacing w:after="0"/>
        <w:tabs>
          <w:tab w:leader="none" w:pos="980" w:val="left"/>
        </w:tabs>
        <w:numPr>
          <w:ilvl w:val="0"/>
          <w:numId w:val="1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Long-term JPY Loans</w:t>
      </w:r>
    </w:p>
    <w:p>
      <w:pPr>
        <w:spacing w:after="0" w:line="206" w:lineRule="exact"/>
        <w:rPr>
          <w:rFonts w:ascii="Times New Roman" w:cs="Times New Roman" w:eastAsia="Times New Roman" w:hAnsi="Times New Roman"/>
          <w:sz w:val="13"/>
          <w:szCs w:val="13"/>
          <w:b w:val="1"/>
          <w:bCs w:val="1"/>
          <w:color w:val="auto"/>
        </w:rPr>
      </w:pPr>
    </w:p>
    <w:p>
      <w:pPr>
        <w:jc w:val="both"/>
        <w:ind w:left="1000" w:right="2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December 2021, TPSCo refinanced its then existing loan with an 11 billion JPY (approximately $78,000 as of December 31, 2023) asset-based loan with a consortium of financial institutions consisting of (i) JA Mitsui Leasing, Ltd., (ii) Mitsubishi HC Capital Inc., (iii) Taishin International Bank Co., Ltd. Tokyo Branch, and (iv) BOT lease Co. Ltd. (“2021 JPY Loan”). The 2021 JPY Loan carries a fixed interest rate of 1.95% per annum with principal payable in seven semiannual payments from December 2024 until December 2027. The 2021 JPY Loan is secured mainly by a lien over the machinery and equipment of TPSCo located in the Uozu and Tonami facilities.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11: LONG-TERM DEBT – OTHERS (continued)</w:t>
      </w:r>
    </w:p>
    <w:p>
      <w:pPr>
        <w:spacing w:after="0" w:line="234" w:lineRule="exact"/>
        <w:rPr>
          <w:sz w:val="20"/>
          <w:szCs w:val="20"/>
          <w:color w:val="auto"/>
        </w:rPr>
      </w:pPr>
    </w:p>
    <w:p>
      <w:pPr>
        <w:ind w:left="980" w:hanging="409"/>
        <w:spacing w:after="0"/>
        <w:tabs>
          <w:tab w:leader="none" w:pos="980" w:val="left"/>
        </w:tabs>
        <w:numPr>
          <w:ilvl w:val="0"/>
          <w:numId w:val="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Long-term JPY Loans (continued)</w:t>
      </w:r>
    </w:p>
    <w:p>
      <w:pPr>
        <w:spacing w:after="0" w:line="206" w:lineRule="exact"/>
        <w:rPr>
          <w:rFonts w:ascii="Times New Roman" w:cs="Times New Roman" w:eastAsia="Times New Roman" w:hAnsi="Times New Roman"/>
          <w:sz w:val="13"/>
          <w:szCs w:val="13"/>
          <w:b w:val="1"/>
          <w:bCs w:val="1"/>
          <w:color w:val="auto"/>
        </w:rPr>
      </w:pPr>
    </w:p>
    <w:p>
      <w:pPr>
        <w:jc w:val="both"/>
        <w:ind w:left="1000" w:right="20" w:firstLine="4"/>
        <w:spacing w:after="0" w:line="26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September 2023, TPSCo entered into a term loan agreement with JA Mitsui Leasing Ltd. for an additional 3.5 billion JPY (approximately $25,000 as of December 31, 2023) term loan (“2023 JPY Loan”). The 2023 JPY Loan carries a fixed interest rate of 1.95% per annum with principal payable in seven semiannual payments from September 2024 until September 2027. The 2023 JPY Loan is secured by a second lien over the machinery and equipment of TPSCo located in the Uozu and Tonami facilities.</w:t>
      </w:r>
    </w:p>
    <w:p>
      <w:pPr>
        <w:spacing w:after="0" w:line="173" w:lineRule="exact"/>
        <w:rPr>
          <w:rFonts w:ascii="Times New Roman" w:cs="Times New Roman" w:eastAsia="Times New Roman" w:hAnsi="Times New Roman"/>
          <w:sz w:val="13"/>
          <w:szCs w:val="13"/>
          <w:b w:val="1"/>
          <w:bCs w:val="1"/>
          <w:color w:val="auto"/>
        </w:rPr>
      </w:pPr>
    </w:p>
    <w:p>
      <w:pPr>
        <w:ind w:left="1000" w:right="20" w:firstLine="4"/>
        <w:spacing w:after="0" w:line="27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2021 JPY Loan and 2023 JPY Loan contain certain financial ratios and covenants, as well as customary definitions of events of default and acceleration of the repayment schedule. TPSCo’s obligations pursuant to the JPY Loans are not guaranteed by Tower, NTCJ, or any of their affiliates.</w:t>
      </w:r>
    </w:p>
    <w:p>
      <w:pPr>
        <w:spacing w:after="0" w:line="168"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2023, TPSCo maintained compliance with all of the financial covenants under the 2021 JPY Loan and 2023 JPY Loan.</w:t>
      </w:r>
    </w:p>
    <w:p>
      <w:pPr>
        <w:spacing w:after="0" w:line="231" w:lineRule="exact"/>
        <w:rPr>
          <w:rFonts w:ascii="Times New Roman" w:cs="Times New Roman" w:eastAsia="Times New Roman" w:hAnsi="Times New Roman"/>
          <w:sz w:val="13"/>
          <w:szCs w:val="13"/>
          <w:b w:val="1"/>
          <w:bCs w:val="1"/>
          <w:color w:val="auto"/>
        </w:rPr>
      </w:pPr>
    </w:p>
    <w:p>
      <w:pPr>
        <w:ind w:left="980" w:hanging="409"/>
        <w:spacing w:after="0"/>
        <w:tabs>
          <w:tab w:leader="none" w:pos="980" w:val="left"/>
        </w:tabs>
        <w:numPr>
          <w:ilvl w:val="0"/>
          <w:numId w:val="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Capital Lease Agreements and Other Long-term Liabilities</w:t>
      </w:r>
    </w:p>
    <w:p>
      <w:pPr>
        <w:spacing w:after="0" w:line="206" w:lineRule="exact"/>
        <w:rPr>
          <w:rFonts w:ascii="Times New Roman" w:cs="Times New Roman" w:eastAsia="Times New Roman" w:hAnsi="Times New Roman"/>
          <w:sz w:val="13"/>
          <w:szCs w:val="13"/>
          <w:b w:val="1"/>
          <w:bCs w:val="1"/>
          <w:color w:val="auto"/>
        </w:rPr>
      </w:pPr>
    </w:p>
    <w:p>
      <w:pPr>
        <w:jc w:val="both"/>
        <w:ind w:left="1000" w:right="2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Certain of the Company’s subsidiaries enter into capital lease agreements from time to time for certain machinery and equipment, usually for a period of four years, with an option to buy the machinery and equipment after a period of between three to four years from the start of the lease period. The lease agreements are denominated in JPY and contain annual interest rates of approximately 2%, and the assets under the lease agreements are pledged to the lender until the time at which the respective subsidiary acquires the assets. The obligations under the capital lease agreements are guaranteed by Tower, except for TPSCo’s obligations under its capital lease agreements (see also Note 14B).</w:t>
      </w:r>
    </w:p>
    <w:p>
      <w:pPr>
        <w:spacing w:after="0" w:line="163"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TPSCo leases its facility buildings in Japan from NTCJ under a long-term capital lease with a term through at least March 2032.</w:t>
      </w:r>
    </w:p>
    <w:p>
      <w:pPr>
        <w:spacing w:after="0" w:line="204" w:lineRule="exact"/>
        <w:rPr>
          <w:rFonts w:ascii="Times New Roman" w:cs="Times New Roman" w:eastAsia="Times New Roman" w:hAnsi="Times New Roman"/>
          <w:sz w:val="13"/>
          <w:szCs w:val="13"/>
          <w:b w:val="1"/>
          <w:bCs w:val="1"/>
          <w:color w:val="auto"/>
        </w:rPr>
      </w:pPr>
    </w:p>
    <w:p>
      <w:pPr>
        <w:ind w:left="980" w:right="2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2023 and 2022, the Company’s total outstanding capital lease liabilities for fixed assets were $118,272 and $158,114, respectively, of which $40,330 and $39,610, respectively, were included under current maturities of long-term debt.</w:t>
      </w:r>
    </w:p>
    <w:p>
      <w:pPr>
        <w:sectPr>
          <w:pgSz w:w="11900" w:h="16838" w:orient="portrait"/>
          <w:cols w:equalWidth="0" w:num="1">
            <w:col w:w="11300"/>
          </w:cols>
          <w:pgMar w:left="300" w:top="297" w:right="299" w:bottom="1440" w:gutter="0" w:footer="0" w:header="0"/>
        </w:sectPr>
      </w:pPr>
    </w:p>
    <w:p>
      <w:pPr>
        <w:spacing w:after="0" w:line="1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The following presents the maturity of capital lease and other long-term liabilities as of December 31, 2023:</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16510</wp:posOffset>
            </wp:positionV>
            <wp:extent cx="4586605" cy="12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86605" cy="12065"/>
                    </a:xfrm>
                    <a:prstGeom prst="rect">
                      <a:avLst/>
                    </a:prstGeom>
                    <a:noFill/>
                  </pic:spPr>
                </pic:pic>
              </a:graphicData>
            </a:graphic>
          </wp:anchor>
        </w:drawing>
      </w:r>
    </w:p>
    <w:p>
      <w:pPr>
        <w:spacing w:after="0" w:line="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-86360</wp:posOffset>
            </wp:positionV>
            <wp:extent cx="5207000" cy="1155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07000" cy="115570"/>
                    </a:xfrm>
                    <a:prstGeom prst="rect">
                      <a:avLst/>
                    </a:prstGeom>
                    <a:noFill/>
                  </pic:spPr>
                </pic:pic>
              </a:graphicData>
            </a:graphic>
          </wp:anchor>
        </w:drawing>
      </w:r>
    </w:p>
    <w:p>
      <w:pPr>
        <w:spacing w:after="0" w:line="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2025</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-86360</wp:posOffset>
            </wp:positionV>
            <wp:extent cx="5207000" cy="1155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07000" cy="115570"/>
                    </a:xfrm>
                    <a:prstGeom prst="rect">
                      <a:avLst/>
                    </a:prstGeom>
                    <a:noFill/>
                  </pic:spPr>
                </pic:pic>
              </a:graphicData>
            </a:graphic>
          </wp:anchor>
        </w:drawing>
      </w:r>
    </w:p>
    <w:p>
      <w:pPr>
        <w:spacing w:after="0" w:line="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2027</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-86360</wp:posOffset>
            </wp:positionV>
            <wp:extent cx="5207000" cy="1155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07000" cy="115570"/>
                    </a:xfrm>
                    <a:prstGeom prst="rect">
                      <a:avLst/>
                    </a:prstGeom>
                    <a:noFill/>
                  </pic:spPr>
                </pic:pic>
              </a:graphicData>
            </a:graphic>
          </wp:anchor>
        </w:drawing>
      </w:r>
    </w:p>
    <w:p>
      <w:pPr>
        <w:spacing w:after="0" w:line="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2029 and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99"/>
        <w:spacing w:after="0"/>
        <w:rPr>
          <w:sz w:val="20"/>
          <w:szCs w:val="20"/>
          <w:color w:val="auto"/>
        </w:rPr>
      </w:pPr>
      <w:r>
        <w:rPr>
          <w:rFonts w:ascii="Times New Roman" w:cs="Times New Roman" w:eastAsia="Times New Roman" w:hAnsi="Times New Roman"/>
          <w:sz w:val="13"/>
          <w:szCs w:val="13"/>
          <w:color w:val="auto"/>
        </w:rPr>
        <w:t>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16890"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6890" cy="12065"/>
                    </a:xfrm>
                    <a:prstGeom prst="rect">
                      <a:avLst/>
                    </a:prstGeom>
                    <a:noFill/>
                  </pic:spPr>
                </pic:pic>
              </a:graphicData>
            </a:graphic>
          </wp:anchor>
        </w:drawing>
      </w:r>
    </w:p>
    <w:p>
      <w:pPr>
        <w:spacing w:after="0" w:line="32" w:lineRule="exact"/>
        <w:rPr>
          <w:sz w:val="20"/>
          <w:szCs w:val="20"/>
          <w:color w:val="auto"/>
        </w:rPr>
      </w:pPr>
    </w:p>
    <w:p>
      <w:pPr>
        <w:ind w:left="459" w:hanging="459"/>
        <w:spacing w:after="0"/>
        <w:tabs>
          <w:tab w:leader="none" w:pos="459"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42,786</w:t>
      </w:r>
    </w:p>
    <w:p>
      <w:pPr>
        <w:spacing w:after="0" w:line="32" w:lineRule="exact"/>
        <w:rPr>
          <w:rFonts w:ascii="Times New Roman" w:cs="Times New Roman" w:eastAsia="Times New Roman" w:hAnsi="Times New Roman"/>
          <w:sz w:val="13"/>
          <w:szCs w:val="13"/>
          <w:color w:val="auto"/>
        </w:rPr>
      </w:pPr>
    </w:p>
    <w:p>
      <w:pPr>
        <w:ind w:left="45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28,468</w:t>
      </w:r>
    </w:p>
    <w:p>
      <w:pPr>
        <w:spacing w:after="0" w:line="32" w:lineRule="exact"/>
        <w:rPr>
          <w:rFonts w:ascii="Times New Roman" w:cs="Times New Roman" w:eastAsia="Times New Roman" w:hAnsi="Times New Roman"/>
          <w:sz w:val="13"/>
          <w:szCs w:val="13"/>
          <w:color w:val="auto"/>
        </w:rPr>
      </w:pPr>
    </w:p>
    <w:p>
      <w:pPr>
        <w:ind w:left="45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26,442</w:t>
      </w:r>
    </w:p>
    <w:p>
      <w:pPr>
        <w:spacing w:after="0" w:line="32" w:lineRule="exact"/>
        <w:rPr>
          <w:rFonts w:ascii="Times New Roman" w:cs="Times New Roman" w:eastAsia="Times New Roman" w:hAnsi="Times New Roman"/>
          <w:sz w:val="13"/>
          <w:szCs w:val="13"/>
          <w:color w:val="auto"/>
        </w:rPr>
      </w:pPr>
    </w:p>
    <w:p>
      <w:pPr>
        <w:ind w:left="51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7,178</w:t>
      </w:r>
    </w:p>
    <w:p>
      <w:pPr>
        <w:spacing w:after="0" w:line="32" w:lineRule="exact"/>
        <w:rPr>
          <w:rFonts w:ascii="Times New Roman" w:cs="Times New Roman" w:eastAsia="Times New Roman" w:hAnsi="Times New Roman"/>
          <w:sz w:val="13"/>
          <w:szCs w:val="13"/>
          <w:color w:val="auto"/>
        </w:rPr>
      </w:pPr>
    </w:p>
    <w:p>
      <w:pPr>
        <w:ind w:left="51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4,559</w:t>
      </w:r>
    </w:p>
    <w:p>
      <w:pPr>
        <w:spacing w:after="0" w:line="16" w:lineRule="exact"/>
        <w:rPr>
          <w:rFonts w:ascii="Times New Roman" w:cs="Times New Roman" w:eastAsia="Times New Roman" w:hAnsi="Times New Roman"/>
          <w:sz w:val="13"/>
          <w:szCs w:val="13"/>
          <w:color w:val="auto"/>
        </w:rPr>
      </w:pPr>
    </w:p>
    <w:p>
      <w:pPr>
        <w:ind w:left="459"/>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14,817</w:t>
      </w:r>
    </w:p>
    <w:p>
      <w:pPr>
        <w:spacing w:after="0" w:line="13" w:lineRule="exact"/>
        <w:rPr>
          <w:sz w:val="20"/>
          <w:szCs w:val="20"/>
          <w:color w:val="auto"/>
        </w:rPr>
      </w:pPr>
    </w:p>
    <w:p>
      <w:pPr>
        <w:sectPr>
          <w:pgSz w:w="11900" w:h="16838" w:orient="portrait"/>
          <w:cols w:equalWidth="0" w:num="2">
            <w:col w:w="7621" w:space="720"/>
            <w:col w:w="2959"/>
          </w:cols>
          <w:pgMar w:left="300" w:top="297" w:right="29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1040" w:type="dxa"/>
            <w:vAlign w:val="bottom"/>
          </w:tcPr>
          <w:p>
            <w:pPr>
              <w:spacing w:after="0"/>
              <w:rPr>
                <w:sz w:val="16"/>
                <w:szCs w:val="16"/>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45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124,250</w:t>
            </w:r>
          </w:p>
        </w:tc>
        <w:tc>
          <w:tcPr>
            <w:tcW w:w="80" w:type="dxa"/>
            <w:vAlign w:val="bottom"/>
            <w:shd w:val="clear" w:color="auto" w:fill="CCEEFF"/>
          </w:tcPr>
          <w:p>
            <w:pPr>
              <w:spacing w:after="0"/>
              <w:rPr>
                <w:sz w:val="16"/>
                <w:szCs w:val="16"/>
                <w:color w:val="auto"/>
              </w:rPr>
            </w:pPr>
          </w:p>
        </w:tc>
        <w:tc>
          <w:tcPr>
            <w:tcW w:w="2060" w:type="dxa"/>
            <w:vAlign w:val="bottom"/>
          </w:tcPr>
          <w:p>
            <w:pPr>
              <w:spacing w:after="0"/>
              <w:rPr>
                <w:sz w:val="16"/>
                <w:szCs w:val="16"/>
                <w:color w:val="auto"/>
              </w:rPr>
            </w:pPr>
          </w:p>
        </w:tc>
      </w:tr>
      <w:tr>
        <w:trPr>
          <w:trHeight w:val="163"/>
        </w:trPr>
        <w:tc>
          <w:tcPr>
            <w:tcW w:w="104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Less - imputed interest</w:t>
            </w: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(4,940)</w:t>
            </w:r>
          </w:p>
        </w:tc>
        <w:tc>
          <w:tcPr>
            <w:tcW w:w="2060" w:type="dxa"/>
            <w:vAlign w:val="bottom"/>
          </w:tcPr>
          <w:p>
            <w:pPr>
              <w:spacing w:after="0"/>
              <w:rPr>
                <w:sz w:val="14"/>
                <w:szCs w:val="14"/>
                <w:color w:val="auto"/>
              </w:rPr>
            </w:pPr>
          </w:p>
        </w:tc>
      </w:tr>
      <w:tr>
        <w:trPr>
          <w:trHeight w:val="202"/>
        </w:trPr>
        <w:tc>
          <w:tcPr>
            <w:tcW w:w="1040" w:type="dxa"/>
            <w:vAlign w:val="bottom"/>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4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119,310</w:t>
            </w:r>
          </w:p>
        </w:tc>
        <w:tc>
          <w:tcPr>
            <w:tcW w:w="8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r>
      <w:tr>
        <w:trPr>
          <w:trHeight w:val="390"/>
        </w:trPr>
        <w:tc>
          <w:tcPr>
            <w:tcW w:w="10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740" w:type="dxa"/>
            <w:vAlign w:val="bottom"/>
            <w:gridSpan w:val="2"/>
          </w:tcPr>
          <w:p>
            <w:pPr>
              <w:jc w:val="right"/>
              <w:ind w:right="2727"/>
              <w:spacing w:after="0"/>
              <w:rPr>
                <w:sz w:val="20"/>
                <w:szCs w:val="20"/>
                <w:color w:val="auto"/>
              </w:rPr>
            </w:pPr>
            <w:r>
              <w:rPr>
                <w:rFonts w:ascii="Times New Roman" w:cs="Times New Roman" w:eastAsia="Times New Roman" w:hAnsi="Times New Roman"/>
                <w:sz w:val="13"/>
                <w:szCs w:val="13"/>
                <w:color w:val="auto"/>
              </w:rPr>
              <w:t>F - 24</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8"/>
        </w:trPr>
        <w:tc>
          <w:tcPr>
            <w:tcW w:w="104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45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r>
    </w:tbl>
    <w:p>
      <w:pPr>
        <w:sectPr>
          <w:pgSz w:w="11900" w:h="16838" w:orient="portrait"/>
          <w:cols w:equalWidth="0" w:num="1">
            <w:col w:w="11300"/>
          </w:cols>
          <w:pgMar w:left="300" w:top="297" w:right="29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11: LONG-TERM DEBT - OTHERS (continued)</w:t>
      </w:r>
    </w:p>
    <w:p>
      <w:pPr>
        <w:spacing w:after="0" w:line="234" w:lineRule="exact"/>
        <w:rPr>
          <w:sz w:val="20"/>
          <w:szCs w:val="20"/>
          <w:color w:val="auto"/>
        </w:rPr>
      </w:pPr>
    </w:p>
    <w:p>
      <w:pPr>
        <w:ind w:left="980" w:hanging="409"/>
        <w:spacing w:after="0"/>
        <w:tabs>
          <w:tab w:leader="none" w:pos="980" w:val="left"/>
        </w:tabs>
        <w:numPr>
          <w:ilvl w:val="0"/>
          <w:numId w:val="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Operating Lease Agreements</w:t>
      </w:r>
    </w:p>
    <w:p>
      <w:pPr>
        <w:spacing w:after="0" w:line="207" w:lineRule="exact"/>
        <w:rPr>
          <w:sz w:val="20"/>
          <w:szCs w:val="20"/>
          <w:color w:val="auto"/>
        </w:rPr>
      </w:pPr>
    </w:p>
    <w:p>
      <w:pPr>
        <w:ind w:left="1000" w:firstLine="4"/>
        <w:spacing w:after="0" w:line="272" w:lineRule="auto"/>
        <w:rPr>
          <w:sz w:val="20"/>
          <w:szCs w:val="20"/>
          <w:color w:val="auto"/>
        </w:rPr>
      </w:pPr>
      <w:r>
        <w:rPr>
          <w:rFonts w:ascii="Times New Roman" w:cs="Times New Roman" w:eastAsia="Times New Roman" w:hAnsi="Times New Roman"/>
          <w:sz w:val="13"/>
          <w:szCs w:val="13"/>
          <w:color w:val="auto"/>
        </w:rPr>
        <w:t>The Company enters into operating leases from time to time for office space, operating facilities and vehicles. Operating lease cost for the years ended December 31, 2023, 2022 and 2021 was $4,807, $5,867 and $7,535, respectively. During 2023, cash paid for operating lease liabilities was $4,516.</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following presents the composition of operating leases in the balance sheets:</w:t>
      </w:r>
    </w:p>
    <w:p>
      <w:pPr>
        <w:spacing w:after="0" w:line="205" w:lineRule="exact"/>
        <w:rPr>
          <w:sz w:val="20"/>
          <w:szCs w:val="20"/>
          <w:color w:val="auto"/>
        </w:rPr>
      </w:pPr>
    </w:p>
    <w:tbl>
      <w:tblPr>
        <w:tblLayout w:type="fixed"/>
        <w:tblInd w:w="10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December 31,</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75"/>
        </w:trPr>
        <w:tc>
          <w:tcPr>
            <w:tcW w:w="3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w:t>
            </w:r>
          </w:p>
        </w:tc>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Classification in the Consolidated Balance Sheets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ROU - assets under operating leases</w:t>
            </w: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and other long-term assets, net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9,762</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10,355</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Lease liabilities:</w:t>
            </w:r>
          </w:p>
        </w:tc>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2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3,450</w:t>
            </w: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3,171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7,184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lease liabilities</w:t>
            </w:r>
          </w:p>
        </w:tc>
        <w:tc>
          <w:tcPr>
            <w:tcW w:w="3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9,762</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10,355</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Weighted average remaining lease term (years)</w:t>
            </w:r>
          </w:p>
        </w:tc>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3.3</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Weighted average discount rate</w:t>
            </w:r>
          </w:p>
        </w:tc>
        <w:tc>
          <w:tcPr>
            <w:tcW w:w="3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3"/>
                <w:szCs w:val="13"/>
                <w:color w:val="auto"/>
              </w:rPr>
              <w:t>1.94%</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ectPr>
          <w:pgSz w:w="11900" w:h="16838" w:orient="portrait"/>
          <w:cols w:equalWidth="0" w:num="1">
            <w:col w:w="11280"/>
          </w:cols>
          <w:pgMar w:left="300" w:top="297" w:right="319" w:bottom="1440" w:gutter="0" w:footer="0" w:header="0"/>
        </w:sectPr>
      </w:pPr>
    </w:p>
    <w:p>
      <w:pPr>
        <w:ind w:left="1000"/>
        <w:spacing w:after="0"/>
        <w:rPr>
          <w:sz w:val="20"/>
          <w:szCs w:val="20"/>
          <w:color w:val="auto"/>
        </w:rPr>
      </w:pPr>
      <w:r>
        <w:rPr>
          <w:rFonts w:ascii="Times New Roman" w:cs="Times New Roman" w:eastAsia="Times New Roman" w:hAnsi="Times New Roman"/>
          <w:sz w:val="12"/>
          <w:szCs w:val="12"/>
          <w:color w:val="auto"/>
        </w:rPr>
        <w:t>The following presents the maturity presentation of operating lease liabilities as of December 31, 2023:</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16510</wp:posOffset>
            </wp:positionV>
            <wp:extent cx="4586605" cy="12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86605" cy="12065"/>
                    </a:xfrm>
                    <a:prstGeom prst="rect">
                      <a:avLst/>
                    </a:prstGeom>
                    <a:noFill/>
                  </pic:spPr>
                </pic:pic>
              </a:graphicData>
            </a:graphic>
          </wp:anchor>
        </w:drawing>
      </w:r>
    </w:p>
    <w:p>
      <w:pPr>
        <w:spacing w:after="0" w:line="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-86360</wp:posOffset>
            </wp:positionV>
            <wp:extent cx="5207000" cy="1155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07000" cy="115570"/>
                    </a:xfrm>
                    <a:prstGeom prst="rect">
                      <a:avLst/>
                    </a:prstGeom>
                    <a:noFill/>
                  </pic:spPr>
                </pic:pic>
              </a:graphicData>
            </a:graphic>
          </wp:anchor>
        </w:drawing>
      </w:r>
    </w:p>
    <w:p>
      <w:pPr>
        <w:spacing w:after="0" w:line="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2025</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-86360</wp:posOffset>
            </wp:positionV>
            <wp:extent cx="5207000" cy="1155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07000" cy="115570"/>
                    </a:xfrm>
                    <a:prstGeom prst="rect">
                      <a:avLst/>
                    </a:prstGeom>
                    <a:noFill/>
                  </pic:spPr>
                </pic:pic>
              </a:graphicData>
            </a:graphic>
          </wp:anchor>
        </w:drawing>
      </w:r>
    </w:p>
    <w:p>
      <w:pPr>
        <w:spacing w:after="0" w:line="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2027</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center"/>
        <w:ind w:right="2120"/>
        <w:spacing w:after="0"/>
        <w:rPr>
          <w:sz w:val="20"/>
          <w:szCs w:val="20"/>
          <w:color w:val="auto"/>
        </w:rPr>
      </w:pPr>
      <w:r>
        <w:rPr>
          <w:rFonts w:ascii="Times New Roman" w:cs="Times New Roman" w:eastAsia="Times New Roman" w:hAnsi="Times New Roman"/>
          <w:sz w:val="13"/>
          <w:szCs w:val="13"/>
          <w:color w:val="auto"/>
        </w:rPr>
        <w:t>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516890"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6890" cy="12065"/>
                    </a:xfrm>
                    <a:prstGeom prst="rect">
                      <a:avLst/>
                    </a:prstGeom>
                    <a:noFill/>
                  </pic:spPr>
                </pic:pic>
              </a:graphicData>
            </a:graphic>
          </wp:anchor>
        </w:drawing>
      </w:r>
    </w:p>
    <w:p>
      <w:pPr>
        <w:spacing w:after="0" w:line="32" w:lineRule="exact"/>
        <w:rPr>
          <w:sz w:val="20"/>
          <w:szCs w:val="20"/>
          <w:color w:val="auto"/>
        </w:rPr>
      </w:pPr>
    </w:p>
    <w:p>
      <w:pPr>
        <w:ind w:left="540" w:hanging="539"/>
        <w:spacing w:after="0"/>
        <w:tabs>
          <w:tab w:leader="none" w:pos="5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3,511</w:t>
      </w:r>
    </w:p>
    <w:p>
      <w:pPr>
        <w:spacing w:after="0" w:line="44" w:lineRule="exact"/>
        <w:rPr>
          <w:rFonts w:ascii="Times New Roman" w:cs="Times New Roman" w:eastAsia="Times New Roman" w:hAnsi="Times New Roman"/>
          <w:sz w:val="12"/>
          <w:szCs w:val="12"/>
          <w:color w:val="auto"/>
        </w:rPr>
      </w:pPr>
    </w:p>
    <w:p>
      <w:pPr>
        <w:ind w:left="5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3,197</w:t>
      </w:r>
    </w:p>
    <w:p>
      <w:pPr>
        <w:spacing w:after="0" w:line="32" w:lineRule="exact"/>
        <w:rPr>
          <w:rFonts w:ascii="Times New Roman" w:cs="Times New Roman" w:eastAsia="Times New Roman" w:hAnsi="Times New Roman"/>
          <w:sz w:val="12"/>
          <w:szCs w:val="12"/>
          <w:color w:val="auto"/>
        </w:rPr>
      </w:pPr>
    </w:p>
    <w:p>
      <w:pPr>
        <w:ind w:left="5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2,539</w:t>
      </w:r>
    </w:p>
    <w:p>
      <w:pPr>
        <w:spacing w:after="0" w:line="16" w:lineRule="exact"/>
        <w:rPr>
          <w:rFonts w:ascii="Times New Roman" w:cs="Times New Roman" w:eastAsia="Times New Roman" w:hAnsi="Times New Roman"/>
          <w:sz w:val="12"/>
          <w:szCs w:val="12"/>
          <w:color w:val="auto"/>
        </w:rPr>
      </w:pPr>
    </w:p>
    <w:p>
      <w:pPr>
        <w:ind w:left="6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707</w:t>
      </w:r>
    </w:p>
    <w:p>
      <w:pPr>
        <w:spacing w:after="0" w:line="13" w:lineRule="exact"/>
        <w:rPr>
          <w:sz w:val="20"/>
          <w:szCs w:val="20"/>
          <w:color w:val="auto"/>
        </w:rPr>
      </w:pPr>
    </w:p>
    <w:p>
      <w:pPr>
        <w:sectPr>
          <w:pgSz w:w="11900" w:h="16838" w:orient="portrait"/>
          <w:cols w:equalWidth="0" w:num="2">
            <w:col w:w="7620" w:space="720"/>
            <w:col w:w="2940"/>
          </w:cols>
          <w:pgMar w:left="300" w:top="297" w:right="319" w:bottom="1440" w:gutter="0" w:footer="0" w:header="0"/>
          <w:type w:val="continuous"/>
        </w:sectPr>
      </w:pPr>
    </w:p>
    <w:tbl>
      <w:tblPr>
        <w:tblLayout w:type="fixed"/>
        <w:tblInd w:w="1040" w:type="dxa"/>
        <w:tblCellMar>
          <w:top w:w="0" w:type="dxa"/>
          <w:left w:w="0" w:type="dxa"/>
          <w:bottom w:w="0" w:type="dxa"/>
          <w:right w:w="0" w:type="dxa"/>
        </w:tblCellMar>
      </w:tblPr>
      <w:tr>
        <w:trPr>
          <w:trHeight w:val="191"/>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9,954</w:t>
            </w:r>
          </w:p>
        </w:tc>
        <w:tc>
          <w:tcPr>
            <w:tcW w:w="80" w:type="dxa"/>
            <w:vAlign w:val="bottom"/>
            <w:shd w:val="clear" w:color="auto" w:fill="CCEEFF"/>
          </w:tcPr>
          <w:p>
            <w:pPr>
              <w:spacing w:after="0"/>
              <w:rPr>
                <w:sz w:val="16"/>
                <w:szCs w:val="16"/>
                <w:color w:val="auto"/>
              </w:rPr>
            </w:pPr>
          </w:p>
        </w:tc>
      </w:tr>
      <w:tr>
        <w:trPr>
          <w:trHeight w:val="163"/>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Less - imputed interest</w:t>
            </w:r>
          </w:p>
        </w:tc>
        <w:tc>
          <w:tcPr>
            <w:tcW w:w="3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(192)</w:t>
            </w:r>
          </w:p>
        </w:tc>
      </w:tr>
      <w:tr>
        <w:trPr>
          <w:trHeight w:val="202"/>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9,762</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206" w:lineRule="exact"/>
        <w:rPr>
          <w:sz w:val="20"/>
          <w:szCs w:val="20"/>
          <w:color w:val="auto"/>
        </w:rPr>
      </w:pPr>
    </w:p>
    <w:p>
      <w:pPr>
        <w:ind w:left="1000" w:hanging="429"/>
        <w:spacing w:after="0"/>
        <w:tabs>
          <w:tab w:leader="none" w:pos="1000" w:val="left"/>
        </w:tabs>
        <w:numPr>
          <w:ilvl w:val="0"/>
          <w:numId w:val="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Wells Fargo Credit Line</w:t>
      </w:r>
    </w:p>
    <w:p>
      <w:pPr>
        <w:spacing w:after="0" w:line="206" w:lineRule="exact"/>
        <w:rPr>
          <w:rFonts w:ascii="Times New Roman" w:cs="Times New Roman" w:eastAsia="Times New Roman" w:hAnsi="Times New Roman"/>
          <w:sz w:val="13"/>
          <w:szCs w:val="13"/>
          <w:b w:val="1"/>
          <w:bCs w:val="1"/>
          <w:color w:val="auto"/>
        </w:rPr>
      </w:pPr>
    </w:p>
    <w:p>
      <w:pPr>
        <w:ind w:left="100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TSNB was engaged in prior years in an agreement with Wells Fargo Capital Finance, part of Wells Fargo &amp; Company (“Wells Fargo”), for a secured asset-based revolving credit line in the total amount of up to $70,000. The Company did not wish to extend the credit line agreement for an additional term, therefore it expired in September 2023 according to its term.</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12: FINANCIAL INSTRUMENTS AND FAIR VALUE MEASUREMENTS</w:t>
      </w:r>
    </w:p>
    <w:p>
      <w:pPr>
        <w:spacing w:after="0" w:line="207" w:lineRule="exact"/>
        <w:rPr>
          <w:sz w:val="20"/>
          <w:szCs w:val="20"/>
          <w:color w:val="auto"/>
        </w:rPr>
      </w:pPr>
    </w:p>
    <w:p>
      <w:pPr>
        <w:ind w:left="1000" w:right="20" w:firstLine="4"/>
        <w:spacing w:after="0" w:line="272" w:lineRule="auto"/>
        <w:rPr>
          <w:sz w:val="20"/>
          <w:szCs w:val="20"/>
          <w:color w:val="auto"/>
        </w:rPr>
      </w:pPr>
      <w:r>
        <w:rPr>
          <w:rFonts w:ascii="Times New Roman" w:cs="Times New Roman" w:eastAsia="Times New Roman" w:hAnsi="Times New Roman"/>
          <w:sz w:val="13"/>
          <w:szCs w:val="13"/>
          <w:color w:val="auto"/>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69" w:lineRule="exact"/>
        <w:rPr>
          <w:sz w:val="20"/>
          <w:szCs w:val="20"/>
          <w:color w:val="auto"/>
        </w:rPr>
      </w:pPr>
    </w:p>
    <w:p>
      <w:pPr>
        <w:ind w:left="1000" w:right="20" w:firstLine="4"/>
        <w:spacing w:after="0" w:line="287" w:lineRule="auto"/>
        <w:rPr>
          <w:sz w:val="20"/>
          <w:szCs w:val="20"/>
          <w:color w:val="auto"/>
        </w:rPr>
      </w:pPr>
      <w:r>
        <w:rPr>
          <w:rFonts w:ascii="Times New Roman" w:cs="Times New Roman" w:eastAsia="Times New Roman" w:hAnsi="Times New Roman"/>
          <w:sz w:val="13"/>
          <w:szCs w:val="13"/>
          <w:color w:val="auto"/>
        </w:rPr>
        <w:t>The Company formally designates qualifying derivatives as hedge relationships (“hedges”) and applies hedge accounting when considered appropriate. The Company does not use derivative financial instruments for trading or speculative purposes.</w:t>
      </w:r>
    </w:p>
    <w:p>
      <w:pPr>
        <w:spacing w:after="0" w:line="177" w:lineRule="exact"/>
        <w:rPr>
          <w:sz w:val="20"/>
          <w:szCs w:val="20"/>
          <w:color w:val="auto"/>
        </w:rPr>
      </w:pPr>
    </w:p>
    <w:p>
      <w:pPr>
        <w:ind w:left="980" w:hanging="409"/>
        <w:spacing w:after="0"/>
        <w:tabs>
          <w:tab w:leader="none" w:pos="980" w:val="left"/>
        </w:tabs>
        <w:numPr>
          <w:ilvl w:val="0"/>
          <w:numId w:val="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Exchange Rate Transactions</w:t>
      </w:r>
    </w:p>
    <w:p>
      <w:pPr>
        <w:spacing w:after="0" w:line="206" w:lineRule="exact"/>
        <w:rPr>
          <w:rFonts w:ascii="Times New Roman" w:cs="Times New Roman" w:eastAsia="Times New Roman" w:hAnsi="Times New Roman"/>
          <w:sz w:val="13"/>
          <w:szCs w:val="13"/>
          <w:b w:val="1"/>
          <w:bCs w:val="1"/>
          <w:color w:val="auto"/>
        </w:rPr>
      </w:pPr>
    </w:p>
    <w:p>
      <w:pPr>
        <w:jc w:val="both"/>
        <w:ind w:left="100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the functional currency of Tower is the USD and a portion of Tower’s expenses are denominated in NIS, Tower enters into exchange rate agreements from time to time to partially hedge the volatility of future cash flows caused by changes in foreign exchange rates on NIS-denominated expenses. In 2023, the exchange rate transaction-related derivatives were accounted for as hedge accounting resulting in gain or loss initially reported as a component of OCI and subsequently upon maturity reclassified into the statement of operations at the same time that the hedged item’s exposure results are recorded in the statement of operations.</w:t>
      </w:r>
    </w:p>
    <w:p>
      <w:pPr>
        <w:spacing w:after="0" w:line="173" w:lineRule="exact"/>
        <w:rPr>
          <w:rFonts w:ascii="Times New Roman" w:cs="Times New Roman" w:eastAsia="Times New Roman" w:hAnsi="Times New Roman"/>
          <w:sz w:val="13"/>
          <w:szCs w:val="13"/>
          <w:b w:val="1"/>
          <w:bCs w:val="1"/>
          <w:color w:val="auto"/>
        </w:rPr>
      </w:pPr>
    </w:p>
    <w:p>
      <w:pPr>
        <w:ind w:left="1000" w:right="2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2023, the fair value amounts of such exchange rate agreements were $1,894 in an asset position, presented in other current assets with a face value of $156,000. As of December 31, 2022, the fair value amounts of such exchange rate agreements were $3,805 in a liability position, presented in other current liabilities with a face value of $157,000.</w:t>
      </w:r>
    </w:p>
    <w:p>
      <w:pPr>
        <w:spacing w:after="0" w:line="150" w:lineRule="exact"/>
        <w:rPr>
          <w:rFonts w:ascii="Times New Roman" w:cs="Times New Roman" w:eastAsia="Times New Roman" w:hAnsi="Times New Roman"/>
          <w:sz w:val="13"/>
          <w:szCs w:val="13"/>
          <w:b w:val="1"/>
          <w:bCs w:val="1"/>
          <w:color w:val="auto"/>
        </w:rPr>
      </w:pPr>
    </w:p>
    <w:p>
      <w:pPr>
        <w:jc w:val="both"/>
        <w:ind w:left="1000" w:right="2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the functional currency of the Company is the USD and a portion of TPSCo revenues and expenses are denominated in JPY, the Company enters into exchange rate agreements from time to time to partially hedge the volatility of future cash flows caused by changes in foreign exchange rates on JPY-denominated amounts. The related derivatives were accounted for as cash flow hedges resulting in gain or loss initially reported as a component of OCI and subsequently reclassified into the statement of operations at the same time that the hedged item’s exposure results are recorded in the statement of operations.</w:t>
      </w:r>
    </w:p>
    <w:p>
      <w:pPr>
        <w:spacing w:after="0" w:line="173" w:lineRule="exact"/>
        <w:rPr>
          <w:rFonts w:ascii="Times New Roman" w:cs="Times New Roman" w:eastAsia="Times New Roman" w:hAnsi="Times New Roman"/>
          <w:sz w:val="13"/>
          <w:szCs w:val="13"/>
          <w:b w:val="1"/>
          <w:bCs w:val="1"/>
          <w:color w:val="auto"/>
        </w:rPr>
      </w:pPr>
    </w:p>
    <w:p>
      <w:pPr>
        <w:ind w:left="1000" w:right="2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2023, and 2022, the fair value amounts of such exchange rate agreements were $500 and $3,142, respectively, in a liability position, presented in other current liabilities and with a face value of $204,000 and $217,000, respectively.</w:t>
      </w:r>
    </w:p>
    <w:p>
      <w:pPr>
        <w:spacing w:after="0" w:line="150" w:lineRule="exact"/>
        <w:rPr>
          <w:rFonts w:ascii="Times New Roman" w:cs="Times New Roman" w:eastAsia="Times New Roman" w:hAnsi="Times New Roman"/>
          <w:sz w:val="13"/>
          <w:szCs w:val="13"/>
          <w:b w:val="1"/>
          <w:bCs w:val="1"/>
          <w:color w:val="auto"/>
        </w:rPr>
      </w:pPr>
    </w:p>
    <w:p>
      <w:pPr>
        <w:ind w:left="1000" w:right="540"/>
        <w:spacing w:after="0" w:line="66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2"/>
          <w:szCs w:val="12"/>
          <w:color w:val="auto"/>
        </w:rPr>
        <w:t>Losses reclassified from other comprehensive income into net loss recognized in the Company’s consolidated statement of operations for the year ended December 31, 2023 were $5,153. Losses reclassified from other comprehensive income into net loss recognized in in the Company’s consolidated statements of operations for the year ended December 31, 2022 were $36,857.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12: FINANCIAL INSTRUMENTS AND FAIR VALUE MEASUREMENTS (continued)</w:t>
      </w:r>
    </w:p>
    <w:p>
      <w:pPr>
        <w:spacing w:after="0" w:line="234" w:lineRule="exact"/>
        <w:rPr>
          <w:sz w:val="20"/>
          <w:szCs w:val="20"/>
          <w:color w:val="auto"/>
        </w:rPr>
      </w:pPr>
    </w:p>
    <w:p>
      <w:pPr>
        <w:ind w:left="980" w:hanging="409"/>
        <w:spacing w:after="0"/>
        <w:tabs>
          <w:tab w:leader="none" w:pos="980" w:val="left"/>
        </w:tabs>
        <w:numPr>
          <w:ilvl w:val="0"/>
          <w:numId w:val="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Concentration of Credit Risks</w:t>
      </w:r>
    </w:p>
    <w:p>
      <w:pPr>
        <w:spacing w:after="0" w:line="207" w:lineRule="exact"/>
        <w:rPr>
          <w:sz w:val="20"/>
          <w:szCs w:val="20"/>
          <w:color w:val="auto"/>
        </w:rPr>
      </w:pPr>
    </w:p>
    <w:p>
      <w:pPr>
        <w:jc w:val="both"/>
        <w:ind w:left="1000" w:right="20" w:firstLine="4"/>
        <w:spacing w:after="0" w:line="266" w:lineRule="auto"/>
        <w:rPr>
          <w:sz w:val="20"/>
          <w:szCs w:val="20"/>
          <w:color w:val="auto"/>
        </w:rPr>
      </w:pPr>
      <w:r>
        <w:rPr>
          <w:rFonts w:ascii="Times New Roman" w:cs="Times New Roman" w:eastAsia="Times New Roman" w:hAnsi="Times New Roman"/>
          <w:sz w:val="13"/>
          <w:szCs w:val="13"/>
          <w:color w:val="auto"/>
        </w:rPr>
        <w:t>Financial instruments that potentially subject the Company to concentrations of credit risk consist principally of cash and cash equivalents, bank deposits, marketable securities, derivatives, trade receivables and government and other receivables. The Company’s cash, deposits, marketable securities and derivatives are maintained with large and reputable banks and investment banks. The composition and maturities of investments are regularly monitored by the Company. Generally, these securities may be redeemed upon demand and bear minimal risk.</w:t>
      </w:r>
    </w:p>
    <w:p>
      <w:pPr>
        <w:spacing w:after="0" w:line="174" w:lineRule="exact"/>
        <w:rPr>
          <w:sz w:val="20"/>
          <w:szCs w:val="20"/>
          <w:color w:val="auto"/>
        </w:rPr>
      </w:pPr>
    </w:p>
    <w:p>
      <w:pPr>
        <w:jc w:val="both"/>
        <w:ind w:left="1000" w:right="20" w:firstLine="4"/>
        <w:spacing w:after="0" w:line="266" w:lineRule="auto"/>
        <w:rPr>
          <w:sz w:val="20"/>
          <w:szCs w:val="20"/>
          <w:color w:val="auto"/>
        </w:rPr>
      </w:pPr>
      <w:r>
        <w:rPr>
          <w:rFonts w:ascii="Times New Roman" w:cs="Times New Roman" w:eastAsia="Times New Roman" w:hAnsi="Times New Roman"/>
          <w:sz w:val="13"/>
          <w:szCs w:val="13"/>
          <w:color w:val="auto"/>
        </w:rPr>
        <w:t>The Company generally does not require collateral for insurance of receivables; however, in certain circumstances, the Company obtains credit insurance or may require advance payments. An allowance for current expected credit losses is maintained with respect to trade accounts receivables and marketable securities. The Company performs ongoing credit evaluations of its customers and marketable securities.</w:t>
      </w:r>
    </w:p>
    <w:p>
      <w:pPr>
        <w:spacing w:after="0" w:line="200" w:lineRule="exact"/>
        <w:rPr>
          <w:sz w:val="20"/>
          <w:szCs w:val="20"/>
          <w:color w:val="auto"/>
        </w:rPr>
      </w:pPr>
    </w:p>
    <w:p>
      <w:pPr>
        <w:ind w:left="980" w:hanging="409"/>
        <w:spacing w:after="0"/>
        <w:tabs>
          <w:tab w:leader="none" w:pos="980" w:val="left"/>
        </w:tabs>
        <w:numPr>
          <w:ilvl w:val="0"/>
          <w:numId w:val="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Fair Value of Financial Instruments</w:t>
      </w:r>
    </w:p>
    <w:p>
      <w:pPr>
        <w:spacing w:after="0" w:line="206"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estimated fair values of the Company’s financial instruments, excluding debentures, do not materially differ from their respective carrying amounts as of December 31, 2023 and 2022.</w:t>
      </w:r>
    </w:p>
    <w:p>
      <w:pPr>
        <w:spacing w:after="0" w:line="195" w:lineRule="exact"/>
        <w:rPr>
          <w:rFonts w:ascii="Times New Roman" w:cs="Times New Roman" w:eastAsia="Times New Roman" w:hAnsi="Times New Roman"/>
          <w:sz w:val="13"/>
          <w:szCs w:val="13"/>
          <w:b w:val="1"/>
          <w:bCs w:val="1"/>
          <w:color w:val="auto"/>
        </w:rPr>
      </w:pPr>
    </w:p>
    <w:p>
      <w:pPr>
        <w:ind w:left="1000" w:right="2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fair value of debentures, based on quoted market prices as of December 31, 2022, was approximately $19,000, same as their carrying amounts as of that date. As of March 31, 2023, the Series G Debentures were fully redeemed.</w:t>
      </w:r>
    </w:p>
    <w:p>
      <w:pPr>
        <w:spacing w:after="0" w:line="186" w:lineRule="exact"/>
        <w:rPr>
          <w:rFonts w:ascii="Times New Roman" w:cs="Times New Roman" w:eastAsia="Times New Roman" w:hAnsi="Times New Roman"/>
          <w:sz w:val="13"/>
          <w:szCs w:val="13"/>
          <w:b w:val="1"/>
          <w:bCs w:val="1"/>
          <w:color w:val="auto"/>
        </w:rPr>
      </w:pPr>
    </w:p>
    <w:p>
      <w:pPr>
        <w:ind w:left="980" w:hanging="409"/>
        <w:spacing w:after="0"/>
        <w:tabs>
          <w:tab w:leader="none" w:pos="980" w:val="left"/>
        </w:tabs>
        <w:numPr>
          <w:ilvl w:val="0"/>
          <w:numId w:val="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Designated Cash Flow Hedge Transactions</w:t>
      </w:r>
    </w:p>
    <w:p>
      <w:pPr>
        <w:spacing w:after="0" w:line="206" w:lineRule="exact"/>
        <w:rPr>
          <w:rFonts w:ascii="Times New Roman" w:cs="Times New Roman" w:eastAsia="Times New Roman" w:hAnsi="Times New Roman"/>
          <w:sz w:val="13"/>
          <w:szCs w:val="13"/>
          <w:b w:val="1"/>
          <w:bCs w:val="1"/>
          <w:color w:val="auto"/>
        </w:rPr>
      </w:pPr>
    </w:p>
    <w:p>
      <w:pPr>
        <w:ind w:left="1000" w:right="20" w:firstLine="4"/>
        <w:spacing w:after="0" w:line="27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entered into designated cash flow hedging transactions using a cross-currency swap to mitigate the foreign exchange rate changes’ impact on principal and interest arising from the Series G Debentures’ denomination in NIS.</w:t>
      </w:r>
    </w:p>
    <w:p>
      <w:pPr>
        <w:spacing w:after="0" w:line="168" w:lineRule="exact"/>
        <w:rPr>
          <w:rFonts w:ascii="Times New Roman" w:cs="Times New Roman" w:eastAsia="Times New Roman" w:hAnsi="Times New Roman"/>
          <w:sz w:val="13"/>
          <w:szCs w:val="13"/>
          <w:b w:val="1"/>
          <w:bCs w:val="1"/>
          <w:color w:val="auto"/>
        </w:rPr>
      </w:pPr>
    </w:p>
    <w:p>
      <w:pPr>
        <w:ind w:left="1000" w:right="2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2022, the fair value of the swap was $1,685 in an asset net position and was presented in other current assets. The effective portions of $16 loss were recorded in OCI and recorded in earnings during the first three months of 2023.</w:t>
      </w:r>
    </w:p>
    <w:p>
      <w:pPr>
        <w:spacing w:after="0" w:line="150" w:lineRule="exact"/>
        <w:rPr>
          <w:rFonts w:ascii="Times New Roman" w:cs="Times New Roman" w:eastAsia="Times New Roman" w:hAnsi="Times New Roman"/>
          <w:sz w:val="13"/>
          <w:szCs w:val="13"/>
          <w:b w:val="1"/>
          <w:bCs w:val="1"/>
          <w:color w:val="auto"/>
        </w:rPr>
      </w:pPr>
    </w:p>
    <w:p>
      <w:pPr>
        <w:ind w:left="100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the year ended December 31, 2022, the hedging effect of the swap on the Company’s results of operations was a loss of $5,966, and was recognized as a financing loss, to offset the effect of the rate difference related to the Series G Debentures.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12: FINANCIAL INSTRUMENTS AND FAIR VALUE MEASUREMENTS (continued)</w:t>
      </w:r>
    </w:p>
    <w:p>
      <w:pPr>
        <w:spacing w:after="0" w:line="234" w:lineRule="exact"/>
        <w:rPr>
          <w:sz w:val="20"/>
          <w:szCs w:val="20"/>
          <w:color w:val="auto"/>
        </w:rPr>
      </w:pPr>
    </w:p>
    <w:p>
      <w:pPr>
        <w:ind w:left="980" w:hanging="409"/>
        <w:spacing w:after="0"/>
        <w:tabs>
          <w:tab w:leader="none" w:pos="980" w:val="left"/>
        </w:tabs>
        <w:numPr>
          <w:ilvl w:val="0"/>
          <w:numId w:val="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Fair Value Measurements</w:t>
      </w:r>
    </w:p>
    <w:p>
      <w:pPr>
        <w:spacing w:after="0" w:line="2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Valuation Techniques</w:t>
      </w:r>
    </w:p>
    <w:p>
      <w:pPr>
        <w:spacing w:after="0" w:line="199" w:lineRule="exact"/>
        <w:rPr>
          <w:sz w:val="20"/>
          <w:szCs w:val="20"/>
          <w:color w:val="auto"/>
        </w:rPr>
      </w:pPr>
    </w:p>
    <w:p>
      <w:pPr>
        <w:jc w:val="both"/>
        <w:ind w:left="1000" w:firstLine="4"/>
        <w:spacing w:after="0" w:line="274" w:lineRule="auto"/>
        <w:rPr>
          <w:sz w:val="20"/>
          <w:szCs w:val="20"/>
          <w:color w:val="auto"/>
        </w:rPr>
      </w:pPr>
      <w:r>
        <w:rPr>
          <w:rFonts w:ascii="Times New Roman" w:cs="Times New Roman" w:eastAsia="Times New Roman" w:hAnsi="Times New Roman"/>
          <w:sz w:val="13"/>
          <w:szCs w:val="13"/>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Level 1 Measurements</w:t>
      </w:r>
    </w:p>
    <w:p>
      <w:pPr>
        <w:spacing w:after="0" w:line="209" w:lineRule="exact"/>
        <w:rPr>
          <w:sz w:val="20"/>
          <w:szCs w:val="20"/>
          <w:color w:val="auto"/>
        </w:rPr>
      </w:pPr>
    </w:p>
    <w:p>
      <w:pPr>
        <w:jc w:val="both"/>
        <w:ind w:left="1000" w:right="20" w:firstLine="4"/>
        <w:spacing w:after="0" w:line="287" w:lineRule="auto"/>
        <w:rPr>
          <w:sz w:val="20"/>
          <w:szCs w:val="20"/>
          <w:color w:val="auto"/>
        </w:rPr>
      </w:pPr>
      <w:r>
        <w:rPr>
          <w:rFonts w:ascii="Times New Roman" w:cs="Times New Roman" w:eastAsia="Times New Roman" w:hAnsi="Times New Roman"/>
          <w:sz w:val="13"/>
          <w:szCs w:val="13"/>
          <w:color w:val="auto"/>
        </w:rPr>
        <w:t>Securities classified as available-for-sale are reported at fair value on a recurring basis. These securities are classified as Level 1 of the valuation hierarchy where quoted market prices from reputable third-party brokers are available in an active market. Changes in fair value of securities available-for-sale are recorded in other comprehensive income.</w:t>
      </w:r>
    </w:p>
    <w:p>
      <w:pPr>
        <w:spacing w:after="0" w:line="1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Level 2 Measurements</w:t>
      </w:r>
    </w:p>
    <w:p>
      <w:pPr>
        <w:spacing w:after="0" w:line="209" w:lineRule="exact"/>
        <w:rPr>
          <w:sz w:val="20"/>
          <w:szCs w:val="20"/>
          <w:color w:val="auto"/>
        </w:rPr>
      </w:pPr>
    </w:p>
    <w:p>
      <w:pPr>
        <w:jc w:val="both"/>
        <w:ind w:left="1000" w:firstLine="4"/>
        <w:spacing w:after="0" w:line="265" w:lineRule="auto"/>
        <w:rPr>
          <w:sz w:val="20"/>
          <w:szCs w:val="20"/>
          <w:color w:val="auto"/>
        </w:rPr>
      </w:pPr>
      <w:r>
        <w:rPr>
          <w:rFonts w:ascii="Times New Roman" w:cs="Times New Roman" w:eastAsia="Times New Roman" w:hAnsi="Times New Roman"/>
          <w:sz w:val="13"/>
          <w:szCs w:val="13"/>
          <w:color w:val="auto"/>
        </w:rPr>
        <w:t>If quoted market prices are not available, or the prices of securities are derived from various sources, and do not necessarily represent the prices at which these securities could have been bought or sold, the Company obtains fair value measurements of these securities or of similar assets and liabilities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For cross-currency swap and derivatives measured under Level 2, the Company uses the market approach using quotations from banks and other public information.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12: FINANCIAL INSTRUMENTS AND FAIR VALUE MEASUREMENTS (continued)</w:t>
      </w:r>
    </w:p>
    <w:p>
      <w:pPr>
        <w:spacing w:after="0" w:line="234" w:lineRule="exact"/>
        <w:rPr>
          <w:sz w:val="20"/>
          <w:szCs w:val="20"/>
          <w:color w:val="auto"/>
        </w:rPr>
      </w:pPr>
    </w:p>
    <w:p>
      <w:pPr>
        <w:ind w:left="980" w:hanging="409"/>
        <w:spacing w:after="0"/>
        <w:tabs>
          <w:tab w:leader="none" w:pos="980" w:val="left"/>
        </w:tabs>
        <w:numPr>
          <w:ilvl w:val="0"/>
          <w:numId w:val="2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Fair Value Measurements (continued)</w:t>
      </w:r>
    </w:p>
    <w:p>
      <w:pPr>
        <w:spacing w:after="0" w:line="2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Level 3 Measurements</w:t>
      </w:r>
    </w:p>
    <w:p>
      <w:pPr>
        <w:spacing w:after="0" w:line="199" w:lineRule="exact"/>
        <w:rPr>
          <w:sz w:val="20"/>
          <w:szCs w:val="20"/>
          <w:color w:val="auto"/>
        </w:rPr>
      </w:pPr>
    </w:p>
    <w:p>
      <w:pPr>
        <w:jc w:val="both"/>
        <w:ind w:left="1000" w:firstLine="4"/>
        <w:spacing w:after="0" w:line="265" w:lineRule="auto"/>
        <w:rPr>
          <w:sz w:val="20"/>
          <w:szCs w:val="20"/>
          <w:color w:val="auto"/>
        </w:rPr>
      </w:pPr>
      <w:r>
        <w:rPr>
          <w:rFonts w:ascii="Times New Roman" w:cs="Times New Roman" w:eastAsia="Times New Roman" w:hAnsi="Times New Roman"/>
          <w:sz w:val="13"/>
          <w:szCs w:val="13"/>
          <w:color w:val="auto"/>
        </w:rPr>
        <w:t>Investments in equity securities of privately-held companies without readily determinable fair values are measured using the Measurement Alternatives (see Note 2J). The Company reviews these investments for impairment and observable price changes on a quarterly basis and adjusts the carrying value accordingly. For the year ended December 31, 2023, the Company did not record significant changes to the carrying value of such investments, and for the year ended December 31, 2022, the Company recorded a decrease of $6,978 in the carrying value of such investments, presented in other income (expense), net in the statements of operations.</w:t>
      </w:r>
    </w:p>
    <w:p>
      <w:pPr>
        <w:sectPr>
          <w:pgSz w:w="11900" w:h="16838" w:orient="portrait"/>
          <w:cols w:equalWidth="0" w:num="1">
            <w:col w:w="11280"/>
          </w:cols>
          <w:pgMar w:left="300" w:top="297" w:right="319" w:bottom="1440" w:gutter="0" w:footer="0" w:header="0"/>
        </w:sectPr>
      </w:pP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Recurring fair value measurements using the indicated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Details</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Privately held companies</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Marketable securities held for sale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Significant</w:t>
            </w:r>
          </w:p>
        </w:tc>
        <w:tc>
          <w:tcPr>
            <w:tcW w:w="820" w:type="dxa"/>
            <w:vAlign w:val="bottom"/>
          </w:tcPr>
          <w:p>
            <w:pPr>
              <w:spacing w:after="0"/>
              <w:rPr>
                <w:sz w:val="13"/>
                <w:szCs w:val="13"/>
                <w:color w:val="auto"/>
              </w:rPr>
            </w:pPr>
          </w:p>
        </w:tc>
      </w:tr>
      <w:tr>
        <w:trPr>
          <w:trHeight w:val="153"/>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other</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Significant</w:t>
            </w:r>
          </w:p>
        </w:tc>
      </w:tr>
      <w:tr>
        <w:trPr>
          <w:trHeight w:val="163"/>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Quoted prices</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9"/>
              </w:rPr>
              <w:t>observable</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unobservable</w:t>
            </w:r>
          </w:p>
        </w:tc>
      </w:tr>
      <w:tr>
        <w:trPr>
          <w:trHeight w:val="163"/>
        </w:trPr>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December 31,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5"/>
              </w:rPr>
              <w:t>in active market</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inputs</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inputs</w:t>
            </w:r>
          </w:p>
        </w:tc>
      </w:tr>
      <w:tr>
        <w:trPr>
          <w:trHeight w:val="175"/>
        </w:trPr>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(Level 1)</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(Level 2)</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(Level 3)</w:t>
            </w:r>
          </w:p>
        </w:tc>
      </w:tr>
      <w:tr>
        <w:trPr>
          <w:trHeight w:val="172"/>
        </w:trPr>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6,780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6,780</w:t>
            </w:r>
          </w:p>
        </w:tc>
      </w:tr>
      <w:tr>
        <w:trPr>
          <w:trHeight w:val="182"/>
        </w:trPr>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184,960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184,960</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-224155</wp:posOffset>
            </wp:positionV>
            <wp:extent cx="5207000" cy="1155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07000" cy="1155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80" w:space="720"/>
            <w:col w:w="5880"/>
          </w:cols>
          <w:pgMar w:left="300" w:top="297" w:right="319" w:bottom="1440" w:gutter="0" w:footer="0" w:header="0"/>
          <w:type w:val="continuous"/>
        </w:sectPr>
      </w:pPr>
    </w:p>
    <w:tbl>
      <w:tblPr>
        <w:tblLayout w:type="fixed"/>
        <w:tblInd w:w="10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exchange forward and cylinders - net asset position</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1,394</w:t>
            </w: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193,134</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186,354</w:t>
            </w: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ectPr>
          <w:pgSz w:w="11900" w:h="16838" w:orient="portrait"/>
          <w:cols w:equalWidth="0" w:num="1">
            <w:col w:w="11280"/>
          </w:cols>
          <w:pgMar w:left="300" w:top="29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Details</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Cross-currency swap - net asset position</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Privately held companies</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Marketable securities held for sale</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2"/>
          <w:szCs w:val="12"/>
          <w:color w:val="auto"/>
        </w:rPr>
        <w:t>Foreign exchange forward and cylinders - net liability position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8"/>
              </w:rPr>
              <w:t>Significant</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other</w:t>
            </w:r>
          </w:p>
        </w:tc>
        <w:tc>
          <w:tcPr>
            <w:tcW w:w="60" w:type="dxa"/>
            <w:vAlign w:val="bottom"/>
          </w:tcPr>
          <w:p>
            <w:pPr>
              <w:spacing w:after="0"/>
              <w:rPr>
                <w:sz w:val="13"/>
                <w:szCs w:val="13"/>
                <w:color w:val="auto"/>
              </w:rPr>
            </w:pPr>
          </w:p>
        </w:tc>
        <w:tc>
          <w:tcPr>
            <w:tcW w:w="7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Significant</w:t>
            </w:r>
          </w:p>
        </w:tc>
      </w:tr>
      <w:tr>
        <w:trPr>
          <w:trHeight w:val="163"/>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Quoted prices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observable</w:t>
            </w:r>
          </w:p>
        </w:tc>
        <w:tc>
          <w:tcPr>
            <w:tcW w:w="60" w:type="dxa"/>
            <w:vAlign w:val="bottom"/>
          </w:tcPr>
          <w:p>
            <w:pPr>
              <w:spacing w:after="0"/>
              <w:rPr>
                <w:sz w:val="14"/>
                <w:szCs w:val="14"/>
                <w:color w:val="auto"/>
              </w:rPr>
            </w:pPr>
          </w:p>
        </w:tc>
        <w:tc>
          <w:tcPr>
            <w:tcW w:w="7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unobservable</w:t>
            </w:r>
          </w:p>
        </w:tc>
      </w:tr>
      <w:tr>
        <w:trPr>
          <w:trHeight w:val="163"/>
        </w:trPr>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December 31,</w:t>
            </w:r>
          </w:p>
        </w:tc>
        <w:tc>
          <w:tcPr>
            <w:tcW w:w="6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w w:val="95"/>
              </w:rPr>
              <w:t>in active market</w:t>
            </w:r>
          </w:p>
        </w:tc>
        <w:tc>
          <w:tcPr>
            <w:tcW w:w="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inputs</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inputs</w:t>
            </w:r>
          </w:p>
        </w:tc>
      </w:tr>
      <w:tr>
        <w:trPr>
          <w:trHeight w:val="175"/>
        </w:trPr>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(Level 1)</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9"/>
              </w:rPr>
              <w:t>(Level 2)</w:t>
            </w: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(Level 3)</w:t>
            </w:r>
          </w:p>
        </w:tc>
      </w:tr>
      <w:tr>
        <w:trPr>
          <w:trHeight w:val="172"/>
        </w:trPr>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w:t>
            </w:r>
          </w:p>
        </w:tc>
        <w:tc>
          <w:tcPr>
            <w:tcW w:w="120" w:type="dxa"/>
            <w:vAlign w:val="bottom"/>
          </w:tcPr>
          <w:p>
            <w:pPr>
              <w:spacing w:after="0"/>
              <w:rPr>
                <w:sz w:val="14"/>
                <w:szCs w:val="14"/>
                <w:color w:val="auto"/>
              </w:rPr>
            </w:pPr>
          </w:p>
        </w:tc>
        <w:tc>
          <w:tcPr>
            <w:tcW w:w="840" w:type="dxa"/>
            <w:vAlign w:val="bottom"/>
            <w:gridSpan w:val="2"/>
          </w:tcPr>
          <w:p>
            <w:pPr>
              <w:jc w:val="right"/>
              <w:ind w:right="659"/>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w w:val="83"/>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1,685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w w:val="83"/>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6,720</w:t>
            </w:r>
          </w:p>
        </w:tc>
      </w:tr>
      <w:tr>
        <w:trPr>
          <w:trHeight w:val="179"/>
        </w:trPr>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169,694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w w:val="83"/>
              </w:rPr>
              <w:t>-</w:t>
            </w: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169,694</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(6,947)</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gridSpan w:val="2"/>
          </w:tcPr>
          <w:p>
            <w:pPr>
              <w:jc w:val="right"/>
              <w:ind w:right="160"/>
              <w:spacing w:after="0"/>
              <w:rPr>
                <w:sz w:val="20"/>
                <w:szCs w:val="20"/>
                <w:color w:val="auto"/>
              </w:rPr>
            </w:pPr>
            <w:r>
              <w:rPr>
                <w:rFonts w:ascii="Times New Roman" w:cs="Times New Roman" w:eastAsia="Times New Roman" w:hAnsi="Times New Roman"/>
                <w:sz w:val="7"/>
                <w:szCs w:val="7"/>
                <w:color w:val="auto"/>
                <w:w w:val="83"/>
              </w:rPr>
              <w:t>-</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(6,947)</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171,152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w w:val="83"/>
              </w:rPr>
              <w:t>-</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164,432</w:t>
            </w: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6,720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-589280</wp:posOffset>
            </wp:positionV>
            <wp:extent cx="5207000" cy="1155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07000" cy="11557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-358140</wp:posOffset>
            </wp:positionV>
            <wp:extent cx="5207000" cy="1155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07000" cy="11557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-127000</wp:posOffset>
            </wp:positionV>
            <wp:extent cx="5207000" cy="1276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07000" cy="127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80"/>
          </w:cols>
          <w:pgMar w:left="300" w:top="297" w:right="319" w:bottom="1440" w:gutter="0" w:footer="0" w:header="0"/>
          <w:type w:val="continuous"/>
        </w:sectPr>
      </w:pP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wp:posOffset>
            </wp:positionV>
            <wp:extent cx="7172325" cy="12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12: FINANCIAL INSTRUMENTS AND FAIR VALUE MEASUREMENTS (continued)</w:t>
      </w:r>
    </w:p>
    <w:p>
      <w:pPr>
        <w:spacing w:after="0" w:line="205" w:lineRule="exact"/>
        <w:rPr>
          <w:sz w:val="20"/>
          <w:szCs w:val="20"/>
          <w:color w:val="auto"/>
        </w:rPr>
      </w:pPr>
    </w:p>
    <w:p>
      <w:pPr>
        <w:ind w:left="1000" w:hanging="429"/>
        <w:spacing w:after="0"/>
        <w:tabs>
          <w:tab w:leader="none" w:pos="1000" w:val="left"/>
        </w:tabs>
        <w:numPr>
          <w:ilvl w:val="0"/>
          <w:numId w:val="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Short-Term Deposits and Marketable Securities</w:t>
      </w:r>
    </w:p>
    <w:p>
      <w:pPr>
        <w:spacing w:after="0" w:line="206" w:lineRule="exact"/>
        <w:rPr>
          <w:rFonts w:ascii="Times New Roman" w:cs="Times New Roman" w:eastAsia="Times New Roman" w:hAnsi="Times New Roman"/>
          <w:sz w:val="13"/>
          <w:szCs w:val="13"/>
          <w:b w:val="1"/>
          <w:bCs w:val="1"/>
          <w:color w:val="auto"/>
        </w:rPr>
      </w:pPr>
    </w:p>
    <w:p>
      <w:pPr>
        <w:jc w:val="both"/>
        <w:ind w:left="1000" w:firstLine="4"/>
        <w:spacing w:after="0" w:line="26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Deposits and marketable securities as of December 31, 2023 included short-term deposits in the amount of $790,823 and marketable securities with applicable accrued interest in the amount of $184,960; as of December 31, 2022, deposits and marketable securities included short-term deposits in the amount of $495,359 and marketable securities with applicable accrued interest in the amount of $169,694.</w:t>
      </w:r>
    </w:p>
    <w:p>
      <w:pPr>
        <w:spacing w:after="0" w:line="173"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following table summarizes amortized costs, gross unrealized gains and losses and estimated fair values of available-for-sale marketable securities as of December 31, 2023:</w:t>
      </w:r>
    </w:p>
    <w:p>
      <w:pPr>
        <w:spacing w:after="0" w:line="205" w:lineRule="exact"/>
        <w:rPr>
          <w:sz w:val="20"/>
          <w:szCs w:val="20"/>
          <w:color w:val="auto"/>
        </w:rPr>
      </w:pPr>
    </w:p>
    <w:tbl>
      <w:tblPr>
        <w:tblLayout w:type="fixed"/>
        <w:tblInd w:w="10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8"/>
              </w:rPr>
              <w:t>Gross</w:t>
            </w:r>
          </w:p>
        </w:tc>
        <w:tc>
          <w:tcPr>
            <w:tcW w:w="100" w:type="dxa"/>
            <w:vAlign w:val="bottom"/>
          </w:tcPr>
          <w:p>
            <w:pPr>
              <w:spacing w:after="0"/>
              <w:rPr>
                <w:sz w:val="13"/>
                <w:szCs w:val="13"/>
                <w:color w:val="auto"/>
              </w:rPr>
            </w:pPr>
          </w:p>
        </w:tc>
        <w:tc>
          <w:tcPr>
            <w:tcW w:w="860" w:type="dxa"/>
            <w:vAlign w:val="bottom"/>
            <w:gridSpan w:val="2"/>
          </w:tcPr>
          <w:p>
            <w:pPr>
              <w:jc w:val="center"/>
              <w:ind w:right="196"/>
              <w:spacing w:after="0"/>
              <w:rPr>
                <w:sz w:val="20"/>
                <w:szCs w:val="20"/>
                <w:color w:val="auto"/>
              </w:rPr>
            </w:pPr>
            <w:r>
              <w:rPr>
                <w:rFonts w:ascii="Times New Roman" w:cs="Times New Roman" w:eastAsia="Times New Roman" w:hAnsi="Times New Roman"/>
                <w:sz w:val="13"/>
                <w:szCs w:val="13"/>
                <w:color w:val="auto"/>
                <w:w w:val="92"/>
              </w:rPr>
              <w:t>Gross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9"/>
              </w:rPr>
              <w:t>unrealized</w:t>
            </w:r>
          </w:p>
        </w:tc>
        <w:tc>
          <w:tcPr>
            <w:tcW w:w="100" w:type="dxa"/>
            <w:vAlign w:val="bottom"/>
          </w:tcPr>
          <w:p>
            <w:pPr>
              <w:spacing w:after="0"/>
              <w:rPr>
                <w:sz w:val="14"/>
                <w:szCs w:val="14"/>
                <w:color w:val="auto"/>
              </w:rPr>
            </w:pPr>
          </w:p>
        </w:tc>
        <w:tc>
          <w:tcPr>
            <w:tcW w:w="860" w:type="dxa"/>
            <w:vAlign w:val="bottom"/>
            <w:gridSpan w:val="2"/>
          </w:tcPr>
          <w:p>
            <w:pPr>
              <w:jc w:val="center"/>
              <w:ind w:right="196"/>
              <w:spacing w:after="0"/>
              <w:rPr>
                <w:sz w:val="20"/>
                <w:szCs w:val="20"/>
                <w:color w:val="auto"/>
              </w:rPr>
            </w:pPr>
            <w:r>
              <w:rPr>
                <w:rFonts w:ascii="Times New Roman" w:cs="Times New Roman" w:eastAsia="Times New Roman" w:hAnsi="Times New Roman"/>
                <w:sz w:val="13"/>
                <w:szCs w:val="13"/>
                <w:color w:val="auto"/>
                <w:w w:val="95"/>
              </w:rPr>
              <w:t>unrealized</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Estimated fair</w:t>
            </w:r>
          </w:p>
        </w:tc>
      </w:tr>
      <w:tr>
        <w:trPr>
          <w:trHeight w:val="175"/>
        </w:trPr>
        <w:tc>
          <w:tcPr>
            <w:tcW w:w="4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Cost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color w:val="auto"/>
                <w:w w:val="94"/>
              </w:rPr>
              <w:t>gains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color w:val="auto"/>
              </w:rPr>
              <w:t>losses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value</w:t>
            </w:r>
          </w:p>
        </w:tc>
        <w:tc>
          <w:tcPr>
            <w:tcW w:w="8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166,356</w:t>
            </w:r>
          </w:p>
        </w:tc>
        <w:tc>
          <w:tcPr>
            <w:tcW w:w="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(7,117</w:t>
            </w:r>
          </w:p>
        </w:tc>
        <w:tc>
          <w:tcPr>
            <w:tcW w:w="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161,254</w:t>
            </w:r>
          </w:p>
        </w:tc>
        <w:tc>
          <w:tcPr>
            <w:tcW w:w="80" w:type="dxa"/>
            <w:vAlign w:val="bottom"/>
            <w:shd w:val="clear" w:color="auto" w:fill="CCEEFF"/>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Government bonds</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22,470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86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(87)</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22,456</w:t>
            </w:r>
          </w:p>
        </w:tc>
      </w:tr>
      <w:tr>
        <w:trPr>
          <w:trHeight w:val="202"/>
        </w:trPr>
        <w:tc>
          <w:tcPr>
            <w:tcW w:w="20" w:type="dxa"/>
            <w:vAlign w:val="bottom"/>
          </w:tcPr>
          <w:p>
            <w:pPr>
              <w:spacing w:after="0"/>
              <w:rPr>
                <w:sz w:val="17"/>
                <w:szCs w:val="17"/>
                <w:color w:val="auto"/>
              </w:rPr>
            </w:pPr>
          </w:p>
        </w:tc>
        <w:tc>
          <w:tcPr>
            <w:tcW w:w="4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188,826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(7,204)</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183,710</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79" w:lineRule="exact"/>
        <w:rPr>
          <w:sz w:val="20"/>
          <w:szCs w:val="20"/>
          <w:color w:val="auto"/>
        </w:rPr>
      </w:pPr>
    </w:p>
    <w:p>
      <w:pPr>
        <w:sectPr>
          <w:pgSz w:w="11900" w:h="16838" w:orient="portrait"/>
          <w:cols w:equalWidth="0" w:num="1">
            <w:col w:w="11280"/>
          </w:cols>
          <w:pgMar w:left="300" w:top="297" w:right="319" w:bottom="1440" w:gutter="0" w:footer="0" w:header="0"/>
        </w:sectPr>
      </w:pPr>
    </w:p>
    <w:p>
      <w:pPr>
        <w:ind w:left="1000"/>
        <w:spacing w:after="0"/>
        <w:rPr>
          <w:sz w:val="20"/>
          <w:szCs w:val="20"/>
          <w:color w:val="auto"/>
        </w:rPr>
      </w:pPr>
      <w:r>
        <w:rPr>
          <w:rFonts w:ascii="Times New Roman" w:cs="Times New Roman" w:eastAsia="Times New Roman" w:hAnsi="Times New Roman"/>
          <w:sz w:val="13"/>
          <w:szCs w:val="13"/>
          <w:color w:val="auto"/>
        </w:rPr>
        <w:t>* Excluding accrued interest of $1,250.</w:t>
      </w:r>
    </w:p>
    <w:p>
      <w:pPr>
        <w:spacing w:after="0" w:line="19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The scheduled maturities of available-for-sale marketable securities as of December 31, 2023, were as follows:</w:t>
      </w:r>
    </w:p>
    <w:p>
      <w:pPr>
        <w:spacing w:after="0" w:line="37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Details</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Due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-86360</wp:posOffset>
            </wp:positionV>
            <wp:extent cx="5207000" cy="1155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07000" cy="115570"/>
                    </a:xfrm>
                    <a:prstGeom prst="rect">
                      <a:avLst/>
                    </a:prstGeom>
                    <a:noFill/>
                  </pic:spPr>
                </pic:pic>
              </a:graphicData>
            </a:graphic>
          </wp:anchor>
        </w:drawing>
      </w:r>
    </w:p>
    <w:p>
      <w:pPr>
        <w:spacing w:after="0" w:line="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Due within 2-5 years</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Due after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-86360</wp:posOffset>
            </wp:positionV>
            <wp:extent cx="5207000" cy="1155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07000" cy="115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w w:val="94"/>
              </w:rPr>
              <w:t>Amortized Cost</w:t>
            </w:r>
          </w:p>
        </w:tc>
        <w:tc>
          <w:tcPr>
            <w:tcW w:w="160" w:type="dxa"/>
            <w:vAlign w:val="bottom"/>
            <w:vMerge w:val="restart"/>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Estimated fair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value</w:t>
            </w:r>
          </w:p>
        </w:tc>
        <w:tc>
          <w:tcPr>
            <w:tcW w:w="0" w:type="dxa"/>
            <w:vAlign w:val="bottom"/>
          </w:tcPr>
          <w:p>
            <w:pPr>
              <w:spacing w:after="0"/>
              <w:rPr>
                <w:sz w:val="1"/>
                <w:szCs w:val="1"/>
                <w:color w:val="auto"/>
              </w:rPr>
            </w:pPr>
          </w:p>
        </w:tc>
      </w:tr>
      <w:tr>
        <w:trPr>
          <w:trHeight w:val="171"/>
        </w:trPr>
        <w:tc>
          <w:tcPr>
            <w:tcW w:w="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31,075</w:t>
            </w:r>
          </w:p>
        </w:tc>
        <w:tc>
          <w:tcPr>
            <w:tcW w:w="160" w:type="dxa"/>
            <w:vAlign w:val="bottom"/>
          </w:tcPr>
          <w:p>
            <w:pPr>
              <w:spacing w:after="0"/>
              <w:rPr>
                <w:sz w:val="14"/>
                <w:szCs w:val="1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30,938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134,256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130,271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23,495</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22,501</w:t>
            </w: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188,826</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2">
            <w:col w:w="6660" w:space="700"/>
            <w:col w:w="3920"/>
          </w:cols>
          <w:pgMar w:left="300" w:top="297" w:right="31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2"/>
          <w:szCs w:val="12"/>
          <w:color w:val="auto"/>
        </w:rPr>
        <w:t>The following table summarizes amortized costs, gross unrealized gains and losses and estimated fair values of available-for-sale marketable securities as of December 31, 2022:</w:t>
      </w:r>
    </w:p>
    <w:p>
      <w:pPr>
        <w:spacing w:after="0" w:line="216" w:lineRule="exact"/>
        <w:rPr>
          <w:sz w:val="20"/>
          <w:szCs w:val="20"/>
          <w:color w:val="auto"/>
        </w:rPr>
      </w:pPr>
    </w:p>
    <w:tbl>
      <w:tblPr>
        <w:tblLayout w:type="fixed"/>
        <w:tblInd w:w="10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8"/>
              </w:rPr>
              <w:t>Gross</w:t>
            </w:r>
          </w:p>
        </w:tc>
        <w:tc>
          <w:tcPr>
            <w:tcW w:w="10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2"/>
              </w:rPr>
              <w:t>Gross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9"/>
              </w:rPr>
              <w:t>unrealized</w:t>
            </w: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5"/>
              </w:rPr>
              <w:t>unrealized</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w w:val="98"/>
              </w:rPr>
              <w:t>Estimated fair</w:t>
            </w:r>
          </w:p>
        </w:tc>
      </w:tr>
      <w:tr>
        <w:trPr>
          <w:trHeight w:val="175"/>
        </w:trPr>
        <w:tc>
          <w:tcPr>
            <w:tcW w:w="4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w:t>
            </w:r>
          </w:p>
        </w:tc>
        <w:tc>
          <w:tcPr>
            <w:tcW w:w="1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Cost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4"/>
              </w:rPr>
              <w:t>gains</w:t>
            </w: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losses</w:t>
            </w:r>
          </w:p>
        </w:tc>
        <w:tc>
          <w:tcPr>
            <w:tcW w:w="16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9"/>
              </w:rPr>
              <w:t>value</w:t>
            </w:r>
          </w:p>
        </w:tc>
      </w:tr>
      <w:tr>
        <w:trPr>
          <w:trHeight w:val="163"/>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(11,656)</w:t>
            </w:r>
          </w:p>
        </w:tc>
        <w:tc>
          <w:tcPr>
            <w:tcW w:w="1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146,968</w:t>
            </w:r>
          </w:p>
        </w:tc>
        <w:tc>
          <w:tcPr>
            <w:tcW w:w="8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Government bonds</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22,686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(1,130)</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21,556</w:t>
            </w:r>
          </w:p>
        </w:tc>
      </w:tr>
      <w:tr>
        <w:trPr>
          <w:trHeight w:val="163"/>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Municipal bonds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464</w:t>
            </w: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181,247</w:t>
            </w:r>
          </w:p>
        </w:tc>
        <w:tc>
          <w:tcPr>
            <w:tcW w:w="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(12,794)</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168,988</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 Excluding accrued interest of $706.</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12: FINANCIAL INSTRUMENTS AND FAIR VALUE MEASUREMENTS (continued)</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w:t>
            </w:r>
          </w:p>
        </w:tc>
        <w:tc>
          <w:tcPr>
            <w:tcW w:w="65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Short-Term Deposits and Marketable Securities (continued)</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240" w:type="dxa"/>
            <w:vAlign w:val="bottom"/>
          </w:tcPr>
          <w:p>
            <w:pPr>
              <w:spacing w:after="0"/>
              <w:rPr>
                <w:sz w:val="24"/>
                <w:szCs w:val="24"/>
                <w:color w:val="auto"/>
              </w:rPr>
            </w:pPr>
          </w:p>
        </w:tc>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The scheduled maturities of available-for-sale marketable securities as of December 31, 2022, were as follows:</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40" w:type="dxa"/>
            <w:vAlign w:val="bottom"/>
          </w:tcPr>
          <w:p>
            <w:pPr>
              <w:spacing w:after="0"/>
              <w:rPr>
                <w:sz w:val="24"/>
                <w:szCs w:val="24"/>
                <w:color w:val="auto"/>
              </w:rPr>
            </w:pPr>
          </w:p>
        </w:tc>
        <w:tc>
          <w:tcPr>
            <w:tcW w:w="6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rPr>
              <w:t>Details</w:t>
            </w: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Amortized Cost</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w w:val="98"/>
              </w:rPr>
              <w:t>Estimated fair</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654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9"/>
              </w:rPr>
              <w:t>value</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within one year</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78,855</w:t>
            </w:r>
          </w:p>
        </w:tc>
        <w:tc>
          <w:tcPr>
            <w:tcW w:w="1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75,365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3"/>
                <w:szCs w:val="13"/>
                <w:color w:val="auto"/>
              </w:rPr>
              <w:t>Due within 2-5 years</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98,034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89,943</w:t>
            </w: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after 5 years</w:t>
            </w:r>
          </w:p>
        </w:tc>
        <w:tc>
          <w:tcPr>
            <w:tcW w:w="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4,358</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3,680</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181,247</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168,988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1000" w:right="20" w:firstLine="4"/>
        <w:spacing w:after="0" w:line="287" w:lineRule="auto"/>
        <w:rPr>
          <w:sz w:val="20"/>
          <w:szCs w:val="20"/>
          <w:color w:val="auto"/>
        </w:rPr>
      </w:pPr>
      <w:r>
        <w:rPr>
          <w:rFonts w:ascii="Times New Roman" w:cs="Times New Roman" w:eastAsia="Times New Roman" w:hAnsi="Times New Roman"/>
          <w:sz w:val="13"/>
          <w:szCs w:val="13"/>
          <w:color w:val="auto"/>
        </w:rPr>
        <w:t>Investments with continuous unrealized losses for less than twelve months and for twelve months or more and their related fair values as of December 31, 2023 and December 31, 2022, were as indicated in the following tables: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3"/>
                <w:szCs w:val="13"/>
                <w:color w:val="auto"/>
              </w:rPr>
              <w:t>December 31, 2023</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jc w:val="center"/>
              <w:ind w:right="260"/>
              <w:spacing w:after="0" w:line="141" w:lineRule="exact"/>
              <w:rPr>
                <w:sz w:val="20"/>
                <w:szCs w:val="20"/>
                <w:color w:val="auto"/>
              </w:rPr>
            </w:pPr>
            <w:r>
              <w:rPr>
                <w:rFonts w:ascii="Times New Roman" w:cs="Times New Roman" w:eastAsia="Times New Roman" w:hAnsi="Times New Roman"/>
                <w:sz w:val="13"/>
                <w:szCs w:val="13"/>
                <w:color w:val="auto"/>
                <w:w w:val="98"/>
              </w:rPr>
              <w:t>Investments with continuous</w:t>
            </w:r>
          </w:p>
        </w:tc>
        <w:tc>
          <w:tcPr>
            <w:tcW w:w="80" w:type="dxa"/>
            <w:vAlign w:val="bottom"/>
          </w:tcPr>
          <w:p>
            <w:pPr>
              <w:spacing w:after="0"/>
              <w:rPr>
                <w:sz w:val="12"/>
                <w:szCs w:val="12"/>
                <w:color w:val="auto"/>
              </w:rPr>
            </w:pPr>
          </w:p>
        </w:tc>
        <w:tc>
          <w:tcPr>
            <w:tcW w:w="1880" w:type="dxa"/>
            <w:vAlign w:val="bottom"/>
            <w:gridSpan w:val="5"/>
          </w:tcPr>
          <w:p>
            <w:pPr>
              <w:jc w:val="center"/>
              <w:ind w:right="220"/>
              <w:spacing w:after="0" w:line="141" w:lineRule="exact"/>
              <w:rPr>
                <w:sz w:val="20"/>
                <w:szCs w:val="20"/>
                <w:color w:val="auto"/>
              </w:rPr>
            </w:pPr>
            <w:r>
              <w:rPr>
                <w:rFonts w:ascii="Times New Roman" w:cs="Times New Roman" w:eastAsia="Times New Roman" w:hAnsi="Times New Roman"/>
                <w:sz w:val="13"/>
                <w:szCs w:val="13"/>
                <w:color w:val="auto"/>
                <w:w w:val="97"/>
              </w:rPr>
              <w:t>Investments with continuous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color w:val="auto"/>
                <w:w w:val="97"/>
              </w:rPr>
              <w:t>unrealized losses for less than</w:t>
            </w:r>
          </w:p>
        </w:tc>
        <w:tc>
          <w:tcPr>
            <w:tcW w:w="80" w:type="dxa"/>
            <w:vAlign w:val="bottom"/>
          </w:tcPr>
          <w:p>
            <w:pPr>
              <w:spacing w:after="0"/>
              <w:rPr>
                <w:sz w:val="14"/>
                <w:szCs w:val="14"/>
                <w:color w:val="auto"/>
              </w:rPr>
            </w:pPr>
          </w:p>
        </w:tc>
        <w:tc>
          <w:tcPr>
            <w:tcW w:w="188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color w:val="auto"/>
                <w:w w:val="98"/>
              </w:rPr>
              <w:t>unrealized losses for twelve</w:t>
            </w:r>
          </w:p>
        </w:tc>
        <w:tc>
          <w:tcPr>
            <w:tcW w:w="18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Total investments with continuous</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color w:val="auto"/>
                <w:w w:val="99"/>
              </w:rPr>
              <w:t>twelve months</w:t>
            </w:r>
          </w:p>
        </w:tc>
        <w:tc>
          <w:tcPr>
            <w:tcW w:w="80" w:type="dxa"/>
            <w:vAlign w:val="bottom"/>
          </w:tcPr>
          <w:p>
            <w:pPr>
              <w:spacing w:after="0"/>
              <w:rPr>
                <w:sz w:val="15"/>
                <w:szCs w:val="15"/>
                <w:color w:val="auto"/>
              </w:rPr>
            </w:pPr>
          </w:p>
        </w:tc>
        <w:tc>
          <w:tcPr>
            <w:tcW w:w="188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color w:val="auto"/>
                <w:w w:val="97"/>
              </w:rPr>
              <w:t>months or more</w:t>
            </w:r>
          </w:p>
        </w:tc>
        <w:tc>
          <w:tcPr>
            <w:tcW w:w="100" w:type="dxa"/>
            <w:vAlign w:val="bottom"/>
          </w:tcPr>
          <w:p>
            <w:pPr>
              <w:spacing w:after="0"/>
              <w:rPr>
                <w:sz w:val="15"/>
                <w:szCs w:val="15"/>
                <w:color w:val="auto"/>
              </w:rPr>
            </w:pPr>
          </w:p>
        </w:tc>
        <w:tc>
          <w:tcPr>
            <w:tcW w:w="176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color w:val="auto"/>
              </w:rPr>
              <w:t>unrealized losses</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36"/>
              <w:spacing w:after="0" w:line="141" w:lineRule="exact"/>
              <w:rPr>
                <w:sz w:val="20"/>
                <w:szCs w:val="20"/>
                <w:color w:val="auto"/>
              </w:rPr>
            </w:pPr>
            <w:r>
              <w:rPr>
                <w:rFonts w:ascii="Times New Roman" w:cs="Times New Roman" w:eastAsia="Times New Roman" w:hAnsi="Times New Roman"/>
                <w:sz w:val="13"/>
                <w:szCs w:val="13"/>
                <w:color w:val="auto"/>
                <w:w w:val="98"/>
              </w:rPr>
              <w:t>Unrealized</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6"/>
              <w:spacing w:after="0" w:line="141" w:lineRule="exact"/>
              <w:rPr>
                <w:sz w:val="20"/>
                <w:szCs w:val="20"/>
                <w:color w:val="auto"/>
              </w:rPr>
            </w:pPr>
            <w:r>
              <w:rPr>
                <w:rFonts w:ascii="Times New Roman" w:cs="Times New Roman" w:eastAsia="Times New Roman" w:hAnsi="Times New Roman"/>
                <w:sz w:val="13"/>
                <w:szCs w:val="13"/>
                <w:color w:val="auto"/>
                <w:w w:val="98"/>
              </w:rPr>
              <w:t>Unrealized</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56"/>
              <w:spacing w:after="0" w:line="141" w:lineRule="exact"/>
              <w:rPr>
                <w:sz w:val="20"/>
                <w:szCs w:val="20"/>
                <w:color w:val="auto"/>
              </w:rPr>
            </w:pPr>
            <w:r>
              <w:rPr>
                <w:rFonts w:ascii="Times New Roman" w:cs="Times New Roman" w:eastAsia="Times New Roman" w:hAnsi="Times New Roman"/>
                <w:sz w:val="13"/>
                <w:szCs w:val="13"/>
                <w:color w:val="auto"/>
                <w:w w:val="98"/>
              </w:rPr>
              <w:t>Unrealized</w:t>
            </w: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Details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Fair value</w:t>
            </w: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losses</w:t>
            </w:r>
          </w:p>
        </w:tc>
        <w:tc>
          <w:tcPr>
            <w:tcW w:w="80" w:type="dxa"/>
            <w:vAlign w:val="bottom"/>
          </w:tcPr>
          <w:p>
            <w:pPr>
              <w:spacing w:after="0"/>
              <w:rPr>
                <w:sz w:val="15"/>
                <w:szCs w:val="15"/>
                <w:color w:val="auto"/>
              </w:rPr>
            </w:pPr>
          </w:p>
        </w:tc>
        <w:tc>
          <w:tcPr>
            <w:tcW w:w="8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Fair 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losses</w:t>
            </w: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Fair value</w:t>
            </w: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6"/>
              </w:rPr>
              <w:t>losses</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7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49,843</w:t>
            </w: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(3,073)</w:t>
            </w: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67,167</w:t>
            </w: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(4,044)</w:t>
            </w: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117,010</w:t>
            </w: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(7,117)</w:t>
            </w:r>
          </w:p>
        </w:tc>
        <w:tc>
          <w:tcPr>
            <w:tcW w:w="8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Government bonds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8,703</w:t>
            </w: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(87)</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53,142</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(3,075)</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72,571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125,713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(7,204)</w:t>
            </w:r>
          </w:p>
        </w:tc>
        <w:tc>
          <w:tcPr>
            <w:tcW w:w="8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3"/>
                <w:szCs w:val="13"/>
                <w:color w:val="auto"/>
              </w:rPr>
              <w:t>December 31, 2022</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jc w:val="center"/>
              <w:ind w:right="260"/>
              <w:spacing w:after="0" w:line="140" w:lineRule="exact"/>
              <w:rPr>
                <w:sz w:val="20"/>
                <w:szCs w:val="20"/>
                <w:color w:val="auto"/>
              </w:rPr>
            </w:pPr>
            <w:r>
              <w:rPr>
                <w:rFonts w:ascii="Times New Roman" w:cs="Times New Roman" w:eastAsia="Times New Roman" w:hAnsi="Times New Roman"/>
                <w:sz w:val="13"/>
                <w:szCs w:val="13"/>
                <w:color w:val="auto"/>
                <w:w w:val="98"/>
              </w:rPr>
              <w:t>Investments with continuous</w:t>
            </w:r>
          </w:p>
        </w:tc>
        <w:tc>
          <w:tcPr>
            <w:tcW w:w="80" w:type="dxa"/>
            <w:vAlign w:val="bottom"/>
          </w:tcPr>
          <w:p>
            <w:pPr>
              <w:spacing w:after="0"/>
              <w:rPr>
                <w:sz w:val="12"/>
                <w:szCs w:val="12"/>
                <w:color w:val="auto"/>
              </w:rPr>
            </w:pPr>
          </w:p>
        </w:tc>
        <w:tc>
          <w:tcPr>
            <w:tcW w:w="1880" w:type="dxa"/>
            <w:vAlign w:val="bottom"/>
            <w:gridSpan w:val="5"/>
          </w:tcPr>
          <w:p>
            <w:pPr>
              <w:jc w:val="center"/>
              <w:ind w:right="220"/>
              <w:spacing w:after="0" w:line="140" w:lineRule="exact"/>
              <w:rPr>
                <w:sz w:val="20"/>
                <w:szCs w:val="20"/>
                <w:color w:val="auto"/>
              </w:rPr>
            </w:pPr>
            <w:r>
              <w:rPr>
                <w:rFonts w:ascii="Times New Roman" w:cs="Times New Roman" w:eastAsia="Times New Roman" w:hAnsi="Times New Roman"/>
                <w:sz w:val="13"/>
                <w:szCs w:val="13"/>
                <w:color w:val="auto"/>
                <w:w w:val="97"/>
              </w:rPr>
              <w:t>Investments with continuous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color w:val="auto"/>
                <w:w w:val="97"/>
              </w:rPr>
              <w:t>unrealized losses for less than</w:t>
            </w:r>
          </w:p>
        </w:tc>
        <w:tc>
          <w:tcPr>
            <w:tcW w:w="80" w:type="dxa"/>
            <w:vAlign w:val="bottom"/>
          </w:tcPr>
          <w:p>
            <w:pPr>
              <w:spacing w:after="0"/>
              <w:rPr>
                <w:sz w:val="14"/>
                <w:szCs w:val="14"/>
                <w:color w:val="auto"/>
              </w:rPr>
            </w:pPr>
          </w:p>
        </w:tc>
        <w:tc>
          <w:tcPr>
            <w:tcW w:w="188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color w:val="auto"/>
                <w:w w:val="98"/>
              </w:rPr>
              <w:t>unrealized losses for twelve</w:t>
            </w:r>
          </w:p>
        </w:tc>
        <w:tc>
          <w:tcPr>
            <w:tcW w:w="18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Total investments with continuous</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color w:val="auto"/>
                <w:w w:val="99"/>
              </w:rPr>
              <w:t>twelve months</w:t>
            </w:r>
          </w:p>
        </w:tc>
        <w:tc>
          <w:tcPr>
            <w:tcW w:w="80" w:type="dxa"/>
            <w:vAlign w:val="bottom"/>
          </w:tcPr>
          <w:p>
            <w:pPr>
              <w:spacing w:after="0"/>
              <w:rPr>
                <w:sz w:val="15"/>
                <w:szCs w:val="15"/>
                <w:color w:val="auto"/>
              </w:rPr>
            </w:pPr>
          </w:p>
        </w:tc>
        <w:tc>
          <w:tcPr>
            <w:tcW w:w="188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color w:val="auto"/>
                <w:w w:val="97"/>
              </w:rPr>
              <w:t>months or more</w:t>
            </w:r>
          </w:p>
        </w:tc>
        <w:tc>
          <w:tcPr>
            <w:tcW w:w="100" w:type="dxa"/>
            <w:vAlign w:val="bottom"/>
          </w:tcPr>
          <w:p>
            <w:pPr>
              <w:spacing w:after="0"/>
              <w:rPr>
                <w:sz w:val="15"/>
                <w:szCs w:val="15"/>
                <w:color w:val="auto"/>
              </w:rPr>
            </w:pPr>
          </w:p>
        </w:tc>
        <w:tc>
          <w:tcPr>
            <w:tcW w:w="176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color w:val="auto"/>
              </w:rPr>
              <w:t>unrealized losses</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36"/>
              <w:spacing w:after="0" w:line="141" w:lineRule="exact"/>
              <w:rPr>
                <w:sz w:val="20"/>
                <w:szCs w:val="20"/>
                <w:color w:val="auto"/>
              </w:rPr>
            </w:pPr>
            <w:r>
              <w:rPr>
                <w:rFonts w:ascii="Times New Roman" w:cs="Times New Roman" w:eastAsia="Times New Roman" w:hAnsi="Times New Roman"/>
                <w:sz w:val="13"/>
                <w:szCs w:val="13"/>
                <w:color w:val="auto"/>
                <w:w w:val="98"/>
              </w:rPr>
              <w:t>Unrealized</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6"/>
              <w:spacing w:after="0" w:line="141" w:lineRule="exact"/>
              <w:rPr>
                <w:sz w:val="20"/>
                <w:szCs w:val="20"/>
                <w:color w:val="auto"/>
              </w:rPr>
            </w:pPr>
            <w:r>
              <w:rPr>
                <w:rFonts w:ascii="Times New Roman" w:cs="Times New Roman" w:eastAsia="Times New Roman" w:hAnsi="Times New Roman"/>
                <w:sz w:val="13"/>
                <w:szCs w:val="13"/>
                <w:color w:val="auto"/>
                <w:w w:val="98"/>
              </w:rPr>
              <w:t>Unrealized</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56"/>
              <w:spacing w:after="0" w:line="141" w:lineRule="exact"/>
              <w:rPr>
                <w:sz w:val="20"/>
                <w:szCs w:val="20"/>
                <w:color w:val="auto"/>
              </w:rPr>
            </w:pPr>
            <w:r>
              <w:rPr>
                <w:rFonts w:ascii="Times New Roman" w:cs="Times New Roman" w:eastAsia="Times New Roman" w:hAnsi="Times New Roman"/>
                <w:sz w:val="13"/>
                <w:szCs w:val="13"/>
                <w:color w:val="auto"/>
                <w:w w:val="98"/>
              </w:rPr>
              <w:t>Unrealized</w:t>
            </w: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Details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Fair value</w:t>
            </w: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losses</w:t>
            </w:r>
          </w:p>
        </w:tc>
        <w:tc>
          <w:tcPr>
            <w:tcW w:w="80" w:type="dxa"/>
            <w:vAlign w:val="bottom"/>
          </w:tcPr>
          <w:p>
            <w:pPr>
              <w:spacing w:after="0"/>
              <w:rPr>
                <w:sz w:val="15"/>
                <w:szCs w:val="15"/>
                <w:color w:val="auto"/>
              </w:rPr>
            </w:pPr>
          </w:p>
        </w:tc>
        <w:tc>
          <w:tcPr>
            <w:tcW w:w="8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Fair 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losses</w:t>
            </w: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Fair value</w:t>
            </w: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6"/>
              </w:rPr>
              <w:t>losses</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7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57,388</w:t>
            </w: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(3,160)</w:t>
            </w: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87,065</w:t>
            </w: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(8,496)</w:t>
            </w: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144,453</w:t>
            </w: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(11,656)</w:t>
            </w:r>
          </w:p>
        </w:tc>
        <w:tc>
          <w:tcPr>
            <w:tcW w:w="8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Government bonds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(811)</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21,556</w:t>
            </w: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(1,130)</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Municipal bonds</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68,581</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(3,479)</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97,892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(9,315)</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166,473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(12,794)</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w w:val="89"/>
              </w:rPr>
              <w:t>F - 31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0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97" w:right="2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w:t>
      </w:r>
    </w:p>
    <w:p>
      <w:pPr>
        <w:spacing w:after="0" w:line="224" w:lineRule="exact"/>
        <w:rPr>
          <w:sz w:val="20"/>
          <w:szCs w:val="20"/>
          <w:color w:val="auto"/>
        </w:rPr>
      </w:pPr>
    </w:p>
    <w:p>
      <w:pPr>
        <w:ind w:left="980" w:hanging="409"/>
        <w:spacing w:after="0"/>
        <w:tabs>
          <w:tab w:leader="none" w:pos="980" w:val="left"/>
        </w:tabs>
        <w:numPr>
          <w:ilvl w:val="0"/>
          <w:numId w:val="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Employee Termination Benefits</w:t>
      </w:r>
    </w:p>
    <w:p>
      <w:pPr>
        <w:spacing w:after="0" w:line="206" w:lineRule="exact"/>
        <w:rPr>
          <w:rFonts w:ascii="Times New Roman" w:cs="Times New Roman" w:eastAsia="Times New Roman" w:hAnsi="Times New Roman"/>
          <w:sz w:val="13"/>
          <w:szCs w:val="13"/>
          <w:b w:val="1"/>
          <w:bCs w:val="1"/>
          <w:color w:val="auto"/>
        </w:rPr>
      </w:pPr>
    </w:p>
    <w:p>
      <w:pPr>
        <w:jc w:val="both"/>
        <w:ind w:left="100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w:t>
      </w:r>
    </w:p>
    <w:p>
      <w:pPr>
        <w:spacing w:after="0" w:line="173" w:lineRule="exact"/>
        <w:rPr>
          <w:rFonts w:ascii="Times New Roman" w:cs="Times New Roman" w:eastAsia="Times New Roman" w:hAnsi="Times New Roman"/>
          <w:sz w:val="13"/>
          <w:szCs w:val="13"/>
          <w:b w:val="1"/>
          <w:bCs w:val="1"/>
          <w:color w:val="auto"/>
        </w:rPr>
      </w:pPr>
    </w:p>
    <w:p>
      <w:pPr>
        <w:jc w:val="both"/>
        <w:ind w:left="1000" w:right="2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$5,752, $6,269 and $5,941 for 2023, 2022 and 2021, respectively.</w:t>
      </w:r>
    </w:p>
    <w:p>
      <w:pPr>
        <w:spacing w:after="0" w:line="163" w:lineRule="exact"/>
        <w:rPr>
          <w:rFonts w:ascii="Times New Roman" w:cs="Times New Roman" w:eastAsia="Times New Roman" w:hAnsi="Times New Roman"/>
          <w:sz w:val="13"/>
          <w:szCs w:val="13"/>
          <w:b w:val="1"/>
          <w:bCs w:val="1"/>
          <w:color w:val="auto"/>
        </w:rPr>
      </w:pPr>
    </w:p>
    <w:p>
      <w:pPr>
        <w:jc w:val="both"/>
        <w:ind w:left="1000" w:right="2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TPSCo established a Defined Contribution Retirement Plan (the “DC Plan”) for its employees who elected to join the plan through which TPSCo contributed approximately 8.2% in 2023, 8.5% in 2022 and 7.7% in 2021, with employee average match of 0.7% of employee base salary to the DC Plan. Other employees may elect to get the contribution in cash. The contribution releases the employer from further obligation to any payments upon termination of employment. The contribution is remitted to third party benefit funds based on employee preference. Total payments for retirement in 2023, 2022 and 2021 amounted to $4,266, $4,838 and $5,331 respectively.</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205" w:lineRule="exact"/>
        <w:rPr>
          <w:sz w:val="20"/>
          <w:szCs w:val="20"/>
          <w:color w:val="auto"/>
        </w:rPr>
      </w:pPr>
    </w:p>
    <w:p>
      <w:pPr>
        <w:ind w:left="980" w:hanging="409"/>
        <w:spacing w:after="0"/>
        <w:tabs>
          <w:tab w:leader="none" w:pos="980" w:val="left"/>
        </w:tabs>
        <w:numPr>
          <w:ilvl w:val="0"/>
          <w:numId w:val="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TSNB Employee Benefit Plans</w:t>
      </w:r>
    </w:p>
    <w:p>
      <w:pPr>
        <w:spacing w:after="0" w:line="207" w:lineRule="exact"/>
        <w:rPr>
          <w:sz w:val="20"/>
          <w:szCs w:val="20"/>
          <w:color w:val="auto"/>
        </w:rPr>
      </w:pPr>
    </w:p>
    <w:p>
      <w:pPr>
        <w:ind w:left="1000" w:firstLine="4"/>
        <w:spacing w:after="0" w:line="287" w:lineRule="auto"/>
        <w:rPr>
          <w:sz w:val="20"/>
          <w:szCs w:val="20"/>
          <w:color w:val="auto"/>
        </w:rPr>
      </w:pPr>
      <w:r>
        <w:rPr>
          <w:rFonts w:ascii="Times New Roman" w:cs="Times New Roman" w:eastAsia="Times New Roman" w:hAnsi="Times New Roman"/>
          <w:sz w:val="13"/>
          <w:szCs w:val="13"/>
          <w:color w:val="auto"/>
        </w:rPr>
        <w:t>The following information provides the changes in 2023, 2022 and 2021 periodic expenses and benefit obligations due to the bargaining agreement signed between TSNB and its collective bargaining unit employees.</w:t>
      </w:r>
    </w:p>
    <w:p>
      <w:pPr>
        <w:spacing w:after="0" w:line="1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i w:val="1"/>
          <w:iCs w:val="1"/>
          <w:color w:val="auto"/>
        </w:rPr>
        <w:t>Post-Retirement Medical Plan</w:t>
      </w:r>
    </w:p>
    <w:p>
      <w:pPr>
        <w:spacing w:after="0" w:line="209" w:lineRule="exact"/>
        <w:rPr>
          <w:sz w:val="20"/>
          <w:szCs w:val="20"/>
          <w:color w:val="auto"/>
        </w:rPr>
      </w:pPr>
    </w:p>
    <w:p>
      <w:pPr>
        <w:ind w:left="1000" w:right="20" w:firstLine="4"/>
        <w:spacing w:after="0" w:line="287" w:lineRule="auto"/>
        <w:rPr>
          <w:sz w:val="20"/>
          <w:szCs w:val="20"/>
          <w:color w:val="auto"/>
        </w:rPr>
      </w:pPr>
      <w:r>
        <w:rPr>
          <w:rFonts w:ascii="Times New Roman" w:cs="Times New Roman" w:eastAsia="Times New Roman" w:hAnsi="Times New Roman"/>
          <w:sz w:val="13"/>
          <w:szCs w:val="13"/>
          <w:color w:val="auto"/>
        </w:rPr>
        <w:t>The components of the net periodic benefit cost and other amounts recognized in other comprehensive income for post-retirement medical plan expense are as follows as of December 31, 2023, 2022 and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Details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2022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2021</w:t>
            </w: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periodic benefit cost: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3"/>
                <w:szCs w:val="13"/>
                <w:color w:val="auto"/>
              </w:rPr>
              <w:t>Service cost</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4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52</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prior service costs</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4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net gain</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(179)</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04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Total net periodic benefit cost</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(209)</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(122)</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vMerge w:val="continue"/>
          </w:tcPr>
          <w:p>
            <w:pPr>
              <w:spacing w:after="0"/>
              <w:rPr>
                <w:sz w:val="11"/>
                <w:szCs w:val="11"/>
                <w:color w:val="auto"/>
              </w:rPr>
            </w:pPr>
          </w:p>
        </w:tc>
        <w:tc>
          <w:tcPr>
            <w:tcW w:w="502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Other changes in plan assets and benefits obligations recognized in other comprehensive</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3"/>
                <w:szCs w:val="13"/>
                <w:color w:val="auto"/>
              </w:rPr>
              <w:t>Prior service cost for the period</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4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gain for the period</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(195)</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(515)</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prior service costs</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40" w:type="dxa"/>
            <w:vAlign w:val="bottom"/>
          </w:tcPr>
          <w:p>
            <w:pPr>
              <w:spacing w:after="0"/>
              <w:rPr>
                <w:sz w:val="15"/>
                <w:szCs w:val="15"/>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net gain</w:t>
            </w: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tcBorders>
              <w:bottom w:val="single" w:sz="8" w:color="CCEEFF"/>
            </w:tcBorders>
            <w:shd w:val="clear" w:color="auto" w:fill="CCEEFF"/>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06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Total recognized in other comprehensive income</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80" w:type="dxa"/>
            <w:vAlign w:val="bottom"/>
          </w:tcPr>
          <w:p>
            <w:pPr>
              <w:spacing w:after="0"/>
              <w:rPr>
                <w:sz w:val="15"/>
                <w:szCs w:val="15"/>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(358)</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156</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recognized in net periodic benefit cost and other comprehensive income</w:t>
            </w: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50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Weighted average assumptions used: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04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5.10%</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3.00%</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2.80%</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4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Rate of compensation increases</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3"/>
                <w:szCs w:val="13"/>
                <w:color w:val="auto"/>
              </w:rPr>
              <w:t>Assumed health care cost trend rates: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4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Health care cost trend rate assumed for current year (pre-65/post-65 Medicare Advantage)</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7.30%/9.25%</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6.00%/8.50%</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6.00%/6.50%</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3"/>
                <w:szCs w:val="13"/>
                <w:color w:val="auto"/>
              </w:rPr>
              <w:t>Health care cost trend rate assumed for current year (pre-65/post-65 Non-Medicare Advantage)</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7.30%/8.30%</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6.00%/6.40%</w:t>
            </w:r>
          </w:p>
        </w:tc>
        <w:tc>
          <w:tcPr>
            <w:tcW w:w="1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6.00%/6.50%</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4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Ultimate rate (pre-65/post-65)</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4.50%/4.50%</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4.50%/4.50%</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4.50%/4.50%</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6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Year the ultimate rate is reached (pre-65/post-65)</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2031/2031</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2031/2031</w:t>
            </w: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2029/2029</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040" w:type="dxa"/>
            <w:vAlign w:val="bottom"/>
          </w:tcPr>
          <w:p>
            <w:pPr>
              <w:spacing w:after="0"/>
              <w:rPr>
                <w:sz w:val="13"/>
                <w:szCs w:val="13"/>
                <w:color w:val="auto"/>
              </w:rPr>
            </w:pPr>
          </w:p>
        </w:tc>
        <w:tc>
          <w:tcPr>
            <w:tcW w:w="5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Measurement date</w:t>
            </w:r>
          </w:p>
        </w:tc>
        <w:tc>
          <w:tcPr>
            <w:tcW w:w="12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December 31,</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50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2022</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2021</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0"/>
        </w:trPr>
        <w:tc>
          <w:tcPr>
            <w:tcW w:w="1040" w:type="dxa"/>
            <w:vAlign w:val="bottom"/>
          </w:tcPr>
          <w:p>
            <w:pPr>
              <w:spacing w:after="0"/>
              <w:rPr>
                <w:sz w:val="24"/>
                <w:szCs w:val="24"/>
                <w:color w:val="auto"/>
              </w:rPr>
            </w:pPr>
          </w:p>
        </w:tc>
        <w:tc>
          <w:tcPr>
            <w:tcW w:w="5020" w:type="dxa"/>
            <w:vAlign w:val="bottom"/>
          </w:tcPr>
          <w:p>
            <w:pPr>
              <w:ind w:left="4460"/>
              <w:spacing w:after="0"/>
              <w:rPr>
                <w:sz w:val="20"/>
                <w:szCs w:val="20"/>
                <w:color w:val="auto"/>
              </w:rPr>
            </w:pPr>
            <w:r>
              <w:rPr>
                <w:rFonts w:ascii="Times New Roman" w:cs="Times New Roman" w:eastAsia="Times New Roman" w:hAnsi="Times New Roman"/>
                <w:sz w:val="13"/>
                <w:szCs w:val="13"/>
                <w:color w:val="auto"/>
              </w:rPr>
              <w:t>F - 33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040" w:type="dxa"/>
            <w:vAlign w:val="bottom"/>
            <w:tcBorders>
              <w:bottom w:val="single" w:sz="8" w:color="auto"/>
            </w:tcBorders>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97" w:right="2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224" w:lineRule="exact"/>
        <w:rPr>
          <w:sz w:val="20"/>
          <w:szCs w:val="20"/>
          <w:color w:val="auto"/>
        </w:rPr>
      </w:pPr>
    </w:p>
    <w:p>
      <w:pPr>
        <w:ind w:left="980" w:hanging="409"/>
        <w:spacing w:after="0"/>
        <w:tabs>
          <w:tab w:leader="none" w:pos="980"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TSNB Employee Benefit Plans (continued)</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The components of the change in benefit obligation, change in plan assets and funded status for post-retirement medical plan are as follows as of the years ended December 31, 2023,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Details</w:t>
            </w:r>
          </w:p>
        </w:tc>
        <w:tc>
          <w:tcPr>
            <w:tcW w:w="1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medical plan related benefit obligation:</w:t>
            </w: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Medical plan related benefit obligation at beginning of period</w:t>
            </w:r>
          </w:p>
        </w:tc>
        <w:tc>
          <w:tcPr>
            <w:tcW w:w="17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w:t>
            </w:r>
          </w:p>
        </w:tc>
        <w:tc>
          <w:tcPr>
            <w:tcW w:w="18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1,912</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1,882</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cost</w:t>
            </w: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Benefits paid</w:t>
            </w: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Change in medical plan provisions</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Actuarial gain, net</w:t>
            </w: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(195)</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(515)</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Benefit medical plan related obligation end of period</w:t>
            </w:r>
          </w:p>
        </w:tc>
        <w:tc>
          <w:tcPr>
            <w:tcW w:w="152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8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1,454</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1,912</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plan assets:</w:t>
            </w:r>
          </w:p>
        </w:tc>
        <w:tc>
          <w:tcPr>
            <w:tcW w:w="15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Fair value of plan assets at beginning of period</w:t>
            </w:r>
          </w:p>
        </w:tc>
        <w:tc>
          <w:tcPr>
            <w:tcW w:w="17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Employer contribution</w:t>
            </w: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Benefits paid</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of plan assets at end of period</w:t>
            </w:r>
          </w:p>
        </w:tc>
        <w:tc>
          <w:tcPr>
            <w:tcW w:w="15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Medical plan related net funding</w:t>
            </w:r>
          </w:p>
        </w:tc>
        <w:tc>
          <w:tcPr>
            <w:tcW w:w="152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(1,319)</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(1,454)</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(1,912)</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0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00" w:type="dxa"/>
            <w:vAlign w:val="bottom"/>
            <w:gridSpan w:val="2"/>
          </w:tcPr>
          <w:p>
            <w:pPr>
              <w:jc w:val="right"/>
              <w:ind w:right="676"/>
              <w:spacing w:after="0"/>
              <w:rPr>
                <w:sz w:val="20"/>
                <w:szCs w:val="20"/>
                <w:color w:val="auto"/>
              </w:rPr>
            </w:pPr>
            <w:r>
              <w:rPr>
                <w:rFonts w:ascii="Times New Roman" w:cs="Times New Roman" w:eastAsia="Times New Roman" w:hAnsi="Times New Roman"/>
                <w:sz w:val="13"/>
                <w:szCs w:val="13"/>
                <w:color w:val="auto"/>
              </w:rPr>
              <w:t>F - 34</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04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97" w:right="29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224" w:lineRule="exact"/>
        <w:rPr>
          <w:sz w:val="20"/>
          <w:szCs w:val="20"/>
          <w:color w:val="auto"/>
        </w:rPr>
      </w:pPr>
    </w:p>
    <w:p>
      <w:pPr>
        <w:ind w:left="980" w:hanging="409"/>
        <w:spacing w:after="0"/>
        <w:tabs>
          <w:tab w:leader="none" w:pos="980"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TSNB Employee Benefit Plans (continued)</w:t>
      </w:r>
    </w:p>
    <w:p>
      <w:pPr>
        <w:sectPr>
          <w:pgSz w:w="11900" w:h="16838" w:orient="portrait"/>
          <w:cols w:equalWidth="0" w:num="1">
            <w:col w:w="11280"/>
          </w:cols>
          <w:pgMar w:left="300" w:top="297" w:right="319" w:bottom="1440" w:gutter="0" w:footer="0" w:header="0"/>
        </w:sectPr>
      </w:pP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As of December 31, 2023, 2022 and 2021:</w:t>
      </w:r>
    </w:p>
    <w:p>
      <w:pPr>
        <w:spacing w:after="0" w:line="2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Details</w:t>
      </w:r>
    </w:p>
    <w:p>
      <w:pPr>
        <w:spacing w:after="0" w:line="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2"/>
          <w:szCs w:val="12"/>
          <w:color w:val="auto"/>
        </w:rPr>
        <w:t>Amounts recognized in statement of financial position:</w:t>
      </w:r>
    </w:p>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7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color w:val="auto"/>
              </w:rPr>
              <w:t>2023</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2022</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2021</w:t>
            </w:r>
          </w:p>
        </w:tc>
        <w:tc>
          <w:tcPr>
            <w:tcW w:w="40" w:type="dxa"/>
            <w:vAlign w:val="bottom"/>
          </w:tcPr>
          <w:p>
            <w:pPr>
              <w:spacing w:after="0"/>
              <w:rPr>
                <w:sz w:val="15"/>
                <w:szCs w:val="15"/>
                <w:color w:val="auto"/>
              </w:rPr>
            </w:pPr>
          </w:p>
        </w:tc>
      </w:tr>
      <w:tr>
        <w:trPr>
          <w:trHeight w:val="373"/>
        </w:trPr>
        <w:tc>
          <w:tcPr>
            <w:tcW w:w="700" w:type="dxa"/>
            <w:vAlign w:val="bottom"/>
          </w:tcPr>
          <w:p>
            <w:pPr>
              <w:jc w:val="right"/>
              <w:ind w:right="581"/>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(59)</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-236220</wp:posOffset>
            </wp:positionV>
            <wp:extent cx="5207000" cy="121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07000" cy="1219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60" w:space="720"/>
            <w:col w:w="5300"/>
          </w:cols>
          <w:pgMar w:left="300" w:top="297" w:right="319" w:bottom="1440" w:gutter="0" w:footer="0" w:header="0"/>
          <w:type w:val="continuous"/>
        </w:sectPr>
      </w:pPr>
    </w:p>
    <w:tbl>
      <w:tblPr>
        <w:tblLayout w:type="fixed"/>
        <w:tblInd w:w="1040" w:type="dxa"/>
        <w:tblCellMar>
          <w:top w:w="0" w:type="dxa"/>
          <w:left w:w="0" w:type="dxa"/>
          <w:bottom w:w="0" w:type="dxa"/>
          <w:right w:w="0" w:type="dxa"/>
        </w:tblCellMar>
      </w:tblPr>
      <w:tr>
        <w:trPr>
          <w:trHeight w:val="16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3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(1,269)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(1,395)</w:t>
            </w: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(1,864)</w:t>
            </w:r>
          </w:p>
        </w:tc>
      </w:tr>
      <w:tr>
        <w:trPr>
          <w:trHeight w:val="20"/>
        </w:trPr>
        <w:tc>
          <w:tcPr>
            <w:tcW w:w="4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6"/>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Net amount recognized</w:t>
            </w: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(1,319)</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(1,454)</w:t>
            </w: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(1,912)</w:t>
            </w:r>
          </w:p>
        </w:tc>
      </w:tr>
      <w:tr>
        <w:trPr>
          <w:trHeight w:val="20"/>
        </w:trPr>
        <w:tc>
          <w:tcPr>
            <w:tcW w:w="4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5207000" cy="121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07000" cy="121920"/>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type w:val="continuous"/>
        </w:sectPr>
      </w:pP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Weighted average assumptions used:</w:t>
      </w:r>
    </w:p>
    <w:p>
      <w:pPr>
        <w:spacing w:after="0" w:line="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Discount rate</w:t>
      </w:r>
    </w:p>
    <w:p>
      <w:pPr>
        <w:spacing w:after="0" w:line="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Rate of compensation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-92075</wp:posOffset>
            </wp:positionV>
            <wp:extent cx="5207000" cy="121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07000" cy="121920"/>
                    </a:xfrm>
                    <a:prstGeom prst="rect">
                      <a:avLst/>
                    </a:prstGeom>
                    <a:noFill/>
                  </pic:spPr>
                </pic:pic>
              </a:graphicData>
            </a:graphic>
          </wp:anchor>
        </w:drawing>
      </w:r>
    </w:p>
    <w:p>
      <w:pPr>
        <w:spacing w:after="0" w:line="4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Assumed health care cost trend rates:</w:t>
      </w:r>
    </w:p>
    <w:p>
      <w:pPr>
        <w:spacing w:after="0" w:line="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Health care cost trend rate assumed for next year (pre-65/post-65 Medicare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-92075</wp:posOffset>
            </wp:positionV>
            <wp:extent cx="5207000" cy="121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07000" cy="121920"/>
                    </a:xfrm>
                    <a:prstGeom prst="rect">
                      <a:avLst/>
                    </a:prstGeom>
                    <a:noFill/>
                  </pic:spPr>
                </pic:pic>
              </a:graphicData>
            </a:graphic>
          </wp:anchor>
        </w:drawing>
      </w:r>
    </w:p>
    <w:p>
      <w:pPr>
        <w:spacing w:after="0" w:line="2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2"/>
          <w:szCs w:val="12"/>
          <w:color w:val="auto"/>
        </w:rPr>
        <w:t>Health care cost trend rate assumed for next year (pre-65/post-65 Non-Medicare Advantage)</w:t>
      </w:r>
    </w:p>
    <w:p>
      <w:pPr>
        <w:spacing w:after="0" w:line="5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Ultimate rate (pre-65/post-65 Medicare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-92075</wp:posOffset>
            </wp:positionV>
            <wp:extent cx="5207000" cy="121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07000" cy="121920"/>
                    </a:xfrm>
                    <a:prstGeom prst="rect">
                      <a:avLst/>
                    </a:prstGeom>
                    <a:noFill/>
                  </pic:spPr>
                </pic:pic>
              </a:graphicData>
            </a:graphic>
          </wp:anchor>
        </w:drawing>
      </w:r>
    </w:p>
    <w:p>
      <w:pPr>
        <w:spacing w:after="0" w:line="2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Ultimate rate (pre-65/post-65 Non-Medicare Advantage)</w:t>
      </w:r>
    </w:p>
    <w:p>
      <w:pPr>
        <w:spacing w:after="0" w:line="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Year the ultimate rate is reached (pre-65/post-65 Medicare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-92075</wp:posOffset>
            </wp:positionV>
            <wp:extent cx="5207000" cy="121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07000" cy="121920"/>
                    </a:xfrm>
                    <a:prstGeom prst="rect">
                      <a:avLst/>
                    </a:prstGeom>
                    <a:noFill/>
                  </pic:spPr>
                </pic:pic>
              </a:graphicData>
            </a:graphic>
          </wp:anchor>
        </w:drawing>
      </w:r>
    </w:p>
    <w:p>
      <w:pPr>
        <w:spacing w:after="0" w:line="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Year the ultimate rate is reached (pre-65/post-65 Non-Medicare Advantage)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5.00%</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5.10%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92"/>
        </w:trPr>
        <w:tc>
          <w:tcPr>
            <w:tcW w:w="9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N/A</w:t>
            </w: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N/A</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N/A</w:t>
            </w:r>
          </w:p>
        </w:tc>
      </w:tr>
      <w:tr>
        <w:trPr>
          <w:trHeight w:val="383"/>
        </w:trPr>
        <w:tc>
          <w:tcPr>
            <w:tcW w:w="9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5"/>
              </w:rPr>
              <w:t>8.20%/11.00%</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7.30%/9.25%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5.80%/8.50%</w:t>
            </w:r>
          </w:p>
        </w:tc>
      </w:tr>
      <w:tr>
        <w:trPr>
          <w:trHeight w:val="192"/>
        </w:trPr>
        <w:tc>
          <w:tcPr>
            <w:tcW w:w="9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8.20%/8.70%</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7.30%/8.30%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5.80%/6.20%</w:t>
            </w:r>
          </w:p>
        </w:tc>
      </w:tr>
      <w:tr>
        <w:trPr>
          <w:trHeight w:val="192"/>
        </w:trPr>
        <w:tc>
          <w:tcPr>
            <w:tcW w:w="9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4.50%/4.50%</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4.50%/4.50%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4.40%/4.50%</w:t>
            </w:r>
          </w:p>
        </w:tc>
      </w:tr>
      <w:tr>
        <w:trPr>
          <w:trHeight w:val="192"/>
        </w:trPr>
        <w:tc>
          <w:tcPr>
            <w:tcW w:w="9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4.50%/4.50%</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4.50%/4.50%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4.40%/4.40%</w:t>
            </w:r>
          </w:p>
        </w:tc>
      </w:tr>
      <w:tr>
        <w:trPr>
          <w:trHeight w:val="192"/>
        </w:trPr>
        <w:tc>
          <w:tcPr>
            <w:tcW w:w="9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2033/2034</w:t>
            </w: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2031/2031</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2031/2031</w:t>
            </w:r>
          </w:p>
        </w:tc>
      </w:tr>
      <w:tr>
        <w:trPr>
          <w:trHeight w:val="201"/>
        </w:trPr>
        <w:tc>
          <w:tcPr>
            <w:tcW w:w="9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2033/2033</w:t>
            </w: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2031/2031</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2031/2031</w:t>
            </w:r>
          </w:p>
        </w:tc>
      </w:tr>
    </w:tbl>
    <w:p>
      <w:pPr>
        <w:spacing w:after="0" w:line="179" w:lineRule="exact"/>
        <w:rPr>
          <w:sz w:val="20"/>
          <w:szCs w:val="20"/>
          <w:color w:val="auto"/>
        </w:rPr>
      </w:pPr>
    </w:p>
    <w:p>
      <w:pPr>
        <w:sectPr>
          <w:pgSz w:w="11900" w:h="16838" w:orient="portrait"/>
          <w:cols w:equalWidth="0" w:num="2">
            <w:col w:w="5760" w:space="540"/>
            <w:col w:w="4980"/>
          </w:cols>
          <w:pgMar w:left="300" w:top="297" w:right="31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3"/>
          <w:szCs w:val="13"/>
          <w:color w:val="auto"/>
        </w:rPr>
        <w:t>The following benefit payments are expected to be paid in each of the next five fiscal years and in the aggregate for the five fiscal years thereafter:</w:t>
      </w:r>
    </w:p>
    <w:p>
      <w:pPr>
        <w:spacing w:after="0" w:line="195" w:lineRule="exact"/>
        <w:rPr>
          <w:sz w:val="20"/>
          <w:szCs w:val="20"/>
          <w:color w:val="auto"/>
        </w:rPr>
      </w:pPr>
    </w:p>
    <w:tbl>
      <w:tblPr>
        <w:tblLayout w:type="fixed"/>
        <w:tblInd w:w="1040" w:type="dxa"/>
        <w:tblCellMar>
          <w:top w:w="0" w:type="dxa"/>
          <w:left w:w="0" w:type="dxa"/>
          <w:bottom w:w="0" w:type="dxa"/>
          <w:right w:w="0" w:type="dxa"/>
        </w:tblCellMar>
      </w:tblPr>
      <w:tr>
        <w:trPr>
          <w:trHeight w:val="175"/>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Fiscal Year</w:t>
            </w:r>
          </w:p>
        </w:tc>
        <w:tc>
          <w:tcPr>
            <w:tcW w:w="80" w:type="dxa"/>
            <w:vAlign w:val="bottom"/>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9"/>
              </w:rPr>
              <w:t>Other Benefits</w:t>
            </w:r>
          </w:p>
        </w:tc>
        <w:tc>
          <w:tcPr>
            <w:tcW w:w="80" w:type="dxa"/>
            <w:vAlign w:val="bottom"/>
          </w:tcPr>
          <w:p>
            <w:pPr>
              <w:spacing w:after="0"/>
              <w:rPr>
                <w:sz w:val="15"/>
                <w:szCs w:val="15"/>
                <w:color w:val="auto"/>
              </w:rPr>
            </w:pPr>
          </w:p>
        </w:tc>
      </w:tr>
      <w:tr>
        <w:trPr>
          <w:trHeight w:val="182"/>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5"/>
                <w:szCs w:val="15"/>
                <w:color w:val="auto"/>
              </w:rPr>
            </w:pPr>
          </w:p>
        </w:tc>
      </w:tr>
      <w:tr>
        <w:trPr>
          <w:trHeight w:val="172"/>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r>
      <w:tr>
        <w:trPr>
          <w:trHeight w:val="192"/>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6"/>
                <w:szCs w:val="16"/>
                <w:color w:val="auto"/>
              </w:rPr>
            </w:pPr>
          </w:p>
        </w:tc>
      </w:tr>
      <w:tr>
        <w:trPr>
          <w:trHeight w:val="172"/>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r>
      <w:tr>
        <w:trPr>
          <w:trHeight w:val="17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shd w:val="clear" w:color="auto" w:fill="CCEEFF"/>
          </w:tcPr>
          <w:p>
            <w:pPr>
              <w:spacing w:after="0"/>
              <w:rPr>
                <w:sz w:val="15"/>
                <w:szCs w:val="15"/>
                <w:color w:val="auto"/>
              </w:rPr>
            </w:pPr>
          </w:p>
        </w:tc>
      </w:tr>
      <w:tr>
        <w:trPr>
          <w:trHeight w:val="172"/>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2029 - 2033</w:t>
            </w:r>
          </w:p>
        </w:tc>
        <w:tc>
          <w:tcPr>
            <w:tcW w:w="420" w:type="dxa"/>
            <w:vAlign w:val="bottom"/>
            <w:gridSpan w:val="2"/>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422</w:t>
            </w:r>
          </w:p>
        </w:tc>
      </w:tr>
    </w:tbl>
    <w:p>
      <w:pPr>
        <w:spacing w:after="0" w:line="1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Description of Significant Gains and Losses in Obligations:</w:t>
      </w:r>
    </w:p>
    <w:p>
      <w:pPr>
        <w:spacing w:after="0" w:line="205" w:lineRule="exact"/>
        <w:rPr>
          <w:sz w:val="20"/>
          <w:szCs w:val="20"/>
          <w:color w:val="auto"/>
        </w:rPr>
      </w:pPr>
    </w:p>
    <w:p>
      <w:pPr>
        <w:ind w:left="1000" w:firstLine="4"/>
        <w:spacing w:after="0" w:line="287" w:lineRule="auto"/>
        <w:rPr>
          <w:sz w:val="20"/>
          <w:szCs w:val="20"/>
          <w:color w:val="auto"/>
        </w:rPr>
      </w:pPr>
      <w:r>
        <w:rPr>
          <w:rFonts w:ascii="Times New Roman" w:cs="Times New Roman" w:eastAsia="Times New Roman" w:hAnsi="Times New Roman"/>
          <w:sz w:val="13"/>
          <w:szCs w:val="13"/>
          <w:color w:val="auto"/>
        </w:rPr>
        <w:t>For the fiscal year ended December 31, 2023, the benefit obligation summed to a net actuarial gain due to a significant reduction in retirees receiving medical coverage. For the fiscal year ended December 31, 2022, the benefit obligation summed to a net actuarial gain primarily attributable to the discount rate increase as compared to the prior year.</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224" w:lineRule="exact"/>
        <w:rPr>
          <w:sz w:val="20"/>
          <w:szCs w:val="20"/>
          <w:color w:val="auto"/>
        </w:rPr>
      </w:pPr>
    </w:p>
    <w:p>
      <w:pPr>
        <w:ind w:left="1000" w:right="8020" w:hanging="429"/>
        <w:spacing w:after="0" w:line="570" w:lineRule="auto"/>
        <w:tabs>
          <w:tab w:leader="none" w:pos="983" w:val="left"/>
        </w:tabs>
        <w:numPr>
          <w:ilvl w:val="0"/>
          <w:numId w:val="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TSNB Employee Benefit Plans (continued) </w:t>
      </w:r>
      <w:r>
        <w:rPr>
          <w:rFonts w:ascii="Times New Roman" w:cs="Times New Roman" w:eastAsia="Times New Roman" w:hAnsi="Times New Roman"/>
          <w:sz w:val="13"/>
          <w:szCs w:val="13"/>
          <w:b w:val="1"/>
          <w:bCs w:val="1"/>
          <w:i w:val="1"/>
          <w:iCs w:val="1"/>
          <w:color w:val="auto"/>
        </w:rPr>
        <w:t>TSNB Pension Plan</w:t>
      </w:r>
    </w:p>
    <w:p>
      <w:pPr>
        <w:spacing w:after="0" w:line="1" w:lineRule="exact"/>
        <w:rPr>
          <w:sz w:val="20"/>
          <w:szCs w:val="20"/>
          <w:color w:val="auto"/>
        </w:rPr>
      </w:pPr>
    </w:p>
    <w:p>
      <w:pPr>
        <w:ind w:left="1000" w:firstLine="4"/>
        <w:spacing w:after="0" w:line="272" w:lineRule="auto"/>
        <w:rPr>
          <w:sz w:val="20"/>
          <w:szCs w:val="20"/>
          <w:color w:val="auto"/>
        </w:rPr>
      </w:pPr>
      <w:r>
        <w:rPr>
          <w:rFonts w:ascii="Times New Roman" w:cs="Times New Roman" w:eastAsia="Times New Roman" w:hAnsi="Times New Roman"/>
          <w:sz w:val="13"/>
          <w:szCs w:val="13"/>
          <w:color w:val="auto"/>
        </w:rPr>
        <w:t>TSNB has a pension plan that provides for monthly pension payments to eligible employees upon retirement. The pension benefits are based on years of service and specified benefit amounts. TSNB uses a December 31 measurement date each year. TSNB’s funding policy is to make contributions that satisfy at least the minimum required contribution for IRS qualified plans.</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components of the change in benefit obligation, the change in plan assets and funded status for TSNB’s pension plan for the years ended December 31, 2023, 2022 and 2021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4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Details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2"/>
        </w:trPr>
        <w:tc>
          <w:tcPr>
            <w:tcW w:w="104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periodic benefit cost: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104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32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20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627</w:t>
            </w:r>
          </w:p>
        </w:tc>
        <w:tc>
          <w:tcPr>
            <w:tcW w:w="22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575</w:t>
            </w:r>
          </w:p>
        </w:tc>
        <w:tc>
          <w:tcPr>
            <w:tcW w:w="2060" w:type="dxa"/>
            <w:vAlign w:val="bottom"/>
          </w:tcPr>
          <w:p>
            <w:pPr>
              <w:spacing w:after="0"/>
              <w:rPr>
                <w:sz w:val="14"/>
                <w:szCs w:val="14"/>
                <w:color w:val="auto"/>
              </w:rPr>
            </w:pPr>
          </w:p>
        </w:tc>
      </w:tr>
      <w:tr>
        <w:trPr>
          <w:trHeight w:val="192"/>
        </w:trPr>
        <w:tc>
          <w:tcPr>
            <w:tcW w:w="104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(1,034)</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(778)</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(788)</w:t>
            </w:r>
          </w:p>
        </w:tc>
        <w:tc>
          <w:tcPr>
            <w:tcW w:w="2060" w:type="dxa"/>
            <w:vAlign w:val="bottom"/>
          </w:tcPr>
          <w:p>
            <w:pPr>
              <w:spacing w:after="0"/>
              <w:rPr>
                <w:sz w:val="16"/>
                <w:szCs w:val="16"/>
                <w:color w:val="auto"/>
              </w:rPr>
            </w:pPr>
          </w:p>
        </w:tc>
      </w:tr>
      <w:tr>
        <w:trPr>
          <w:trHeight w:val="172"/>
        </w:trPr>
        <w:tc>
          <w:tcPr>
            <w:tcW w:w="104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Expected administrative expenses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w:t>
            </w:r>
          </w:p>
        </w:tc>
        <w:tc>
          <w:tcPr>
            <w:tcW w:w="2060" w:type="dxa"/>
            <w:vAlign w:val="bottom"/>
          </w:tcPr>
          <w:p>
            <w:pPr>
              <w:spacing w:after="0"/>
              <w:rPr>
                <w:sz w:val="14"/>
                <w:szCs w:val="14"/>
                <w:color w:val="auto"/>
              </w:rPr>
            </w:pPr>
          </w:p>
        </w:tc>
      </w:tr>
      <w:tr>
        <w:trPr>
          <w:trHeight w:val="192"/>
        </w:trPr>
        <w:tc>
          <w:tcPr>
            <w:tcW w:w="104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prior service costs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2060" w:type="dxa"/>
            <w:vAlign w:val="bottom"/>
          </w:tcPr>
          <w:p>
            <w:pPr>
              <w:spacing w:after="0"/>
              <w:rPr>
                <w:sz w:val="16"/>
                <w:szCs w:val="16"/>
                <w:color w:val="auto"/>
              </w:rPr>
            </w:pPr>
          </w:p>
        </w:tc>
      </w:tr>
      <w:tr>
        <w:trPr>
          <w:trHeight w:val="163"/>
        </w:trPr>
        <w:tc>
          <w:tcPr>
            <w:tcW w:w="104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net loss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w:t>
            </w:r>
          </w:p>
        </w:tc>
        <w:tc>
          <w:tcPr>
            <w:tcW w:w="2060" w:type="dxa"/>
            <w:vAlign w:val="bottom"/>
          </w:tcPr>
          <w:p>
            <w:pPr>
              <w:spacing w:after="0"/>
              <w:rPr>
                <w:sz w:val="14"/>
                <w:szCs w:val="14"/>
                <w:color w:val="auto"/>
              </w:rPr>
            </w:pPr>
          </w:p>
        </w:tc>
      </w:tr>
      <w:tr>
        <w:trPr>
          <w:trHeight w:val="202"/>
        </w:trPr>
        <w:tc>
          <w:tcPr>
            <w:tcW w:w="1040" w:type="dxa"/>
            <w:vAlign w:val="bottom"/>
          </w:tcPr>
          <w:p>
            <w:pPr>
              <w:spacing w:after="0"/>
              <w:rPr>
                <w:sz w:val="17"/>
                <w:szCs w:val="17"/>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net periodic benefit cost</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r>
      <w:tr>
        <w:trPr>
          <w:trHeight w:val="144"/>
        </w:trPr>
        <w:tc>
          <w:tcPr>
            <w:tcW w:w="1040" w:type="dxa"/>
            <w:vAlign w:val="bottom"/>
          </w:tcPr>
          <w:p>
            <w:pPr>
              <w:spacing w:after="0"/>
              <w:rPr>
                <w:sz w:val="12"/>
                <w:szCs w:val="12"/>
                <w:color w:val="auto"/>
              </w:rPr>
            </w:pPr>
          </w:p>
        </w:tc>
        <w:tc>
          <w:tcPr>
            <w:tcW w:w="51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Other changes in plan assets and benefits obligations recognized in other comprehensive income: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89"/>
        </w:trPr>
        <w:tc>
          <w:tcPr>
            <w:tcW w:w="104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Prior service cost for the period</w:t>
            </w:r>
          </w:p>
        </w:tc>
        <w:tc>
          <w:tcPr>
            <w:tcW w:w="3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6"/>
                <w:szCs w:val="16"/>
                <w:color w:val="auto"/>
              </w:rPr>
            </w:pPr>
          </w:p>
        </w:tc>
      </w:tr>
      <w:tr>
        <w:trPr>
          <w:trHeight w:val="172"/>
        </w:trPr>
        <w:tc>
          <w:tcPr>
            <w:tcW w:w="104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Net loss (gain) for the 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(1,038)</w:t>
            </w:r>
          </w:p>
        </w:tc>
        <w:tc>
          <w:tcPr>
            <w:tcW w:w="2060" w:type="dxa"/>
            <w:vAlign w:val="bottom"/>
          </w:tcPr>
          <w:p>
            <w:pPr>
              <w:spacing w:after="0"/>
              <w:rPr>
                <w:sz w:val="14"/>
                <w:szCs w:val="14"/>
                <w:color w:val="auto"/>
              </w:rPr>
            </w:pPr>
          </w:p>
        </w:tc>
      </w:tr>
      <w:tr>
        <w:trPr>
          <w:trHeight w:val="192"/>
        </w:trPr>
        <w:tc>
          <w:tcPr>
            <w:tcW w:w="104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prior service costs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w:t>
            </w:r>
          </w:p>
        </w:tc>
        <w:tc>
          <w:tcPr>
            <w:tcW w:w="2060" w:type="dxa"/>
            <w:vAlign w:val="bottom"/>
          </w:tcPr>
          <w:p>
            <w:pPr>
              <w:spacing w:after="0"/>
              <w:rPr>
                <w:sz w:val="16"/>
                <w:szCs w:val="16"/>
                <w:color w:val="auto"/>
              </w:rPr>
            </w:pPr>
          </w:p>
        </w:tc>
      </w:tr>
      <w:tr>
        <w:trPr>
          <w:trHeight w:val="163"/>
        </w:trPr>
        <w:tc>
          <w:tcPr>
            <w:tcW w:w="104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net gain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c>
          <w:tcPr>
            <w:tcW w:w="2060" w:type="dxa"/>
            <w:vAlign w:val="bottom"/>
          </w:tcPr>
          <w:p>
            <w:pPr>
              <w:spacing w:after="0"/>
              <w:rPr>
                <w:sz w:val="14"/>
                <w:szCs w:val="14"/>
                <w:color w:val="auto"/>
              </w:rPr>
            </w:pPr>
          </w:p>
        </w:tc>
      </w:tr>
      <w:tr>
        <w:trPr>
          <w:trHeight w:val="202"/>
        </w:trPr>
        <w:tc>
          <w:tcPr>
            <w:tcW w:w="1040" w:type="dxa"/>
            <w:vAlign w:val="bottom"/>
          </w:tcPr>
          <w:p>
            <w:pPr>
              <w:spacing w:after="0"/>
              <w:rPr>
                <w:sz w:val="17"/>
                <w:szCs w:val="17"/>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recognized loss (gain) in other comprehensive income =</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w:t>
            </w: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2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r>
      <w:tr>
        <w:trPr>
          <w:trHeight w:val="141"/>
        </w:trPr>
        <w:tc>
          <w:tcPr>
            <w:tcW w:w="1040" w:type="dxa"/>
            <w:vAlign w:val="bottom"/>
          </w:tcPr>
          <w:p>
            <w:pPr>
              <w:spacing w:after="0"/>
              <w:rPr>
                <w:sz w:val="12"/>
                <w:szCs w:val="12"/>
                <w:color w:val="auto"/>
              </w:rPr>
            </w:pPr>
          </w:p>
        </w:tc>
        <w:tc>
          <w:tcPr>
            <w:tcW w:w="51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Total recognized in net periodic benefit cost (gain) and other comprehensive income</w:t>
            </w:r>
          </w:p>
        </w:tc>
        <w:tc>
          <w:tcPr>
            <w:tcW w:w="320" w:type="dxa"/>
            <w:vAlign w:val="bottom"/>
            <w:gridSpan w:val="2"/>
          </w:tcPr>
          <w:p>
            <w:pPr>
              <w:jc w:val="right"/>
              <w:ind w:right="47"/>
              <w:spacing w:after="0" w:line="141"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403</w:t>
            </w:r>
          </w:p>
        </w:tc>
        <w:tc>
          <w:tcPr>
            <w:tcW w:w="200" w:type="dxa"/>
            <w:vAlign w:val="bottom"/>
          </w:tcPr>
          <w:p>
            <w:pPr>
              <w:spacing w:after="0"/>
              <w:rPr>
                <w:sz w:val="12"/>
                <w:szCs w:val="12"/>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1,594</w:t>
            </w:r>
          </w:p>
        </w:tc>
        <w:tc>
          <w:tcPr>
            <w:tcW w:w="140" w:type="dxa"/>
            <w:vAlign w:val="bottom"/>
          </w:tcPr>
          <w:p>
            <w:pPr>
              <w:spacing w:after="0"/>
              <w:rPr>
                <w:sz w:val="12"/>
                <w:szCs w:val="12"/>
                <w:color w:val="auto"/>
              </w:rPr>
            </w:pPr>
          </w:p>
        </w:tc>
        <w:tc>
          <w:tcPr>
            <w:tcW w:w="220" w:type="dxa"/>
            <w:vAlign w:val="bottom"/>
            <w:gridSpan w:val="2"/>
          </w:tcPr>
          <w:p>
            <w:pPr>
              <w:jc w:val="right"/>
              <w:ind w:right="67"/>
              <w:spacing w:after="0" w:line="141"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3"/>
                <w:szCs w:val="13"/>
                <w:color w:val="auto"/>
              </w:rPr>
              <w:t>(1,151)</w:t>
            </w:r>
          </w:p>
        </w:tc>
        <w:tc>
          <w:tcPr>
            <w:tcW w:w="2060" w:type="dxa"/>
            <w:vAlign w:val="bottom"/>
          </w:tcPr>
          <w:p>
            <w:pPr>
              <w:spacing w:after="0"/>
              <w:rPr>
                <w:sz w:val="12"/>
                <w:szCs w:val="12"/>
                <w:color w:val="auto"/>
              </w:rPr>
            </w:pPr>
          </w:p>
        </w:tc>
      </w:tr>
      <w:tr>
        <w:trPr>
          <w:trHeight w:val="20"/>
        </w:trPr>
        <w:tc>
          <w:tcPr>
            <w:tcW w:w="6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51"/>
        </w:trPr>
        <w:tc>
          <w:tcPr>
            <w:tcW w:w="1040" w:type="dxa"/>
            <w:vAlign w:val="bottom"/>
          </w:tcPr>
          <w:p>
            <w:pPr>
              <w:spacing w:after="0"/>
              <w:rPr>
                <w:sz w:val="13"/>
                <w:szCs w:val="13"/>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assumptions used:</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60" w:type="dxa"/>
            <w:vAlign w:val="bottom"/>
          </w:tcPr>
          <w:p>
            <w:pPr>
              <w:spacing w:after="0"/>
              <w:rPr>
                <w:sz w:val="13"/>
                <w:szCs w:val="13"/>
                <w:color w:val="auto"/>
              </w:rPr>
            </w:pPr>
          </w:p>
        </w:tc>
      </w:tr>
      <w:tr>
        <w:trPr>
          <w:trHeight w:val="172"/>
        </w:trPr>
        <w:tc>
          <w:tcPr>
            <w:tcW w:w="104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5.10%</w:t>
            </w:r>
          </w:p>
        </w:tc>
        <w:tc>
          <w:tcPr>
            <w:tcW w:w="1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2.50%</w:t>
            </w:r>
          </w:p>
        </w:tc>
        <w:tc>
          <w:tcPr>
            <w:tcW w:w="2060" w:type="dxa"/>
            <w:vAlign w:val="bottom"/>
          </w:tcPr>
          <w:p>
            <w:pPr>
              <w:spacing w:after="0"/>
              <w:rPr>
                <w:sz w:val="14"/>
                <w:szCs w:val="14"/>
                <w:color w:val="auto"/>
              </w:rPr>
            </w:pPr>
          </w:p>
        </w:tc>
      </w:tr>
      <w:tr>
        <w:trPr>
          <w:trHeight w:val="192"/>
        </w:trPr>
        <w:tc>
          <w:tcPr>
            <w:tcW w:w="104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5.60%</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3.10%</w:t>
            </w:r>
          </w:p>
        </w:tc>
        <w:tc>
          <w:tcPr>
            <w:tcW w:w="2060" w:type="dxa"/>
            <w:vAlign w:val="bottom"/>
          </w:tcPr>
          <w:p>
            <w:pPr>
              <w:spacing w:after="0"/>
              <w:rPr>
                <w:sz w:val="16"/>
                <w:szCs w:val="16"/>
                <w:color w:val="auto"/>
              </w:rPr>
            </w:pPr>
          </w:p>
        </w:tc>
      </w:tr>
      <w:tr>
        <w:trPr>
          <w:trHeight w:val="172"/>
        </w:trPr>
        <w:tc>
          <w:tcPr>
            <w:tcW w:w="104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Rate of compensation increases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N/A</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N/A</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2060" w:type="dxa"/>
            <w:vAlign w:val="bottom"/>
          </w:tcPr>
          <w:p>
            <w:pPr>
              <w:spacing w:after="0"/>
              <w:rPr>
                <w:sz w:val="14"/>
                <w:szCs w:val="14"/>
                <w:color w:val="auto"/>
              </w:rPr>
            </w:pPr>
          </w:p>
        </w:tc>
      </w:tr>
      <w:tr>
        <w:trPr>
          <w:trHeight w:val="441"/>
        </w:trPr>
        <w:tc>
          <w:tcPr>
            <w:tcW w:w="1040" w:type="dxa"/>
            <w:vAlign w:val="bottom"/>
          </w:tcPr>
          <w:p>
            <w:pPr>
              <w:spacing w:after="0"/>
              <w:rPr>
                <w:sz w:val="24"/>
                <w:szCs w:val="24"/>
                <w:color w:val="auto"/>
              </w:rPr>
            </w:pPr>
          </w:p>
        </w:tc>
        <w:tc>
          <w:tcPr>
            <w:tcW w:w="5100" w:type="dxa"/>
            <w:vAlign w:val="bottom"/>
          </w:tcPr>
          <w:p>
            <w:pPr>
              <w:ind w:left="4460"/>
              <w:spacing w:after="0"/>
              <w:rPr>
                <w:sz w:val="20"/>
                <w:szCs w:val="20"/>
                <w:color w:val="auto"/>
              </w:rPr>
            </w:pPr>
            <w:r>
              <w:rPr>
                <w:rFonts w:ascii="Times New Roman" w:cs="Times New Roman" w:eastAsia="Times New Roman" w:hAnsi="Times New Roman"/>
                <w:sz w:val="13"/>
                <w:szCs w:val="13"/>
                <w:color w:val="auto"/>
              </w:rPr>
              <w:t>F - 36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8"/>
        </w:trPr>
        <w:tc>
          <w:tcPr>
            <w:tcW w:w="1040" w:type="dxa"/>
            <w:vAlign w:val="bottom"/>
            <w:tcBorders>
              <w:bottom w:val="single" w:sz="8" w:color="auto"/>
            </w:tcBorders>
          </w:tcPr>
          <w:p>
            <w:pPr>
              <w:spacing w:after="0"/>
              <w:rPr>
                <w:sz w:val="4"/>
                <w:szCs w:val="4"/>
                <w:color w:val="auto"/>
              </w:rPr>
            </w:pPr>
          </w:p>
        </w:tc>
        <w:tc>
          <w:tcPr>
            <w:tcW w:w="5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bl>
    <w:p>
      <w:pPr>
        <w:sectPr>
          <w:pgSz w:w="11900" w:h="16838" w:orient="portrait"/>
          <w:cols w:equalWidth="0" w:num="1">
            <w:col w:w="11300"/>
          </w:cols>
          <w:pgMar w:left="300" w:top="297" w:right="29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224" w:lineRule="exact"/>
        <w:rPr>
          <w:sz w:val="20"/>
          <w:szCs w:val="20"/>
          <w:color w:val="auto"/>
        </w:rPr>
      </w:pPr>
    </w:p>
    <w:p>
      <w:pPr>
        <w:ind w:left="980" w:hanging="409"/>
        <w:spacing w:after="0"/>
        <w:tabs>
          <w:tab w:leader="none" w:pos="980"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TSNB Employee Benefit Plans (continued)</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components of the change in benefit obligation, change in plan assets and funded status for TSNB’s pension plan for the years ended December 31, 2023, 2022 and 2021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Details</w:t>
            </w:r>
          </w:p>
        </w:tc>
        <w:tc>
          <w:tcPr>
            <w:tcW w:w="1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benefit obligation:</w:t>
            </w:r>
          </w:p>
        </w:tc>
        <w:tc>
          <w:tcPr>
            <w:tcW w:w="16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Benefit obligation at beginning of period</w:t>
            </w:r>
          </w:p>
        </w:tc>
        <w:tc>
          <w:tcPr>
            <w:tcW w:w="180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17,436</w:t>
            </w:r>
          </w:p>
        </w:tc>
        <w:tc>
          <w:tcPr>
            <w:tcW w:w="20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22,081</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23,467</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16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627</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575</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Benefits paid</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(963)</w:t>
            </w: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(804)</w:t>
            </w: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(778)</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plan provisions</w:t>
            </w:r>
          </w:p>
        </w:tc>
        <w:tc>
          <w:tcPr>
            <w:tcW w:w="16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Actuarial loss (gain)</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(4,468)</w:t>
            </w: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(1,183)</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Benefit obligation end of period</w:t>
            </w:r>
          </w:p>
        </w:tc>
        <w:tc>
          <w:tcPr>
            <w:tcW w:w="166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18,281</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17,436</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22,081</w:t>
            </w:r>
          </w:p>
        </w:tc>
        <w:tc>
          <w:tcPr>
            <w:tcW w:w="12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36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Change in plan assets:</w:t>
            </w: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of plan assets at beginning of period</w:t>
            </w:r>
          </w:p>
        </w:tc>
        <w:tc>
          <w:tcPr>
            <w:tcW w:w="18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19,511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25,750</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25,985</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(5,211)</w:t>
            </w:r>
          </w:p>
        </w:tc>
        <w:tc>
          <w:tcPr>
            <w:tcW w:w="1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616</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Employer contribution</w:t>
            </w:r>
          </w:p>
        </w:tc>
        <w:tc>
          <w:tcPr>
            <w:tcW w:w="16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Expenses paid</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(224)</w:t>
            </w: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(224)</w:t>
            </w: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(73)</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Benefits paid</w:t>
            </w:r>
          </w:p>
        </w:tc>
        <w:tc>
          <w:tcPr>
            <w:tcW w:w="16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(962)</w:t>
            </w: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(804)</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(778)</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6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Fair value of plan assets at end of period</w:t>
            </w:r>
          </w:p>
        </w:tc>
        <w:tc>
          <w:tcPr>
            <w:tcW w:w="180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19,953</w:t>
            </w:r>
          </w:p>
        </w:tc>
        <w:tc>
          <w:tcPr>
            <w:tcW w:w="20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19,511</w:t>
            </w:r>
          </w:p>
        </w:tc>
        <w:tc>
          <w:tcPr>
            <w:tcW w:w="18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25,750</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40" w:type="dxa"/>
            <w:vAlign w:val="bottom"/>
            <w:vMerge w:val="continue"/>
          </w:tcPr>
          <w:p>
            <w:pPr>
              <w:spacing w:after="0"/>
              <w:rPr>
                <w:sz w:val="15"/>
                <w:szCs w:val="15"/>
                <w:color w:val="auto"/>
              </w:rPr>
            </w:pPr>
          </w:p>
        </w:tc>
        <w:tc>
          <w:tcPr>
            <w:tcW w:w="362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Funded Status</w:t>
            </w:r>
          </w:p>
        </w:tc>
        <w:tc>
          <w:tcPr>
            <w:tcW w:w="166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1,672</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2,075</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3,669</w:t>
            </w:r>
          </w:p>
        </w:tc>
        <w:tc>
          <w:tcPr>
            <w:tcW w:w="120" w:type="dxa"/>
            <w:vAlign w:val="bottom"/>
            <w:tcBorders>
              <w:bottom w:val="single" w:sz="8" w:color="CCEEFF"/>
            </w:tcBorders>
            <w:shd w:val="clear" w:color="auto" w:fill="CCEEFF"/>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36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Amounts recognized in statement of financial position:</w:t>
            </w: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18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3,669</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040" w:type="dxa"/>
            <w:vAlign w:val="bottom"/>
          </w:tcPr>
          <w:p>
            <w:pPr>
              <w:spacing w:after="0"/>
              <w:rPr>
                <w:sz w:val="12"/>
                <w:szCs w:val="12"/>
                <w:color w:val="auto"/>
              </w:rPr>
            </w:pPr>
          </w:p>
        </w:tc>
        <w:tc>
          <w:tcPr>
            <w:tcW w:w="3620" w:type="dxa"/>
            <w:vAlign w:val="bottom"/>
            <w:tcBorders>
              <w:top w:val="single" w:sz="8" w:color="CCEEFF"/>
            </w:tcBorders>
          </w:tcPr>
          <w:p>
            <w:pPr>
              <w:spacing w:after="0" w:line="141" w:lineRule="exact"/>
              <w:rPr>
                <w:sz w:val="20"/>
                <w:szCs w:val="20"/>
                <w:color w:val="auto"/>
              </w:rPr>
            </w:pPr>
            <w:r>
              <w:rPr>
                <w:rFonts w:ascii="Times New Roman" w:cs="Times New Roman" w:eastAsia="Times New Roman" w:hAnsi="Times New Roman"/>
                <w:sz w:val="13"/>
                <w:szCs w:val="13"/>
                <w:color w:val="auto"/>
              </w:rPr>
              <w:t>Non-current liabilities</w:t>
            </w:r>
          </w:p>
        </w:tc>
        <w:tc>
          <w:tcPr>
            <w:tcW w:w="166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amount recognized</w:t>
            </w:r>
          </w:p>
        </w:tc>
        <w:tc>
          <w:tcPr>
            <w:tcW w:w="166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2,075</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3,669</w:t>
            </w:r>
          </w:p>
        </w:tc>
        <w:tc>
          <w:tcPr>
            <w:tcW w:w="12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36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Weighted average assumptions used:</w:t>
            </w: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16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4.90%</w:t>
            </w: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5.10%</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2.90%</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Rate of compensation increases</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N/A</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1"/>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00" w:type="dxa"/>
            <w:vAlign w:val="bottom"/>
            <w:gridSpan w:val="2"/>
          </w:tcPr>
          <w:p>
            <w:pPr>
              <w:jc w:val="right"/>
              <w:ind w:right="633"/>
              <w:spacing w:after="0"/>
              <w:rPr>
                <w:sz w:val="20"/>
                <w:szCs w:val="20"/>
                <w:color w:val="auto"/>
              </w:rPr>
            </w:pPr>
            <w:r>
              <w:rPr>
                <w:rFonts w:ascii="Times New Roman" w:cs="Times New Roman" w:eastAsia="Times New Roman" w:hAnsi="Times New Roman"/>
                <w:sz w:val="13"/>
                <w:szCs w:val="13"/>
                <w:color w:val="auto"/>
              </w:rPr>
              <w:t>F - 37</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04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97" w:right="29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224" w:lineRule="exact"/>
        <w:rPr>
          <w:sz w:val="20"/>
          <w:szCs w:val="20"/>
          <w:color w:val="auto"/>
        </w:rPr>
      </w:pPr>
    </w:p>
    <w:p>
      <w:pPr>
        <w:ind w:left="980" w:hanging="409"/>
        <w:spacing w:after="0"/>
        <w:tabs>
          <w:tab w:leader="none" w:pos="980" w:val="left"/>
        </w:tabs>
        <w:numPr>
          <w:ilvl w:val="0"/>
          <w:numId w:val="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TSNB Employee Benefit Plans (continued)</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following benefit payments are expected to be paid in each of the next five fiscal years and in the aggregate for the five fiscal years thereafter:</w:t>
      </w:r>
    </w:p>
    <w:p>
      <w:pPr>
        <w:spacing w:after="0" w:line="205" w:lineRule="exact"/>
        <w:rPr>
          <w:sz w:val="20"/>
          <w:szCs w:val="20"/>
          <w:color w:val="auto"/>
        </w:rPr>
      </w:pPr>
    </w:p>
    <w:tbl>
      <w:tblPr>
        <w:tblLayout w:type="fixed"/>
        <w:tblInd w:w="1040" w:type="dxa"/>
        <w:tblCellMar>
          <w:top w:w="0" w:type="dxa"/>
          <w:left w:w="0" w:type="dxa"/>
          <w:bottom w:w="0" w:type="dxa"/>
          <w:right w:w="0" w:type="dxa"/>
        </w:tblCellMar>
      </w:tblPr>
      <w:tr>
        <w:trPr>
          <w:trHeight w:val="175"/>
        </w:trPr>
        <w:tc>
          <w:tcPr>
            <w:tcW w:w="7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Fiscal Year</w:t>
            </w:r>
          </w:p>
        </w:tc>
        <w:tc>
          <w:tcPr>
            <w:tcW w:w="80" w:type="dxa"/>
            <w:vAlign w:val="bottom"/>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9"/>
              </w:rPr>
              <w:t>Other Benefits</w:t>
            </w:r>
          </w:p>
        </w:tc>
        <w:tc>
          <w:tcPr>
            <w:tcW w:w="8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3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w:t>
            </w:r>
          </w:p>
        </w:tc>
        <w:tc>
          <w:tcPr>
            <w:tcW w:w="80" w:type="dxa"/>
            <w:vAlign w:val="bottom"/>
            <w:shd w:val="clear" w:color="auto" w:fill="CCEEFF"/>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8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80" w:type="dxa"/>
            <w:vAlign w:val="bottom"/>
            <w:shd w:val="clear" w:color="auto" w:fill="CCEEFF"/>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3"/>
                <w:szCs w:val="13"/>
                <w:color w:val="auto"/>
              </w:rPr>
              <w:t>2029 - 2033</w:t>
            </w:r>
          </w:p>
        </w:tc>
        <w:tc>
          <w:tcPr>
            <w:tcW w:w="380" w:type="dxa"/>
            <w:vAlign w:val="bottom"/>
            <w:gridSpan w:val="2"/>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6,692</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Description of Significant Gains and Losses in Obligations:</w:t>
      </w:r>
    </w:p>
    <w:p>
      <w:pPr>
        <w:spacing w:after="0" w:line="195" w:lineRule="exact"/>
        <w:rPr>
          <w:sz w:val="20"/>
          <w:szCs w:val="20"/>
          <w:color w:val="auto"/>
        </w:rPr>
      </w:pPr>
    </w:p>
    <w:p>
      <w:pPr>
        <w:jc w:val="both"/>
        <w:ind w:left="1000" w:right="20" w:firstLine="4"/>
        <w:spacing w:after="0" w:line="274" w:lineRule="auto"/>
        <w:rPr>
          <w:sz w:val="20"/>
          <w:szCs w:val="20"/>
          <w:color w:val="auto"/>
        </w:rPr>
      </w:pPr>
      <w:r>
        <w:rPr>
          <w:rFonts w:ascii="Times New Roman" w:cs="Times New Roman" w:eastAsia="Times New Roman" w:hAnsi="Times New Roman"/>
          <w:sz w:val="13"/>
          <w:szCs w:val="13"/>
          <w:color w:val="auto"/>
        </w:rPr>
        <w:t>For the fiscal year ended December 31, 2023, the benefit obligation summed to a net actuarial loss primarily attributable to the discount rate decrease as compared to the prior year and demographic experience during the year. For the fiscal year ended December 31, 2022, the benefit obligation summed to a net actuarial gain primarily attributable to the discount rate increase to 5.10%, as compared to 2.90% in the prior year.</w:t>
      </w:r>
    </w:p>
    <w:p>
      <w:pPr>
        <w:spacing w:after="0" w:line="1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plan’s assets measured at fair value on a recurring basis consisted of the following as of December 31, 2023:</w:t>
      </w:r>
    </w:p>
    <w:p>
      <w:pPr>
        <w:spacing w:after="0" w:line="205" w:lineRule="exact"/>
        <w:rPr>
          <w:sz w:val="20"/>
          <w:szCs w:val="20"/>
          <w:color w:val="auto"/>
        </w:rPr>
      </w:pPr>
    </w:p>
    <w:tbl>
      <w:tblPr>
        <w:tblLayout w:type="fixed"/>
        <w:tblInd w:w="1040" w:type="dxa"/>
        <w:tblCellMar>
          <w:top w:w="0" w:type="dxa"/>
          <w:left w:w="0" w:type="dxa"/>
          <w:bottom w:w="0" w:type="dxa"/>
          <w:right w:w="0" w:type="dxa"/>
        </w:tblCellMar>
      </w:tblPr>
      <w:tr>
        <w:trPr>
          <w:trHeight w:val="175"/>
        </w:trPr>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w:t>
            </w: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Level 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Level 2</w:t>
            </w:r>
          </w:p>
        </w:tc>
        <w:tc>
          <w:tcPr>
            <w:tcW w:w="140" w:type="dxa"/>
            <w:vAlign w:val="bottom"/>
          </w:tcPr>
          <w:p>
            <w:pPr>
              <w:spacing w:after="0"/>
              <w:rPr>
                <w:sz w:val="15"/>
                <w:szCs w:val="15"/>
                <w:color w:val="auto"/>
              </w:rPr>
            </w:pPr>
          </w:p>
        </w:tc>
        <w:tc>
          <w:tcPr>
            <w:tcW w:w="68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Level 3</w:t>
            </w:r>
          </w:p>
        </w:tc>
        <w:tc>
          <w:tcPr>
            <w:tcW w:w="8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in commingled funds</w:t>
            </w:r>
          </w:p>
        </w:tc>
        <w:tc>
          <w:tcPr>
            <w:tcW w:w="70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89"/>
              </w:rPr>
              <w:t>19,953</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Total plan assets at fair value</w:t>
            </w: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19,953</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plan’s assets measured at fair value on a recurring basis consisted of the following as of December 31, 2022:</w:t>
      </w:r>
    </w:p>
    <w:p>
      <w:pPr>
        <w:spacing w:after="0" w:line="205" w:lineRule="exact"/>
        <w:rPr>
          <w:sz w:val="20"/>
          <w:szCs w:val="20"/>
          <w:color w:val="auto"/>
        </w:rPr>
      </w:pPr>
    </w:p>
    <w:tbl>
      <w:tblPr>
        <w:tblLayout w:type="fixed"/>
        <w:tblInd w:w="1040" w:type="dxa"/>
        <w:tblCellMar>
          <w:top w:w="0" w:type="dxa"/>
          <w:left w:w="0" w:type="dxa"/>
          <w:bottom w:w="0" w:type="dxa"/>
          <w:right w:w="0" w:type="dxa"/>
        </w:tblCellMar>
      </w:tblPr>
      <w:tr>
        <w:trPr>
          <w:trHeight w:val="175"/>
        </w:trPr>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w:t>
            </w:r>
          </w:p>
        </w:tc>
        <w:tc>
          <w:tcPr>
            <w:tcW w:w="7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Level 1</w:t>
            </w:r>
          </w:p>
        </w:tc>
        <w:tc>
          <w:tcPr>
            <w:tcW w:w="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Level 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Level 3</w:t>
            </w:r>
          </w:p>
        </w:tc>
        <w:tc>
          <w:tcPr>
            <w:tcW w:w="8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in commingled funds</w:t>
            </w: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19,511</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Total plan assets at fair value</w:t>
            </w: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19,511</w:t>
            </w:r>
          </w:p>
        </w:tc>
        <w:tc>
          <w:tcPr>
            <w:tcW w:w="300" w:type="dxa"/>
            <w:vAlign w:val="bottom"/>
            <w:gridSpan w:val="2"/>
          </w:tcPr>
          <w:p>
            <w:pPr>
              <w:jc w:val="right"/>
              <w:ind w:right="2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TSNB’s pension plan weighted average asset allocations on December 31, 2023, by asset category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tcPr>
          <w:p>
            <w:pPr>
              <w:spacing w:after="0"/>
              <w:rPr>
                <w:sz w:val="15"/>
                <w:szCs w:val="15"/>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Asset Category</w:t>
            </w:r>
          </w:p>
        </w:tc>
        <w:tc>
          <w:tcPr>
            <w:tcW w:w="3020" w:type="dxa"/>
            <w:vAlign w:val="bottom"/>
          </w:tcPr>
          <w:p>
            <w:pPr>
              <w:spacing w:after="0"/>
              <w:rPr>
                <w:sz w:val="15"/>
                <w:szCs w:val="15"/>
                <w:color w:val="auto"/>
              </w:rPr>
            </w:pPr>
          </w:p>
        </w:tc>
        <w:tc>
          <w:tcPr>
            <w:tcW w:w="1260" w:type="dxa"/>
            <w:vAlign w:val="bottom"/>
            <w:gridSpan w:val="3"/>
          </w:tcPr>
          <w:p>
            <w:pPr>
              <w:jc w:val="right"/>
              <w:ind w:right="116"/>
              <w:spacing w:after="0"/>
              <w:rPr>
                <w:sz w:val="20"/>
                <w:szCs w:val="20"/>
                <w:color w:val="auto"/>
              </w:rPr>
            </w:pPr>
            <w:r>
              <w:rPr>
                <w:rFonts w:ascii="Times New Roman" w:cs="Times New Roman" w:eastAsia="Times New Roman" w:hAnsi="Times New Roman"/>
                <w:sz w:val="13"/>
                <w:szCs w:val="13"/>
                <w:color w:val="auto"/>
              </w:rPr>
              <w:t>December 31, 2023</w:t>
            </w:r>
          </w:p>
        </w:tc>
        <w:tc>
          <w:tcPr>
            <w:tcW w:w="12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w w:val="96"/>
              </w:rPr>
              <w:t>Target allocation 2024</w:t>
            </w:r>
          </w:p>
        </w:tc>
        <w:tc>
          <w:tcPr>
            <w:tcW w:w="2060" w:type="dxa"/>
            <w:vAlign w:val="bottom"/>
          </w:tcPr>
          <w:p>
            <w:pPr>
              <w:spacing w:after="0"/>
              <w:rPr>
                <w:sz w:val="15"/>
                <w:szCs w:val="15"/>
                <w:color w:val="auto"/>
              </w:rPr>
            </w:pPr>
          </w:p>
        </w:tc>
      </w:tr>
      <w:tr>
        <w:trPr>
          <w:trHeight w:val="182"/>
        </w:trPr>
        <w:tc>
          <w:tcPr>
            <w:tcW w:w="1040" w:type="dxa"/>
            <w:vAlign w:val="bottom"/>
          </w:tcPr>
          <w:p>
            <w:pPr>
              <w:spacing w:after="0"/>
              <w:rPr>
                <w:sz w:val="15"/>
                <w:szCs w:val="15"/>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30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7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60" w:type="dxa"/>
            <w:vAlign w:val="bottom"/>
          </w:tcPr>
          <w:p>
            <w:pPr>
              <w:spacing w:after="0"/>
              <w:rPr>
                <w:sz w:val="15"/>
                <w:szCs w:val="15"/>
                <w:color w:val="auto"/>
              </w:rPr>
            </w:pPr>
          </w:p>
        </w:tc>
      </w:tr>
      <w:tr>
        <w:trPr>
          <w:trHeight w:val="172"/>
        </w:trPr>
        <w:tc>
          <w:tcPr>
            <w:tcW w:w="104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w:t>
            </w:r>
          </w:p>
        </w:tc>
        <w:tc>
          <w:tcPr>
            <w:tcW w:w="4280" w:type="dxa"/>
            <w:vAlign w:val="bottom"/>
            <w:gridSpan w:val="4"/>
          </w:tcPr>
          <w:p>
            <w:pPr>
              <w:jc w:val="right"/>
              <w:ind w:right="16"/>
              <w:spacing w:after="0"/>
              <w:rPr>
                <w:sz w:val="20"/>
                <w:szCs w:val="20"/>
                <w:color w:val="auto"/>
              </w:rPr>
            </w:pPr>
            <w:r>
              <w:rPr>
                <w:rFonts w:ascii="Times New Roman" w:cs="Times New Roman" w:eastAsia="Times New Roman" w:hAnsi="Times New Roman"/>
                <w:sz w:val="13"/>
                <w:szCs w:val="13"/>
                <w:color w:val="auto"/>
              </w:rPr>
              <w:t>90%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60" w:type="dxa"/>
            <w:vAlign w:val="bottom"/>
          </w:tcPr>
          <w:p>
            <w:pPr>
              <w:spacing w:after="0"/>
              <w:rPr>
                <w:sz w:val="14"/>
                <w:szCs w:val="14"/>
                <w:color w:val="auto"/>
              </w:rPr>
            </w:pPr>
          </w:p>
        </w:tc>
      </w:tr>
      <w:tr>
        <w:trPr>
          <w:trHeight w:val="192"/>
        </w:trPr>
        <w:tc>
          <w:tcPr>
            <w:tcW w:w="1040" w:type="dxa"/>
            <w:vAlign w:val="bottom"/>
          </w:tcPr>
          <w:p>
            <w:pPr>
              <w:spacing w:after="0"/>
              <w:rPr>
                <w:sz w:val="16"/>
                <w:szCs w:val="16"/>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4280" w:type="dxa"/>
            <w:vAlign w:val="bottom"/>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60" w:type="dxa"/>
            <w:vAlign w:val="bottom"/>
          </w:tcPr>
          <w:p>
            <w:pPr>
              <w:spacing w:after="0"/>
              <w:rPr>
                <w:sz w:val="16"/>
                <w:szCs w:val="16"/>
                <w:color w:val="auto"/>
              </w:rPr>
            </w:pPr>
          </w:p>
        </w:tc>
      </w:tr>
      <w:tr>
        <w:trPr>
          <w:trHeight w:val="440"/>
        </w:trPr>
        <w:tc>
          <w:tcPr>
            <w:tcW w:w="10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80" w:type="dxa"/>
            <w:vAlign w:val="bottom"/>
            <w:gridSpan w:val="4"/>
          </w:tcPr>
          <w:p>
            <w:pPr>
              <w:jc w:val="right"/>
              <w:ind w:right="2096"/>
              <w:spacing w:after="0"/>
              <w:rPr>
                <w:sz w:val="20"/>
                <w:szCs w:val="20"/>
                <w:color w:val="auto"/>
              </w:rPr>
            </w:pPr>
            <w:r>
              <w:rPr>
                <w:rFonts w:ascii="Times New Roman" w:cs="Times New Roman" w:eastAsia="Times New Roman" w:hAnsi="Times New Roman"/>
                <w:sz w:val="13"/>
                <w:szCs w:val="13"/>
                <w:color w:val="auto"/>
              </w:rPr>
              <w:t>F - 38</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8"/>
        </w:trPr>
        <w:tc>
          <w:tcPr>
            <w:tcW w:w="104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bl>
    <w:p>
      <w:pPr>
        <w:sectPr>
          <w:pgSz w:w="11900" w:h="16838" w:orient="portrait"/>
          <w:cols w:equalWidth="0" w:num="1">
            <w:col w:w="11300"/>
          </w:cols>
          <w:pgMar w:left="300" w:top="297" w:right="29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EMPLOYEE RELATED LIABILITIES (continued)</w:t>
      </w:r>
    </w:p>
    <w:p>
      <w:pPr>
        <w:spacing w:after="0" w:line="224" w:lineRule="exact"/>
        <w:rPr>
          <w:sz w:val="20"/>
          <w:szCs w:val="20"/>
          <w:color w:val="auto"/>
        </w:rPr>
      </w:pPr>
    </w:p>
    <w:p>
      <w:pPr>
        <w:ind w:left="980" w:hanging="409"/>
        <w:spacing w:after="0"/>
        <w:tabs>
          <w:tab w:leader="none" w:pos="980" w:val="left"/>
        </w:tabs>
        <w:numPr>
          <w:ilvl w:val="0"/>
          <w:numId w:val="3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TSNB Employee Benefit Plans (continued)</w:t>
      </w:r>
    </w:p>
    <w:p>
      <w:pPr>
        <w:spacing w:after="0" w:line="207" w:lineRule="exact"/>
        <w:rPr>
          <w:sz w:val="20"/>
          <w:szCs w:val="20"/>
          <w:color w:val="auto"/>
        </w:rPr>
      </w:pPr>
    </w:p>
    <w:p>
      <w:pPr>
        <w:jc w:val="both"/>
        <w:ind w:left="1000" w:right="20" w:firstLine="4"/>
        <w:spacing w:after="0" w:line="264" w:lineRule="auto"/>
        <w:rPr>
          <w:sz w:val="20"/>
          <w:szCs w:val="20"/>
          <w:color w:val="auto"/>
        </w:rPr>
      </w:pPr>
      <w:r>
        <w:rPr>
          <w:rFonts w:ascii="Times New Roman" w:cs="Times New Roman" w:eastAsia="Times New Roman" w:hAnsi="Times New Roman"/>
          <w:sz w:val="13"/>
          <w:szCs w:val="13"/>
          <w:color w:val="auto"/>
        </w:rPr>
        <w:t>TSNB’s primary policy goals regarding the plan’s assets are to (1) provide liquidity to meet the Plan benefit payments and expenses payable from the Plan, (2) offer reasonable probability of achieving growth of assets that will assist in closing the Plan’s funding gap, and (3) manage the Plan’s assets in a liability framework. Plan assets are currently invested in commingled funds with various debt and equity investment objectives. The target asset allocation for the plan assets is 90% debt, or fixed income securities, and 10% equity securities. Individual funds are evaluated periodically based on comparisons to benchmark indices and peer group funds, and investment decisions are made by TSNB in accordance with the policy goals. Actual allocation to each asset category fluctuates and may not be within the target allocation specified above due to changes in market conditions.</w:t>
      </w:r>
    </w:p>
    <w:p>
      <w:pPr>
        <w:spacing w:after="0" w:line="165" w:lineRule="exact"/>
        <w:rPr>
          <w:sz w:val="20"/>
          <w:szCs w:val="20"/>
          <w:color w:val="auto"/>
        </w:rPr>
      </w:pPr>
    </w:p>
    <w:p>
      <w:pPr>
        <w:jc w:val="both"/>
        <w:ind w:left="1000" w:right="20" w:firstLine="4"/>
        <w:spacing w:after="0" w:line="274" w:lineRule="auto"/>
        <w:rPr>
          <w:sz w:val="20"/>
          <w:szCs w:val="20"/>
          <w:color w:val="auto"/>
        </w:rPr>
      </w:pPr>
      <w:r>
        <w:rPr>
          <w:rFonts w:ascii="Times New Roman" w:cs="Times New Roman" w:eastAsia="Times New Roman" w:hAnsi="Times New Roman"/>
          <w:sz w:val="13"/>
          <w:szCs w:val="13"/>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14: COMMITMENTS AND CONTINGENCIES</w:t>
      </w:r>
    </w:p>
    <w:p>
      <w:pPr>
        <w:spacing w:after="0" w:line="234" w:lineRule="exact"/>
        <w:rPr>
          <w:sz w:val="20"/>
          <w:szCs w:val="20"/>
          <w:color w:val="auto"/>
        </w:rPr>
      </w:pPr>
    </w:p>
    <w:p>
      <w:pPr>
        <w:ind w:left="980" w:hanging="409"/>
        <w:spacing w:after="0"/>
        <w:tabs>
          <w:tab w:leader="none" w:pos="980" w:val="left"/>
        </w:tabs>
        <w:numPr>
          <w:ilvl w:val="0"/>
          <w:numId w:val="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Liens</w:t>
      </w:r>
    </w:p>
    <w:p>
      <w:pPr>
        <w:spacing w:after="0" w:line="204"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Loans, and Capital Leases</w:t>
      </w:r>
    </w:p>
    <w:p>
      <w:pPr>
        <w:spacing w:after="0" w:line="206"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liens under TPSCo’s JPY Loans, see Note 11C. For liens under the capital lease agreements, see Note 11D.</w:t>
      </w:r>
    </w:p>
    <w:p>
      <w:pPr>
        <w:spacing w:after="0" w:line="222" w:lineRule="exact"/>
        <w:rPr>
          <w:rFonts w:ascii="Times New Roman" w:cs="Times New Roman" w:eastAsia="Times New Roman" w:hAnsi="Times New Roman"/>
          <w:sz w:val="13"/>
          <w:szCs w:val="13"/>
          <w:b w:val="1"/>
          <w:bCs w:val="1"/>
          <w:color w:val="auto"/>
        </w:rPr>
      </w:pPr>
    </w:p>
    <w:p>
      <w:pPr>
        <w:ind w:left="980" w:hanging="409"/>
        <w:spacing w:after="0"/>
        <w:tabs>
          <w:tab w:leader="none" w:pos="980" w:val="left"/>
        </w:tabs>
        <w:numPr>
          <w:ilvl w:val="0"/>
          <w:numId w:val="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TPSCo</w:t>
      </w:r>
    </w:p>
    <w:p>
      <w:pPr>
        <w:spacing w:after="0" w:line="234" w:lineRule="exact"/>
        <w:rPr>
          <w:sz w:val="20"/>
          <w:szCs w:val="20"/>
          <w:color w:val="auto"/>
        </w:rPr>
      </w:pPr>
    </w:p>
    <w:p>
      <w:pPr>
        <w:ind w:left="1420" w:hanging="389"/>
        <w:spacing w:after="0"/>
        <w:tabs>
          <w:tab w:leader="none" w:pos="1420"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Renewed Contracts</w:t>
      </w:r>
    </w:p>
    <w:p>
      <w:pPr>
        <w:spacing w:after="0" w:line="207" w:lineRule="exact"/>
        <w:rPr>
          <w:sz w:val="20"/>
          <w:szCs w:val="20"/>
          <w:color w:val="auto"/>
        </w:rPr>
      </w:pPr>
    </w:p>
    <w:p>
      <w:pPr>
        <w:ind w:left="980" w:right="20"/>
        <w:spacing w:after="0" w:line="287" w:lineRule="auto"/>
        <w:rPr>
          <w:sz w:val="20"/>
          <w:szCs w:val="20"/>
          <w:color w:val="auto"/>
        </w:rPr>
      </w:pPr>
      <w:r>
        <w:rPr>
          <w:rFonts w:ascii="Times New Roman" w:cs="Times New Roman" w:eastAsia="Times New Roman" w:hAnsi="Times New Roman"/>
          <w:sz w:val="13"/>
          <w:szCs w:val="13"/>
          <w:color w:val="auto"/>
        </w:rPr>
        <w:t>In August 2022, Tower, TPSCo and NTCJ extended certain agreements with respect to TPSCo through March 2027 under certain amended terms, including changes to the commercial pricing for the services provided by TPSCo and enhanced financial support from Tower and NTCJ to TPSCo.</w:t>
      </w:r>
    </w:p>
    <w:p>
      <w:pPr>
        <w:spacing w:after="0" w:line="187" w:lineRule="exact"/>
        <w:rPr>
          <w:sz w:val="20"/>
          <w:szCs w:val="20"/>
          <w:color w:val="auto"/>
        </w:rPr>
      </w:pPr>
    </w:p>
    <w:p>
      <w:pPr>
        <w:ind w:left="1420" w:hanging="389"/>
        <w:spacing w:after="0"/>
        <w:tabs>
          <w:tab w:leader="none" w:pos="1420" w:val="left"/>
        </w:tabs>
        <w:numPr>
          <w:ilvl w:val="0"/>
          <w:numId w:val="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Japanese Operations Restructuring</w:t>
      </w:r>
    </w:p>
    <w:p>
      <w:pPr>
        <w:spacing w:after="0" w:line="207" w:lineRule="exact"/>
        <w:rPr>
          <w:sz w:val="20"/>
          <w:szCs w:val="20"/>
          <w:color w:val="auto"/>
        </w:rPr>
      </w:pPr>
    </w:p>
    <w:p>
      <w:pPr>
        <w:jc w:val="both"/>
        <w:ind w:left="1000" w:firstLine="4"/>
        <w:spacing w:after="0" w:line="265" w:lineRule="auto"/>
        <w:rPr>
          <w:sz w:val="20"/>
          <w:szCs w:val="20"/>
          <w:color w:val="auto"/>
        </w:rPr>
      </w:pPr>
      <w:r>
        <w:rPr>
          <w:rFonts w:ascii="Times New Roman" w:cs="Times New Roman" w:eastAsia="Times New Roman" w:hAnsi="Times New Roman"/>
          <w:sz w:val="13"/>
          <w:szCs w:val="13"/>
          <w:color w:val="auto"/>
        </w:rPr>
        <w:t>In accordance with agreements signed in 2019, as amended thereafter, between Tower, NTCJ and TPSCo, it was decided to re-organize and re-structure TPSCo’s operations in Japan and maintain operations at the Uozu and Tonami facilities unchanged, while the Arai facility, which provided products solely to NTCJ and did not serve the Company’s customers, would cease operations. The cessation of operations of the Arai facility occurred in June 2022, and during 2022, TPSCo initiated the process of transferring a portion of the machinery and equipment from the Arai facility to the Tonami facility.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43" w:name="page44"/>
    <w:bookmarkEnd w:id="43"/>
    <w:p>
      <w:pPr>
        <w:ind w:left="40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14: COMMITMENTS AND CONTINGENCIES (continued)</w:t>
      </w:r>
    </w:p>
    <w:p>
      <w:pPr>
        <w:spacing w:after="0" w:line="224" w:lineRule="exact"/>
        <w:rPr>
          <w:sz w:val="20"/>
          <w:szCs w:val="20"/>
          <w:color w:val="auto"/>
        </w:rPr>
      </w:pPr>
    </w:p>
    <w:p>
      <w:pPr>
        <w:ind w:left="980" w:hanging="409"/>
        <w:spacing w:after="0"/>
        <w:tabs>
          <w:tab w:leader="none" w:pos="980" w:val="left"/>
        </w:tabs>
        <w:numPr>
          <w:ilvl w:val="0"/>
          <w:numId w:val="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TPSCo (continued)</w:t>
      </w:r>
    </w:p>
    <w:p>
      <w:pPr>
        <w:spacing w:after="0" w:line="207" w:lineRule="exact"/>
        <w:rPr>
          <w:sz w:val="20"/>
          <w:szCs w:val="20"/>
          <w:color w:val="auto"/>
        </w:rPr>
      </w:pPr>
    </w:p>
    <w:p>
      <w:pPr>
        <w:jc w:val="both"/>
        <w:ind w:left="1000" w:firstLine="4"/>
        <w:spacing w:after="0" w:line="274" w:lineRule="auto"/>
        <w:rPr>
          <w:sz w:val="20"/>
          <w:szCs w:val="20"/>
          <w:color w:val="auto"/>
        </w:rPr>
      </w:pPr>
      <w:r>
        <w:rPr>
          <w:rFonts w:ascii="Times New Roman" w:cs="Times New Roman" w:eastAsia="Times New Roman" w:hAnsi="Times New Roman"/>
          <w:sz w:val="13"/>
          <w:szCs w:val="13"/>
          <w:color w:val="auto"/>
        </w:rPr>
        <w:t>The remaining machinery and equipment were sold to third parties. The restructuring process, including the transfer and installation of machinery and equipment in the Tonami facility and the sale of certain equipment, was completed during the first half of 2023 and resulted in total restructuring gain, net from the sale of machinery and equipment of $72,411 as well as total restructuring expenses of $30,346.</w:t>
      </w:r>
    </w:p>
    <w:p>
      <w:pPr>
        <w:spacing w:after="0" w:line="1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For the year ended December 31, 2023, the Company recorded restructuring gain from the sale of machinery and equipment, net, of $52,168 as well as restructuring expense of $19,662.</w:t>
      </w:r>
    </w:p>
    <w:p>
      <w:pPr>
        <w:spacing w:after="0" w:line="2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For the year ended December 31, 2022, the Company recorded restructuring gain from the sale of machinery and equipment, net, of $20,243 as well as restructuring expense of $10,684.</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66"/>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Changes in accruals related to the Arai facility cessation for the year ended December 31, 2023 were as follows: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Other</w:t>
            </w:r>
          </w:p>
        </w:tc>
        <w:tc>
          <w:tcPr>
            <w:tcW w:w="0" w:type="dxa"/>
            <w:vAlign w:val="bottom"/>
          </w:tcPr>
          <w:p>
            <w:pPr>
              <w:spacing w:after="0"/>
              <w:rPr>
                <w:sz w:val="1"/>
                <w:szCs w:val="1"/>
                <w:color w:val="auto"/>
              </w:rPr>
            </w:pPr>
          </w:p>
        </w:tc>
      </w:tr>
      <w:tr>
        <w:trPr>
          <w:trHeight w:val="163"/>
        </w:trPr>
        <w:tc>
          <w:tcPr>
            <w:tcW w:w="6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Details</w:t>
            </w:r>
          </w:p>
        </w:tc>
        <w:tc>
          <w:tcPr>
            <w:tcW w:w="32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Asset disposal</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8"/>
              </w:rPr>
              <w:t>Restructuring</w:t>
            </w:r>
          </w:p>
        </w:tc>
        <w:tc>
          <w:tcPr>
            <w:tcW w:w="0" w:type="dxa"/>
            <w:vAlign w:val="bottom"/>
          </w:tcPr>
          <w:p>
            <w:pPr>
              <w:spacing w:after="0"/>
              <w:rPr>
                <w:sz w:val="1"/>
                <w:szCs w:val="1"/>
                <w:color w:val="auto"/>
              </w:rPr>
            </w:pPr>
          </w:p>
        </w:tc>
      </w:tr>
      <w:tr>
        <w:trPr>
          <w:trHeight w:val="166"/>
        </w:trPr>
        <w:tc>
          <w:tcPr>
            <w:tcW w:w="60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accrual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costs accrual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balance as of January 1, 2022</w:t>
            </w:r>
          </w:p>
        </w:tc>
        <w:tc>
          <w:tcPr>
            <w:tcW w:w="4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Expenses accrued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10,684</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Accruals related to assets</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Cash payments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(808)</w:t>
            </w: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(5,703)</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vMerge w:val="continue"/>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balance as of December 31, 2022</w:t>
            </w:r>
          </w:p>
        </w:tc>
        <w:tc>
          <w:tcPr>
            <w:tcW w:w="4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Expenses accrued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19,662</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Accruals related to assets</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(1,741)</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(7,318)</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Cash payments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(17,852)</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balance as of December 31, 2023</w:t>
            </w: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2,127</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980" w:hanging="409"/>
        <w:spacing w:after="0"/>
        <w:tabs>
          <w:tab w:leader="none" w:pos="980" w:val="left"/>
        </w:tabs>
        <w:numPr>
          <w:ilvl w:val="0"/>
          <w:numId w:val="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License Agreements</w:t>
      </w:r>
    </w:p>
    <w:p>
      <w:pPr>
        <w:spacing w:after="0" w:line="206" w:lineRule="exact"/>
        <w:rPr>
          <w:rFonts w:ascii="Times New Roman" w:cs="Times New Roman" w:eastAsia="Times New Roman" w:hAnsi="Times New Roman"/>
          <w:sz w:val="13"/>
          <w:szCs w:val="13"/>
          <w:b w:val="1"/>
          <w:bCs w:val="1"/>
          <w:color w:val="auto"/>
        </w:rPr>
      </w:pPr>
    </w:p>
    <w:p>
      <w:pPr>
        <w:ind w:left="100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186" w:lineRule="exact"/>
        <w:rPr>
          <w:rFonts w:ascii="Times New Roman" w:cs="Times New Roman" w:eastAsia="Times New Roman" w:hAnsi="Times New Roman"/>
          <w:sz w:val="13"/>
          <w:szCs w:val="13"/>
          <w:b w:val="1"/>
          <w:bCs w:val="1"/>
          <w:color w:val="auto"/>
        </w:rPr>
      </w:pPr>
    </w:p>
    <w:p>
      <w:pPr>
        <w:ind w:left="980" w:hanging="409"/>
        <w:spacing w:after="0"/>
        <w:tabs>
          <w:tab w:leader="none" w:pos="980" w:val="left"/>
        </w:tabs>
        <w:numPr>
          <w:ilvl w:val="0"/>
          <w:numId w:val="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TSNB Lease Agreement</w:t>
      </w:r>
    </w:p>
    <w:p>
      <w:pPr>
        <w:spacing w:after="0" w:line="206" w:lineRule="exact"/>
        <w:rPr>
          <w:rFonts w:ascii="Times New Roman" w:cs="Times New Roman" w:eastAsia="Times New Roman" w:hAnsi="Times New Roman"/>
          <w:sz w:val="13"/>
          <w:szCs w:val="13"/>
          <w:b w:val="1"/>
          <w:bCs w:val="1"/>
          <w:color w:val="auto"/>
        </w:rPr>
      </w:pPr>
    </w:p>
    <w:p>
      <w:pPr>
        <w:jc w:val="both"/>
        <w:ind w:left="1000" w:firstLine="4"/>
        <w:spacing w:after="0" w:line="265"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TSNB leases its facilities under an operational lease contract that is due to expire in the first quarter of 2027. In amendments to its lease, (i) TSNB secured various contractual safeguards designed to limit and mitigate any adverse impact of construction activities on its operations; and (ii) certain obligations of TSNB and the landlord are specified, including certain noise abatement actions at the facility. The landlord has made claims that TSNB’s noise abatement efforts are not adequate under the terms of the amended lease, and has requested a judicial declaration that TSNB has committed material non-curable breach of the lease that under the lease, may entitle the landlord to terminate the lease. TSNB does not agree and is disputing these claims.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4" w:name="page45"/>
    <w:bookmarkEnd w:id="44"/>
    <w:p>
      <w:pPr>
        <w:ind w:left="40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14: COMMITMENTS AND CONTINGENCIES (continued)</w:t>
      </w:r>
    </w:p>
    <w:p>
      <w:pPr>
        <w:spacing w:after="0" w:line="224" w:lineRule="exact"/>
        <w:rPr>
          <w:sz w:val="20"/>
          <w:szCs w:val="20"/>
          <w:color w:val="auto"/>
        </w:rPr>
      </w:pPr>
    </w:p>
    <w:p>
      <w:pPr>
        <w:ind w:left="980" w:hanging="409"/>
        <w:spacing w:after="0"/>
        <w:tabs>
          <w:tab w:leader="none" w:pos="980" w:val="left"/>
        </w:tabs>
        <w:numPr>
          <w:ilvl w:val="0"/>
          <w:numId w:val="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Definitive Agreement with ST Microelectronics</w:t>
      </w:r>
    </w:p>
    <w:p>
      <w:pPr>
        <w:spacing w:after="0" w:line="207" w:lineRule="exact"/>
        <w:rPr>
          <w:sz w:val="20"/>
          <w:szCs w:val="20"/>
          <w:color w:val="auto"/>
        </w:rPr>
      </w:pPr>
    </w:p>
    <w:p>
      <w:pPr>
        <w:jc w:val="both"/>
        <w:ind w:left="1000" w:right="20" w:firstLine="4"/>
        <w:spacing w:after="0" w:line="265" w:lineRule="auto"/>
        <w:rPr>
          <w:sz w:val="20"/>
          <w:szCs w:val="20"/>
          <w:color w:val="auto"/>
        </w:rPr>
      </w:pPr>
      <w:r>
        <w:rPr>
          <w:rFonts w:ascii="Times New Roman" w:cs="Times New Roman" w:eastAsia="Times New Roman" w:hAnsi="Times New Roman"/>
          <w:sz w:val="13"/>
          <w:szCs w:val="13"/>
          <w:color w:val="auto"/>
        </w:rPr>
        <w:t>In 2021, TSIT, Tower’s wholly-owned Italian subsidiary, entered into a definitive agreement with ST Microelectronics (“ST”) to share under collaborative arrangement a 300mm facility with ST in Agrate, Italy. The parties will share the cleanroom space and the facility infrastructure, with the Company installing its own equipment in one-third of the total space. TSIT and ST will invest in their respective process equipment, and work to accelerate the process flows’ transfer to the facility, product development, qualification and subsequent ramp-up. Operations will continue to be managed by ST. TSIT is currently installing certain tools in the Agrate facility and developing certain processes and technologies that it expects to qualify and ramp-up at said facility.</w:t>
      </w:r>
    </w:p>
    <w:p>
      <w:pPr>
        <w:spacing w:after="0" w:line="200" w:lineRule="exact"/>
        <w:rPr>
          <w:sz w:val="20"/>
          <w:szCs w:val="20"/>
          <w:color w:val="auto"/>
        </w:rPr>
      </w:pPr>
    </w:p>
    <w:p>
      <w:pPr>
        <w:ind w:left="960" w:hanging="389"/>
        <w:spacing w:after="0"/>
        <w:tabs>
          <w:tab w:leader="none" w:pos="960" w:val="left"/>
        </w:tabs>
        <w:numPr>
          <w:ilvl w:val="0"/>
          <w:numId w:val="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Foundry Agreement with Intel</w:t>
      </w:r>
    </w:p>
    <w:p>
      <w:pPr>
        <w:spacing w:after="0" w:line="207" w:lineRule="exact"/>
        <w:rPr>
          <w:sz w:val="20"/>
          <w:szCs w:val="20"/>
          <w:color w:val="auto"/>
        </w:rPr>
      </w:pPr>
    </w:p>
    <w:p>
      <w:pPr>
        <w:ind w:left="1000" w:right="20" w:firstLine="4"/>
        <w:spacing w:after="0" w:line="287" w:lineRule="auto"/>
        <w:rPr>
          <w:sz w:val="20"/>
          <w:szCs w:val="20"/>
          <w:color w:val="auto"/>
        </w:rPr>
      </w:pPr>
      <w:r>
        <w:rPr>
          <w:rFonts w:ascii="Times New Roman" w:cs="Times New Roman" w:eastAsia="Times New Roman" w:hAnsi="Times New Roman"/>
          <w:sz w:val="13"/>
          <w:szCs w:val="13"/>
          <w:color w:val="auto"/>
        </w:rPr>
        <w:t>In September 2023, Tower and Intel signed an agreement under which Tower will have a capacity corridor in Intel’s 300mm facility in New Mexico, USA. Under this agreement, Tower will invest up to $300,000 for equipment and other fixed assets to be owned by Tower and installed and qualified for Tower processes in this Intel’s facility.</w:t>
      </w:r>
    </w:p>
    <w:p>
      <w:pPr>
        <w:spacing w:after="0" w:line="177" w:lineRule="exact"/>
        <w:rPr>
          <w:sz w:val="20"/>
          <w:szCs w:val="20"/>
          <w:color w:val="auto"/>
        </w:rPr>
      </w:pPr>
    </w:p>
    <w:p>
      <w:pPr>
        <w:ind w:left="1000" w:hanging="429"/>
        <w:spacing w:after="0"/>
        <w:tabs>
          <w:tab w:leader="none" w:pos="1000" w:val="left"/>
        </w:tabs>
        <w:numPr>
          <w:ilvl w:val="0"/>
          <w:numId w:val="4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Other Agreements</w:t>
      </w:r>
    </w:p>
    <w:p>
      <w:pPr>
        <w:spacing w:after="0" w:line="207" w:lineRule="exact"/>
        <w:rPr>
          <w:sz w:val="20"/>
          <w:szCs w:val="20"/>
          <w:color w:val="auto"/>
        </w:rPr>
      </w:pPr>
    </w:p>
    <w:p>
      <w:pPr>
        <w:ind w:left="1000" w:firstLine="4"/>
        <w:spacing w:after="0" w:line="287" w:lineRule="auto"/>
        <w:rPr>
          <w:sz w:val="20"/>
          <w:szCs w:val="20"/>
          <w:color w:val="auto"/>
        </w:rPr>
      </w:pPr>
      <w:r>
        <w:rPr>
          <w:rFonts w:ascii="Times New Roman" w:cs="Times New Roman" w:eastAsia="Times New Roman" w:hAnsi="Times New Roman"/>
          <w:sz w:val="13"/>
          <w:szCs w:val="13"/>
          <w:color w:val="auto"/>
        </w:rPr>
        <w:t>From time to time, in the ordinary course of business, the Company enters into long-term agreements with various entities for the joint development of product IPs and processes. The developed IPs may be owned separately by either the other entity or the Company, or owned jointly by both parties, as applicable.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15: SHAREHOLDERS’ EQUITY</w:t>
      </w:r>
    </w:p>
    <w:p>
      <w:pPr>
        <w:spacing w:after="0" w:line="224" w:lineRule="exact"/>
        <w:rPr>
          <w:sz w:val="20"/>
          <w:szCs w:val="20"/>
          <w:color w:val="auto"/>
        </w:rPr>
      </w:pPr>
    </w:p>
    <w:p>
      <w:pPr>
        <w:ind w:left="980" w:hanging="409"/>
        <w:spacing w:after="0"/>
        <w:tabs>
          <w:tab w:leader="none" w:pos="980" w:val="left"/>
        </w:tabs>
        <w:numPr>
          <w:ilvl w:val="0"/>
          <w:numId w:val="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Description of Ordinary Shares</w:t>
      </w:r>
    </w:p>
    <w:p>
      <w:pPr>
        <w:spacing w:after="0" w:line="206" w:lineRule="exact"/>
        <w:rPr>
          <w:rFonts w:ascii="Times New Roman" w:cs="Times New Roman" w:eastAsia="Times New Roman" w:hAnsi="Times New Roman"/>
          <w:sz w:val="13"/>
          <w:szCs w:val="13"/>
          <w:b w:val="1"/>
          <w:bCs w:val="1"/>
          <w:color w:val="auto"/>
        </w:rPr>
      </w:pPr>
    </w:p>
    <w:p>
      <w:pPr>
        <w:jc w:val="both"/>
        <w:ind w:left="1000" w:right="20" w:firstLine="4"/>
        <w:spacing w:after="0" w:line="27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2023, Tower had 150 million authorized ordinary shares, par value NIS 15.00 each, of which approximately 111 million were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316" w:right="299" w:bottom="1440" w:gutter="0" w:footer="0" w:header="0"/>
        </w:sectPr>
      </w:pPr>
    </w:p>
    <w:bookmarkStart w:id="45" w:name="page46"/>
    <w:bookmarkEnd w:id="45"/>
    <w:p>
      <w:pPr>
        <w:ind w:left="40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15: SHAREHOLDERS’ EQUITY (continued)</w:t>
      </w:r>
    </w:p>
    <w:p>
      <w:pPr>
        <w:spacing w:after="0" w:line="224" w:lineRule="exact"/>
        <w:rPr>
          <w:sz w:val="20"/>
          <w:szCs w:val="20"/>
          <w:color w:val="auto"/>
        </w:rPr>
      </w:pPr>
    </w:p>
    <w:p>
      <w:pPr>
        <w:ind w:left="980" w:hanging="409"/>
        <w:spacing w:after="0"/>
        <w:tabs>
          <w:tab w:leader="none" w:pos="980" w:val="left"/>
        </w:tabs>
        <w:numPr>
          <w:ilvl w:val="0"/>
          <w:numId w:val="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Equity Incentive Plans</w:t>
      </w:r>
    </w:p>
    <w:p>
      <w:pPr>
        <w:spacing w:after="0" w:line="204" w:lineRule="exact"/>
        <w:rPr>
          <w:rFonts w:ascii="Times New Roman" w:cs="Times New Roman" w:eastAsia="Times New Roman" w:hAnsi="Times New Roman"/>
          <w:sz w:val="13"/>
          <w:szCs w:val="13"/>
          <w:b w:val="1"/>
          <w:bCs w:val="1"/>
          <w:color w:val="auto"/>
        </w:rPr>
      </w:pPr>
    </w:p>
    <w:p>
      <w:pPr>
        <w:ind w:left="1220" w:hanging="189"/>
        <w:spacing w:after="0"/>
        <w:tabs>
          <w:tab w:leader="none" w:pos="1220" w:val="left"/>
        </w:tabs>
        <w:numPr>
          <w:ilvl w:val="1"/>
          <w:numId w:val="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Tower’s 2013 Share Incentive Plan (the “2013 Plan”)</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In 2013, the Company adopted a share incentive plan for directors, officers and employees of the Company (“2013 Plan”).</w:t>
      </w:r>
    </w:p>
    <w:p>
      <w:pPr>
        <w:spacing w:after="0" w:line="205" w:lineRule="exact"/>
        <w:rPr>
          <w:sz w:val="20"/>
          <w:szCs w:val="20"/>
          <w:color w:val="auto"/>
        </w:rPr>
      </w:pPr>
    </w:p>
    <w:p>
      <w:pPr>
        <w:jc w:val="both"/>
        <w:ind w:left="1000" w:firstLine="4"/>
        <w:spacing w:after="0" w:line="265" w:lineRule="auto"/>
        <w:rPr>
          <w:sz w:val="20"/>
          <w:szCs w:val="20"/>
          <w:color w:val="auto"/>
        </w:rPr>
      </w:pPr>
      <w:r>
        <w:rPr>
          <w:rFonts w:ascii="Times New Roman" w:cs="Times New Roman" w:eastAsia="Times New Roman" w:hAnsi="Times New Roman"/>
          <w:sz w:val="13"/>
          <w:szCs w:val="13"/>
          <w:color w:val="auto"/>
        </w:rPr>
        <w:t>Under the 2013 Plan, the Company granted, in 2023 and 2022, a total of 0.80 million restricted stock units (“RSUs”) and 0.61 million RSUs, respectively, to its employees and directors (including the below-described grants to the CEO and directors), with vesting periods of up to three years. Such RSUs amounts noted include performance based RSUs (“PSUs”). The Company determines compensation expenses of the RSUs based on the closing market price of the ordinary shares immediately prior to the date of grant and amortizes it over the applicable vesting period, taking into consideration achievement, if any, of performance criteria.</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During 2023, the Company's CEO and members of the Board of Directors were awarded the following RSUs under the 2013 Plan:</w:t>
      </w:r>
    </w:p>
    <w:p>
      <w:pPr>
        <w:spacing w:after="0" w:line="205" w:lineRule="exact"/>
        <w:rPr>
          <w:sz w:val="20"/>
          <w:szCs w:val="20"/>
          <w:color w:val="auto"/>
        </w:rPr>
      </w:pPr>
    </w:p>
    <w:p>
      <w:pPr>
        <w:jc w:val="both"/>
        <w:ind w:left="1000" w:right="20" w:hanging="3"/>
        <w:spacing w:after="0" w:line="264" w:lineRule="auto"/>
        <w:tabs>
          <w:tab w:leader="none" w:pos="1157"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75.8 thousand time-vested RSUs and 125.0 thousand PSUs, subject also to time-vesting, to the CEO, with 33% of such RSUs and PSUs to vest at the end of each year for 3 years following the grant date. The total compensation value of these RSUs was approximately $7,537. As was approved by shareholders in 2019, the grant also included a provision requiring the CEO to own, commencing May 2024, ordinary shares of the Company at a minimum value that equals at least three times his annual base salary as of May 2024 (the “Minimum Holding”). The CEO has until May 2024 to accumulate the Minimum Holding (whether by conversion of RSUs to ordinary shares or by purchase of ordinary shares), and during such period, until he accumulates the Minimum Holding, he must retain at least 20% of the vested time-based RSUs granted to him on or after May 2019;</w:t>
      </w:r>
    </w:p>
    <w:p>
      <w:pPr>
        <w:spacing w:after="0" w:line="164" w:lineRule="exact"/>
        <w:rPr>
          <w:rFonts w:ascii="Times New Roman" w:cs="Times New Roman" w:eastAsia="Times New Roman" w:hAnsi="Times New Roman"/>
          <w:sz w:val="13"/>
          <w:szCs w:val="13"/>
          <w:color w:val="auto"/>
        </w:rPr>
      </w:pPr>
    </w:p>
    <w:p>
      <w:pPr>
        <w:ind w:left="1000" w:right="20" w:hanging="3"/>
        <w:spacing w:after="0" w:line="287" w:lineRule="auto"/>
        <w:tabs>
          <w:tab w:leader="none" w:pos="12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8.0 thousand time-vested RSUs to the chairman of the Board of Directors (“the Chairman”) for a total compensation value of $300, to vest 33% at the end of each year for 3 years following the grant date; and</w:t>
      </w:r>
    </w:p>
    <w:p>
      <w:pPr>
        <w:spacing w:after="0" w:line="150" w:lineRule="exact"/>
        <w:rPr>
          <w:rFonts w:ascii="Times New Roman" w:cs="Times New Roman" w:eastAsia="Times New Roman" w:hAnsi="Times New Roman"/>
          <w:sz w:val="13"/>
          <w:szCs w:val="13"/>
          <w:color w:val="auto"/>
        </w:rPr>
      </w:pPr>
    </w:p>
    <w:p>
      <w:pPr>
        <w:ind w:left="1000" w:right="20" w:hanging="3"/>
        <w:spacing w:after="0" w:line="287" w:lineRule="auto"/>
        <w:tabs>
          <w:tab w:leader="none" w:pos="123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3.3 thousand time-vested RSUs to each of the seven members of the Board of Directors then serving (other than to the Chairman and the CEO), for an aggregate compensation value of $875, vesting over a two-year period, with 50% vesting on the first anniversary of the date of grant and 50% on the second anniversary of the date of grant.</w:t>
      </w:r>
    </w:p>
    <w:p>
      <w:pPr>
        <w:spacing w:after="0" w:line="160" w:lineRule="exact"/>
        <w:rPr>
          <w:sz w:val="20"/>
          <w:szCs w:val="20"/>
          <w:color w:val="auto"/>
        </w:rPr>
      </w:pPr>
    </w:p>
    <w:p>
      <w:pPr>
        <w:jc w:val="both"/>
        <w:ind w:left="1000" w:right="20" w:firstLine="4"/>
        <w:spacing w:after="0" w:line="265" w:lineRule="auto"/>
        <w:rPr>
          <w:sz w:val="20"/>
          <w:szCs w:val="20"/>
          <w:color w:val="auto"/>
        </w:rPr>
      </w:pPr>
      <w:r>
        <w:rPr>
          <w:rFonts w:ascii="Times New Roman" w:cs="Times New Roman" w:eastAsia="Times New Roman" w:hAnsi="Times New Roman"/>
          <w:sz w:val="13"/>
          <w:szCs w:val="13"/>
          <w:color w:val="auto"/>
        </w:rPr>
        <w:t>As was approved by shareholders in 2020, commencing July 2025, the members of the Board will have to own ordinary shares of the Company at a minimum value that equals at least 50% of their annual base fee and the Chairman will have to own ordinary shares of the Company at a minimum value that equals at least 50% of his annual cash compensation (the “BOD Minimum Holding”). The Chairman and the members of the Board have until July 2025 to accumulate the BOD Minimum Holding (whether by conversion of RSUs to ordinary shares or by purchase of ordinary shares), and during such period, until they accumulate the BOD Minimum Holding, they must retain at least 20% of the vested time-based RSUs granted to him/her on or after July 2020.</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316" w:right="299" w:bottom="1440" w:gutter="0" w:footer="0" w:header="0"/>
        </w:sectPr>
      </w:pPr>
    </w:p>
    <w:bookmarkStart w:id="46" w:name="page47"/>
    <w:bookmarkEnd w:id="46"/>
    <w:p>
      <w:pPr>
        <w:ind w:left="40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15: SHAREHOLDERS’ EQUITY (continued)</w:t>
      </w:r>
    </w:p>
    <w:p>
      <w:pPr>
        <w:spacing w:after="0" w:line="224" w:lineRule="exact"/>
        <w:rPr>
          <w:sz w:val="20"/>
          <w:szCs w:val="20"/>
          <w:color w:val="auto"/>
        </w:rPr>
      </w:pPr>
    </w:p>
    <w:p>
      <w:pPr>
        <w:ind w:left="980" w:hanging="409"/>
        <w:spacing w:after="0"/>
        <w:tabs>
          <w:tab w:leader="none" w:pos="980" w:val="left"/>
        </w:tabs>
        <w:numPr>
          <w:ilvl w:val="0"/>
          <w:numId w:val="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Equity Incentive Plans (continued)</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During 2022, the Company's CEO and members of the Board of Directors were awarded the following RSUs under the 2013 Plan:</w:t>
      </w:r>
    </w:p>
    <w:p>
      <w:pPr>
        <w:spacing w:after="0" w:line="205" w:lineRule="exact"/>
        <w:rPr>
          <w:sz w:val="20"/>
          <w:szCs w:val="20"/>
          <w:color w:val="auto"/>
        </w:rPr>
      </w:pPr>
    </w:p>
    <w:p>
      <w:pPr>
        <w:ind w:left="1000" w:hanging="3"/>
        <w:spacing w:after="0" w:line="287" w:lineRule="auto"/>
        <w:tabs>
          <w:tab w:leader="none" w:pos="1157"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59 thousand time-vested RSUs and 97 thousand PSUs, subject also to time-vesting, to the CEO, with 33% of such RSUs and PSUs to vest at the end of each year for 3 years following the grant date. Total compensation value of these RSUs was approximately $7,200. As was approved by shareholders in 2019, the grant also includes the Minimum Holding requirement defined above;</w:t>
      </w:r>
    </w:p>
    <w:p>
      <w:pPr>
        <w:spacing w:after="0" w:line="150" w:lineRule="exact"/>
        <w:rPr>
          <w:rFonts w:ascii="Times New Roman" w:cs="Times New Roman" w:eastAsia="Times New Roman" w:hAnsi="Times New Roman"/>
          <w:sz w:val="13"/>
          <w:szCs w:val="13"/>
          <w:color w:val="auto"/>
        </w:rPr>
      </w:pPr>
    </w:p>
    <w:p>
      <w:pPr>
        <w:ind w:left="1180" w:hanging="183"/>
        <w:spacing w:after="0"/>
        <w:tabs>
          <w:tab w:leader="none" w:pos="11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6.5 thousand time-vested RSUs to the Chairman for a total compensation value of $300, to vest 33% at the end of each year for 3 years following the grant date; and</w:t>
      </w:r>
    </w:p>
    <w:p>
      <w:pPr>
        <w:spacing w:after="0" w:line="204" w:lineRule="exact"/>
        <w:rPr>
          <w:rFonts w:ascii="Times New Roman" w:cs="Times New Roman" w:eastAsia="Times New Roman" w:hAnsi="Times New Roman"/>
          <w:sz w:val="13"/>
          <w:szCs w:val="13"/>
          <w:color w:val="auto"/>
        </w:rPr>
      </w:pPr>
    </w:p>
    <w:p>
      <w:pPr>
        <w:ind w:left="1000" w:hanging="3"/>
        <w:spacing w:after="0" w:line="287" w:lineRule="auto"/>
        <w:tabs>
          <w:tab w:leader="none" w:pos="1238"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2.7 thousand time-vested RSUs to each of the seven members of the Board of Directors then serving (other than to the Chairman and the CEO), for an aggregate compensation value of $875, vesting over a two-year period, with 50% vesting on the first anniversary of the date of grant and 50% on the second anniversary of the date of grant.</w:t>
      </w:r>
    </w:p>
    <w:p>
      <w:pPr>
        <w:spacing w:after="0" w:line="1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As was approved by shareholders in 2020, the grants to the Chairman and the members of the Board includes the BOD Minimum Holding requirement defined above.</w:t>
      </w:r>
    </w:p>
    <w:p>
      <w:pPr>
        <w:spacing w:after="0" w:line="2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During 2021, the Company's CEO and members of the Board of Directors were awarded the following RSUs under the 2013 Plan:</w:t>
      </w:r>
    </w:p>
    <w:p>
      <w:pPr>
        <w:spacing w:after="0" w:line="205" w:lineRule="exact"/>
        <w:rPr>
          <w:sz w:val="20"/>
          <w:szCs w:val="20"/>
          <w:color w:val="auto"/>
        </w:rPr>
      </w:pPr>
    </w:p>
    <w:p>
      <w:pPr>
        <w:jc w:val="both"/>
        <w:ind w:left="1000" w:hanging="3"/>
        <w:spacing w:after="0" w:line="265" w:lineRule="auto"/>
        <w:tabs>
          <w:tab w:leader="none" w:pos="1163"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80 thousand time-vested RSUs and 132 thousand PSUs, subject also to time-vesting, to the CEO, with 33% of such RSUs and PSUs to vest at the end of each year for 3 years following the grant date. Total compensation value of these RSUs was approximately $6,000. In addition, the Company's CEO was awarded 31 thousand PSUs that would vest upon attainment of certain performance conditions and not before one year from the date of grant, with a compensation value of approximately $1,000. As was approved by shareholders in 2019, the grant also includes the Minimum Holding requirement defined above;</w:t>
      </w:r>
    </w:p>
    <w:p>
      <w:pPr>
        <w:spacing w:after="0" w:line="163" w:lineRule="exact"/>
        <w:rPr>
          <w:rFonts w:ascii="Times New Roman" w:cs="Times New Roman" w:eastAsia="Times New Roman" w:hAnsi="Times New Roman"/>
          <w:sz w:val="13"/>
          <w:szCs w:val="13"/>
          <w:color w:val="auto"/>
        </w:rPr>
      </w:pPr>
    </w:p>
    <w:p>
      <w:pPr>
        <w:ind w:left="1180" w:hanging="183"/>
        <w:spacing w:after="0"/>
        <w:tabs>
          <w:tab w:leader="none" w:pos="11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10.3 thousand time-vested RSUs to the Chairman for a total compensation value of $300, to vest 33% at the end of each year for 3 years following the grant date; and</w:t>
      </w:r>
    </w:p>
    <w:p>
      <w:pPr>
        <w:spacing w:after="0" w:line="204" w:lineRule="exact"/>
        <w:rPr>
          <w:rFonts w:ascii="Times New Roman" w:cs="Times New Roman" w:eastAsia="Times New Roman" w:hAnsi="Times New Roman"/>
          <w:sz w:val="13"/>
          <w:szCs w:val="13"/>
          <w:color w:val="auto"/>
        </w:rPr>
      </w:pPr>
    </w:p>
    <w:p>
      <w:pPr>
        <w:ind w:left="1000" w:hanging="3"/>
        <w:spacing w:after="0" w:line="272" w:lineRule="auto"/>
        <w:tabs>
          <w:tab w:leader="none" w:pos="1238"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4.3 thousand time-vested RSUs to each of the seven members of the Board of Directors then serving (other than to the Chairman and the CEO), for an aggregate compensation value of $875, vesting over a two-year period, with 50% vesting on the first anniversary of the date of grant and 50% on the second anniversary of the date of grant.</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As was approved by shareholders in 2020, the grants to the Chairman and the members of the Board includes the BOD Minimum Holding requirement defined above.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SHAREHOLDERS’ EQUITY (continued)</w:t>
      </w:r>
    </w:p>
    <w:p>
      <w:pPr>
        <w:spacing w:after="0" w:line="236" w:lineRule="exact"/>
        <w:rPr>
          <w:sz w:val="20"/>
          <w:szCs w:val="20"/>
          <w:color w:val="auto"/>
        </w:rPr>
      </w:pPr>
    </w:p>
    <w:p>
      <w:pPr>
        <w:ind w:left="980" w:hanging="409"/>
        <w:spacing w:after="0"/>
        <w:tabs>
          <w:tab w:leader="none" w:pos="980" w:val="left"/>
        </w:tabs>
        <w:numPr>
          <w:ilvl w:val="0"/>
          <w:numId w:val="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Equity Incentive Plans (continued)</w:t>
      </w:r>
    </w:p>
    <w:p>
      <w:pPr>
        <w:spacing w:after="0" w:line="204" w:lineRule="exact"/>
        <w:rPr>
          <w:rFonts w:ascii="Times New Roman" w:cs="Times New Roman" w:eastAsia="Times New Roman" w:hAnsi="Times New Roman"/>
          <w:sz w:val="13"/>
          <w:szCs w:val="13"/>
          <w:b w:val="1"/>
          <w:bCs w:val="1"/>
          <w:color w:val="auto"/>
        </w:rPr>
      </w:pPr>
    </w:p>
    <w:p>
      <w:pPr>
        <w:ind w:left="1180" w:hanging="187"/>
        <w:spacing w:after="0"/>
        <w:tabs>
          <w:tab w:leader="none" w:pos="1180" w:val="left"/>
        </w:tabs>
        <w:numPr>
          <w:ilvl w:val="1"/>
          <w:numId w:val="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RSUs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u w:val="single" w:color="auto"/>
          <w:color w:val="auto"/>
        </w:rPr>
        <w:t>Details</w:t>
      </w: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Outstanding as of beginning of year</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Granted</w:t>
      </w:r>
    </w:p>
    <w:p>
      <w:pPr>
        <w:spacing w:after="0" w:line="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Converted</w:t>
      </w:r>
    </w:p>
    <w:p>
      <w:pPr>
        <w:spacing w:after="0" w:line="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Forfeited</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Outstanding as of end of year (*)</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13"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0"/>
        </w:trPr>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Weighted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4"/>
              </w:rPr>
              <w:t>Weighted</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Weighted</w:t>
            </w:r>
          </w:p>
        </w:tc>
        <w:tc>
          <w:tcPr>
            <w:tcW w:w="20" w:type="dxa"/>
            <w:vAlign w:val="bottom"/>
          </w:tcPr>
          <w:p>
            <w:pPr>
              <w:spacing w:after="0"/>
              <w:rPr>
                <w:sz w:val="13"/>
                <w:szCs w:val="13"/>
                <w:color w:val="auto"/>
              </w:rPr>
            </w:pPr>
          </w:p>
        </w:tc>
      </w:tr>
      <w:tr>
        <w:trPr>
          <w:trHeight w:val="153"/>
        </w:trPr>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Number of</w:t>
            </w:r>
          </w:p>
        </w:tc>
        <w:tc>
          <w:tcPr>
            <w:tcW w:w="8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average fair</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Number of</w:t>
            </w:r>
          </w:p>
        </w:tc>
        <w:tc>
          <w:tcPr>
            <w:tcW w:w="10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7"/>
              </w:rPr>
              <w:t>average fair</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Number of</w:t>
            </w:r>
          </w:p>
        </w:tc>
        <w:tc>
          <w:tcPr>
            <w:tcW w:w="8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average fair</w:t>
            </w:r>
          </w:p>
        </w:tc>
      </w:tr>
      <w:tr>
        <w:trPr>
          <w:trHeight w:val="176"/>
        </w:trPr>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RSUs</w:t>
            </w:r>
          </w:p>
        </w:tc>
        <w:tc>
          <w:tcPr>
            <w:tcW w:w="8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value</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RSUs</w:t>
            </w: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9"/>
              </w:rPr>
              <w:t>value</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RSUs</w:t>
            </w:r>
          </w:p>
        </w:tc>
        <w:tc>
          <w:tcPr>
            <w:tcW w:w="8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value</w:t>
            </w:r>
          </w:p>
        </w:tc>
      </w:tr>
      <w:tr>
        <w:trPr>
          <w:trHeight w:val="149"/>
        </w:trPr>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1,712,996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w w:val="88"/>
              </w:rPr>
              <w:t>32.90</w:t>
            </w:r>
          </w:p>
        </w:tc>
        <w:tc>
          <w:tcPr>
            <w:tcW w:w="180" w:type="dxa"/>
            <w:vAlign w:val="bottom"/>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2,211,100</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24.11</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2,223,043</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19.45</w:t>
            </w:r>
          </w:p>
        </w:tc>
        <w:tc>
          <w:tcPr>
            <w:tcW w:w="20" w:type="dxa"/>
            <w:vAlign w:val="bottom"/>
          </w:tcPr>
          <w:p>
            <w:pPr>
              <w:spacing w:after="0"/>
              <w:rPr>
                <w:sz w:val="12"/>
                <w:szCs w:val="12"/>
                <w:color w:val="auto"/>
              </w:rPr>
            </w:pPr>
          </w:p>
        </w:tc>
      </w:tr>
      <w:tr>
        <w:trPr>
          <w:trHeight w:val="163"/>
        </w:trPr>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797,241</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37.64</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612,881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44.99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1,002,275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29.91</w:t>
            </w:r>
          </w:p>
        </w:tc>
      </w:tr>
      <w:tr>
        <w:trPr>
          <w:trHeight w:val="163"/>
        </w:trPr>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(870,720)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27.80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(1,068,219)</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21.99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(929,466)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19.56</w:t>
            </w:r>
          </w:p>
        </w:tc>
      </w:tr>
      <w:tr>
        <w:trPr>
          <w:trHeight w:val="176"/>
        </w:trPr>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(53,957)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32.49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(42,766)</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24.24</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(84,752)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20.28</w:t>
            </w:r>
          </w:p>
        </w:tc>
      </w:tr>
      <w:tr>
        <w:trPr>
          <w:trHeight w:val="162"/>
        </w:trPr>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1,585,560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38.10</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1,712,996</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32.90</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2,211,100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24.11</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-553085</wp:posOffset>
            </wp:positionV>
            <wp:extent cx="5267960" cy="1035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67960" cy="103505"/>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-346075</wp:posOffset>
            </wp:positionV>
            <wp:extent cx="5267960" cy="1035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67960" cy="103505"/>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-127000</wp:posOffset>
            </wp:positionV>
            <wp:extent cx="5267960" cy="1276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67960" cy="12763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2920" w:space="420"/>
            <w:col w:w="7940"/>
          </w:cols>
          <w:pgMar w:left="300" w:top="316" w:right="319" w:bottom="1440" w:gutter="0" w:footer="0" w:header="0"/>
        </w:sectPr>
      </w:pPr>
    </w:p>
    <w:p>
      <w:pPr>
        <w:ind w:left="1000" w:hanging="3"/>
        <w:spacing w:after="0" w:line="287" w:lineRule="auto"/>
        <w:tabs>
          <w:tab w:leader="none" w:pos="1185"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 559,184, 595,757 and 776,313 PSUs as of December 31, 2023, 2022 and 2021, respectively. The performance goals of 557,416 PSUs outstanding as of December 31, 2023 were achieved or estimated to be achieved.</w:t>
      </w:r>
    </w:p>
    <w:p>
      <w:pPr>
        <w:spacing w:after="0" w:line="148" w:lineRule="exact"/>
        <w:rPr>
          <w:rFonts w:ascii="Times New Roman" w:cs="Times New Roman" w:eastAsia="Times New Roman" w:hAnsi="Times New Roman"/>
          <w:sz w:val="13"/>
          <w:szCs w:val="13"/>
          <w:color w:val="auto"/>
        </w:rPr>
      </w:pPr>
    </w:p>
    <w:p>
      <w:pPr>
        <w:ind w:left="1180" w:hanging="187"/>
        <w:spacing w:after="0"/>
        <w:tabs>
          <w:tab w:leader="none" w:pos="1180" w:val="left"/>
        </w:tabs>
        <w:numPr>
          <w:ilvl w:val="0"/>
          <w:numId w:val="5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Information about Employees’ Share Incentive Plans</w:t>
      </w:r>
    </w:p>
    <w:p>
      <w:pPr>
        <w:spacing w:after="0" w:line="386"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 for the year ended December 31</w:t>
            </w:r>
          </w:p>
        </w:tc>
        <w:tc>
          <w:tcPr>
            <w:tcW w:w="180" w:type="dxa"/>
            <w:vAlign w:val="bottom"/>
          </w:tcPr>
          <w:p>
            <w:pPr>
              <w:spacing w:after="0"/>
              <w:rPr>
                <w:sz w:val="12"/>
                <w:szCs w:val="12"/>
                <w:color w:val="auto"/>
              </w:rPr>
            </w:pPr>
          </w:p>
        </w:tc>
        <w:tc>
          <w:tcPr>
            <w:tcW w:w="6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2"/>
                <w:szCs w:val="12"/>
                <w:color w:val="auto"/>
              </w:rPr>
            </w:pPr>
          </w:p>
        </w:tc>
      </w:tr>
      <w:tr>
        <w:trPr>
          <w:trHeight w:val="20"/>
        </w:trPr>
        <w:tc>
          <w:tcPr>
            <w:tcW w:w="2040" w:type="dxa"/>
            <w:vAlign w:val="bottom"/>
            <w:tcBorders>
              <w:top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The intrinsic value of converted RSUs</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48,829</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27,807</w:t>
            </w:r>
          </w:p>
        </w:tc>
        <w:tc>
          <w:tcPr>
            <w:tcW w:w="80" w:type="dxa"/>
            <w:vAlign w:val="bottom"/>
            <w:shd w:val="clear" w:color="auto" w:fill="CCEEFF"/>
          </w:tcPr>
          <w:p>
            <w:pPr>
              <w:spacing w:after="0"/>
              <w:rPr>
                <w:sz w:val="13"/>
                <w:szCs w:val="13"/>
                <w:color w:val="auto"/>
              </w:rPr>
            </w:pPr>
          </w:p>
        </w:tc>
      </w:tr>
      <w:tr>
        <w:trPr>
          <w:trHeight w:val="166"/>
        </w:trPr>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original fair value of converted RSUs</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24,206</w:t>
            </w:r>
          </w:p>
        </w:tc>
        <w:tc>
          <w:tcPr>
            <w:tcW w:w="26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23,492</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18,183</w:t>
            </w:r>
          </w:p>
        </w:tc>
      </w:tr>
    </w:tbl>
    <w:p>
      <w:pPr>
        <w:spacing w:after="0" w:line="15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Stock-based compensation expenses were recognized in the Statement of Operations for the years ended December 31, 2023, 2022 and 2021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w:t>
            </w:r>
          </w:p>
        </w:tc>
        <w:tc>
          <w:tcPr>
            <w:tcW w:w="180" w:type="dxa"/>
            <w:vAlign w:val="bottom"/>
          </w:tcPr>
          <w:p>
            <w:pPr>
              <w:spacing w:after="0"/>
              <w:rPr>
                <w:sz w:val="12"/>
                <w:szCs w:val="12"/>
                <w:color w:val="auto"/>
              </w:rPr>
            </w:pPr>
          </w:p>
        </w:tc>
        <w:tc>
          <w:tcPr>
            <w:tcW w:w="6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2"/>
                <w:szCs w:val="12"/>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goods</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8,332</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7,393</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7,003</w:t>
            </w:r>
          </w:p>
        </w:tc>
        <w:tc>
          <w:tcPr>
            <w:tcW w:w="80" w:type="dxa"/>
            <w:vAlign w:val="bottom"/>
            <w:shd w:val="clear" w:color="auto" w:fill="CCEEFF"/>
          </w:tcPr>
          <w:p>
            <w:pPr>
              <w:spacing w:after="0"/>
              <w:rPr>
                <w:sz w:val="13"/>
                <w:szCs w:val="13"/>
                <w:color w:val="auto"/>
              </w:rPr>
            </w:pPr>
          </w:p>
        </w:tc>
      </w:tr>
      <w:tr>
        <w:trPr>
          <w:trHeight w:val="163"/>
        </w:trPr>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Research and development, net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4,754</w:t>
            </w: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4,855</w:t>
            </w:r>
          </w:p>
        </w:tc>
      </w:tr>
      <w:tr>
        <w:trPr>
          <w:trHeight w:val="163"/>
        </w:trPr>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Marketing, general and administrative</w:t>
            </w: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13,960</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12,068</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13,286</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62"/>
        </w:trPr>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27,931</w:t>
            </w:r>
          </w:p>
        </w:tc>
        <w:tc>
          <w:tcPr>
            <w:tcW w:w="34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24,215</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25,144</w:t>
            </w:r>
          </w:p>
        </w:tc>
      </w:tr>
      <w:tr>
        <w:trPr>
          <w:trHeight w:val="20"/>
        </w:trPr>
        <w:tc>
          <w:tcPr>
            <w:tcW w:w="3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left="980" w:hanging="472"/>
        <w:spacing w:after="0"/>
        <w:tabs>
          <w:tab w:leader="none" w:pos="980" w:val="left"/>
        </w:tabs>
        <w:numPr>
          <w:ilvl w:val="0"/>
          <w:numId w:val="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Treasury Stock</w:t>
      </w:r>
    </w:p>
    <w:p>
      <w:pPr>
        <w:spacing w:after="0" w:line="197"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During 1999 and 1998, the Company funded the purchase by a trustee of an aggregate of approximately 87 thousand ordinary Tower shares. These shares are classified as treasury shares.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type w:val="continuous"/>
        </w:sectPr>
      </w:pPr>
    </w:p>
    <w:bookmarkStart w:id="48" w:name="page49"/>
    <w:bookmarkEnd w:id="48"/>
    <w:p>
      <w:pPr>
        <w:ind w:left="4020"/>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30" w:lineRule="exact"/>
        <w:rPr>
          <w:sz w:val="20"/>
          <w:szCs w:val="20"/>
          <w:color w:val="auto"/>
        </w:rPr>
      </w:pPr>
    </w:p>
    <w:p>
      <w:pPr>
        <w:jc w:val="right"/>
        <w:ind w:right="39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16: INFORMATION ON GEOGRAPHIC AREAS AND MAJOR CUSTOMERS</w:t>
      </w:r>
    </w:p>
    <w:p>
      <w:pPr>
        <w:spacing w:after="0" w:line="224" w:lineRule="exact"/>
        <w:rPr>
          <w:sz w:val="20"/>
          <w:szCs w:val="20"/>
          <w:color w:val="auto"/>
        </w:rPr>
      </w:pPr>
    </w:p>
    <w:p>
      <w:pPr>
        <w:ind w:left="980" w:hanging="409"/>
        <w:spacing w:after="0"/>
        <w:tabs>
          <w:tab w:leader="none" w:pos="980" w:val="left"/>
        </w:tabs>
        <w:numPr>
          <w:ilvl w:val="0"/>
          <w:numId w:val="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Revenues by Geographic Area - as Percentage of Total Revenue</w:t>
      </w:r>
    </w:p>
    <w:p>
      <w:pPr>
        <w:sectPr>
          <w:pgSz w:w="11900" w:h="16838" w:orient="portrait"/>
          <w:cols w:equalWidth="0" w:num="1">
            <w:col w:w="11280"/>
          </w:cols>
          <w:pgMar w:left="300" w:top="316" w:right="319" w:bottom="1440" w:gutter="0" w:footer="0" w:header="0"/>
        </w:sectPr>
      </w:pP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Years ended December 31, 2023, 2022 and 2021:</w:t>
      </w:r>
    </w:p>
    <w:p>
      <w:pPr>
        <w:spacing w:after="0" w:line="2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Details</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USA</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Japan</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Asia (other than Japan)</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Europe</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tcPr>
          <w:p>
            <w:pPr>
              <w:spacing w:after="0"/>
              <w:rPr>
                <w:sz w:val="15"/>
                <w:szCs w:val="15"/>
                <w:color w:val="auto"/>
              </w:rPr>
            </w:pPr>
          </w:p>
        </w:tc>
      </w:tr>
      <w:tr>
        <w:trPr>
          <w:trHeight w:val="172"/>
        </w:trPr>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7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182"/>
        </w:trPr>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tcPr>
          <w:p>
            <w:pPr>
              <w:spacing w:after="0"/>
              <w:rPr>
                <w:sz w:val="15"/>
                <w:szCs w:val="15"/>
                <w:color w:val="auto"/>
              </w:rPr>
            </w:pP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22</w:t>
            </w:r>
          </w:p>
        </w:tc>
      </w:tr>
      <w:tr>
        <w:trPr>
          <w:trHeight w:val="179"/>
        </w:trPr>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80" w:type="dxa"/>
            <w:vAlign w:val="bottom"/>
          </w:tcPr>
          <w:p>
            <w:pPr>
              <w:spacing w:after="0"/>
              <w:rPr>
                <w:sz w:val="15"/>
                <w:szCs w:val="15"/>
                <w:color w:val="auto"/>
              </w:rPr>
            </w:pP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30</w:t>
            </w:r>
          </w:p>
        </w:tc>
      </w:tr>
      <w:tr>
        <w:trPr>
          <w:trHeight w:val="175"/>
        </w:trPr>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r>
      <w:tr>
        <w:trPr>
          <w:trHeight w:val="163"/>
        </w:trPr>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100%</w:t>
            </w:r>
          </w:p>
        </w:tc>
        <w:tc>
          <w:tcPr>
            <w:tcW w:w="100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100%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-589280</wp:posOffset>
            </wp:positionV>
            <wp:extent cx="5207000" cy="1155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07000" cy="115570"/>
                    </a:xfrm>
                    <a:prstGeom prst="rect">
                      <a:avLst/>
                    </a:prstGeom>
                    <a:noFill/>
                  </pic:spPr>
                </pic:pic>
              </a:graphicData>
            </a:graphic>
          </wp:anchor>
        </w:drawing>
        <w:drawing>
          <wp:anchor simplePos="0" relativeHeight="251657728" behindDoc="1" locked="0" layoutInCell="0" allowOverlap="1">
            <wp:simplePos x="0" y="0"/>
            <wp:positionH relativeFrom="column">
              <wp:posOffset>-3345180</wp:posOffset>
            </wp:positionH>
            <wp:positionV relativeFrom="paragraph">
              <wp:posOffset>-358140</wp:posOffset>
            </wp:positionV>
            <wp:extent cx="5207000" cy="1155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07000" cy="115570"/>
                    </a:xfrm>
                    <a:prstGeom prst="rect">
                      <a:avLst/>
                    </a:prstGeom>
                    <a:noFill/>
                  </pic:spPr>
                </pic:pic>
              </a:graphicData>
            </a:graphic>
          </wp:anchor>
        </w:drawing>
        <w:drawing>
          <wp:anchor simplePos="0" relativeHeight="251657728" behindDoc="1" locked="0" layoutInCell="0" allowOverlap="1">
            <wp:simplePos x="0" y="0"/>
            <wp:positionH relativeFrom="column">
              <wp:posOffset>-3345180</wp:posOffset>
            </wp:positionH>
            <wp:positionV relativeFrom="paragraph">
              <wp:posOffset>-127000</wp:posOffset>
            </wp:positionV>
            <wp:extent cx="5207000" cy="1276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07000" cy="127635"/>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5580" w:space="720"/>
            <w:col w:w="4980"/>
          </w:cols>
          <w:pgMar w:left="300" w:top="316" w:right="31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3"/>
          <w:szCs w:val="13"/>
          <w:color w:val="auto"/>
        </w:rPr>
        <w:t>The basis of attributing revenues from external customers to a certain geographic area is based on the headquarters’ location of the customer issuing the purchase order.</w:t>
      </w:r>
    </w:p>
    <w:p>
      <w:pPr>
        <w:spacing w:after="0" w:line="222" w:lineRule="exact"/>
        <w:rPr>
          <w:sz w:val="20"/>
          <w:szCs w:val="20"/>
          <w:color w:val="auto"/>
        </w:rPr>
      </w:pPr>
    </w:p>
    <w:p>
      <w:pPr>
        <w:ind w:left="1020" w:hanging="449"/>
        <w:spacing w:after="0"/>
        <w:tabs>
          <w:tab w:leader="none" w:pos="1020" w:val="left"/>
        </w:tabs>
        <w:numPr>
          <w:ilvl w:val="0"/>
          <w:numId w:val="5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Long-Lived Assets by Geographic Area</w:t>
      </w:r>
    </w:p>
    <w:p>
      <w:pPr>
        <w:spacing w:after="0" w:line="206" w:lineRule="exact"/>
        <w:rPr>
          <w:rFonts w:ascii="Times New Roman" w:cs="Times New Roman" w:eastAsia="Times New Roman" w:hAnsi="Times New Roman"/>
          <w:sz w:val="13"/>
          <w:szCs w:val="13"/>
          <w:b w:val="1"/>
          <w:bCs w:val="1"/>
          <w:color w:val="auto"/>
        </w:rPr>
      </w:pPr>
    </w:p>
    <w:p>
      <w:pPr>
        <w:ind w:left="100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Substantially all of Tower’s long-lived assets are located in Israel, substantially all of TSNB’s and TSSA’s long-lived assets are located in the United States and substantially all of TPSCo’s long-lived assets are located in Japan.</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66"/>
        </w:trPr>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 of December 31, 2023 and 2022:</w:t>
            </w: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54"/>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Details</w:t>
            </w:r>
          </w:p>
        </w:tc>
        <w:tc>
          <w:tcPr>
            <w:tcW w:w="2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24"/>
                <w:szCs w:val="24"/>
                <w:color w:val="auto"/>
              </w:rPr>
            </w:pPr>
          </w:p>
        </w:tc>
      </w:tr>
      <w:tr>
        <w:trPr>
          <w:trHeight w:val="182"/>
        </w:trPr>
        <w:tc>
          <w:tcPr>
            <w:tcW w:w="40" w:type="dxa"/>
            <w:vAlign w:val="bottom"/>
          </w:tcPr>
          <w:p>
            <w:pPr>
              <w:spacing w:after="0"/>
              <w:rPr>
                <w:sz w:val="15"/>
                <w:szCs w:val="15"/>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Israel</w:t>
            </w:r>
          </w:p>
        </w:tc>
        <w:tc>
          <w:tcPr>
            <w:tcW w:w="244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254,868</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248,711</w:t>
            </w:r>
          </w:p>
        </w:tc>
      </w:tr>
      <w:tr>
        <w:trPr>
          <w:trHeight w:val="172"/>
        </w:trPr>
        <w:tc>
          <w:tcPr>
            <w:tcW w:w="4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250,560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257,759</w:t>
            </w:r>
          </w:p>
        </w:tc>
        <w:tc>
          <w:tcPr>
            <w:tcW w:w="8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Europe</w:t>
            </w:r>
          </w:p>
        </w:tc>
        <w:tc>
          <w:tcPr>
            <w:tcW w:w="2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371,583</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147,493</w:t>
            </w:r>
          </w:p>
        </w:tc>
        <w:tc>
          <w:tcPr>
            <w:tcW w:w="80" w:type="dxa"/>
            <w:vAlign w:val="bottom"/>
            <w:shd w:val="clear" w:color="auto" w:fill="CCEEFF"/>
          </w:tcPr>
          <w:p>
            <w:pPr>
              <w:spacing w:after="0"/>
              <w:rPr>
                <w:sz w:val="16"/>
                <w:szCs w:val="16"/>
                <w:color w:val="auto"/>
              </w:rPr>
            </w:pPr>
          </w:p>
        </w:tc>
      </w:tr>
      <w:tr>
        <w:trPr>
          <w:trHeight w:val="163"/>
        </w:trPr>
        <w:tc>
          <w:tcPr>
            <w:tcW w:w="4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Japan</w:t>
            </w: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278,918</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308,295</w:t>
            </w:r>
          </w:p>
        </w:tc>
        <w:tc>
          <w:tcPr>
            <w:tcW w:w="80" w:type="dxa"/>
            <w:vAlign w:val="bottom"/>
          </w:tcPr>
          <w:p>
            <w:pPr>
              <w:spacing w:after="0"/>
              <w:rPr>
                <w:sz w:val="14"/>
                <w:szCs w:val="14"/>
                <w:color w:val="auto"/>
              </w:rPr>
            </w:pPr>
          </w:p>
        </w:tc>
      </w:tr>
      <w:tr>
        <w:trPr>
          <w:trHeight w:val="202"/>
        </w:trPr>
        <w:tc>
          <w:tcPr>
            <w:tcW w:w="40" w:type="dxa"/>
            <w:vAlign w:val="bottom"/>
          </w:tcPr>
          <w:p>
            <w:pPr>
              <w:spacing w:after="0"/>
              <w:rPr>
                <w:sz w:val="17"/>
                <w:szCs w:val="17"/>
                <w:color w:val="auto"/>
              </w:rPr>
            </w:pPr>
          </w:p>
        </w:tc>
        <w:tc>
          <w:tcPr>
            <w:tcW w:w="406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1,155,929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962,258</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206" w:lineRule="exact"/>
        <w:rPr>
          <w:sz w:val="20"/>
          <w:szCs w:val="20"/>
          <w:color w:val="auto"/>
        </w:rPr>
      </w:pPr>
    </w:p>
    <w:p>
      <w:pPr>
        <w:ind w:left="980" w:hanging="409"/>
        <w:spacing w:after="0"/>
        <w:tabs>
          <w:tab w:leader="none" w:pos="980" w:val="left"/>
        </w:tabs>
        <w:numPr>
          <w:ilvl w:val="0"/>
          <w:numId w:val="5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Major Customers - as Percentage of Net Accounts Receivable Balance</w:t>
      </w:r>
    </w:p>
    <w:p>
      <w:pPr>
        <w:spacing w:after="0" w:line="178"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2023, one customer exceeded 10% of the net accounts receivable balance. As of December 31, 2022, no customer exceeded 10% of the net accounts receivable balance.</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16: INFORMATION ON GEOGRAPHIC AREAS AND MAJOR CUSTOMERS (continued)</w:t>
      </w:r>
    </w:p>
    <w:p>
      <w:pPr>
        <w:spacing w:after="0" w:line="234" w:lineRule="exact"/>
        <w:rPr>
          <w:sz w:val="20"/>
          <w:szCs w:val="20"/>
          <w:color w:val="auto"/>
        </w:rPr>
      </w:pPr>
    </w:p>
    <w:p>
      <w:pPr>
        <w:ind w:left="980" w:hanging="409"/>
        <w:spacing w:after="0"/>
        <w:tabs>
          <w:tab w:leader="none" w:pos="980" w:val="left"/>
        </w:tabs>
        <w:numPr>
          <w:ilvl w:val="0"/>
          <w:numId w:val="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Major Customers - as Percentage of Total Revenue</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166"/>
        </w:trPr>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Years ended December 31, 2023, 2022 and 2021:</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54"/>
        </w:trPr>
        <w:tc>
          <w:tcPr>
            <w:tcW w:w="5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Details</w:t>
            </w: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200" w:type="dxa"/>
            <w:vAlign w:val="bottom"/>
          </w:tcPr>
          <w:p>
            <w:pPr>
              <w:spacing w:after="0"/>
              <w:rPr>
                <w:sz w:val="24"/>
                <w:szCs w:val="24"/>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80" w:type="dxa"/>
            <w:vAlign w:val="bottom"/>
          </w:tcPr>
          <w:p>
            <w:pPr>
              <w:spacing w:after="0"/>
              <w:rPr>
                <w:sz w:val="24"/>
                <w:szCs w:val="24"/>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120" w:type="dxa"/>
            <w:vAlign w:val="bottom"/>
          </w:tcPr>
          <w:p>
            <w:pPr>
              <w:spacing w:after="0"/>
              <w:rPr>
                <w:sz w:val="24"/>
                <w:szCs w:val="24"/>
                <w:color w:val="auto"/>
              </w:rPr>
            </w:pPr>
          </w:p>
        </w:tc>
      </w:tr>
      <w:tr>
        <w:trPr>
          <w:trHeight w:val="182"/>
        </w:trPr>
        <w:tc>
          <w:tcPr>
            <w:tcW w:w="4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Customer 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7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172"/>
        </w:trPr>
        <w:tc>
          <w:tcPr>
            <w:tcW w:w="4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Customer B</w:t>
            </w:r>
          </w:p>
        </w:tc>
        <w:tc>
          <w:tcPr>
            <w:tcW w:w="100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color w:val="auto"/>
              </w:rPr>
              <w:t>9</w:t>
            </w:r>
          </w:p>
        </w:tc>
        <w:tc>
          <w:tcPr>
            <w:tcW w:w="100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9</w:t>
            </w:r>
          </w:p>
        </w:tc>
        <w:tc>
          <w:tcPr>
            <w:tcW w:w="94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r>
      <w:tr>
        <w:trPr>
          <w:trHeight w:val="192"/>
        </w:trPr>
        <w:tc>
          <w:tcPr>
            <w:tcW w:w="4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customers *</w:t>
            </w:r>
          </w:p>
        </w:tc>
        <w:tc>
          <w:tcPr>
            <w:tcW w:w="10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r>
    </w:tbl>
    <w:p>
      <w:pPr>
        <w:spacing w:after="0" w:line="179" w:lineRule="exact"/>
        <w:rPr>
          <w:sz w:val="20"/>
          <w:szCs w:val="20"/>
          <w:color w:val="auto"/>
        </w:rPr>
      </w:pPr>
    </w:p>
    <w:p>
      <w:pPr>
        <w:ind w:left="1260" w:hanging="363"/>
        <w:spacing w:after="0" w:line="272" w:lineRule="auto"/>
        <w:tabs>
          <w:tab w:leader="none" w:pos="12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aggregated revenue to three customers that accounted for between 3% and 9% of total revenue during 2023, to four customers that accounted for between 4% and 8% of total revenue during 2022, and to four customers that accounted for between 4% and 7% of total revenue during 2021.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17: FINANCING INCOME (EXPENSE), NET</w:t>
      </w:r>
    </w:p>
    <w:p>
      <w:pPr>
        <w:spacing w:after="0" w:line="1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Financing income (expense), net consists of the following for the years ended December 31, 2023, 2022 and 2021: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Details</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2"/>
        </w:trPr>
        <w:tc>
          <w:tcPr>
            <w:tcW w:w="1040" w:type="dxa"/>
            <w:vAlign w:val="bottom"/>
          </w:tcPr>
          <w:p>
            <w:pPr>
              <w:spacing w:after="0"/>
              <w:rPr>
                <w:sz w:val="15"/>
                <w:szCs w:val="15"/>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4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(4,444</w:t>
            </w:r>
          </w:p>
        </w:tc>
        <w:tc>
          <w:tcPr>
            <w:tcW w:w="1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(5,687</w:t>
            </w:r>
          </w:p>
        </w:tc>
        <w:tc>
          <w:tcPr>
            <w:tcW w:w="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(7,312</w:t>
            </w:r>
          </w:p>
        </w:tc>
        <w:tc>
          <w:tcPr>
            <w:tcW w:w="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7"/>
                <w:szCs w:val="7"/>
                <w:color w:val="auto"/>
                <w:w w:val="83"/>
              </w:rPr>
              <w:t>)</w:t>
            </w:r>
          </w:p>
        </w:tc>
        <w:tc>
          <w:tcPr>
            <w:tcW w:w="2060" w:type="dxa"/>
            <w:vAlign w:val="bottom"/>
          </w:tcPr>
          <w:p>
            <w:pPr>
              <w:spacing w:after="0"/>
              <w:rPr>
                <w:sz w:val="15"/>
                <w:szCs w:val="15"/>
                <w:color w:val="auto"/>
              </w:rPr>
            </w:pPr>
          </w:p>
        </w:tc>
      </w:tr>
      <w:tr>
        <w:trPr>
          <w:trHeight w:val="172"/>
        </w:trPr>
        <w:tc>
          <w:tcPr>
            <w:tcW w:w="104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39,987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13,596</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5,368</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92"/>
        </w:trPr>
        <w:tc>
          <w:tcPr>
            <w:tcW w:w="104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G Debentures amortization, exchange rate and hedging transactions related results</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3"/>
                <w:szCs w:val="13"/>
                <w:color w:val="auto"/>
              </w:rPr>
              <w:t>(640)</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(772)</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(1,773)</w:t>
            </w:r>
          </w:p>
        </w:tc>
        <w:tc>
          <w:tcPr>
            <w:tcW w:w="2060" w:type="dxa"/>
            <w:vAlign w:val="bottom"/>
          </w:tcPr>
          <w:p>
            <w:pPr>
              <w:spacing w:after="0"/>
              <w:rPr>
                <w:sz w:val="16"/>
                <w:szCs w:val="16"/>
                <w:color w:val="auto"/>
              </w:rPr>
            </w:pPr>
          </w:p>
        </w:tc>
      </w:tr>
      <w:tr>
        <w:trPr>
          <w:trHeight w:val="172"/>
        </w:trPr>
        <w:tc>
          <w:tcPr>
            <w:tcW w:w="104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Exchange rate and hedging transactions related results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3"/>
              <w:spacing w:after="0"/>
              <w:rPr>
                <w:sz w:val="20"/>
                <w:szCs w:val="20"/>
                <w:color w:val="auto"/>
              </w:rPr>
            </w:pPr>
            <w:r>
              <w:rPr>
                <w:rFonts w:ascii="Times New Roman" w:cs="Times New Roman" w:eastAsia="Times New Roman" w:hAnsi="Times New Roman"/>
                <w:sz w:val="13"/>
                <w:szCs w:val="13"/>
                <w:color w:val="auto"/>
              </w:rPr>
              <w:t>(4,140)</w:t>
            </w:r>
          </w:p>
        </w:tc>
        <w:tc>
          <w:tcPr>
            <w:tcW w:w="160" w:type="dxa"/>
            <w:vAlign w:val="bottom"/>
          </w:tcPr>
          <w:p>
            <w:pPr>
              <w:spacing w:after="0"/>
              <w:rPr>
                <w:sz w:val="14"/>
                <w:szCs w:val="14"/>
                <w:color w:val="auto"/>
              </w:rPr>
            </w:pPr>
          </w:p>
        </w:tc>
        <w:tc>
          <w:tcPr>
            <w:tcW w:w="8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(3,986)</w:t>
            </w:r>
          </w:p>
        </w:tc>
        <w:tc>
          <w:tcPr>
            <w:tcW w:w="180" w:type="dxa"/>
            <w:vAlign w:val="bottom"/>
          </w:tcPr>
          <w:p>
            <w:pPr>
              <w:spacing w:after="0"/>
              <w:rPr>
                <w:sz w:val="14"/>
                <w:szCs w:val="14"/>
                <w:color w:val="auto"/>
              </w:rPr>
            </w:pPr>
          </w:p>
        </w:tc>
        <w:tc>
          <w:tcPr>
            <w:tcW w:w="72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(7,092)</w:t>
            </w:r>
          </w:p>
        </w:tc>
        <w:tc>
          <w:tcPr>
            <w:tcW w:w="2060" w:type="dxa"/>
            <w:vAlign w:val="bottom"/>
          </w:tcPr>
          <w:p>
            <w:pPr>
              <w:spacing w:after="0"/>
              <w:rPr>
                <w:sz w:val="14"/>
                <w:szCs w:val="14"/>
                <w:color w:val="auto"/>
              </w:rPr>
            </w:pPr>
          </w:p>
        </w:tc>
      </w:tr>
      <w:tr>
        <w:trPr>
          <w:trHeight w:val="192"/>
        </w:trPr>
        <w:tc>
          <w:tcPr>
            <w:tcW w:w="104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Marketable securities fair value adjustments</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(9,225)</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60" w:type="dxa"/>
            <w:vAlign w:val="bottom"/>
          </w:tcPr>
          <w:p>
            <w:pPr>
              <w:spacing w:after="0"/>
              <w:rPr>
                <w:sz w:val="16"/>
                <w:szCs w:val="16"/>
                <w:color w:val="auto"/>
              </w:rPr>
            </w:pPr>
          </w:p>
        </w:tc>
      </w:tr>
      <w:tr>
        <w:trPr>
          <w:trHeight w:val="163"/>
        </w:trPr>
        <w:tc>
          <w:tcPr>
            <w:tcW w:w="104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Bank fees and others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3"/>
              <w:spacing w:after="0"/>
              <w:rPr>
                <w:sz w:val="20"/>
                <w:szCs w:val="20"/>
                <w:color w:val="auto"/>
              </w:rPr>
            </w:pPr>
            <w:r>
              <w:rPr>
                <w:rFonts w:ascii="Times New Roman" w:cs="Times New Roman" w:eastAsia="Times New Roman" w:hAnsi="Times New Roman"/>
                <w:sz w:val="13"/>
                <w:szCs w:val="13"/>
                <w:color w:val="auto"/>
              </w:rPr>
              <w:t>(3,176)</w:t>
            </w:r>
          </w:p>
        </w:tc>
        <w:tc>
          <w:tcPr>
            <w:tcW w:w="160" w:type="dxa"/>
            <w:vAlign w:val="bottom"/>
          </w:tcPr>
          <w:p>
            <w:pPr>
              <w:spacing w:after="0"/>
              <w:rPr>
                <w:sz w:val="14"/>
                <w:szCs w:val="14"/>
                <w:color w:val="auto"/>
              </w:rPr>
            </w:pPr>
          </w:p>
        </w:tc>
        <w:tc>
          <w:tcPr>
            <w:tcW w:w="8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(6,693)</w:t>
            </w:r>
          </w:p>
        </w:tc>
        <w:tc>
          <w:tcPr>
            <w:tcW w:w="180" w:type="dxa"/>
            <w:vAlign w:val="bottom"/>
          </w:tcPr>
          <w:p>
            <w:pPr>
              <w:spacing w:after="0"/>
              <w:rPr>
                <w:sz w:val="14"/>
                <w:szCs w:val="14"/>
                <w:color w:val="auto"/>
              </w:rPr>
            </w:pPr>
          </w:p>
        </w:tc>
        <w:tc>
          <w:tcPr>
            <w:tcW w:w="72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(2,064)</w:t>
            </w:r>
          </w:p>
        </w:tc>
        <w:tc>
          <w:tcPr>
            <w:tcW w:w="2060" w:type="dxa"/>
            <w:vAlign w:val="bottom"/>
          </w:tcPr>
          <w:p>
            <w:pPr>
              <w:spacing w:after="0"/>
              <w:rPr>
                <w:sz w:val="14"/>
                <w:szCs w:val="14"/>
                <w:color w:val="auto"/>
              </w:rPr>
            </w:pPr>
          </w:p>
        </w:tc>
      </w:tr>
      <w:tr>
        <w:trPr>
          <w:trHeight w:val="202"/>
        </w:trPr>
        <w:tc>
          <w:tcPr>
            <w:tcW w:w="1040" w:type="dxa"/>
            <w:vAlign w:val="bottom"/>
          </w:tcPr>
          <w:p>
            <w:pPr>
              <w:spacing w:after="0"/>
              <w:rPr>
                <w:sz w:val="17"/>
                <w:szCs w:val="17"/>
                <w:color w:val="auto"/>
              </w:rPr>
            </w:pPr>
          </w:p>
        </w:tc>
        <w:tc>
          <w:tcPr>
            <w:tcW w:w="5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30,531</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(12,767)</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(12,873)</w:t>
            </w:r>
          </w:p>
        </w:tc>
        <w:tc>
          <w:tcPr>
            <w:tcW w:w="8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r>
      <w:tr>
        <w:trPr>
          <w:trHeight w:val="400"/>
        </w:trPr>
        <w:tc>
          <w:tcPr>
            <w:tcW w:w="1040" w:type="dxa"/>
            <w:vAlign w:val="bottom"/>
          </w:tcPr>
          <w:p>
            <w:pPr>
              <w:spacing w:after="0"/>
              <w:rPr>
                <w:sz w:val="24"/>
                <w:szCs w:val="24"/>
                <w:color w:val="auto"/>
              </w:rPr>
            </w:pPr>
          </w:p>
        </w:tc>
        <w:tc>
          <w:tcPr>
            <w:tcW w:w="5040" w:type="dxa"/>
            <w:vAlign w:val="bottom"/>
          </w:tcPr>
          <w:p>
            <w:pPr>
              <w:ind w:left="4460"/>
              <w:spacing w:after="0"/>
              <w:rPr>
                <w:sz w:val="20"/>
                <w:szCs w:val="20"/>
                <w:color w:val="auto"/>
              </w:rPr>
            </w:pPr>
            <w:r>
              <w:rPr>
                <w:rFonts w:ascii="Times New Roman" w:cs="Times New Roman" w:eastAsia="Times New Roman" w:hAnsi="Times New Roman"/>
                <w:sz w:val="13"/>
                <w:szCs w:val="13"/>
                <w:color w:val="auto"/>
              </w:rPr>
              <w:t>F - 46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8"/>
        </w:trPr>
        <w:tc>
          <w:tcPr>
            <w:tcW w:w="1040" w:type="dxa"/>
            <w:vAlign w:val="bottom"/>
            <w:tcBorders>
              <w:bottom w:val="single" w:sz="8" w:color="auto"/>
            </w:tcBorders>
          </w:tcPr>
          <w:p>
            <w:pPr>
              <w:spacing w:after="0"/>
              <w:rPr>
                <w:sz w:val="4"/>
                <w:szCs w:val="4"/>
                <w:color w:val="auto"/>
              </w:rPr>
            </w:pPr>
          </w:p>
        </w:tc>
        <w:tc>
          <w:tcPr>
            <w:tcW w:w="50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bl>
    <w:p>
      <w:pPr>
        <w:sectPr>
          <w:pgSz w:w="11900" w:h="16838" w:orient="portrait"/>
          <w:cols w:equalWidth="0" w:num="1">
            <w:col w:w="11300"/>
          </w:cols>
          <w:pgMar w:left="300" w:top="297" w:right="29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18: RELATED PARTIES BALANCES AND TRANSACTIONS</w:t>
      </w:r>
    </w:p>
    <w:p>
      <w:pPr>
        <w:spacing w:after="0" w:line="234" w:lineRule="exact"/>
        <w:rPr>
          <w:sz w:val="20"/>
          <w:szCs w:val="20"/>
          <w:color w:val="auto"/>
        </w:rPr>
      </w:pPr>
    </w:p>
    <w:p>
      <w:pPr>
        <w:ind w:left="1000" w:hanging="397"/>
        <w:spacing w:after="0"/>
        <w:tabs>
          <w:tab w:leader="none" w:pos="1000" w:val="left"/>
        </w:tabs>
        <w:numPr>
          <w:ilvl w:val="0"/>
          <w:numId w:val="6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Balance</w:t>
      </w:r>
    </w:p>
    <w:p>
      <w:pPr>
        <w:spacing w:after="0" w:line="206"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nature of the relationship involved as of December 31, 2023 and 2022:</w:t>
      </w:r>
    </w:p>
    <w:p>
      <w:pPr>
        <w:spacing w:after="0" w:line="195" w:lineRule="exact"/>
        <w:rPr>
          <w:sz w:val="20"/>
          <w:szCs w:val="20"/>
          <w:color w:val="auto"/>
        </w:rPr>
      </w:pPr>
    </w:p>
    <w:tbl>
      <w:tblPr>
        <w:tblLayout w:type="fixed"/>
        <w:tblInd w:w="1040" w:type="dxa"/>
        <w:tblCellMar>
          <w:top w:w="0" w:type="dxa"/>
          <w:left w:w="0" w:type="dxa"/>
          <w:bottom w:w="0" w:type="dxa"/>
          <w:right w:w="0" w:type="dxa"/>
        </w:tblCellMar>
      </w:tblPr>
      <w:tr>
        <w:trPr>
          <w:trHeight w:val="175"/>
        </w:trPr>
        <w:tc>
          <w:tcPr>
            <w:tcW w:w="2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w:t>
            </w:r>
          </w:p>
        </w:tc>
        <w:tc>
          <w:tcPr>
            <w:tcW w:w="4200" w:type="dxa"/>
            <w:vAlign w:val="bottom"/>
          </w:tcPr>
          <w:p>
            <w:pPr>
              <w:spacing w:after="0"/>
              <w:rPr>
                <w:sz w:val="15"/>
                <w:szCs w:val="15"/>
                <w:color w:val="auto"/>
              </w:rPr>
            </w:pPr>
          </w:p>
        </w:tc>
        <w:tc>
          <w:tcPr>
            <w:tcW w:w="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color w:val="auto"/>
              </w:rPr>
              <w:t>2023</w:t>
            </w: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investment</w:t>
            </w:r>
          </w:p>
        </w:tc>
        <w:tc>
          <w:tcPr>
            <w:tcW w:w="4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Equity investment in a limited partnership</w:t>
            </w:r>
          </w:p>
        </w:tc>
        <w:tc>
          <w:tcPr>
            <w:tcW w:w="62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15"/>
                <w:szCs w:val="15"/>
                <w:color w:val="auto"/>
              </w:rPr>
            </w:pPr>
          </w:p>
        </w:tc>
      </w:tr>
    </w:tbl>
    <w:p>
      <w:pPr>
        <w:spacing w:after="0" w:line="206" w:lineRule="exact"/>
        <w:rPr>
          <w:sz w:val="20"/>
          <w:szCs w:val="20"/>
          <w:color w:val="auto"/>
        </w:rPr>
      </w:pPr>
    </w:p>
    <w:p>
      <w:pPr>
        <w:ind w:left="960" w:hanging="389"/>
        <w:spacing w:after="0"/>
        <w:tabs>
          <w:tab w:leader="none" w:pos="960" w:val="left"/>
        </w:tabs>
        <w:numPr>
          <w:ilvl w:val="0"/>
          <w:numId w:val="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Transactions</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Description of the transactions for the years ended December 31, 2023, 2022 and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Details</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Description of the transactions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92"/>
        </w:trPr>
        <w:tc>
          <w:tcPr>
            <w:tcW w:w="104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Directors’ fees and reimbursement to directors</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780</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696</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771</w:t>
            </w:r>
          </w:p>
        </w:tc>
        <w:tc>
          <w:tcPr>
            <w:tcW w:w="2060" w:type="dxa"/>
            <w:vAlign w:val="bottom"/>
          </w:tcPr>
          <w:p>
            <w:pPr>
              <w:spacing w:after="0"/>
              <w:rPr>
                <w:sz w:val="16"/>
                <w:szCs w:val="16"/>
                <w:color w:val="auto"/>
              </w:rPr>
            </w:pPr>
          </w:p>
        </w:tc>
      </w:tr>
      <w:tr>
        <w:trPr>
          <w:trHeight w:val="412"/>
        </w:trPr>
        <w:tc>
          <w:tcPr>
            <w:tcW w:w="1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40" w:type="dxa"/>
            <w:vAlign w:val="bottom"/>
          </w:tcPr>
          <w:p>
            <w:pPr>
              <w:ind w:left="1840"/>
              <w:spacing w:after="0"/>
              <w:rPr>
                <w:sz w:val="20"/>
                <w:szCs w:val="20"/>
                <w:color w:val="auto"/>
              </w:rPr>
            </w:pPr>
            <w:r>
              <w:rPr>
                <w:rFonts w:ascii="Times New Roman" w:cs="Times New Roman" w:eastAsia="Times New Roman" w:hAnsi="Times New Roman"/>
                <w:sz w:val="13"/>
                <w:szCs w:val="13"/>
                <w:color w:val="auto"/>
              </w:rPr>
              <w:t>F - 47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8"/>
        </w:trPr>
        <w:tc>
          <w:tcPr>
            <w:tcW w:w="104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r>
    </w:tbl>
    <w:p>
      <w:pPr>
        <w:sectPr>
          <w:pgSz w:w="11900" w:h="16838" w:orient="portrait"/>
          <w:cols w:equalWidth="0" w:num="1">
            <w:col w:w="11300"/>
          </w:cols>
          <w:pgMar w:left="300" w:top="297" w:right="29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19: INCOME TAX</w:t>
      </w:r>
    </w:p>
    <w:p>
      <w:pPr>
        <w:spacing w:after="0" w:line="234" w:lineRule="exact"/>
        <w:rPr>
          <w:sz w:val="20"/>
          <w:szCs w:val="20"/>
          <w:color w:val="auto"/>
        </w:rPr>
      </w:pPr>
    </w:p>
    <w:p>
      <w:pPr>
        <w:ind w:left="980" w:hanging="409"/>
        <w:spacing w:after="0"/>
        <w:tabs>
          <w:tab w:leader="none" w:pos="980" w:val="left"/>
        </w:tabs>
        <w:numPr>
          <w:ilvl w:val="0"/>
          <w:numId w:val="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Tower Statutory Income Rates</w:t>
      </w:r>
    </w:p>
    <w:p>
      <w:pPr>
        <w:spacing w:after="0" w:line="206" w:lineRule="exact"/>
        <w:rPr>
          <w:rFonts w:ascii="Times New Roman" w:cs="Times New Roman" w:eastAsia="Times New Roman" w:hAnsi="Times New Roman"/>
          <w:sz w:val="13"/>
          <w:szCs w:val="13"/>
          <w:b w:val="1"/>
          <w:bCs w:val="1"/>
          <w:color w:val="auto"/>
        </w:rPr>
      </w:pPr>
    </w:p>
    <w:p>
      <w:pPr>
        <w:ind w:left="1000" w:right="20" w:firstLine="4"/>
        <w:spacing w:after="0" w:line="31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2"/>
          <w:szCs w:val="12"/>
          <w:color w:val="auto"/>
        </w:rPr>
        <w:t>Pursuant to Amendment 73 to the Investment Law adopted in 2017 and since Tower is an Israeli industrial company located in Migdal Ha’emek, it meets the conditions for “Preferred Enterprises”. It is subject to an income tax rate of 7.5%. Any portion of Tower’s taxable income that is not eligible for Preferred Enterprise benefits, if at all, is to be taxed at the regular Israeli corporate tax rate of 23%.</w:t>
      </w:r>
    </w:p>
    <w:p>
      <w:pPr>
        <w:spacing w:after="0" w:line="173" w:lineRule="exact"/>
        <w:rPr>
          <w:rFonts w:ascii="Times New Roman" w:cs="Times New Roman" w:eastAsia="Times New Roman" w:hAnsi="Times New Roman"/>
          <w:sz w:val="13"/>
          <w:szCs w:val="13"/>
          <w:b w:val="1"/>
          <w:bCs w:val="1"/>
          <w:color w:val="auto"/>
        </w:rPr>
      </w:pPr>
    </w:p>
    <w:p>
      <w:pPr>
        <w:ind w:left="1000" w:hanging="429"/>
        <w:spacing w:after="0"/>
        <w:tabs>
          <w:tab w:leader="none" w:pos="1000" w:val="left"/>
        </w:tabs>
        <w:numPr>
          <w:ilvl w:val="0"/>
          <w:numId w:val="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Income Tax Expense, Net</w:t>
      </w:r>
    </w:p>
    <w:p>
      <w:pPr>
        <w:spacing w:after="0" w:line="206" w:lineRule="exact"/>
        <w:rPr>
          <w:rFonts w:ascii="Times New Roman" w:cs="Times New Roman" w:eastAsia="Times New Roman" w:hAnsi="Times New Roman"/>
          <w:sz w:val="13"/>
          <w:szCs w:val="13"/>
          <w:b w:val="1"/>
          <w:bCs w:val="1"/>
          <w:color w:val="auto"/>
        </w:rPr>
      </w:pPr>
    </w:p>
    <w:p>
      <w:pPr>
        <w:jc w:val="both"/>
        <w:ind w:left="1000" w:right="20" w:firstLine="4"/>
        <w:spacing w:after="0" w:line="266"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Company's provision for income tax is affected by income tax in a multinational tax environment. The income tax provision is an estimate determined based on current enacted tax laws and tax rates at each of its geographic locations, with the use of acceptable allocation methodologies based upon the Company’s organizational structure, operations and business mode of work, and results in applicable local taxable income attributable to those locations.</w:t>
      </w:r>
    </w:p>
    <w:p>
      <w:pPr>
        <w:spacing w:after="0" w:line="173"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Company’s income tax provision consists of the following for the years ended December 31, 2023,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Details</w:t>
            </w:r>
          </w:p>
        </w:tc>
        <w:tc>
          <w:tcPr>
            <w:tcW w:w="2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tax expense:</w:t>
            </w:r>
          </w:p>
        </w:tc>
        <w:tc>
          <w:tcPr>
            <w:tcW w:w="2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Foreign</w:t>
            </w:r>
          </w:p>
        </w:tc>
        <w:tc>
          <w:tcPr>
            <w:tcW w:w="24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13,374</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13,167</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13,504</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expense (benefit):</w:t>
            </w:r>
          </w:p>
        </w:tc>
        <w:tc>
          <w:tcPr>
            <w:tcW w:w="2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Local</w:t>
            </w: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62,748</w:t>
            </w: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21,550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w:t>
            </w:r>
          </w:p>
        </w:tc>
        <w:tc>
          <w:tcPr>
            <w:tcW w:w="2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(10,810)</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(9,215)</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(14,998)</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 net</w:t>
            </w:r>
          </w:p>
        </w:tc>
        <w:tc>
          <w:tcPr>
            <w:tcW w:w="23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65,312</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25,502</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06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Details</w:t>
            </w:r>
          </w:p>
        </w:tc>
        <w:tc>
          <w:tcPr>
            <w:tcW w:w="2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Profit before taxes:</w:t>
            </w:r>
          </w:p>
        </w:tc>
        <w:tc>
          <w:tcPr>
            <w:tcW w:w="2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Local</w:t>
            </w:r>
          </w:p>
        </w:tc>
        <w:tc>
          <w:tcPr>
            <w:tcW w:w="24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588,453</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295,438</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166,273</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w:t>
            </w:r>
          </w:p>
        </w:tc>
        <w:tc>
          <w:tcPr>
            <w:tcW w:w="2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(3,611)</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(3,465)</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(11,174)</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Total profit before taxes</w:t>
            </w:r>
          </w:p>
        </w:tc>
        <w:tc>
          <w:tcPr>
            <w:tcW w:w="23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584,842</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291,973</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155,099</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0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80" w:type="dxa"/>
            <w:vAlign w:val="bottom"/>
            <w:gridSpan w:val="2"/>
          </w:tcPr>
          <w:p>
            <w:pPr>
              <w:jc w:val="right"/>
              <w:ind w:right="676"/>
              <w:spacing w:after="0"/>
              <w:rPr>
                <w:sz w:val="20"/>
                <w:szCs w:val="20"/>
                <w:color w:val="auto"/>
              </w:rPr>
            </w:pPr>
            <w:r>
              <w:rPr>
                <w:rFonts w:ascii="Times New Roman" w:cs="Times New Roman" w:eastAsia="Times New Roman" w:hAnsi="Times New Roman"/>
                <w:sz w:val="13"/>
                <w:szCs w:val="13"/>
                <w:color w:val="auto"/>
              </w:rPr>
              <w:t>F - 48</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04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97" w:right="29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19: INCOME TAX (continued)</w:t>
      </w:r>
    </w:p>
    <w:p>
      <w:pPr>
        <w:spacing w:after="0" w:line="234" w:lineRule="exact"/>
        <w:rPr>
          <w:sz w:val="20"/>
          <w:szCs w:val="20"/>
          <w:color w:val="auto"/>
        </w:rPr>
      </w:pPr>
    </w:p>
    <w:p>
      <w:pPr>
        <w:ind w:left="980" w:hanging="409"/>
        <w:spacing w:after="0"/>
        <w:tabs>
          <w:tab w:leader="none" w:pos="980" w:val="left"/>
        </w:tabs>
        <w:numPr>
          <w:ilvl w:val="0"/>
          <w:numId w:val="6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Components of Deferred Tax Asset/Liability</w:t>
      </w:r>
    </w:p>
    <w:p>
      <w:pPr>
        <w:spacing w:after="0" w:line="187"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2"/>
          <w:szCs w:val="12"/>
          <w:color w:val="auto"/>
        </w:rPr>
        <w:t>The following is a summary of the components of the deferred tax assets and liabilities reflected in the balance sheets as of December 31, 2023 and 2022:</w:t>
      </w:r>
    </w:p>
    <w:p>
      <w:pPr>
        <w:sectPr>
          <w:pgSz w:w="11900" w:h="16838" w:orient="portrait"/>
          <w:cols w:equalWidth="0" w:num="1">
            <w:col w:w="11300"/>
          </w:cols>
          <w:pgMar w:left="300" w:top="297" w:right="299" w:bottom="1440" w:gutter="0" w:footer="0" w:header="0"/>
        </w:sectPr>
      </w:pPr>
    </w:p>
    <w:p>
      <w:pPr>
        <w:spacing w:after="0" w:line="16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Details</w:t>
      </w:r>
    </w:p>
    <w:p>
      <w:pPr>
        <w:spacing w:after="0" w:line="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2"/>
          <w:szCs w:val="12"/>
          <w:color w:val="auto"/>
        </w:rPr>
        <w:t>Deferred tax asset and liability -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-85090</wp:posOffset>
            </wp:positionV>
            <wp:extent cx="5207000" cy="1092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07000" cy="109220"/>
                    </a:xfrm>
                    <a:prstGeom prst="rect">
                      <a:avLst/>
                    </a:prstGeom>
                    <a:noFill/>
                  </pic:spPr>
                </pic:pic>
              </a:graphicData>
            </a:graphic>
          </wp:anchor>
        </w:drawing>
      </w:r>
    </w:p>
    <w:p>
      <w:pPr>
        <w:spacing w:after="0" w:line="1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Deferred tax assets:</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Net operating loss carryforward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-88265</wp:posOffset>
            </wp:positionV>
            <wp:extent cx="5207000" cy="1155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07000" cy="115570"/>
                    </a:xfrm>
                    <a:prstGeom prst="rect">
                      <a:avLst/>
                    </a:prstGeom>
                    <a:noFill/>
                  </pic:spPr>
                </pic:pic>
              </a:graphicData>
            </a:graphic>
          </wp:anchor>
        </w:drawing>
      </w:r>
    </w:p>
    <w:p>
      <w:pPr>
        <w:spacing w:after="0" w:line="1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Employees compensation</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Accruals and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-86360</wp:posOffset>
            </wp:positionV>
            <wp:extent cx="5207000" cy="1155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07000" cy="115570"/>
                    </a:xfrm>
                    <a:prstGeom prst="rect">
                      <a:avLst/>
                    </a:prstGeom>
                    <a:noFill/>
                  </pic:spPr>
                </pic:pic>
              </a:graphicData>
            </a:graphic>
          </wp:anchor>
        </w:drawing>
      </w:r>
    </w:p>
    <w:p>
      <w:pPr>
        <w:spacing w:after="0" w:line="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Research and development credit</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Research and development - Section 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-86360</wp:posOffset>
            </wp:positionV>
            <wp:extent cx="5207000" cy="1155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07000" cy="115570"/>
                    </a:xfrm>
                    <a:prstGeom prst="rect">
                      <a:avLst/>
                    </a:prstGeom>
                    <a:noFill/>
                  </pic:spPr>
                </pic:pic>
              </a:graphicData>
            </a:graphic>
          </wp:anchor>
        </w:drawing>
      </w:r>
    </w:p>
    <w:p>
      <w:pPr>
        <w:spacing w:after="0" w:line="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Lease liabilities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r>
      <w:tr>
        <w:trPr>
          <w:trHeight w:val="517"/>
        </w:trPr>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9,889</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53,473</w:t>
            </w:r>
          </w:p>
        </w:tc>
      </w:tr>
      <w:tr>
        <w:trPr>
          <w:trHeight w:val="182"/>
        </w:trPr>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7,853</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7,670</w:t>
            </w:r>
          </w:p>
        </w:tc>
      </w:tr>
      <w:tr>
        <w:trPr>
          <w:trHeight w:val="182"/>
        </w:trPr>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10,997</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10,935</w:t>
            </w:r>
          </w:p>
        </w:tc>
      </w:tr>
      <w:tr>
        <w:trPr>
          <w:trHeight w:val="182"/>
        </w:trPr>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24,677</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21,340</w:t>
            </w:r>
          </w:p>
        </w:tc>
      </w:tr>
      <w:tr>
        <w:trPr>
          <w:trHeight w:val="182"/>
        </w:trPr>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19,582</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11,748</w:t>
            </w:r>
          </w:p>
        </w:tc>
      </w:tr>
      <w:tr>
        <w:trPr>
          <w:trHeight w:val="182"/>
        </w:trPr>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12,199</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14,642</w:t>
            </w:r>
          </w:p>
        </w:tc>
      </w:tr>
    </w:tbl>
    <w:p>
      <w:pPr>
        <w:spacing w:after="0" w:line="20" w:lineRule="exact"/>
        <w:rPr>
          <w:sz w:val="20"/>
          <w:szCs w:val="20"/>
          <w:color w:val="auto"/>
        </w:rPr>
      </w:pPr>
    </w:p>
    <w:p>
      <w:pPr>
        <w:sectPr>
          <w:pgSz w:w="11900" w:h="16838" w:orient="portrait"/>
          <w:cols w:equalWidth="0" w:num="2">
            <w:col w:w="6640" w:space="720"/>
            <w:col w:w="3940"/>
          </w:cols>
          <w:pgMar w:left="300" w:top="297" w:right="2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104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w:t>
            </w:r>
          </w:p>
        </w:tc>
        <w:tc>
          <w:tcPr>
            <w:tcW w:w="2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2,122</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1,894</w:t>
            </w:r>
          </w:p>
        </w:tc>
        <w:tc>
          <w:tcPr>
            <w:tcW w:w="80" w:type="dxa"/>
            <w:vAlign w:val="bottom"/>
            <w:shd w:val="clear" w:color="auto" w:fill="CCEEFF"/>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87,319</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121,702</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Valuation allowance, see Note 19F below</w:t>
            </w:r>
          </w:p>
        </w:tc>
        <w:tc>
          <w:tcPr>
            <w:tcW w:w="2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(20,238)</w:t>
            </w: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(17,541)</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318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67,081</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104,161</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4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 - long-term:</w:t>
            </w:r>
          </w:p>
        </w:tc>
        <w:tc>
          <w:tcPr>
            <w:tcW w:w="2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18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(72,254)</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(81,929)</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ROU - assets under operating leases</w:t>
            </w:r>
          </w:p>
        </w:tc>
        <w:tc>
          <w:tcPr>
            <w:tcW w:w="2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(1,609)</w:t>
            </w: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(2,027)</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Others</w:t>
            </w:r>
          </w:p>
        </w:tc>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(838)</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29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(74,701)</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(83,879)</w:t>
            </w:r>
          </w:p>
        </w:tc>
        <w:tc>
          <w:tcPr>
            <w:tcW w:w="80" w:type="dxa"/>
            <w:vAlign w:val="bottom"/>
            <w:tcBorders>
              <w:bottom w:val="single" w:sz="8" w:color="CCEEFF"/>
            </w:tcBorders>
            <w:shd w:val="clear" w:color="auto" w:fill="CCEEFF"/>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40" w:type="dxa"/>
            <w:vAlign w:val="bottom"/>
            <w:vMerge w:val="restart"/>
          </w:tcPr>
          <w:p>
            <w:pPr>
              <w:spacing w:after="0"/>
              <w:rPr>
                <w:sz w:val="13"/>
                <w:szCs w:val="13"/>
                <w:color w:val="auto"/>
              </w:rPr>
            </w:pPr>
          </w:p>
        </w:tc>
        <w:tc>
          <w:tcPr>
            <w:tcW w:w="3380" w:type="dxa"/>
            <w:vAlign w:val="bottom"/>
          </w:tcPr>
          <w:p>
            <w:pPr>
              <w:spacing w:after="0"/>
              <w:rPr>
                <w:sz w:val="13"/>
                <w:szCs w:val="13"/>
                <w:color w:val="auto"/>
              </w:rPr>
            </w:pPr>
          </w:p>
        </w:tc>
        <w:tc>
          <w:tcPr>
            <w:tcW w:w="3180" w:type="dxa"/>
            <w:vAlign w:val="bottom"/>
            <w:gridSpan w:val="2"/>
          </w:tcPr>
          <w:p>
            <w:pPr>
              <w:spacing w:after="0"/>
              <w:rPr>
                <w:sz w:val="13"/>
                <w:szCs w:val="13"/>
                <w:color w:val="auto"/>
              </w:rPr>
            </w:pPr>
          </w:p>
        </w:tc>
        <w:tc>
          <w:tcPr>
            <w:tcW w:w="7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Presented in long term deferred tax assets</w:t>
            </w:r>
          </w:p>
        </w:tc>
        <w:tc>
          <w:tcPr>
            <w:tcW w:w="318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1,810</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32,787</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040" w:type="dxa"/>
            <w:vAlign w:val="bottom"/>
            <w:vMerge w:val="continue"/>
          </w:tcPr>
          <w:p>
            <w:pPr>
              <w:spacing w:after="0"/>
              <w:rPr>
                <w:sz w:val="12"/>
                <w:szCs w:val="12"/>
                <w:color w:val="auto"/>
              </w:rPr>
            </w:pPr>
          </w:p>
        </w:tc>
        <w:tc>
          <w:tcPr>
            <w:tcW w:w="33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Presented in long term deferred tax liabilities</w:t>
            </w:r>
          </w:p>
        </w:tc>
        <w:tc>
          <w:tcPr>
            <w:tcW w:w="3180" w:type="dxa"/>
            <w:vAlign w:val="bottom"/>
            <w:gridSpan w:val="2"/>
          </w:tcPr>
          <w:p>
            <w:pPr>
              <w:jc w:val="right"/>
              <w:ind w:right="127"/>
              <w:spacing w:after="0" w:line="141"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3"/>
                <w:szCs w:val="13"/>
                <w:color w:val="auto"/>
              </w:rPr>
              <w:t>(9,430)</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(12,505)</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80" w:type="dxa"/>
            <w:vAlign w:val="bottom"/>
            <w:gridSpan w:val="2"/>
          </w:tcPr>
          <w:p>
            <w:pPr>
              <w:jc w:val="right"/>
              <w:ind w:right="1747"/>
              <w:spacing w:after="0"/>
              <w:rPr>
                <w:sz w:val="20"/>
                <w:szCs w:val="20"/>
                <w:color w:val="auto"/>
              </w:rPr>
            </w:pPr>
            <w:r>
              <w:rPr>
                <w:rFonts w:ascii="Times New Roman" w:cs="Times New Roman" w:eastAsia="Times New Roman" w:hAnsi="Times New Roman"/>
                <w:sz w:val="13"/>
                <w:szCs w:val="13"/>
                <w:color w:val="auto"/>
              </w:rPr>
              <w:t>F - 49</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04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97" w:right="299" w:bottom="1440" w:gutter="0" w:footer="0" w:header="0"/>
          <w:type w:val="continuous"/>
        </w:sectPr>
      </w:pPr>
    </w:p>
    <w:bookmarkStart w:id="53" w:name="page54"/>
    <w:bookmarkEnd w:id="53"/>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19: INCOME TAX (continued)</w:t>
      </w:r>
    </w:p>
    <w:p>
      <w:pPr>
        <w:spacing w:after="0" w:line="234" w:lineRule="exact"/>
        <w:rPr>
          <w:sz w:val="20"/>
          <w:szCs w:val="20"/>
          <w:color w:val="auto"/>
        </w:rPr>
      </w:pPr>
    </w:p>
    <w:p>
      <w:pPr>
        <w:ind w:left="980" w:hanging="409"/>
        <w:spacing w:after="0"/>
        <w:tabs>
          <w:tab w:leader="none" w:pos="980" w:val="left"/>
        </w:tabs>
        <w:numPr>
          <w:ilvl w:val="0"/>
          <w:numId w:val="6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Unrecognized Tax Benefit</w:t>
      </w:r>
    </w:p>
    <w:p>
      <w:pPr>
        <w:spacing w:after="0" w:line="206"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 reconciliation of the beginning and ending amount of unrecognized tax benefits is as follows:</w:t>
      </w:r>
    </w:p>
    <w:p>
      <w:pPr>
        <w:spacing w:after="0" w:line="195" w:lineRule="exact"/>
        <w:rPr>
          <w:sz w:val="20"/>
          <w:szCs w:val="20"/>
          <w:color w:val="auto"/>
        </w:rPr>
      </w:pPr>
    </w:p>
    <w:tbl>
      <w:tblPr>
        <w:tblLayout w:type="fixed"/>
        <w:tblInd w:w="1040" w:type="dxa"/>
        <w:tblCellMar>
          <w:top w:w="0" w:type="dxa"/>
          <w:left w:w="0" w:type="dxa"/>
          <w:bottom w:w="0" w:type="dxa"/>
          <w:right w:w="0" w:type="dxa"/>
        </w:tblCellMar>
      </w:tblPr>
      <w:tr>
        <w:trPr>
          <w:trHeight w:val="163"/>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Details</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w w:val="98"/>
              </w:rPr>
              <w:t>Unrecognized</w:t>
            </w:r>
          </w:p>
        </w:tc>
        <w:tc>
          <w:tcPr>
            <w:tcW w:w="0" w:type="dxa"/>
            <w:vAlign w:val="bottom"/>
          </w:tcPr>
          <w:p>
            <w:pPr>
              <w:spacing w:after="0"/>
              <w:rPr>
                <w:sz w:val="1"/>
                <w:szCs w:val="1"/>
                <w:color w:val="auto"/>
              </w:rPr>
            </w:pPr>
          </w:p>
        </w:tc>
      </w:tr>
      <w:tr>
        <w:trPr>
          <w:trHeight w:val="166"/>
        </w:trPr>
        <w:tc>
          <w:tcPr>
            <w:tcW w:w="7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6"/>
              </w:rPr>
              <w:t>tax benefits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January 1, 2023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3"/>
                <w:szCs w:val="13"/>
                <w:color w:val="auto"/>
              </w:rPr>
              <w:t>Additions for tax positions of current year</w:t>
            </w: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Reduction due to statute of limitations of prior years</w:t>
            </w: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December 31, 2023</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Details</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w w:val="98"/>
              </w:rPr>
              <w:t>Unrecognized</w:t>
            </w:r>
          </w:p>
        </w:tc>
        <w:tc>
          <w:tcPr>
            <w:tcW w:w="0" w:type="dxa"/>
            <w:vAlign w:val="bottom"/>
          </w:tcPr>
          <w:p>
            <w:pPr>
              <w:spacing w:after="0"/>
              <w:rPr>
                <w:sz w:val="1"/>
                <w:szCs w:val="1"/>
                <w:color w:val="auto"/>
              </w:rPr>
            </w:pPr>
          </w:p>
        </w:tc>
      </w:tr>
      <w:tr>
        <w:trPr>
          <w:trHeight w:val="166"/>
        </w:trPr>
        <w:tc>
          <w:tcPr>
            <w:tcW w:w="7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6"/>
              </w:rPr>
              <w:t>tax benefits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January 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3"/>
                <w:szCs w:val="13"/>
                <w:color w:val="auto"/>
              </w:rPr>
              <w:t>Additions for tax positions of current year</w:t>
            </w: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Reduction due to statute of limitations of prior years</w:t>
            </w: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December 31, 2022</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Details</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w w:val="98"/>
              </w:rPr>
              <w:t>Unrecognized</w:t>
            </w:r>
          </w:p>
        </w:tc>
        <w:tc>
          <w:tcPr>
            <w:tcW w:w="0" w:type="dxa"/>
            <w:vAlign w:val="bottom"/>
          </w:tcPr>
          <w:p>
            <w:pPr>
              <w:spacing w:after="0"/>
              <w:rPr>
                <w:sz w:val="1"/>
                <w:szCs w:val="1"/>
                <w:color w:val="auto"/>
              </w:rPr>
            </w:pPr>
          </w:p>
        </w:tc>
      </w:tr>
      <w:tr>
        <w:trPr>
          <w:trHeight w:val="166"/>
        </w:trPr>
        <w:tc>
          <w:tcPr>
            <w:tcW w:w="7300" w:type="dxa"/>
            <w:vAlign w:val="bottom"/>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6"/>
              </w:rPr>
              <w:t>tax benefits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January 1, 2021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15,314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3"/>
                <w:szCs w:val="13"/>
                <w:color w:val="auto"/>
              </w:rPr>
              <w:t>Additions for tax positions of current year</w:t>
            </w: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Reduction due to statute of limitations of prior years</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(8,175)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Balance as of December 31, 2021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7,763</w:t>
            </w: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980" w:hanging="409"/>
        <w:spacing w:after="0"/>
        <w:tabs>
          <w:tab w:leader="none" w:pos="980" w:val="left"/>
        </w:tabs>
        <w:numPr>
          <w:ilvl w:val="0"/>
          <w:numId w:val="6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Effective Income Tax</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The reconciliation of the statutory tax rate to the effective tax rate for the years ended December 31, 2023, 2022 and 2021:</w:t>
      </w:r>
    </w:p>
    <w:p>
      <w:pPr>
        <w:spacing w:after="0" w:line="205" w:lineRule="exact"/>
        <w:rPr>
          <w:sz w:val="20"/>
          <w:szCs w:val="20"/>
          <w:color w:val="auto"/>
        </w:rPr>
      </w:pPr>
    </w:p>
    <w:tbl>
      <w:tblPr>
        <w:tblLayout w:type="fixed"/>
        <w:tblInd w:w="1040" w:type="dxa"/>
        <w:tblCellMar>
          <w:top w:w="0" w:type="dxa"/>
          <w:left w:w="0" w:type="dxa"/>
          <w:bottom w:w="0" w:type="dxa"/>
          <w:right w:w="0" w:type="dxa"/>
        </w:tblCellMar>
      </w:tblPr>
      <w:tr>
        <w:trPr>
          <w:trHeight w:val="175"/>
        </w:trPr>
        <w:tc>
          <w:tcPr>
            <w:tcW w:w="4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Details</w:t>
            </w: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expense computed at statutory rates, see (*) below</w:t>
            </w:r>
          </w:p>
        </w:tc>
        <w:tc>
          <w:tcPr>
            <w:tcW w:w="6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134,514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67,154</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35,673</w:t>
            </w:r>
          </w:p>
        </w:tc>
      </w:tr>
      <w:tr>
        <w:trPr>
          <w:trHeight w:val="172"/>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Effect of different tax rates in different jurisdictions and Preferred Enterprise Benefit</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(89,487)</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(46,012)</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(24,683)</w:t>
            </w:r>
          </w:p>
        </w:tc>
      </w:tr>
      <w:tr>
        <w:trPr>
          <w:trHeight w:val="192"/>
        </w:trPr>
        <w:tc>
          <w:tcPr>
            <w:tcW w:w="20" w:type="dxa"/>
            <w:vAlign w:val="bottom"/>
          </w:tcPr>
          <w:p>
            <w:pPr>
              <w:spacing w:after="0"/>
              <w:rPr>
                <w:sz w:val="16"/>
                <w:szCs w:val="16"/>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valuation allowance, see Note 19F below</w:t>
            </w: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5,911</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899</w:t>
            </w:r>
          </w:p>
        </w:tc>
      </w:tr>
      <w:tr>
        <w:trPr>
          <w:trHeight w:val="163"/>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Permanent differences and other, net</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17,588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(1,551)</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(10,865)</w:t>
            </w:r>
          </w:p>
        </w:tc>
      </w:tr>
      <w:tr>
        <w:trPr>
          <w:trHeight w:val="202"/>
        </w:trPr>
        <w:tc>
          <w:tcPr>
            <w:tcW w:w="20" w:type="dxa"/>
            <w:vAlign w:val="bottom"/>
          </w:tcPr>
          <w:p>
            <w:pPr>
              <w:spacing w:after="0"/>
              <w:rPr>
                <w:sz w:val="17"/>
                <w:szCs w:val="17"/>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65,312</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25,502</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 The tax expense was computed based on the regular Israeli corporate tax rate of 23%.</w:t>
      </w:r>
    </w:p>
    <w:p>
      <w:pPr>
        <w:spacing w:after="0" w:line="2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72325" cy="12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0159"/>
          </w:cols>
          <w:pgMar w:left="300" w:top="297"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19: INCOME TAX (continued)</w:t>
      </w:r>
    </w:p>
    <w:p>
      <w:pPr>
        <w:spacing w:after="0" w:line="234" w:lineRule="exact"/>
        <w:rPr>
          <w:sz w:val="20"/>
          <w:szCs w:val="20"/>
          <w:color w:val="auto"/>
        </w:rPr>
      </w:pPr>
    </w:p>
    <w:p>
      <w:pPr>
        <w:ind w:left="1000" w:hanging="429"/>
        <w:spacing w:after="0"/>
        <w:tabs>
          <w:tab w:leader="none" w:pos="1000" w:val="left"/>
        </w:tabs>
        <w:numPr>
          <w:ilvl w:val="0"/>
          <w:numId w:val="6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Net Operating Loss Carryforward</w:t>
      </w:r>
    </w:p>
    <w:p>
      <w:pPr>
        <w:spacing w:after="0" w:line="206"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2023, Tower had no operating loss carryforward for tax purposes.</w:t>
      </w:r>
    </w:p>
    <w:p>
      <w:pPr>
        <w:spacing w:after="0" w:line="195" w:lineRule="exact"/>
        <w:rPr>
          <w:rFonts w:ascii="Times New Roman" w:cs="Times New Roman" w:eastAsia="Times New Roman" w:hAnsi="Times New Roman"/>
          <w:sz w:val="13"/>
          <w:szCs w:val="13"/>
          <w:b w:val="1"/>
          <w:bCs w:val="1"/>
          <w:color w:val="auto"/>
        </w:rPr>
      </w:pPr>
    </w:p>
    <w:p>
      <w:pPr>
        <w:ind w:left="100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2023, Tower US Holdings had federal net operating loss carryforwards of approximately $44,000 of which approximately $34,000 does not expire and is subject to an annual taxable income limitation of 80%. The remaining federal tax loss carryforward of $10,000 will expire in 2028, unless previously utilized.</w:t>
      </w:r>
    </w:p>
    <w:p>
      <w:pPr>
        <w:spacing w:after="0" w:line="159" w:lineRule="exact"/>
        <w:rPr>
          <w:rFonts w:ascii="Times New Roman" w:cs="Times New Roman" w:eastAsia="Times New Roman" w:hAnsi="Times New Roman"/>
          <w:sz w:val="13"/>
          <w:szCs w:val="13"/>
          <w:b w:val="1"/>
          <w:bCs w:val="1"/>
          <w:color w:val="auto"/>
        </w:rPr>
      </w:pPr>
    </w:p>
    <w:p>
      <w:pPr>
        <w:ind w:left="1000" w:right="20" w:firstLine="4"/>
        <w:spacing w:after="0" w:line="27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2023, Tower US Holdings had California state net operating loss carryforward of approximately $9,000. The state tax loss carryforward will begin to expire in 2029, unless previously utilized.</w:t>
      </w:r>
    </w:p>
    <w:p>
      <w:pPr>
        <w:spacing w:after="0" w:line="168" w:lineRule="exact"/>
        <w:rPr>
          <w:rFonts w:ascii="Times New Roman" w:cs="Times New Roman" w:eastAsia="Times New Roman" w:hAnsi="Times New Roman"/>
          <w:sz w:val="13"/>
          <w:szCs w:val="13"/>
          <w:b w:val="1"/>
          <w:bCs w:val="1"/>
          <w:color w:val="auto"/>
        </w:rPr>
      </w:pPr>
    </w:p>
    <w:p>
      <w:pPr>
        <w:ind w:left="1000" w:right="2320"/>
        <w:spacing w:after="0" w:line="58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Tower US Holdings recorded a valuation allowance thereby reducing the deferred tax asset balances of the federal and state net operating loss carryforward. As of December 31, 2023, and 2022, TPSCo had no net operating loss carryforward.</w:t>
      </w:r>
    </w:p>
    <w:p>
      <w:pPr>
        <w:spacing w:after="0" w:line="1" w:lineRule="exact"/>
        <w:rPr>
          <w:rFonts w:ascii="Times New Roman" w:cs="Times New Roman" w:eastAsia="Times New Roman" w:hAnsi="Times New Roman"/>
          <w:sz w:val="13"/>
          <w:szCs w:val="13"/>
          <w:b w:val="1"/>
          <w:bCs w:val="1"/>
          <w:color w:val="auto"/>
        </w:rPr>
      </w:pPr>
    </w:p>
    <w:p>
      <w:pPr>
        <w:ind w:left="1000" w:hanging="429"/>
        <w:spacing w:after="0"/>
        <w:tabs>
          <w:tab w:leader="none" w:pos="1000" w:val="left"/>
        </w:tabs>
        <w:numPr>
          <w:ilvl w:val="0"/>
          <w:numId w:val="6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Final Tax Assessments</w:t>
      </w:r>
    </w:p>
    <w:p>
      <w:pPr>
        <w:spacing w:after="0" w:line="206" w:lineRule="exact"/>
        <w:rPr>
          <w:rFonts w:ascii="Times New Roman" w:cs="Times New Roman" w:eastAsia="Times New Roman" w:hAnsi="Times New Roman"/>
          <w:sz w:val="13"/>
          <w:szCs w:val="13"/>
          <w:b w:val="1"/>
          <w:bCs w:val="1"/>
          <w:color w:val="auto"/>
        </w:rPr>
      </w:pPr>
    </w:p>
    <w:p>
      <w:pPr>
        <w:ind w:left="1000" w:firstLine="4"/>
        <w:spacing w:after="0" w:line="28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Tower possesses final tax assessments through the year 1998. In addition, the tax assessments for the years 1999-2017 are deemed final. During 2023, the Israeli tax authority commenced a tax audit on Tower for the tax years 2018 to 2021. As of the date of the consolidated financial statements, the tax audit is still in process.</w:t>
      </w:r>
    </w:p>
    <w:p>
      <w:pPr>
        <w:spacing w:after="0" w:line="159"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2"/>
          <w:szCs w:val="12"/>
          <w:color w:val="auto"/>
        </w:rPr>
        <w:t>Tower US Holdings files a consolidated tax return, including TSNB and TSSA. Tower US Holdings and its subsidiaries are subject to U.S. federal income tax as well as income tax in multiple states.</w:t>
      </w:r>
    </w:p>
    <w:p>
      <w:pPr>
        <w:spacing w:after="0" w:line="206" w:lineRule="exact"/>
        <w:rPr>
          <w:rFonts w:ascii="Times New Roman" w:cs="Times New Roman" w:eastAsia="Times New Roman" w:hAnsi="Times New Roman"/>
          <w:sz w:val="13"/>
          <w:szCs w:val="13"/>
          <w:b w:val="1"/>
          <w:bCs w:val="1"/>
          <w:color w:val="auto"/>
        </w:rPr>
      </w:pPr>
    </w:p>
    <w:p>
      <w:pPr>
        <w:jc w:val="both"/>
        <w:ind w:left="1000" w:right="20" w:firstLine="4"/>
        <w:spacing w:after="0" w:line="27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general, Tower US Holdings is no longer subject to U.S. federal income tax examinations for any of the years before 2020 and state and other U.S local income tax examinations for any of the years before 2019. However, to the extent allowed by law, the tax authorities may have the right to examine prior periods where net operating losses were generated and carried forward, and make adjustments up to the amount of the net operating loss carryforward amount.</w:t>
      </w:r>
    </w:p>
    <w:p>
      <w:pPr>
        <w:spacing w:after="0" w:line="158" w:lineRule="exact"/>
        <w:rPr>
          <w:rFonts w:ascii="Times New Roman" w:cs="Times New Roman" w:eastAsia="Times New Roman" w:hAnsi="Times New Roman"/>
          <w:sz w:val="13"/>
          <w:szCs w:val="13"/>
          <w:b w:val="1"/>
          <w:bCs w:val="1"/>
          <w:color w:val="auto"/>
        </w:rPr>
      </w:pPr>
    </w:p>
    <w:p>
      <w:pPr>
        <w:ind w:left="100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TPSCo possesses final income tax assessments through the year 2020.</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172325" cy="12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20: SUBSEQUENT EVENTS</w:t>
      </w:r>
    </w:p>
    <w:p>
      <w:pPr>
        <w:spacing w:after="0" w:line="2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color w:val="auto"/>
        </w:rPr>
        <w:t>Japan Earthquake in 2024</w:t>
      </w:r>
    </w:p>
    <w:p>
      <w:pPr>
        <w:spacing w:after="0" w:line="197" w:lineRule="exact"/>
        <w:rPr>
          <w:sz w:val="20"/>
          <w:szCs w:val="20"/>
          <w:color w:val="auto"/>
        </w:rPr>
      </w:pPr>
    </w:p>
    <w:p>
      <w:pPr>
        <w:jc w:val="both"/>
        <w:ind w:left="1000" w:firstLine="4"/>
        <w:spacing w:after="0" w:line="265" w:lineRule="auto"/>
        <w:rPr>
          <w:sz w:val="20"/>
          <w:szCs w:val="20"/>
          <w:color w:val="auto"/>
        </w:rPr>
      </w:pPr>
      <w:r>
        <w:rPr>
          <w:rFonts w:ascii="Times New Roman" w:cs="Times New Roman" w:eastAsia="Times New Roman" w:hAnsi="Times New Roman"/>
          <w:sz w:val="13"/>
          <w:szCs w:val="13"/>
          <w:color w:val="auto"/>
        </w:rPr>
        <w:t>On January 1, 2024, an earthquake hit Japan in a neighboring vicinity to the location of TPSCo’s facilities. While there was no impact or damage to the buildings and the facilities’ structure, there was tools’ damage and some percentage of work in progress and inventories scrapped at the facilities, as well as a temporary cessation of operations. The dedicated staff and response teams worked to ensure operational safety and stability, utilizing all available resources to minimize any potential disruptions to operations and customer service, and returned the facilities to operation after several weeks.</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color w:val="auto"/>
        </w:rPr>
        <w:t>Re-organization of the Israeli Operations</w:t>
      </w:r>
    </w:p>
    <w:p>
      <w:pPr>
        <w:spacing w:after="0" w:line="207" w:lineRule="exact"/>
        <w:rPr>
          <w:sz w:val="20"/>
          <w:szCs w:val="20"/>
          <w:color w:val="auto"/>
        </w:rPr>
      </w:pPr>
    </w:p>
    <w:p>
      <w:pPr>
        <w:jc w:val="both"/>
        <w:ind w:left="1000" w:right="20" w:firstLine="4"/>
        <w:spacing w:after="0" w:line="266" w:lineRule="auto"/>
        <w:rPr>
          <w:sz w:val="20"/>
          <w:szCs w:val="20"/>
          <w:color w:val="auto"/>
        </w:rPr>
      </w:pPr>
      <w:r>
        <w:rPr>
          <w:rFonts w:ascii="Times New Roman" w:cs="Times New Roman" w:eastAsia="Times New Roman" w:hAnsi="Times New Roman"/>
          <w:sz w:val="13"/>
          <w:szCs w:val="13"/>
          <w:color w:val="auto"/>
        </w:rPr>
        <w:t>During the first quarter of 2024, the Company decided to re-organize and re-structure its Israeli operations through integration of a portion of its 6” operations (150mm) into its 8” operations (200mm) in order to optimize its operations due to anticipated changes in market dynamics and customer demand. Re-organization related income or expenses will be recognized as incurred over the re-organization period.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717232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232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126365</wp:posOffset>
            </wp:positionV>
            <wp:extent cx="7172325"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2325" cy="24130"/>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7172325"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188595</wp:posOffset>
            </wp:positionH>
            <wp:positionV relativeFrom="page">
              <wp:posOffset>173990</wp:posOffset>
            </wp:positionV>
            <wp:extent cx="717232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2325" cy="6350"/>
                    </a:xfrm>
                    <a:prstGeom prst="rect">
                      <a:avLst/>
                    </a:prstGeom>
                    <a:noFill/>
                  </pic:spPr>
                </pic:pic>
              </a:graphicData>
            </a:graphic>
          </wp:anchor>
        </w:drawing>
        <w:t>Exhibit 99.2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CONDITION AND RESULTS OF OPERATIONS</w:t>
      </w:r>
    </w:p>
    <w:p>
      <w:pPr>
        <w:spacing w:after="0" w:line="16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3"/>
          <w:szCs w:val="13"/>
          <w:i w:val="1"/>
          <w:iCs w:val="1"/>
          <w:color w:val="auto"/>
        </w:rPr>
        <w:t>The information contained in this section should be read in conjunction with our consolidated financial statements as of December 31, 2023 and 2022 and the related notes for the years then ended. Our financial statements have been prepared in accordance with generally accepted accounting principles in the United States (“US GAAP”).</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following table sets forth certain statement of operations data as a percentage of total revenues for the years ended December 31, 2023 and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6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Details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2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shd w:val="clear" w:color="auto" w:fill="CCEEFF"/>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Marketing, general and administrative expense</w:t>
            </w:r>
          </w:p>
        </w:tc>
        <w:tc>
          <w:tcPr>
            <w:tcW w:w="2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gain from sale of machinery and equipment, net</w:t>
            </w:r>
          </w:p>
        </w:tc>
        <w:tc>
          <w:tcPr>
            <w:tcW w:w="2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(3.7)</w:t>
            </w:r>
          </w:p>
        </w:tc>
        <w:tc>
          <w:tcPr>
            <w:tcW w:w="2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Restructuring expense</w:t>
            </w:r>
          </w:p>
        </w:tc>
        <w:tc>
          <w:tcPr>
            <w:tcW w:w="2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shd w:val="clear" w:color="auto" w:fill="CCEEFF"/>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Merger-contract termination fee, net</w:t>
            </w:r>
          </w:p>
        </w:tc>
        <w:tc>
          <w:tcPr>
            <w:tcW w:w="2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(22.0)</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profit</w:t>
            </w: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shd w:val="clear" w:color="auto" w:fill="CCEEFF"/>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Financing income (expense), net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(0.8)</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2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(0.4)</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75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0" w:type="dxa"/>
            <w:vAlign w:val="bottom"/>
            <w:vMerge w:val="continue"/>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Profit before income tax</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net</w:t>
            </w:r>
          </w:p>
        </w:tc>
        <w:tc>
          <w:tcPr>
            <w:tcW w:w="2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(4.6)</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75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0" w:type="dxa"/>
            <w:vAlign w:val="bottom"/>
            <w:vMerge w:val="continue"/>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Net profit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2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(0.1)</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75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0" w:type="dxa"/>
            <w:vAlign w:val="bottom"/>
            <w:vMerge w:val="continue"/>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Net profit attributable to the company</w:t>
            </w:r>
          </w:p>
        </w:tc>
        <w:tc>
          <w:tcPr>
            <w:tcW w:w="2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36.4%</w:t>
            </w:r>
          </w:p>
        </w:tc>
        <w:tc>
          <w:tcPr>
            <w:tcW w:w="2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The following table sets forth certain statement of operations data for the years ended December 31, 2023 and 2022 (dollars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79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796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Details</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1,422,680</w:t>
            </w: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1,677,614</w:t>
            </w:r>
          </w:p>
        </w:tc>
        <w:tc>
          <w:tcPr>
            <w:tcW w:w="100" w:type="dxa"/>
            <w:vAlign w:val="bottom"/>
            <w:shd w:val="clear" w:color="auto" w:fill="CCEEFF"/>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1,069,161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1,211,306</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353,519</w:t>
            </w: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466,308</w:t>
            </w:r>
          </w:p>
        </w:tc>
        <w:tc>
          <w:tcPr>
            <w:tcW w:w="100" w:type="dxa"/>
            <w:vAlign w:val="bottom"/>
            <w:shd w:val="clear" w:color="auto" w:fill="CCEEFF"/>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79,808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83,911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Marketing, general and administrative expense</w:t>
            </w:r>
          </w:p>
        </w:tc>
        <w:tc>
          <w:tcPr>
            <w:tcW w:w="2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72,454</w:t>
            </w: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80,282</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gain from sale of machinery and equipment, net</w:t>
            </w:r>
          </w:p>
        </w:tc>
        <w:tc>
          <w:tcPr>
            <w:tcW w:w="2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(52,168)</w:t>
            </w: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(20,243)</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Restructuring expense</w:t>
            </w:r>
          </w:p>
        </w:tc>
        <w:tc>
          <w:tcPr>
            <w:tcW w:w="2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19,662</w:t>
            </w: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10,684</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Merger-contract termination fee, net</w:t>
            </w:r>
          </w:p>
        </w:tc>
        <w:tc>
          <w:tcPr>
            <w:tcW w:w="2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(313,501)</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profit</w:t>
            </w: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547,264</w:t>
            </w: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311,674</w:t>
            </w:r>
          </w:p>
        </w:tc>
        <w:tc>
          <w:tcPr>
            <w:tcW w:w="100" w:type="dxa"/>
            <w:vAlign w:val="bottom"/>
            <w:shd w:val="clear" w:color="auto" w:fill="CCEEFF"/>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Financing income (expense), net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30,531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(12,767)</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2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7,047</w:t>
            </w: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(6,934)</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7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Profit before income tax</w:t>
            </w: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584,842</w:t>
            </w: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291,973</w:t>
            </w:r>
          </w:p>
        </w:tc>
        <w:tc>
          <w:tcPr>
            <w:tcW w:w="100" w:type="dxa"/>
            <w:vAlign w:val="bottom"/>
            <w:tcBorders>
              <w:top w:val="single" w:sz="8" w:color="CCEEFF"/>
            </w:tcBorders>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net</w:t>
            </w:r>
          </w:p>
        </w:tc>
        <w:tc>
          <w:tcPr>
            <w:tcW w:w="2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(65,312)</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(25,502)</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7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profit</w:t>
            </w: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519,530</w:t>
            </w: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266,471</w:t>
            </w:r>
          </w:p>
        </w:tc>
        <w:tc>
          <w:tcPr>
            <w:tcW w:w="100" w:type="dxa"/>
            <w:vAlign w:val="bottom"/>
            <w:tcBorders>
              <w:top w:val="single" w:sz="8" w:color="CCEEFF"/>
            </w:tcBorders>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2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(1,036)</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(1,902)</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0" w:type="dxa"/>
            <w:vAlign w:val="bottom"/>
            <w:vMerge w:val="continue"/>
          </w:tcPr>
          <w:p>
            <w:pPr>
              <w:spacing w:after="0"/>
              <w:rPr>
                <w:sz w:val="14"/>
                <w:szCs w:val="1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3"/>
                <w:szCs w:val="13"/>
                <w:color w:val="auto"/>
              </w:rPr>
              <w:t>Net profit attributable to the company</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518,494</w:t>
            </w:r>
          </w:p>
        </w:tc>
        <w:tc>
          <w:tcPr>
            <w:tcW w:w="200" w:type="dxa"/>
            <w:vAlign w:val="bottom"/>
          </w:tcPr>
          <w:p>
            <w:pPr>
              <w:spacing w:after="0"/>
              <w:rPr>
                <w:sz w:val="14"/>
                <w:szCs w:val="14"/>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264,569</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60" w:type="dxa"/>
            <w:vAlign w:val="bottom"/>
            <w:tcBorders>
              <w:bottom w:val="single" w:sz="8" w:color="auto"/>
            </w:tcBorders>
          </w:tcPr>
          <w:p>
            <w:pPr>
              <w:spacing w:after="0"/>
              <w:rPr>
                <w:sz w:val="23"/>
                <w:szCs w:val="23"/>
                <w:color w:val="auto"/>
              </w:rPr>
            </w:pPr>
          </w:p>
        </w:tc>
        <w:tc>
          <w:tcPr>
            <w:tcW w:w="75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336" w:right="299" w:bottom="1440" w:gutter="0" w:footer="0" w:header="0"/>
        </w:sectPr>
      </w:pPr>
    </w:p>
    <w:bookmarkStart w:id="57" w:name="page58"/>
    <w:bookmarkEnd w:id="57"/>
    <w:p>
      <w:pPr>
        <w:ind w:left="358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w:t>
      </w:r>
    </w:p>
    <w:p>
      <w:pPr>
        <w:spacing w:after="0" w:line="1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CONDITION AND RESULTS OF OPERATIONS</w:t>
      </w:r>
    </w:p>
    <w:p>
      <w:pPr>
        <w:spacing w:after="0" w:line="1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Year ended December 31, 2023 compared to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Revenues</w:t>
      </w:r>
    </w:p>
    <w:p>
      <w:pPr>
        <w:spacing w:after="0" w:line="16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3"/>
          <w:szCs w:val="13"/>
          <w:color w:val="auto"/>
        </w:rPr>
        <w:t>Revenues for the year ended December 31, 2023 were $1,422.7 million, as compared to $1,677.6 million for the year ended December 31, 2022. The $254.9 million revenue decrease is attributed mainly to a decrease in the quantity of CMOS silicon wafers shipped to our foundry customers from our facilities during the year ended December 31, 2023 as compared to the year ended December 31, 2022, as well as to the reorganization and restructuring of our Japan operations during 2022, which resulted in no revenue from Arai facility for the year ended December 31, 2023 as described in Note 14B2 to our financial statements for the year ended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Cost of Revenues</w:t>
      </w:r>
    </w:p>
    <w:p>
      <w:pPr>
        <w:spacing w:after="0" w:line="1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3"/>
          <w:szCs w:val="13"/>
          <w:color w:val="auto"/>
        </w:rPr>
        <w:t>Cost of revenues for the year ended December 31, 2023 amounted to $1,069.2 million as compared to $1,211.3 million for the year ended December 31, 2022. The $142.1 million decrease in cost of revenue is mainly due to the decreased quantity of wafers shipped to our foundry customers from our facilities as described above, resulting in lower variable and other costs, as well as having no costs associated with Arai facility in the year ended December 31, 2023 due to its cessation of operations during 2022 as described in Note 14B2 to our financial statements for the year ended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Gross Profit</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color w:val="auto"/>
        </w:rPr>
        <w:t>Gross profit for the year ended December 31, 2023 amounted to $353.5 million as compared to $466.3 million for the year ended December 31, 2022. The $112.8 million decrease in gross profit resulted from the $254.9 million revenue decrease, net of the $142.1 million decrease in cost of revenues, as described above.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Research and Development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Research and development expense for the year ended December 31, 2023, amounted to $79.8 million, reflecting a decrease of $4.1 million as compared to $83.9 million in the year ended December 31,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Marketing, General and Administrative</w:t>
      </w:r>
    </w:p>
    <w:p>
      <w:pPr>
        <w:spacing w:after="0" w:line="16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3"/>
          <w:szCs w:val="13"/>
          <w:color w:val="auto"/>
        </w:rPr>
        <w:t>Marketing, general and administrative expense for the year ended December 31, 2023 amounted to $72.5 million, a decrease of $7.8 million as compared to $80.3 million recorded in the year ended December 31, 2022, both reflecting approximately 5% of the applicable revenues in the respective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Restructuring Gain from Sale of Machinery and Equipment, net</w:t>
      </w:r>
    </w:p>
    <w:p>
      <w:pPr>
        <w:spacing w:after="0" w:line="17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3"/>
          <w:szCs w:val="13"/>
          <w:color w:val="auto"/>
        </w:rPr>
        <w:t>Restructuring gain from sale of machinery and equipment, net, for the years ended December 31, 2023 and December 31, 2022 amounted to $52.2 million and $20.2 million, respectively and resulted from the gain on sale of machinery and equipment to third parties following the reorganization and restructuring of our Japan operations executed during 2022 as described in Note 14B2 to our financial statements for the year ended December 31, 2023</w:t>
      </w:r>
    </w:p>
    <w:p>
      <w:pPr>
        <w:spacing w:after="0" w:line="26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34925</wp:posOffset>
            </wp:positionV>
            <wp:extent cx="7172325" cy="12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0860"/>
          </w:cols>
          <w:pgMar w:left="740" w:top="278" w:right="299" w:bottom="1440" w:gutter="0" w:footer="0" w:header="0"/>
        </w:sectPr>
      </w:pPr>
    </w:p>
    <w:bookmarkStart w:id="58" w:name="page59"/>
    <w:bookmarkEnd w:id="58"/>
    <w:p>
      <w:pPr>
        <w:ind w:left="358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w:t>
      </w:r>
    </w:p>
    <w:p>
      <w:pPr>
        <w:spacing w:after="0" w:line="1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Restructuring Expense</w:t>
      </w:r>
    </w:p>
    <w:p>
      <w:pPr>
        <w:spacing w:after="0" w:line="178" w:lineRule="exact"/>
        <w:rPr>
          <w:sz w:val="20"/>
          <w:szCs w:val="20"/>
          <w:color w:val="auto"/>
        </w:rPr>
      </w:pPr>
    </w:p>
    <w:p>
      <w:pPr>
        <w:jc w:val="both"/>
        <w:ind w:left="20" w:right="20"/>
        <w:spacing w:after="0" w:line="272" w:lineRule="auto"/>
        <w:rPr>
          <w:sz w:val="20"/>
          <w:szCs w:val="20"/>
          <w:color w:val="auto"/>
        </w:rPr>
      </w:pPr>
      <w:r>
        <w:rPr>
          <w:rFonts w:ascii="Times New Roman" w:cs="Times New Roman" w:eastAsia="Times New Roman" w:hAnsi="Times New Roman"/>
          <w:sz w:val="13"/>
          <w:szCs w:val="13"/>
          <w:color w:val="auto"/>
        </w:rPr>
        <w:t>Restructuring expense for the years ended December 31, 2023 and December 31, 2022 amounted to $19.7 million and $10.7 million, respectively and resulted from the reorganization and restructuring of our Japan operations executed during 2022, as described in Note 14B2 to our financial statements for the year ended December 31,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Merger-contract termination fee, net</w:t>
      </w:r>
    </w:p>
    <w:p>
      <w:pPr>
        <w:spacing w:after="0" w:line="169"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3"/>
          <w:szCs w:val="13"/>
          <w:color w:val="auto"/>
        </w:rPr>
        <w:t>Merger-contract termination fee, net, for the year ended December 31, 2023 amounted to $313.5 million, net of associated fees and was paid to the Company by Intel following the announced termination of their definitive agreement as described in Note 1 to our financial statements for the year ended December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Operating Profit</w:t>
      </w:r>
    </w:p>
    <w:p>
      <w:pPr>
        <w:spacing w:after="0" w:line="1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3"/>
          <w:szCs w:val="13"/>
          <w:color w:val="auto"/>
        </w:rPr>
        <w:t>Operating profit for the year ended December 31, 2023 amounted to $547.3 million as compared to $311.7 million for the year ended December 31, 2022. The $235.6 million increase in operating profit resulted mainly from the $313.5 million merger-contract termination fee, net, $32.0 million increase in restructuring gain from the sale of machinery and equipment, net, as described above; offset by the $112.8 million decrease in gross profit described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Financing Income (Expense), net</w:t>
      </w:r>
    </w:p>
    <w:p>
      <w:pPr>
        <w:spacing w:after="0" w:line="1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3"/>
          <w:szCs w:val="13"/>
          <w:color w:val="auto"/>
        </w:rPr>
        <w:t>Financing income, net, for the year ended December 31, 2023 amounted to $30.5 million as compared to $12.8 million financing expense, net, for the year ended December 31, 2022. The $43.3 million increase in financing income, net, is mainly due to higher interest income on bank deposits (due to the higher amount of deposits and higher interest rates during the year ended December 31, 2023 as compared to the prior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Income (Expense), net</w:t>
      </w:r>
    </w:p>
    <w:p>
      <w:pPr>
        <w:spacing w:after="0" w:line="169" w:lineRule="exact"/>
        <w:rPr>
          <w:sz w:val="20"/>
          <w:szCs w:val="20"/>
          <w:color w:val="auto"/>
        </w:rPr>
      </w:pPr>
    </w:p>
    <w:p>
      <w:pPr>
        <w:jc w:val="both"/>
        <w:ind w:left="20" w:right="20"/>
        <w:spacing w:after="0" w:line="287" w:lineRule="auto"/>
        <w:rPr>
          <w:sz w:val="20"/>
          <w:szCs w:val="20"/>
          <w:color w:val="auto"/>
        </w:rPr>
      </w:pPr>
      <w:r>
        <w:rPr>
          <w:rFonts w:ascii="Times New Roman" w:cs="Times New Roman" w:eastAsia="Times New Roman" w:hAnsi="Times New Roman"/>
          <w:sz w:val="13"/>
          <w:szCs w:val="13"/>
          <w:color w:val="auto"/>
        </w:rPr>
        <w:t>Other income, net, for the year ended December 31, 2023 amounted to $7.0 million as compared to other expense, net, of $6.9 million for the year ended December 31, 2022. Other income (expense), net includes mainly non-recurring items and, for the year ended December 31, 2023, was comprised mostly of gain on investment in a privately-held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Income Tax Expense, net</w:t>
      </w:r>
    </w:p>
    <w:p>
      <w:pPr>
        <w:spacing w:after="0" w:line="16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Income tax expense, net, for the year ended December 31, 2023 amounted to $65.3 million as compared to $25.5 million income tax expense, net, for the year ended December 31, 2022. This $39.8 million increase in income tax expense, net, is mainly a result of $292.8 million higher profit before tax for the year ended December 31, 2023 as compared to the year ended December 31, 2022, resulting mainly from the higher operating profit (mostly due to the merger contract termination fee, net, as noted above, and higher financing and other income, net, described above.</w:t>
      </w:r>
    </w:p>
    <w:p>
      <w:pPr>
        <w:spacing w:after="0" w:line="25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34925</wp:posOffset>
            </wp:positionV>
            <wp:extent cx="7172325" cy="120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0860"/>
          </w:cols>
          <w:pgMar w:left="740" w:top="278" w:right="299" w:bottom="1440" w:gutter="0" w:footer="0" w:header="0"/>
        </w:sectPr>
      </w:pPr>
    </w:p>
    <w:bookmarkStart w:id="59" w:name="page60"/>
    <w:bookmarkEnd w:id="59"/>
    <w:p>
      <w:pPr>
        <w:ind w:left="358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w:t>
      </w:r>
    </w:p>
    <w:p>
      <w:pPr>
        <w:spacing w:after="0" w:line="1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Profit</w:t>
      </w:r>
    </w:p>
    <w:p>
      <w:pPr>
        <w:spacing w:after="0" w:line="17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3"/>
          <w:szCs w:val="13"/>
          <w:color w:val="auto"/>
        </w:rPr>
        <w:t>Net profit for the year ended December 31, 2023 amounted to $519.5 million as compared to a net profit of $266.5 million for the year ended December 31, 2022. The increase in net profit in the amount of $253.0 million was mainly due to the increase in operating profit described above and the increase in financing and other income, net, offset by the increase in tax expense, net, described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Income Attributable to Non-Controlling Interest</w:t>
      </w:r>
    </w:p>
    <w:p>
      <w:pPr>
        <w:spacing w:after="0" w:line="16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3"/>
          <w:szCs w:val="13"/>
          <w:color w:val="auto"/>
        </w:rPr>
        <w:t>Net income attributable to non-controlling interest for the year ended December 31, 2023 amounted to $1.0 million as compared to $1.9 million for the year ended December 31, 2022, resulting from the decrease in TPSCo’s net profit.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Profit Attributable to the Company</w:t>
      </w:r>
    </w:p>
    <w:p>
      <w:pPr>
        <w:spacing w:after="0" w:line="16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3"/>
          <w:szCs w:val="13"/>
          <w:color w:val="auto"/>
        </w:rPr>
        <w:t>Net profit attributable to the company for the year ended December 31, 2023 amounted to $518.5 million as compared to $264.6 million for the year ended December 31, 2022. The increase in net profit attributable to the company in the amount of $253.9 million was mainly due to the increase in the net profit of $253.0 million described above.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Impact of Currency Fluctuations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currently operates in three different regions: the United States, Japan and Israel. In addition, the Company has initial activities in Italy related to the ST facility in Agrate, Italy. The functional currency of the Company’s entities in the United States, Israel and Italy is the US dollar (“USD”). The functional currency of the Company’s operations in Japan is the Japanese Yen (“JPY”). Our expenses and costs are denominated mainly in USD, JPY and New Israeli Shekels (“NIS”), revenues are denominated mainly in USD and JPY, and our cash from operations, investing and financing activities are denominated mainly in USD, JPY and NIS. Therefore, the Company is exposed to the risk of currency exchange rate fluctuations in Israel and Japan. When the ramp of the facility in Italy will begin, the Company may be further exposed to the Euro exchange rate fluctuations in relation to the USD regarding any costs denominated in Euro.</w:t>
      </w:r>
    </w:p>
    <w:p>
      <w:pPr>
        <w:spacing w:after="0" w:line="13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3"/>
          <w:szCs w:val="13"/>
          <w:color w:val="auto"/>
        </w:rPr>
        <w:t>The USD cost of the Company’s operations in Israel is influenced by changes in the USD-to-NIS exchange rate, with respect to costs that are denominated in NIS. During the year ended December 31, 2023, the USD appreciated against the NIS by 3.1%, as compared to 13.2% appreciation during the year ended December 31, 2022.</w:t>
      </w:r>
    </w:p>
    <w:p>
      <w:pPr>
        <w:spacing w:after="0" w:line="12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The fluctuation of the USD against the NIS may affect the Company’s results of operations as it relates to the entity in Israel. Appreciation of the NIS may increase cost, in USD terms, of some of the Israeli facilities’ and utilities’ cost and labor costs that are denominated in NIS, which may lead to erosion of profit margins. The Company uses foreign currency cylinder and forward transactions to hedge a portion of this currency exposure to be contained within a pre-defined fixed range.</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The majority of TPSCo revenues are denominated in JPY and the majority of TPSCo expenses are in JPY, which limits the exposure to fluctuations of the USD/JPY exchange rate on TPSCo’s results of operations. In order to mitigate a portion of the net exposure to the USD/JPY exchange rate, the Company has engaged in cylinder hedging transactions to contain the currency’s fluctuation within a pre-defined, fixed range.</w:t>
      </w:r>
    </w:p>
    <w:p>
      <w:pPr>
        <w:spacing w:after="0" w:line="26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34925</wp:posOffset>
            </wp:positionV>
            <wp:extent cx="7172325" cy="12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2325" cy="12065"/>
                    </a:xfrm>
                    <a:prstGeom prst="rect">
                      <a:avLst/>
                    </a:prstGeom>
                    <a:noFill/>
                  </pic:spPr>
                </pic:pic>
              </a:graphicData>
            </a:graphic>
          </wp:anchor>
        </w:drawing>
      </w:r>
    </w:p>
    <w:p>
      <w:pPr>
        <w:sectPr>
          <w:pgSz w:w="11900" w:h="16838" w:orient="portrait"/>
          <w:cols w:equalWidth="0" w:num="1">
            <w:col w:w="10860"/>
          </w:cols>
          <w:pgMar w:left="740" w:top="278" w:right="299" w:bottom="1440" w:gutter="0" w:footer="0" w:header="0"/>
        </w:sectPr>
      </w:pPr>
    </w:p>
    <w:bookmarkStart w:id="60" w:name="page61"/>
    <w:bookmarkEnd w:id="60"/>
    <w:p>
      <w:pPr>
        <w:ind w:left="358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w:t>
      </w:r>
    </w:p>
    <w:p>
      <w:pPr>
        <w:spacing w:after="0" w:line="1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CONDITION AND RESULTS OF OPERATIONS</w:t>
      </w:r>
    </w:p>
    <w:p>
      <w:pPr>
        <w:spacing w:after="0" w:line="12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3"/>
          <w:szCs w:val="13"/>
          <w:color w:val="auto"/>
        </w:rPr>
        <w:t>During the year ended December 31, 2023, the USD appreciated against the JPY by 7.2%, as compared to 14.6% appreciation during the year ended December 31, 2022. The net effect of USD appreciation against the JPY on TPSCo’s assets and liabilities denominated in JPY is presented in the Cumulative Translation Adjustment (“CTA”) as part of Other Comprehensive Income (“OCI”) on the balance sheet.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As of December 31, 2023, the Company had an aggregate amount of $260.7 million in cash and cash equivalents, as compared to $340.8 million as of December 31, 2022. The main cash items during the year ended December 31, 2023 were as follows: $676.6 million net cash provided by operating activities; $432.2 million invested in property and equipment, net; $288.7 million invested in short-term deposits, marketable securities and other assets, net; and $32.3 million debt repaid, net.</w:t>
      </w:r>
    </w:p>
    <w:p>
      <w:pPr>
        <w:spacing w:after="0" w:line="13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3"/>
          <w:szCs w:val="13"/>
          <w:color w:val="auto"/>
        </w:rPr>
        <w:t>Short-term and long-term debt presented in the balance sheet as of December 31, 2023 amounted to $59.0 million and $172.6 million, respectively, and included loans, operating leases and capital leases. On March 31, 2023, the Company fully redeemed the Series G debentures in full (principal and interest) and had no outstanding debentures or bonds as of December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Developments</w:t>
      </w:r>
    </w:p>
    <w:p>
      <w:pPr>
        <w:spacing w:after="0" w:line="169"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3"/>
          <w:szCs w:val="13"/>
          <w:color w:val="auto"/>
        </w:rPr>
        <w:t>On October 7, 2023, following the brutal attacks on Israel by Hamas, a terrorist organization located in the Gaza Strip that infiltrated Israel’s southern border and conducted a series of attacks on civilian and military targets, Israel’s security cabinet declared war (the “War”). Following the commencement of the War, hostilities also intensified between Israel and Hezbollah, a terrorist organization located in Lebanon. This may escalate in the future into a greater regional conflict.</w:t>
      </w:r>
    </w:p>
    <w:p>
      <w:pPr>
        <w:spacing w:after="0" w:line="130" w:lineRule="exact"/>
        <w:rPr>
          <w:sz w:val="20"/>
          <w:szCs w:val="20"/>
          <w:color w:val="auto"/>
        </w:rPr>
      </w:pPr>
    </w:p>
    <w:p>
      <w:pPr>
        <w:jc w:val="both"/>
        <w:ind w:left="20"/>
        <w:spacing w:after="0" w:line="161" w:lineRule="exact"/>
        <w:rPr>
          <w:sz w:val="20"/>
          <w:szCs w:val="20"/>
          <w:color w:val="auto"/>
        </w:rPr>
      </w:pPr>
      <w:r>
        <w:rPr>
          <w:rFonts w:ascii="Times New Roman" w:cs="Times New Roman" w:eastAsia="Times New Roman" w:hAnsi="Times New Roman"/>
          <w:sz w:val="13"/>
          <w:szCs w:val="13"/>
          <w:color w:val="auto"/>
        </w:rPr>
        <w:t>The War led to a reduction of business activities in Israel which did not have any material impact on the Company, evacuation of residences located in the northern and southern borders of Israel, a significant call</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up of military reserves and lower availability of work force. These consequences affected the country's economic activity but did not have any material impact the Company’s financial statements or position as of December 31, 2023.</w:t>
      </w:r>
    </w:p>
    <w:p>
      <w:pPr>
        <w:spacing w:after="0" w:line="162" w:lineRule="exact"/>
        <w:rPr>
          <w:sz w:val="20"/>
          <w:szCs w:val="20"/>
          <w:color w:val="auto"/>
        </w:rPr>
      </w:pPr>
    </w:p>
    <w:p>
      <w:pPr>
        <w:jc w:val="both"/>
        <w:ind w:left="20"/>
        <w:spacing w:after="0" w:line="293" w:lineRule="auto"/>
        <w:rPr>
          <w:sz w:val="20"/>
          <w:szCs w:val="20"/>
          <w:color w:val="auto"/>
        </w:rPr>
      </w:pPr>
      <w:r>
        <w:rPr>
          <w:rFonts w:ascii="Times New Roman" w:cs="Times New Roman" w:eastAsia="Times New Roman" w:hAnsi="Times New Roman"/>
          <w:sz w:val="12"/>
          <w:szCs w:val="12"/>
          <w:color w:val="auto"/>
        </w:rPr>
        <w:t>As of the date of this report, the War has not had a material effect on the Company’s business and operations as the Company is not located in any of the directly affected areas and did not suffer from a material effect on its work force as far as military reserve service. The Company is making best efforts to ensure that its business and operations will not be affected by this situation, however there is no assurance that future developments of the War will not have any impact for reasons beyond its control such as expansion of the War to additional regions. The Company has robust business continuity procedures in place, including multi-site qualification of certain process flows and IT safeguards, and will continue to follow developments, assessing potential impact, if any, on the Company’s business, financials and operations.</w:t>
      </w:r>
    </w:p>
    <w:p>
      <w:pPr>
        <w:spacing w:after="0" w:line="1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53340</wp:posOffset>
            </wp:positionV>
            <wp:extent cx="717232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2325" cy="6350"/>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120015</wp:posOffset>
            </wp:positionV>
            <wp:extent cx="7172325"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2325" cy="24130"/>
                    </a:xfrm>
                    <a:prstGeom prst="rect">
                      <a:avLst/>
                    </a:prstGeom>
                    <a:noFill/>
                  </pic:spPr>
                </pic:pic>
              </a:graphicData>
            </a:graphic>
          </wp:anchor>
        </w:drawing>
      </w:r>
    </w:p>
    <w:p>
      <w:pPr>
        <w:sectPr>
          <w:pgSz w:w="11900" w:h="16838" w:orient="portrait"/>
          <w:cols w:equalWidth="0" w:num="1">
            <w:col w:w="10860"/>
          </w:cols>
          <w:pgMar w:left="740" w:top="278" w:right="2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7172325"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2325" cy="24130"/>
                    </a:xfrm>
                    <a:prstGeom prst="rect">
                      <a:avLst/>
                    </a:prstGeom>
                    <a:noFill/>
                  </pic:spPr>
                </pic:pic>
              </a:graphicData>
            </a:graphic>
          </wp:anchor>
        </w:drawing>
        <w:drawing>
          <wp:anchor simplePos="0" relativeHeight="251657728" behindDoc="1" locked="0" layoutInCell="0" allowOverlap="1">
            <wp:simplePos x="0" y="0"/>
            <wp:positionH relativeFrom="page">
              <wp:posOffset>188595</wp:posOffset>
            </wp:positionH>
            <wp:positionV relativeFrom="page">
              <wp:posOffset>173990</wp:posOffset>
            </wp:positionV>
            <wp:extent cx="717232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2325" cy="6350"/>
                    </a:xfrm>
                    <a:prstGeom prst="rect">
                      <a:avLst/>
                    </a:prstGeom>
                    <a:noFill/>
                  </pic:spPr>
                </pic:pic>
              </a:graphicData>
            </a:graphic>
          </wp:anchor>
        </w:drawing>
        <w:t>Exhibit 99.3</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CONSENT OF INDEPENDENT REGISTERED PUBLIC ACCOUNTING FIRM</w:t>
      </w:r>
    </w:p>
    <w:p>
      <w:pPr>
        <w:spacing w:after="0" w:line="176"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3"/>
          <w:szCs w:val="13"/>
          <w:color w:val="auto"/>
        </w:rPr>
        <w:t>We consent to the incorporation by reference in Registration Statement No. 333-204173 on Form S-8 of our report dated February 29, 2024 relating to the consolidated financial statements of Tower Semiconductor Ltd appearing in this Report on Form 6-K of Tower Semiconductor Ltd filed on February 29,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Brightman Almagor Zohar &amp; Co.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Brightman Almagor Zohar &amp; Co.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Certified Public Accountants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Firm in The Deloitte Global Network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Tel Aviv, Israel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17232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232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221615</wp:posOffset>
            </wp:positionV>
            <wp:extent cx="7172325" cy="2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2325" cy="24130"/>
                    </a:xfrm>
                    <a:prstGeom prst="rect">
                      <a:avLst/>
                    </a:prstGeom>
                    <a:noFill/>
                  </pic:spPr>
                </pic:pic>
              </a:graphicData>
            </a:graphic>
          </wp:anchor>
        </w:drawing>
      </w:r>
    </w:p>
    <w:sectPr>
      <w:pgSz w:w="11900" w:h="16838" w:orient="portrait"/>
      <w:cols w:equalWidth="0" w:num="1">
        <w:col w:w="11300"/>
      </w:cols>
      <w:pgMar w:left="300" w:top="33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lvl w:ilvl="1">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upperLetter"/>
      <w:start w:val="1"/>
    </w:lvl>
  </w:abstractNum>
  <w:abstractNum w:abstractNumId="3">
    <w:nsid w:val="440BADFC"/>
    <w:multiLevelType w:val="hybridMultilevel"/>
    <w:lvl w:ilvl="0">
      <w:lvlJc w:val="left"/>
      <w:lvlText w:val="%1."/>
      <w:numFmt w:val="upperLetter"/>
      <w:start w:val="3"/>
    </w:lvl>
  </w:abstractNum>
  <w:abstractNum w:abstractNumId="4">
    <w:nsid w:val="5072367"/>
    <w:multiLevelType w:val="hybridMultilevel"/>
    <w:lvl w:ilvl="0">
      <w:lvlJc w:val="left"/>
      <w:lvlText w:val="%1."/>
      <w:numFmt w:val="upperLetter"/>
      <w:start w:val="6"/>
    </w:lvl>
  </w:abstractNum>
  <w:abstractNum w:abstractNumId="5">
    <w:nsid w:val="3804823E"/>
    <w:multiLevelType w:val="hybridMultilevel"/>
    <w:lvl w:ilvl="0">
      <w:lvlJc w:val="left"/>
      <w:lvlText w:val="%1."/>
      <w:numFmt w:val="upperLetter"/>
      <w:start w:val="7"/>
    </w:lvl>
  </w:abstractNum>
  <w:abstractNum w:abstractNumId="6">
    <w:nsid w:val="77465F01"/>
    <w:multiLevelType w:val="hybridMultilevel"/>
    <w:lvl w:ilvl="0">
      <w:lvlJc w:val="left"/>
      <w:lvlText w:val="%1."/>
      <w:numFmt w:val="upperLetter"/>
      <w:start w:val="10"/>
    </w:lvl>
    <w:lvl w:ilvl="1">
      <w:lvlJc w:val="left"/>
      <w:lvlText w:val="•"/>
      <w:numFmt w:val="bullet"/>
      <w:start w:val="1"/>
    </w:lvl>
  </w:abstractNum>
  <w:abstractNum w:abstractNumId="7">
    <w:nsid w:val="7724C67E"/>
    <w:multiLevelType w:val="hybridMultilevel"/>
    <w:lvl w:ilvl="0">
      <w:lvlJc w:val="left"/>
      <w:lvlText w:val="%1."/>
      <w:numFmt w:val="upperLetter"/>
      <w:start w:val="12"/>
    </w:lvl>
  </w:abstractNum>
  <w:abstractNum w:abstractNumId="8">
    <w:nsid w:val="5C482A97"/>
    <w:multiLevelType w:val="hybridMultilevel"/>
    <w:lvl w:ilvl="0">
      <w:lvlJc w:val="left"/>
      <w:lvlText w:val="%1."/>
      <w:numFmt w:val="upperLetter"/>
      <w:start w:val="13"/>
    </w:lvl>
  </w:abstractNum>
  <w:abstractNum w:abstractNumId="9">
    <w:nsid w:val="2463B9EA"/>
    <w:multiLevelType w:val="hybridMultilevel"/>
    <w:lvl w:ilvl="0">
      <w:lvlJc w:val="left"/>
      <w:lvlText w:val="%1."/>
      <w:numFmt w:val="upperLetter"/>
      <w:start w:val="14"/>
    </w:lvl>
  </w:abstractNum>
  <w:abstractNum w:abstractNumId="10">
    <w:nsid w:val="5E884ADC"/>
    <w:multiLevelType w:val="hybridMultilevel"/>
    <w:lvl w:ilvl="0">
      <w:lvlJc w:val="left"/>
      <w:lvlText w:val="%1."/>
      <w:numFmt w:val="upperLetter"/>
      <w:start w:val="16"/>
    </w:lvl>
  </w:abstractNum>
  <w:abstractNum w:abstractNumId="11">
    <w:nsid w:val="51EAD36B"/>
    <w:multiLevelType w:val="hybridMultilevel"/>
    <w:lvl w:ilvl="0">
      <w:lvlJc w:val="left"/>
      <w:lvlText w:val="%1."/>
      <w:numFmt w:val="upperLetter"/>
      <w:start w:val="17"/>
    </w:lvl>
  </w:abstractNum>
  <w:abstractNum w:abstractNumId="12">
    <w:nsid w:val="2D517796"/>
    <w:multiLevelType w:val="hybridMultilevel"/>
    <w:lvl w:ilvl="0">
      <w:lvlJc w:val="left"/>
      <w:lvlText w:val="%1."/>
      <w:numFmt w:val="upperLetter"/>
      <w:start w:val="20"/>
    </w:lvl>
  </w:abstractNum>
  <w:abstractNum w:abstractNumId="13">
    <w:nsid w:val="580BD78F"/>
    <w:multiLevelType w:val="hybridMultilevel"/>
    <w:lvl w:ilvl="0">
      <w:lvlJc w:val="left"/>
      <w:lvlText w:val="%1."/>
      <w:numFmt w:val="upperLetter"/>
      <w:start w:val="21"/>
    </w:lvl>
  </w:abstractNum>
  <w:abstractNum w:abstractNumId="14">
    <w:nsid w:val="153EA438"/>
    <w:multiLevelType w:val="hybridMultilevel"/>
    <w:lvl w:ilvl="0">
      <w:lvlJc w:val="left"/>
      <w:lvlText w:val="%1."/>
      <w:numFmt w:val="upperLetter"/>
      <w:start w:val="23"/>
    </w:lvl>
  </w:abstractNum>
  <w:abstractNum w:abstractNumId="15">
    <w:nsid w:val="3855585C"/>
    <w:multiLevelType w:val="hybridMultilevel"/>
    <w:lvl w:ilvl="0">
      <w:lvlJc w:val="left"/>
      <w:lvlText w:val="%1."/>
      <w:numFmt w:val="upperLetter"/>
      <w:start w:val="25"/>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upperLetter"/>
      <w:start w:val="1"/>
    </w:lvl>
  </w:abstractNum>
  <w:abstractNum w:abstractNumId="18">
    <w:nsid w:val="2A487CB0"/>
    <w:multiLevelType w:val="hybridMultilevel"/>
    <w:lvl w:ilvl="0">
      <w:lvlJc w:val="left"/>
      <w:lvlText w:val="%1."/>
      <w:numFmt w:val="upperLetter"/>
      <w:start w:val="3"/>
    </w:lvl>
  </w:abstractNum>
  <w:abstractNum w:abstractNumId="19">
    <w:nsid w:val="1D4ED43B"/>
    <w:multiLevelType w:val="hybridMultilevel"/>
    <w:lvl w:ilvl="0">
      <w:lvlJc w:val="left"/>
      <w:lvlText w:val="%1."/>
      <w:numFmt w:val="upperLetter"/>
      <w:start w:val="3"/>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1."/>
      <w:numFmt w:val="upperLetter"/>
      <w:start w:val="5"/>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1."/>
      <w:numFmt w:val="upperLetter"/>
      <w:start w:val="6"/>
    </w:lvl>
  </w:abstractNum>
  <w:abstractNum w:abstractNumId="24">
    <w:nsid w:val="4B588F54"/>
    <w:multiLevelType w:val="hybridMultilevel"/>
    <w:lvl w:ilvl="0">
      <w:lvlJc w:val="left"/>
      <w:lvlText w:val="%1."/>
      <w:numFmt w:val="upperLetter"/>
      <w:start w:val="1"/>
    </w:lvl>
  </w:abstractNum>
  <w:abstractNum w:abstractNumId="25">
    <w:nsid w:val="542289EC"/>
    <w:multiLevelType w:val="hybridMultilevel"/>
    <w:lvl w:ilvl="0">
      <w:lvlJc w:val="left"/>
      <w:lvlText w:val="%1."/>
      <w:numFmt w:val="upperLetter"/>
      <w:start w:val="2"/>
    </w:lvl>
  </w:abstractNum>
  <w:abstractNum w:abstractNumId="26">
    <w:nsid w:val="6DE91B18"/>
    <w:multiLevelType w:val="hybridMultilevel"/>
    <w:lvl w:ilvl="0">
      <w:lvlJc w:val="left"/>
      <w:lvlText w:val="%1."/>
      <w:numFmt w:val="upperLetter"/>
      <w:start w:val="3"/>
    </w:lvl>
  </w:abstractNum>
  <w:abstractNum w:abstractNumId="27">
    <w:nsid w:val="38437FDB"/>
    <w:multiLevelType w:val="hybridMultilevel"/>
    <w:lvl w:ilvl="0">
      <w:lvlJc w:val="left"/>
      <w:lvlText w:val="%1."/>
      <w:numFmt w:val="upperLetter"/>
      <w:start w:val="5"/>
    </w:lvl>
  </w:abstractNum>
  <w:abstractNum w:abstractNumId="28">
    <w:nsid w:val="7644A45C"/>
    <w:multiLevelType w:val="hybridMultilevel"/>
    <w:lvl w:ilvl="0">
      <w:lvlJc w:val="left"/>
      <w:lvlText w:val="%1."/>
      <w:numFmt w:val="upperLetter"/>
      <w:start w:val="5"/>
    </w:lvl>
  </w:abstractNum>
  <w:abstractNum w:abstractNumId="29">
    <w:nsid w:val="32FFF902"/>
    <w:multiLevelType w:val="hybridMultilevel"/>
    <w:lvl w:ilvl="0">
      <w:lvlJc w:val="left"/>
      <w:lvlText w:val="%1."/>
      <w:numFmt w:val="upperLetter"/>
      <w:start w:val="6"/>
    </w:lvl>
  </w:abstractNum>
  <w:abstractNum w:abstractNumId="30">
    <w:nsid w:val="684A481A"/>
    <w:multiLevelType w:val="hybridMultilevel"/>
    <w:lvl w:ilvl="0">
      <w:lvlJc w:val="left"/>
      <w:lvlText w:val="%1."/>
      <w:numFmt w:val="upperLetter"/>
      <w:start w:val="1"/>
    </w:lvl>
  </w:abstractNum>
  <w:abstractNum w:abstractNumId="31">
    <w:nsid w:val="579478FE"/>
    <w:multiLevelType w:val="hybridMultilevel"/>
    <w:lvl w:ilvl="0">
      <w:lvlJc w:val="left"/>
      <w:lvlText w:val="%1."/>
      <w:numFmt w:val="upperLetter"/>
      <w:start w:val="2"/>
    </w:lvl>
  </w:abstractNum>
  <w:abstractNum w:abstractNumId="32">
    <w:nsid w:val="749ABB43"/>
    <w:multiLevelType w:val="hybridMultilevel"/>
    <w:lvl w:ilvl="0">
      <w:lvlJc w:val="left"/>
      <w:lvlText w:val="%1."/>
      <w:numFmt w:val="upperLetter"/>
      <w:start w:val="2"/>
    </w:lvl>
  </w:abstractNum>
  <w:abstractNum w:abstractNumId="33">
    <w:nsid w:val="3DC240FB"/>
    <w:multiLevelType w:val="hybridMultilevel"/>
    <w:lvl w:ilvl="0">
      <w:lvlJc w:val="left"/>
      <w:lvlText w:val="%1."/>
      <w:numFmt w:val="upperLetter"/>
      <w:start w:val="2"/>
    </w:lvl>
  </w:abstractNum>
  <w:abstractNum w:abstractNumId="34">
    <w:nsid w:val="1BA026FA"/>
    <w:multiLevelType w:val="hybridMultilevel"/>
    <w:lvl w:ilvl="0">
      <w:lvlJc w:val="left"/>
      <w:lvlText w:val="%1."/>
      <w:numFmt w:val="upperLetter"/>
      <w:start w:val="2"/>
    </w:lvl>
  </w:abstractNum>
  <w:abstractNum w:abstractNumId="35">
    <w:nsid w:val="79A1DEAA"/>
    <w:multiLevelType w:val="hybridMultilevel"/>
    <w:lvl w:ilvl="0">
      <w:lvlJc w:val="left"/>
      <w:lvlText w:val="%1."/>
      <w:numFmt w:val="upperLetter"/>
      <w:start w:val="2"/>
    </w:lvl>
  </w:abstractNum>
  <w:abstractNum w:abstractNumId="36">
    <w:nsid w:val="75C6C33A"/>
    <w:multiLevelType w:val="hybridMultilevel"/>
    <w:lvl w:ilvl="0">
      <w:lvlJc w:val="left"/>
      <w:lvlText w:val="%1."/>
      <w:numFmt w:val="upperLetter"/>
      <w:start w:val="2"/>
    </w:lvl>
  </w:abstractNum>
  <w:abstractNum w:abstractNumId="37">
    <w:nsid w:val="12E685FB"/>
    <w:multiLevelType w:val="hybridMultilevel"/>
    <w:lvl w:ilvl="0">
      <w:lvlJc w:val="left"/>
      <w:lvlText w:val="%1."/>
      <w:numFmt w:val="upperLetter"/>
      <w:start w:val="2"/>
    </w:lvl>
  </w:abstractNum>
  <w:abstractNum w:abstractNumId="38">
    <w:nsid w:val="70C6A529"/>
    <w:multiLevelType w:val="hybridMultilevel"/>
    <w:lvl w:ilvl="0">
      <w:lvlJc w:val="left"/>
      <w:lvlText w:val="%1."/>
      <w:numFmt w:val="upperLetter"/>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decimal"/>
      <w:start w:val="2"/>
    </w:lvl>
  </w:abstractNum>
  <w:abstractNum w:abstractNumId="41">
    <w:nsid w:val="4F4EF005"/>
    <w:multiLevelType w:val="hybridMultilevel"/>
    <w:lvl w:ilvl="0">
      <w:lvlJc w:val="left"/>
      <w:lvlText w:val="%1."/>
      <w:numFmt w:val="upperLetter"/>
      <w:start w:val="2"/>
    </w:lvl>
  </w:abstractNum>
  <w:abstractNum w:abstractNumId="42">
    <w:nsid w:val="23F9C13C"/>
    <w:multiLevelType w:val="hybridMultilevel"/>
    <w:lvl w:ilvl="0">
      <w:lvlJc w:val="left"/>
      <w:lvlText w:val="%1."/>
      <w:numFmt w:val="upperLetter"/>
      <w:start w:val="3"/>
    </w:lvl>
  </w:abstractNum>
  <w:abstractNum w:abstractNumId="43">
    <w:nsid w:val="649BB77C"/>
    <w:multiLevelType w:val="hybridMultilevel"/>
    <w:lvl w:ilvl="0">
      <w:lvlJc w:val="left"/>
      <w:lvlText w:val="%1."/>
      <w:numFmt w:val="upperLetter"/>
      <w:start w:val="5"/>
    </w:lvl>
  </w:abstractNum>
  <w:abstractNum w:abstractNumId="44">
    <w:nsid w:val="275AC794"/>
    <w:multiLevelType w:val="hybridMultilevel"/>
    <w:lvl w:ilvl="0">
      <w:lvlJc w:val="left"/>
      <w:lvlText w:val="%1."/>
      <w:numFmt w:val="upperLetter"/>
      <w:start w:val="6"/>
    </w:lvl>
  </w:abstractNum>
  <w:abstractNum w:abstractNumId="45">
    <w:nsid w:val="39386575"/>
    <w:multiLevelType w:val="hybridMultilevel"/>
    <w:lvl w:ilvl="0">
      <w:lvlJc w:val="left"/>
      <w:lvlText w:val="%1."/>
      <w:numFmt w:val="upperLetter"/>
      <w:start w:val="7"/>
    </w:lvl>
  </w:abstractNum>
  <w:abstractNum w:abstractNumId="46">
    <w:nsid w:val="1CF10FD8"/>
    <w:multiLevelType w:val="hybridMultilevel"/>
    <w:lvl w:ilvl="0">
      <w:lvlJc w:val="left"/>
      <w:lvlText w:val="%1."/>
      <w:numFmt w:val="upperLetter"/>
      <w:start w:val="1"/>
    </w:lvl>
  </w:abstractNum>
  <w:abstractNum w:abstractNumId="47">
    <w:nsid w:val="180115BE"/>
    <w:multiLevelType w:val="hybridMultilevel"/>
    <w:lvl w:ilvl="0">
      <w:lvlJc w:val="left"/>
      <w:lvlText w:val="%1."/>
      <w:numFmt w:val="upperLetter"/>
      <w:start w:val="2"/>
    </w:lvl>
    <w:lvl w:ilvl="1">
      <w:lvlJc w:val="left"/>
      <w:lvlText w:val="(%2)"/>
      <w:numFmt w:val="decimal"/>
      <w:start w:val="1"/>
    </w:lvl>
  </w:abstractNum>
  <w:abstractNum w:abstractNumId="48">
    <w:nsid w:val="235BA861"/>
    <w:multiLevelType w:val="hybridMultilevel"/>
    <w:lvl w:ilvl="0">
      <w:lvlJc w:val="left"/>
      <w:lvlText w:val="(%1)"/>
      <w:numFmt w:val="lowerRoman"/>
      <w:start w:val="1"/>
    </w:lvl>
  </w:abstractNum>
  <w:abstractNum w:abstractNumId="49">
    <w:nsid w:val="47398C89"/>
    <w:multiLevelType w:val="hybridMultilevel"/>
    <w:lvl w:ilvl="0">
      <w:lvlJc w:val="left"/>
      <w:lvlText w:val="%1."/>
      <w:numFmt w:val="upperLetter"/>
      <w:start w:val="2"/>
    </w:lvl>
  </w:abstractNum>
  <w:abstractNum w:abstractNumId="50">
    <w:nsid w:val="354FE9F9"/>
    <w:multiLevelType w:val="hybridMultilevel"/>
    <w:lvl w:ilvl="0">
      <w:lvlJc w:val="left"/>
      <w:lvlText w:val="(%1)"/>
      <w:numFmt w:val="lowerRoman"/>
      <w:start w:val="1"/>
    </w:lvl>
  </w:abstractNum>
  <w:abstractNum w:abstractNumId="51">
    <w:nsid w:val="15B5AF5C"/>
    <w:multiLevelType w:val="hybridMultilevel"/>
    <w:lvl w:ilvl="0">
      <w:lvlJc w:val="left"/>
      <w:lvlText w:val="(%1)"/>
      <w:numFmt w:val="lowerRoman"/>
      <w:start w:val="1"/>
    </w:lvl>
  </w:abstractNum>
  <w:abstractNum w:abstractNumId="52">
    <w:nsid w:val="741226BB"/>
    <w:multiLevelType w:val="hybridMultilevel"/>
    <w:lvl w:ilvl="0">
      <w:lvlJc w:val="left"/>
      <w:lvlText w:val="%1."/>
      <w:numFmt w:val="upperLetter"/>
      <w:start w:val="2"/>
    </w:lvl>
    <w:lvl w:ilvl="1">
      <w:lvlJc w:val="left"/>
      <w:lvlText w:val="(%2)"/>
      <w:numFmt w:val="decimal"/>
      <w:start w:val="2"/>
    </w:lvl>
  </w:abstractNum>
  <w:abstractNum w:abstractNumId="53">
    <w:nsid w:val="D34B6A8"/>
    <w:multiLevelType w:val="hybridMultilevel"/>
    <w:lvl w:ilvl="0">
      <w:lvlJc w:val="left"/>
      <w:lvlText w:val="(%1)"/>
      <w:numFmt w:val="decimal"/>
      <w:start w:val="2"/>
    </w:lvl>
    <w:lvl w:ilvl="1">
      <w:lvlJc w:val="left"/>
      <w:lvlText w:val="(*)"/>
      <w:numFmt w:val="bullet"/>
      <w:start w:val="1"/>
    </w:lvl>
  </w:abstractNum>
  <w:abstractNum w:abstractNumId="54">
    <w:nsid w:val="10233C99"/>
    <w:multiLevelType w:val="hybridMultilevel"/>
    <w:lvl w:ilvl="0">
      <w:lvlJc w:val="left"/>
      <w:lvlText w:val="%1."/>
      <w:numFmt w:val="upperLetter"/>
      <w:start w:val="3"/>
    </w:lvl>
  </w:abstractNum>
  <w:abstractNum w:abstractNumId="55">
    <w:nsid w:val="3F6AB60F"/>
    <w:multiLevelType w:val="hybridMultilevel"/>
    <w:lvl w:ilvl="0">
      <w:lvlJc w:val="left"/>
      <w:lvlText w:val="%1."/>
      <w:numFmt w:val="upperLetter"/>
      <w:start w:val="1"/>
    </w:lvl>
  </w:abstractNum>
  <w:abstractNum w:abstractNumId="56">
    <w:nsid w:val="61574095"/>
    <w:multiLevelType w:val="hybridMultilevel"/>
    <w:lvl w:ilvl="0">
      <w:lvlJc w:val="left"/>
      <w:lvlText w:val="%1."/>
      <w:numFmt w:val="upperLetter"/>
      <w:start w:val="2"/>
    </w:lvl>
  </w:abstractNum>
  <w:abstractNum w:abstractNumId="57">
    <w:nsid w:val="7E0C57B1"/>
    <w:multiLevelType w:val="hybridMultilevel"/>
    <w:lvl w:ilvl="0">
      <w:lvlJc w:val="left"/>
      <w:lvlText w:val="%1."/>
      <w:numFmt w:val="upperLetter"/>
      <w:start w:val="3"/>
    </w:lvl>
  </w:abstractNum>
  <w:abstractNum w:abstractNumId="58">
    <w:nsid w:val="77AE35EB"/>
    <w:multiLevelType w:val="hybridMultilevel"/>
    <w:lvl w:ilvl="0">
      <w:lvlJc w:val="left"/>
      <w:lvlText w:val="%1."/>
      <w:numFmt w:val="upperLetter"/>
      <w:start w:val="4"/>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1."/>
      <w:numFmt w:val="upperLetter"/>
      <w:start w:val="1"/>
    </w:lvl>
  </w:abstractNum>
  <w:abstractNum w:abstractNumId="61">
    <w:nsid w:val="5FF87E05"/>
    <w:multiLevelType w:val="hybridMultilevel"/>
    <w:lvl w:ilvl="0">
      <w:lvlJc w:val="left"/>
      <w:lvlText w:val="%1."/>
      <w:numFmt w:val="upperLetter"/>
      <w:start w:val="2"/>
    </w:lvl>
  </w:abstractNum>
  <w:abstractNum w:abstractNumId="62">
    <w:nsid w:val="2F305DEF"/>
    <w:multiLevelType w:val="hybridMultilevel"/>
    <w:lvl w:ilvl="0">
      <w:lvlJc w:val="left"/>
      <w:lvlText w:val="%1."/>
      <w:numFmt w:val="upperLetter"/>
      <w:start w:val="1"/>
    </w:lvl>
  </w:abstractNum>
  <w:abstractNum w:abstractNumId="63">
    <w:nsid w:val="25A70BF7"/>
    <w:multiLevelType w:val="hybridMultilevel"/>
    <w:lvl w:ilvl="0">
      <w:lvlJc w:val="left"/>
      <w:lvlText w:val="%1."/>
      <w:numFmt w:val="upperLetter"/>
      <w:start w:val="3"/>
    </w:lvl>
  </w:abstractNum>
  <w:abstractNum w:abstractNumId="64">
    <w:nsid w:val="1DBABF00"/>
    <w:multiLevelType w:val="hybridMultilevel"/>
    <w:lvl w:ilvl="0">
      <w:lvlJc w:val="left"/>
      <w:lvlText w:val="%1."/>
      <w:numFmt w:val="upperLetter"/>
      <w:start w:val="4"/>
    </w:lvl>
  </w:abstractNum>
  <w:abstractNum w:abstractNumId="65">
    <w:nsid w:val="4AD084E9"/>
    <w:multiLevelType w:val="hybridMultilevel"/>
    <w:lvl w:ilvl="0">
      <w:lvlJc w:val="left"/>
      <w:lvlText w:val="%1."/>
      <w:numFmt w:val="upperLetter"/>
      <w:start w:val="5"/>
    </w:lvl>
  </w:abstractNum>
  <w:abstractNum w:abstractNumId="66">
    <w:nsid w:val="1F48EAA1"/>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2024-03-01T05:33:16Z</dcterms:created>
  <dcterms:modified xsi:type="dcterms:W3CDTF">2024-03-01T05:33:16Z</dcterms:modified>
</cp:coreProperties>
</file>