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February 2009</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On February 3, 2009, the registrant announced Jazz Semiconductor named 2008 foundry supplier of the year by skyworks solutions. Attached please find the press release.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7740" w:type="dxa"/>
            <w:vAlign w:val="bottom"/>
          </w:tcPr>
          <w:p>
            <w:pPr>
              <w:ind w:left="204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680" w:type="dxa"/>
            <w:vAlign w:val="bottom"/>
          </w:tcPr>
          <w:p>
            <w:pPr>
              <w:spacing w:after="0"/>
              <w:rPr>
                <w:sz w:val="20"/>
                <w:szCs w:val="20"/>
                <w:color w:val="auto"/>
              </w:rPr>
            </w:pPr>
            <w:r>
              <w:rPr>
                <w:rFonts w:ascii="Arial" w:cs="Arial" w:eastAsia="Arial" w:hAnsi="Arial"/>
                <w:sz w:val="18"/>
                <w:szCs w:val="18"/>
                <w:color w:val="auto"/>
              </w:rPr>
              <w:t>Date: February 3, 2009</w:t>
            </w:r>
          </w:p>
        </w:tc>
        <w:tc>
          <w:tcPr>
            <w:tcW w:w="7740" w:type="dxa"/>
            <w:vAlign w:val="bottom"/>
          </w:tcPr>
          <w:p>
            <w:pPr>
              <w:ind w:left="2040"/>
              <w:spacing w:after="0"/>
              <w:rPr>
                <w:sz w:val="20"/>
                <w:szCs w:val="20"/>
                <w:color w:val="auto"/>
              </w:rPr>
            </w:pPr>
            <w:r>
              <w:rPr>
                <w:rFonts w:ascii="Arial" w:cs="Arial" w:eastAsia="Arial" w:hAnsi="Arial"/>
                <w:sz w:val="18"/>
                <w:szCs w:val="18"/>
                <w:color w:val="auto"/>
              </w:rPr>
              <w:t>By: /s/ Nati Somekh Gilboa</w:t>
            </w:r>
          </w:p>
        </w:tc>
      </w:tr>
      <w:tr>
        <w:trPr>
          <w:trHeight w:val="216"/>
        </w:trPr>
        <w:tc>
          <w:tcPr>
            <w:tcW w:w="3680" w:type="dxa"/>
            <w:vAlign w:val="bottom"/>
          </w:tcPr>
          <w:p>
            <w:pPr>
              <w:spacing w:after="0"/>
              <w:rPr>
                <w:sz w:val="18"/>
                <w:szCs w:val="18"/>
                <w:color w:val="auto"/>
              </w:rPr>
            </w:pPr>
          </w:p>
        </w:tc>
        <w:tc>
          <w:tcPr>
            <w:tcW w:w="7740" w:type="dxa"/>
            <w:vAlign w:val="bottom"/>
          </w:tcPr>
          <w:p>
            <w:pPr>
              <w:ind w:left="204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18"/>
                <w:szCs w:val="18"/>
                <w:color w:val="auto"/>
              </w:rPr>
            </w:pPr>
          </w:p>
        </w:tc>
        <w:tc>
          <w:tcPr>
            <w:tcW w:w="7740" w:type="dxa"/>
            <w:vAlign w:val="bottom"/>
          </w:tcPr>
          <w:p>
            <w:pPr>
              <w:ind w:left="2040"/>
              <w:spacing w:after="0"/>
              <w:rPr>
                <w:sz w:val="20"/>
                <w:szCs w:val="20"/>
                <w:color w:val="auto"/>
              </w:rPr>
            </w:pPr>
            <w:r>
              <w:rPr>
                <w:rFonts w:ascii="Arial" w:cs="Arial" w:eastAsia="Arial" w:hAnsi="Arial"/>
                <w:sz w:val="18"/>
                <w:szCs w:val="18"/>
                <w:color w:val="auto"/>
              </w:rPr>
              <w:t>Nati Somekh Gilboa</w:t>
            </w:r>
          </w:p>
        </w:tc>
      </w:tr>
      <w:tr>
        <w:trPr>
          <w:trHeight w:val="222"/>
        </w:trPr>
        <w:tc>
          <w:tcPr>
            <w:tcW w:w="3680" w:type="dxa"/>
            <w:vAlign w:val="bottom"/>
          </w:tcPr>
          <w:p>
            <w:pPr>
              <w:spacing w:after="0"/>
              <w:rPr>
                <w:sz w:val="19"/>
                <w:szCs w:val="19"/>
                <w:color w:val="auto"/>
              </w:rPr>
            </w:pPr>
          </w:p>
        </w:tc>
        <w:tc>
          <w:tcPr>
            <w:tcW w:w="7740" w:type="dxa"/>
            <w:vAlign w:val="bottom"/>
          </w:tcPr>
          <w:p>
            <w:pPr>
              <w:ind w:left="2040"/>
              <w:spacing w:after="0"/>
              <w:rPr>
                <w:sz w:val="20"/>
                <w:szCs w:val="20"/>
                <w:color w:val="auto"/>
              </w:rPr>
            </w:pPr>
            <w:r>
              <w:rPr>
                <w:rFonts w:ascii="Arial" w:cs="Arial" w:eastAsia="Arial" w:hAnsi="Arial"/>
                <w:sz w:val="18"/>
                <w:szCs w:val="18"/>
                <w:color w:val="auto"/>
              </w:rPr>
              <w:t>Corporate Secretary</w:t>
            </w:r>
          </w:p>
        </w:tc>
      </w:tr>
      <w:tr>
        <w:trPr>
          <w:trHeight w:val="417"/>
        </w:trPr>
        <w:tc>
          <w:tcPr>
            <w:tcW w:w="368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61"/>
        </w:trPr>
        <w:tc>
          <w:tcPr>
            <w:tcW w:w="3680" w:type="dxa"/>
            <w:vAlign w:val="bottom"/>
            <w:shd w:val="clear" w:color="auto" w:fill="808080"/>
          </w:tcPr>
          <w:p>
            <w:pPr>
              <w:spacing w:after="0"/>
              <w:rPr>
                <w:sz w:val="5"/>
                <w:szCs w:val="5"/>
                <w:color w:val="auto"/>
              </w:rPr>
            </w:pPr>
          </w:p>
        </w:tc>
        <w:tc>
          <w:tcPr>
            <w:tcW w:w="774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59512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60007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66675</wp:posOffset>
            </wp:positionV>
            <wp:extent cx="1080770" cy="123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1235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317"/>
        </w:trPr>
        <w:tc>
          <w:tcPr>
            <w:tcW w:w="4880" w:type="dxa"/>
            <w:vAlign w:val="bottom"/>
            <w:gridSpan w:val="3"/>
          </w:tcPr>
          <w:p>
            <w:pPr>
              <w:spacing w:after="0"/>
              <w:rPr>
                <w:sz w:val="20"/>
                <w:szCs w:val="20"/>
                <w:color w:val="auto"/>
              </w:rPr>
            </w:pPr>
            <w:r>
              <w:rPr>
                <w:rFonts w:ascii="Arial" w:cs="Arial" w:eastAsia="Arial" w:hAnsi="Arial"/>
                <w:sz w:val="24"/>
                <w:szCs w:val="24"/>
                <w:b w:val="1"/>
                <w:bCs w:val="1"/>
                <w:color w:val="auto"/>
              </w:rPr>
              <w:t>NEWS ANNOUNCEMENT</w:t>
            </w:r>
          </w:p>
        </w:tc>
        <w:tc>
          <w:tcPr>
            <w:tcW w:w="44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FOR IMMEDIATE RELEASE</w:t>
            </w:r>
          </w:p>
        </w:tc>
      </w:tr>
      <w:tr>
        <w:trPr>
          <w:trHeight w:val="446"/>
        </w:trPr>
        <w:tc>
          <w:tcPr>
            <w:tcW w:w="4880" w:type="dxa"/>
            <w:vAlign w:val="bottom"/>
            <w:gridSpan w:val="3"/>
          </w:tcPr>
          <w:p>
            <w:pPr>
              <w:spacing w:after="0"/>
              <w:rPr>
                <w:sz w:val="20"/>
                <w:szCs w:val="20"/>
                <w:color w:val="auto"/>
              </w:rPr>
            </w:pPr>
            <w:r>
              <w:rPr>
                <w:rFonts w:ascii="Arial" w:cs="Arial" w:eastAsia="Arial" w:hAnsi="Arial"/>
                <w:sz w:val="18"/>
                <w:szCs w:val="18"/>
                <w:color w:val="auto"/>
              </w:rPr>
              <w:t>Jazz Company Contact:</w:t>
            </w:r>
          </w:p>
        </w:tc>
        <w:tc>
          <w:tcPr>
            <w:tcW w:w="4480" w:type="dxa"/>
            <w:vAlign w:val="bottom"/>
            <w:gridSpan w:val="2"/>
          </w:tcPr>
          <w:p>
            <w:pPr>
              <w:ind w:left="2200"/>
              <w:spacing w:after="0"/>
              <w:rPr>
                <w:sz w:val="20"/>
                <w:szCs w:val="20"/>
                <w:color w:val="auto"/>
              </w:rPr>
            </w:pPr>
            <w:r>
              <w:rPr>
                <w:rFonts w:ascii="Arial" w:cs="Arial" w:eastAsia="Arial" w:hAnsi="Arial"/>
                <w:sz w:val="18"/>
                <w:szCs w:val="18"/>
                <w:color w:val="auto"/>
              </w:rPr>
              <w:t>Jazz Media Contact:</w:t>
            </w:r>
          </w:p>
        </w:tc>
      </w:tr>
      <w:tr>
        <w:trPr>
          <w:trHeight w:val="216"/>
        </w:trPr>
        <w:tc>
          <w:tcPr>
            <w:tcW w:w="40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4480" w:type="dxa"/>
            <w:vAlign w:val="bottom"/>
            <w:gridSpan w:val="2"/>
          </w:tcPr>
          <w:p>
            <w:pPr>
              <w:ind w:left="2600"/>
              <w:spacing w:after="0"/>
              <w:rPr>
                <w:sz w:val="20"/>
                <w:szCs w:val="20"/>
                <w:color w:val="auto"/>
              </w:rPr>
            </w:pPr>
            <w:r>
              <w:rPr>
                <w:rFonts w:ascii="Arial" w:cs="Arial" w:eastAsia="Arial" w:hAnsi="Arial"/>
                <w:sz w:val="18"/>
                <w:szCs w:val="18"/>
                <w:color w:val="auto"/>
              </w:rPr>
              <w:t>Lauri Julian</w:t>
            </w:r>
          </w:p>
        </w:tc>
      </w:tr>
      <w:tr>
        <w:trPr>
          <w:trHeight w:val="216"/>
        </w:trPr>
        <w:tc>
          <w:tcPr>
            <w:tcW w:w="2560" w:type="dxa"/>
            <w:vAlign w:val="bottom"/>
            <w:gridSpan w:val="2"/>
          </w:tcPr>
          <w:p>
            <w:pPr>
              <w:ind w:left="400"/>
              <w:spacing w:after="0"/>
              <w:rPr>
                <w:sz w:val="20"/>
                <w:szCs w:val="20"/>
                <w:color w:val="auto"/>
              </w:rPr>
            </w:pPr>
            <w:r>
              <w:rPr>
                <w:rFonts w:ascii="Arial" w:cs="Arial" w:eastAsia="Arial" w:hAnsi="Arial"/>
                <w:sz w:val="18"/>
                <w:szCs w:val="18"/>
                <w:color w:val="auto"/>
              </w:rPr>
              <w:t>949/435-8181</w:t>
            </w:r>
          </w:p>
        </w:tc>
        <w:tc>
          <w:tcPr>
            <w:tcW w:w="2320" w:type="dxa"/>
            <w:vAlign w:val="bottom"/>
          </w:tcPr>
          <w:p>
            <w:pPr>
              <w:spacing w:after="0"/>
              <w:rPr>
                <w:sz w:val="18"/>
                <w:szCs w:val="18"/>
                <w:color w:val="auto"/>
              </w:rPr>
            </w:pPr>
          </w:p>
        </w:tc>
        <w:tc>
          <w:tcPr>
            <w:tcW w:w="4480" w:type="dxa"/>
            <w:vAlign w:val="bottom"/>
            <w:gridSpan w:val="2"/>
          </w:tcPr>
          <w:p>
            <w:pPr>
              <w:ind w:left="2600"/>
              <w:spacing w:after="0"/>
              <w:rPr>
                <w:sz w:val="20"/>
                <w:szCs w:val="20"/>
                <w:color w:val="auto"/>
              </w:rPr>
            </w:pPr>
            <w:r>
              <w:rPr>
                <w:rFonts w:ascii="Arial" w:cs="Arial" w:eastAsia="Arial" w:hAnsi="Arial"/>
                <w:sz w:val="18"/>
                <w:szCs w:val="18"/>
                <w:color w:val="auto"/>
              </w:rPr>
              <w:t>949/715-3049</w:t>
            </w:r>
          </w:p>
        </w:tc>
      </w:tr>
      <w:tr>
        <w:trPr>
          <w:trHeight w:val="184"/>
        </w:trPr>
        <w:tc>
          <w:tcPr>
            <w:tcW w:w="400" w:type="dxa"/>
            <w:vAlign w:val="bottom"/>
          </w:tcPr>
          <w:p>
            <w:pPr>
              <w:spacing w:after="0"/>
              <w:rPr>
                <w:sz w:val="15"/>
                <w:szCs w:val="15"/>
                <w:color w:val="auto"/>
              </w:rPr>
            </w:pPr>
          </w:p>
        </w:tc>
        <w:tc>
          <w:tcPr>
            <w:tcW w:w="2160" w:type="dxa"/>
            <w:vAlign w:val="bottom"/>
          </w:tcPr>
          <w:p>
            <w:pPr>
              <w:spacing w:after="0" w:line="184" w:lineRule="exact"/>
              <w:rPr>
                <w:sz w:val="20"/>
                <w:szCs w:val="20"/>
                <w:color w:val="auto"/>
              </w:rPr>
            </w:pPr>
            <w:r>
              <w:rPr>
                <w:rFonts w:ascii="Arial" w:cs="Arial" w:eastAsia="Arial" w:hAnsi="Arial"/>
                <w:sz w:val="18"/>
                <w:szCs w:val="18"/>
                <w:color w:val="auto"/>
                <w:w w:val="89"/>
              </w:rPr>
              <w:t>melinda.jarrell@jazzsemi.com</w:t>
            </w:r>
          </w:p>
        </w:tc>
        <w:tc>
          <w:tcPr>
            <w:tcW w:w="2320" w:type="dxa"/>
            <w:vAlign w:val="bottom"/>
          </w:tcPr>
          <w:p>
            <w:pPr>
              <w:spacing w:after="0"/>
              <w:rPr>
                <w:sz w:val="15"/>
                <w:szCs w:val="15"/>
                <w:color w:val="auto"/>
              </w:rPr>
            </w:pPr>
          </w:p>
        </w:tc>
        <w:tc>
          <w:tcPr>
            <w:tcW w:w="4480" w:type="dxa"/>
            <w:vAlign w:val="bottom"/>
            <w:gridSpan w:val="2"/>
          </w:tcPr>
          <w:p>
            <w:pPr>
              <w:ind w:left="2600"/>
              <w:spacing w:after="0" w:line="184" w:lineRule="exact"/>
              <w:rPr>
                <w:sz w:val="20"/>
                <w:szCs w:val="20"/>
                <w:color w:val="auto"/>
              </w:rPr>
            </w:pPr>
            <w:r>
              <w:rPr>
                <w:rFonts w:ascii="Arial" w:cs="Arial" w:eastAsia="Arial" w:hAnsi="Arial"/>
                <w:sz w:val="18"/>
                <w:szCs w:val="18"/>
                <w:color w:val="auto"/>
                <w:w w:val="89"/>
              </w:rPr>
              <w:t>lauri.julian@jazzsemi.com</w:t>
            </w:r>
          </w:p>
        </w:tc>
      </w:tr>
      <w:tr>
        <w:trPr>
          <w:trHeight w:val="20"/>
        </w:trPr>
        <w:tc>
          <w:tcPr>
            <w:tcW w:w="4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JAZZ SEMICONDUCTOR NAMED 2008 FOUNDRY SUPPLIER OF THE YEAR BY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SKYWORKS SOLUTIONS</w:t>
      </w:r>
    </w:p>
    <w:p>
      <w:pPr>
        <w:spacing w:after="0" w:line="213" w:lineRule="exact"/>
        <w:rPr>
          <w:sz w:val="24"/>
          <w:szCs w:val="24"/>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MIGDAL HAEMEK, Israel, and NEWPORT BEACH, Calif., February 3, 2009 </w:t>
      </w:r>
      <w:r>
        <w:rPr>
          <w:rFonts w:ascii="Arial" w:cs="Arial" w:eastAsia="Arial" w:hAnsi="Arial"/>
          <w:sz w:val="18"/>
          <w:szCs w:val="18"/>
          <w:color w:val="auto"/>
        </w:rPr>
        <w:t>– Tower Semiconductor, Ltd. (NASDAQ: TSEM, TASE: TSEM),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fully owned U.S. subsidiary Jazz Semiconductor, Inc., a leader in Analog-Intensive Mixed-Signal (AIMS) foundry solutions, announced today that Jazz has received the 2008 Foundry Supplier of the Year Award from Skyworks Solutions, Inc. (NASDAQ:SWKS), an innovator of high performance analog and mixed signal semiconductors enabling mobile connectivity.</w:t>
      </w:r>
    </w:p>
    <w:p>
      <w:pPr>
        <w:sectPr>
          <w:pgSz w:w="11900" w:h="16838" w:orient="portrait"/>
          <w:cols w:equalWidth="0" w:num="1">
            <w:col w:w="11420"/>
          </w:cols>
          <w:pgMar w:left="240" w:top="476" w:right="239" w:bottom="0" w:gutter="0" w:footer="0" w:header="0"/>
        </w:sectPr>
      </w:pPr>
    </w:p>
    <w:bookmarkStart w:id="1" w:name="page2"/>
    <w:bookmarkEnd w:id="1"/>
    <w:p>
      <w:pPr>
        <w:ind w:right="140"/>
        <w:spacing w:after="0" w:line="294" w:lineRule="auto"/>
        <w:rPr>
          <w:sz w:val="20"/>
          <w:szCs w:val="20"/>
          <w:color w:val="auto"/>
        </w:rPr>
      </w:pPr>
      <w:r>
        <w:rPr>
          <w:rFonts w:ascii="Arial" w:cs="Arial" w:eastAsia="Arial" w:hAnsi="Arial"/>
          <w:sz w:val="16"/>
          <w:szCs w:val="16"/>
          <w:color w:val="auto"/>
        </w:rPr>
        <w:t>Skyworks selected Jazz as Foundry Supplier of the Year for improved cycle times and quality, technology innovation enabling key initiatives, strong customer support and improved alignment on business strategies. Skyworks recognized Jazz’s dedication to providing process technologies and design enablement capabilities to meet critical time-to-market demands quickly and cost-effectively. Skyworks has collaborated with Jazz to leverage its specialty process offerings from 0.5um mixed-signal CMOS and 0.35um BiCMOS to highly integrated solutions enabled by advanced SiGe and RF nodes to develop several Skyworks products such as transmit/receive modules, power amplifier controllers, switch controllers, linear devices, and wireless LAN solutions.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congratulate Jazz on their proven commitment over the past year in providing Skyworks with excellent service and support. This award also recognizes Jazz’s technology leadership and superior design enablement services, which have allowed Skyworks to deliver its complex, innovative products to the market quickly,” said Bruce J. Freyman, Vice President, Worldwide Operations for Skyworks.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are honored to be recognized by Skyworks for improving our support of their business this past year,” said Chuck Fox, Senior Vice President of Worldwide Sales and Corporate Marketing for Tower and Jazz Semiconductor. “This award is a significant milestone in our expanding relationship and clearly illustrates the dedication and commitment of our team to delivering quality manufacturing services and excellent customer support in this challenging marketing environment.”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Power CMOS and High Voltage CMOS. To provide world-class customer service, Tower maintains two manufacturing facilities in Israel; Jazz maintains a fab in the U.S. and additional manufacturing capacity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2019-12-10T11:44:16Z</dcterms:created>
  <dcterms:modified xsi:type="dcterms:W3CDTF">2019-12-10T11:44:16Z</dcterms:modified>
</cp:coreProperties>
</file>