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May 2008 (No.5)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580"/>
        <w:spacing w:after="0"/>
        <w:tabs>
          <w:tab w:leader="none" w:pos="484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On May 28, 2008, the Registrant announced implementation of a cost reduction plan.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28, 2008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Nati Somekh Gilboa</w:t>
      </w:r>
    </w:p>
    <w:p>
      <w:pPr>
        <w:ind w:left="506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Tower Semiconductor Implements Cost Reduction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May 28, 2008 - Tower Semiconductor Ltd. (NASDAQ: TSEM; TASE: TSEM) today commenced the first steps of the recently announced $40 million per annum cost reduction plan. Tower continues to place strong focus on cost efficiencies in order to better withstand the continuous decline in the US dollar/NIS exchange rate, foundry wafer price pressures and the overall worldwide economy. Tower additionally, has not yet received government grants relating to its cap-ex investments during 2006 through 2008, which were promised, committed and two years past due. To this end, Tower is filing a petition with the Israeli High Court of Justice targeting an approval certificate from the State of Israel for up to $80 million of grants, approximately $40 million of which are overdue.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plan's key areas of focus are:</w:t>
      </w:r>
    </w:p>
    <w:p>
      <w:pPr>
        <w:spacing w:after="0" w:line="207" w:lineRule="exact"/>
        <w:rPr>
          <w:sz w:val="20"/>
          <w:szCs w:val="20"/>
          <w:color w:val="auto"/>
        </w:rPr>
      </w:pPr>
    </w:p>
    <w:p>
      <w:pPr>
        <w:ind w:left="1060" w:right="2199" w:hanging="525"/>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reduction in workforce of approximately 170 employees, primarily in managerial and support related functions, which Tower expects will result in about $14 million per annum reduction of employment related and activity expenses</w:t>
      </w:r>
    </w:p>
    <w:p>
      <w:pPr>
        <w:spacing w:after="0" w:line="207"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Tower's organizational structure to generate a wider span of control per manager</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materials and spare parts costs savings through multiple sourcing and price negotiation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Tower's recently released acquisition of Jazz Semiconductor creates additional opportunities for synergies, which Tower plans to realize through operational and purchasing efficiencies. This acquisition is targeted to result in a near doubling of revenue and EBITDA.</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"These measures are needed for Tower to overcome the current unfavorable market and economic trends, hence improving Tower's financial picture", said Russell Ellwanger, CEO of Tower Semiconductor. "This leaner organizational structure will allow Tower to be stronger in the market and sets the proper foundation for the integration of activities surrounding the Jazz acquisition."</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Tower Semiconductor</w:t>
      </w:r>
    </w:p>
    <w:p>
      <w:pPr>
        <w:ind w:left="420"/>
        <w:spacing w:after="0" w:line="238" w:lineRule="auto"/>
        <w:rPr>
          <w:sz w:val="20"/>
          <w:szCs w:val="20"/>
          <w:color w:val="auto"/>
        </w:rPr>
      </w:pPr>
      <w:r>
        <w:rPr>
          <w:rFonts w:ascii="Courier New" w:cs="Courier New" w:eastAsia="Courier New" w:hAnsi="Courier New"/>
          <w:sz w:val="18"/>
          <w:szCs w:val="18"/>
          <w:color w:val="auto"/>
        </w:rPr>
        <w:t>Limor Asif, + 972-4-650 6936</w:t>
      </w:r>
    </w:p>
    <w:p>
      <w:pPr>
        <w:ind w:left="420"/>
        <w:spacing w:after="0"/>
        <w:rPr>
          <w:sz w:val="20"/>
          <w:szCs w:val="20"/>
          <w:color w:val="auto"/>
        </w:rPr>
      </w:pPr>
      <w:r>
        <w:rPr>
          <w:rFonts w:ascii="Courier New" w:cs="Courier New" w:eastAsia="Courier New" w:hAnsi="Courier New"/>
          <w:sz w:val="18"/>
          <w:szCs w:val="18"/>
          <w:color w:val="auto"/>
        </w:rPr>
        <w:t>Limoras@towersemi.com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ind w:left="420"/>
        <w:spacing w:after="0" w:line="238" w:lineRule="auto"/>
        <w:rPr>
          <w:sz w:val="20"/>
          <w:szCs w:val="20"/>
          <w:color w:val="auto"/>
        </w:rPr>
      </w:pPr>
      <w:r>
        <w:rPr>
          <w:rFonts w:ascii="Courier New" w:cs="Courier New" w:eastAsia="Courier New" w:hAnsi="Courier New"/>
          <w:sz w:val="18"/>
          <w:szCs w:val="18"/>
          <w:color w:val="auto"/>
        </w:rPr>
        <w:t>Ryan Bright, (972) 239-5119 ext. 159</w:t>
      </w:r>
    </w:p>
    <w:p>
      <w:pPr>
        <w:ind w:left="42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2019-12-14T04:20:33Z</dcterms:created>
  <dcterms:modified xsi:type="dcterms:W3CDTF">2019-12-14T04:20:33Z</dcterms:modified>
</cp:coreProperties>
</file>